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11B4B" w14:textId="05A35BFA" w:rsidR="001416C5" w:rsidRDefault="001416C5" w:rsidP="007674CF">
      <w:pPr>
        <w:pStyle w:val="Logo"/>
      </w:pPr>
    </w:p>
    <w:sdt>
      <w:sdtPr>
        <w:id w:val="1776977041"/>
        <w:docPartObj>
          <w:docPartGallery w:val="Cover Pages"/>
          <w:docPartUnique/>
        </w:docPartObj>
      </w:sdtPr>
      <w:sdtEndPr>
        <w:rPr>
          <w:b/>
        </w:rPr>
      </w:sdtEndPr>
      <w:sdtContent>
        <w:p w14:paraId="7ACA9A55" w14:textId="005F6C0F" w:rsidR="00514A49" w:rsidRDefault="00514A49" w:rsidP="007674CF">
          <w:pPr>
            <w:pStyle w:val="Logo"/>
          </w:pPr>
          <w:r w:rsidRPr="001A1790">
            <w:rPr>
              <w:noProof/>
              <w:lang w:val="en-US" w:eastAsia="en-US"/>
            </w:rPr>
            <w:drawing>
              <wp:inline distT="0" distB="0" distL="0" distR="0" wp14:anchorId="06E38C6B" wp14:editId="3D5A2BE4">
                <wp:extent cx="1257300" cy="1257300"/>
                <wp:effectExtent l="0" t="0" r="0" b="0"/>
                <wp:docPr id="18" name="Picture 18" descr="Logo: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bookmarkStart w:id="0" w:name="_Toc509950603"/>
        <w:p w14:paraId="2C512B21" w14:textId="6C3D6FB3" w:rsidR="00514A49" w:rsidRPr="005B2E59" w:rsidRDefault="00CC6B9C" w:rsidP="00813AA6">
          <w:pPr>
            <w:pStyle w:val="Identifier"/>
            <w:outlineLvl w:val="0"/>
          </w:pPr>
          <w:sdt>
            <w:sdtPr>
              <w:alias w:val="Identifier-first line"/>
              <w:tag w:val=""/>
              <w:id w:val="297040423"/>
              <w:dataBinding w:prefixMappings="xmlns:ns0='http://purl.org/dc/elements/1.1/' xmlns:ns1='http://schemas.openxmlformats.org/package/2006/metadata/core-properties' " w:xpath="/ns1:coreProperties[1]/ns1:category[1]" w:storeItemID="{6C3C8BC8-F283-45AE-878A-BAB7291924A1}"/>
              <w:text/>
            </w:sdtPr>
            <w:sdtEndPr/>
            <w:sdtContent>
              <w:r w:rsidR="00022B00">
                <w:t>Centre for Program Evaluation</w:t>
              </w:r>
            </w:sdtContent>
          </w:sdt>
          <w:bookmarkEnd w:id="0"/>
        </w:p>
        <w:p w14:paraId="40F05A0B" w14:textId="77777777" w:rsidR="00514A49" w:rsidRDefault="00514A49" w:rsidP="007674CF">
          <w:pPr>
            <w:pStyle w:val="Identifier"/>
          </w:pPr>
        </w:p>
        <w:p w14:paraId="2C0649D2" w14:textId="77777777" w:rsidR="0093470E" w:rsidRPr="00E16853" w:rsidRDefault="0093470E" w:rsidP="0093470E">
          <w:pPr>
            <w:pStyle w:val="Title"/>
            <w:framePr w:wrap="around"/>
            <w:rPr>
              <w:rFonts w:asciiTheme="minorHAnsi" w:hAnsiTheme="minorHAnsi"/>
              <w:b w:val="0"/>
              <w:color w:val="01437E"/>
            </w:rPr>
          </w:pPr>
          <w:r w:rsidRPr="00E16853">
            <w:rPr>
              <w:rFonts w:asciiTheme="minorHAnsi" w:hAnsiTheme="minorHAnsi"/>
              <w:color w:val="01437E"/>
            </w:rPr>
            <w:t>Promoting evidence uptake in schools: A review of the key features of research and evidence institutions</w:t>
          </w:r>
        </w:p>
        <w:p w14:paraId="0EE90E06" w14:textId="322BB67B" w:rsidR="00514A49" w:rsidRDefault="00CC6B9C" w:rsidP="00207A47">
          <w:pPr>
            <w:pStyle w:val="Subtitle"/>
            <w:framePr w:wrap="around"/>
          </w:pPr>
          <w:sdt>
            <w:sdtPr>
              <w:alias w:val="Subtitle"/>
              <w:tag w:val=""/>
              <w:id w:val="-1972971646"/>
              <w:dataBinding w:prefixMappings="xmlns:ns0='http://purl.org/dc/elements/1.1/' xmlns:ns1='http://schemas.openxmlformats.org/package/2006/metadata/core-properties' " w:xpath="/ns1:coreProperties[1]/ns0:subject[1]" w:storeItemID="{6C3C8BC8-F283-45AE-878A-BAB7291924A1}"/>
              <w:text/>
            </w:sdtPr>
            <w:sdtEndPr/>
            <w:sdtContent>
              <w:r w:rsidR="0093470E">
                <w:t>March 2018</w:t>
              </w:r>
            </w:sdtContent>
          </w:sdt>
        </w:p>
        <w:p w14:paraId="0DDF2795" w14:textId="77777777" w:rsidR="008B5D3D" w:rsidRDefault="008B5D3D">
          <w:pPr>
            <w:spacing w:after="160" w:line="259" w:lineRule="auto"/>
            <w:rPr>
              <w:b/>
            </w:rPr>
          </w:pPr>
          <w:r>
            <w:rPr>
              <w:b/>
            </w:rPr>
            <w:br w:type="page"/>
          </w:r>
        </w:p>
        <w:p w14:paraId="58037529" w14:textId="77777777" w:rsidR="008B5D3D" w:rsidRDefault="008B5D3D" w:rsidP="008B5D3D">
          <w:pPr>
            <w:rPr>
              <w:b/>
              <w:szCs w:val="20"/>
              <w:lang w:val="fr-FR"/>
            </w:rPr>
          </w:pPr>
        </w:p>
        <w:p w14:paraId="36D81597" w14:textId="77777777" w:rsidR="008B5D3D" w:rsidRDefault="008B5D3D" w:rsidP="008B5D3D">
          <w:pPr>
            <w:rPr>
              <w:b/>
              <w:szCs w:val="20"/>
              <w:lang w:val="fr-FR"/>
            </w:rPr>
          </w:pPr>
        </w:p>
        <w:p w14:paraId="69499A90" w14:textId="17B28654" w:rsidR="008B5D3D" w:rsidRPr="005C7875" w:rsidRDefault="008B5D3D" w:rsidP="008B5D3D">
          <w:pPr>
            <w:rPr>
              <w:szCs w:val="20"/>
            </w:rPr>
          </w:pPr>
          <w:r w:rsidRPr="005C7875">
            <w:rPr>
              <w:b/>
              <w:szCs w:val="20"/>
              <w:lang w:val="fr-FR"/>
            </w:rPr>
            <w:t>Citation :</w:t>
          </w:r>
          <w:r w:rsidRPr="005C7875">
            <w:rPr>
              <w:szCs w:val="20"/>
              <w:lang w:val="fr-FR"/>
            </w:rPr>
            <w:t xml:space="preserve"> Clinton, J.M., Aston, R., </w:t>
          </w:r>
          <w:proofErr w:type="spellStart"/>
          <w:r w:rsidRPr="005C7875">
            <w:rPr>
              <w:szCs w:val="20"/>
              <w:lang w:val="fr-FR"/>
            </w:rPr>
            <w:t>Quach</w:t>
          </w:r>
          <w:proofErr w:type="spellEnd"/>
          <w:r w:rsidRPr="005C7875">
            <w:rPr>
              <w:szCs w:val="20"/>
              <w:lang w:val="fr-FR"/>
            </w:rPr>
            <w:t xml:space="preserve">, J. (2018). </w:t>
          </w:r>
          <w:r w:rsidRPr="005C7875">
            <w:rPr>
              <w:i/>
              <w:szCs w:val="20"/>
            </w:rPr>
            <w:t>Promoting evidence uptake in schools: A review of the key features of research and evidence institutions.</w:t>
          </w:r>
          <w:r w:rsidRPr="005C7875">
            <w:rPr>
              <w:szCs w:val="20"/>
            </w:rPr>
            <w:t xml:space="preserve"> Report prepared for, Education Excellence Review Secretariat, Department of Education, Australian Government. University of Melbourne, DOI 10.4225/49/5aa61c6c75a9e.</w:t>
          </w:r>
        </w:p>
        <w:p w14:paraId="1DCBC10B" w14:textId="2214AA8A" w:rsidR="00514A49" w:rsidRDefault="00514A49">
          <w:pPr>
            <w:spacing w:after="160" w:line="259" w:lineRule="auto"/>
          </w:pPr>
          <w:r>
            <w:rPr>
              <w:b/>
            </w:rPr>
            <w:br w:type="page"/>
          </w:r>
        </w:p>
      </w:sdtContent>
    </w:sdt>
    <w:bookmarkStart w:id="1" w:name="_Toc509950604" w:displacedByCustomXml="next"/>
    <w:sdt>
      <w:sdtPr>
        <w:rPr>
          <w:rFonts w:asciiTheme="minorHAnsi" w:eastAsiaTheme="minorEastAsia" w:hAnsiTheme="minorHAnsi" w:cstheme="minorBidi"/>
          <w:b w:val="0"/>
          <w:color w:val="auto"/>
          <w:sz w:val="20"/>
          <w:szCs w:val="22"/>
          <w:lang w:eastAsia="zh-CN"/>
        </w:rPr>
        <w:id w:val="858328879"/>
        <w:docPartObj>
          <w:docPartGallery w:val="Table of Contents"/>
          <w:docPartUnique/>
        </w:docPartObj>
      </w:sdtPr>
      <w:sdtEndPr>
        <w:rPr>
          <w:bCs/>
          <w:noProof/>
        </w:rPr>
      </w:sdtEndPr>
      <w:sdtContent>
        <w:p w14:paraId="1B2F9048" w14:textId="424CDBB2" w:rsidR="005A6FF4" w:rsidRPr="005A6FF4" w:rsidRDefault="005A6FF4" w:rsidP="00E833DA">
          <w:pPr>
            <w:pStyle w:val="TOCHeading"/>
            <w:outlineLvl w:val="0"/>
            <w:rPr>
              <w:sz w:val="28"/>
              <w:szCs w:val="28"/>
            </w:rPr>
          </w:pPr>
          <w:r w:rsidRPr="005A6FF4">
            <w:rPr>
              <w:sz w:val="28"/>
              <w:szCs w:val="28"/>
            </w:rPr>
            <w:t>Table of Contents</w:t>
          </w:r>
          <w:bookmarkEnd w:id="1"/>
        </w:p>
        <w:p w14:paraId="0C1A9FC9" w14:textId="7B02999E" w:rsidR="00E833DA" w:rsidRPr="00E833DA" w:rsidRDefault="005A6FF4" w:rsidP="00E833DA">
          <w:pPr>
            <w:pStyle w:val="TOC1"/>
            <w:tabs>
              <w:tab w:val="right" w:leader="dot" w:pos="9016"/>
            </w:tabs>
            <w:rPr>
              <w:rFonts w:ascii="Calibri" w:hAnsi="Calibri"/>
              <w:b w:val="0"/>
              <w:bCs w:val="0"/>
              <w:noProof/>
              <w:lang w:val="en-US"/>
            </w:rPr>
          </w:pPr>
          <w:r>
            <w:rPr>
              <w:b w:val="0"/>
              <w:bCs w:val="0"/>
            </w:rPr>
            <w:fldChar w:fldCharType="begin"/>
          </w:r>
          <w:r>
            <w:instrText xml:space="preserve"> TOC \o "1-3" \h \z \u </w:instrText>
          </w:r>
          <w:r>
            <w:rPr>
              <w:b w:val="0"/>
              <w:bCs w:val="0"/>
            </w:rPr>
            <w:fldChar w:fldCharType="separate"/>
          </w:r>
          <w:hyperlink w:anchor="_Toc509950605" w:history="1">
            <w:r w:rsidR="00E833DA" w:rsidRPr="00E833DA">
              <w:rPr>
                <w:rStyle w:val="Hyperlink"/>
                <w:rFonts w:ascii="Calibri" w:hAnsi="Calibri"/>
                <w:noProof/>
              </w:rPr>
              <w:t>Table of Figures</w:t>
            </w:r>
            <w:r w:rsidR="00E833DA" w:rsidRPr="00E833DA">
              <w:rPr>
                <w:rFonts w:ascii="Calibri" w:hAnsi="Calibri"/>
                <w:noProof/>
                <w:webHidden/>
              </w:rPr>
              <w:tab/>
            </w:r>
            <w:r w:rsidR="00E833DA" w:rsidRPr="00E833DA">
              <w:rPr>
                <w:rFonts w:ascii="Calibri" w:hAnsi="Calibri"/>
                <w:noProof/>
                <w:webHidden/>
              </w:rPr>
              <w:fldChar w:fldCharType="begin"/>
            </w:r>
            <w:r w:rsidR="00E833DA" w:rsidRPr="00E833DA">
              <w:rPr>
                <w:rFonts w:ascii="Calibri" w:hAnsi="Calibri"/>
                <w:noProof/>
                <w:webHidden/>
              </w:rPr>
              <w:instrText xml:space="preserve"> PAGEREF _Toc509950605 \h </w:instrText>
            </w:r>
            <w:r w:rsidR="00E833DA" w:rsidRPr="00E833DA">
              <w:rPr>
                <w:rFonts w:ascii="Calibri" w:hAnsi="Calibri"/>
                <w:noProof/>
                <w:webHidden/>
              </w:rPr>
            </w:r>
            <w:r w:rsidR="00E833DA" w:rsidRPr="00E833DA">
              <w:rPr>
                <w:rFonts w:ascii="Calibri" w:hAnsi="Calibri"/>
                <w:noProof/>
                <w:webHidden/>
              </w:rPr>
              <w:fldChar w:fldCharType="separate"/>
            </w:r>
            <w:r w:rsidR="004240AA">
              <w:rPr>
                <w:rFonts w:ascii="Calibri" w:hAnsi="Calibri"/>
                <w:noProof/>
                <w:webHidden/>
              </w:rPr>
              <w:t>iii</w:t>
            </w:r>
            <w:r w:rsidR="00E833DA" w:rsidRPr="00E833DA">
              <w:rPr>
                <w:rFonts w:ascii="Calibri" w:hAnsi="Calibri"/>
                <w:noProof/>
                <w:webHidden/>
              </w:rPr>
              <w:fldChar w:fldCharType="end"/>
            </w:r>
          </w:hyperlink>
        </w:p>
        <w:p w14:paraId="7470895B" w14:textId="36623556" w:rsidR="00E833DA" w:rsidRDefault="00CC6B9C">
          <w:pPr>
            <w:pStyle w:val="TOC1"/>
            <w:tabs>
              <w:tab w:val="right" w:leader="dot" w:pos="9016"/>
            </w:tabs>
            <w:rPr>
              <w:b w:val="0"/>
              <w:bCs w:val="0"/>
              <w:noProof/>
              <w:lang w:val="en-US"/>
            </w:rPr>
          </w:pPr>
          <w:hyperlink w:anchor="_Toc509950606" w:history="1">
            <w:r w:rsidR="00E833DA" w:rsidRPr="00E833DA">
              <w:rPr>
                <w:rStyle w:val="Hyperlink"/>
                <w:rFonts w:ascii="Calibri" w:hAnsi="Calibri"/>
                <w:noProof/>
              </w:rPr>
              <w:t>Table of Tables</w:t>
            </w:r>
            <w:r w:rsidR="00E833DA" w:rsidRPr="00E833DA">
              <w:rPr>
                <w:rFonts w:ascii="Calibri" w:hAnsi="Calibri"/>
                <w:noProof/>
                <w:webHidden/>
              </w:rPr>
              <w:tab/>
            </w:r>
            <w:r w:rsidR="00E833DA" w:rsidRPr="00E833DA">
              <w:rPr>
                <w:rFonts w:ascii="Calibri" w:hAnsi="Calibri"/>
                <w:noProof/>
                <w:webHidden/>
              </w:rPr>
              <w:fldChar w:fldCharType="begin"/>
            </w:r>
            <w:r w:rsidR="00E833DA" w:rsidRPr="00E833DA">
              <w:rPr>
                <w:rFonts w:ascii="Calibri" w:hAnsi="Calibri"/>
                <w:noProof/>
                <w:webHidden/>
              </w:rPr>
              <w:instrText xml:space="preserve"> PAGEREF _Toc509950606 \h </w:instrText>
            </w:r>
            <w:r w:rsidR="00E833DA" w:rsidRPr="00E833DA">
              <w:rPr>
                <w:rFonts w:ascii="Calibri" w:hAnsi="Calibri"/>
                <w:noProof/>
                <w:webHidden/>
              </w:rPr>
            </w:r>
            <w:r w:rsidR="00E833DA" w:rsidRPr="00E833DA">
              <w:rPr>
                <w:rFonts w:ascii="Calibri" w:hAnsi="Calibri"/>
                <w:noProof/>
                <w:webHidden/>
              </w:rPr>
              <w:fldChar w:fldCharType="separate"/>
            </w:r>
            <w:r w:rsidR="004240AA">
              <w:rPr>
                <w:rFonts w:ascii="Calibri" w:hAnsi="Calibri"/>
                <w:noProof/>
                <w:webHidden/>
              </w:rPr>
              <w:t>iv</w:t>
            </w:r>
            <w:r w:rsidR="00E833DA" w:rsidRPr="00E833DA">
              <w:rPr>
                <w:rFonts w:ascii="Calibri" w:hAnsi="Calibri"/>
                <w:noProof/>
                <w:webHidden/>
              </w:rPr>
              <w:fldChar w:fldCharType="end"/>
            </w:r>
          </w:hyperlink>
        </w:p>
        <w:p w14:paraId="1C524FC3" w14:textId="05FECE6F" w:rsidR="00E833DA" w:rsidRDefault="00CC6B9C">
          <w:pPr>
            <w:pStyle w:val="TOC1"/>
            <w:tabs>
              <w:tab w:val="right" w:leader="dot" w:pos="9016"/>
            </w:tabs>
            <w:rPr>
              <w:b w:val="0"/>
              <w:bCs w:val="0"/>
              <w:noProof/>
              <w:lang w:val="en-US"/>
            </w:rPr>
          </w:pPr>
          <w:hyperlink w:anchor="_Toc509950607" w:history="1">
            <w:r w:rsidR="00E833DA" w:rsidRPr="00F473DC">
              <w:rPr>
                <w:rStyle w:val="Hyperlink"/>
                <w:noProof/>
              </w:rPr>
              <w:t>Abbreviations</w:t>
            </w:r>
            <w:r w:rsidR="00E833DA">
              <w:rPr>
                <w:noProof/>
                <w:webHidden/>
              </w:rPr>
              <w:tab/>
            </w:r>
            <w:r w:rsidR="00E833DA">
              <w:rPr>
                <w:noProof/>
                <w:webHidden/>
              </w:rPr>
              <w:fldChar w:fldCharType="begin"/>
            </w:r>
            <w:r w:rsidR="00E833DA">
              <w:rPr>
                <w:noProof/>
                <w:webHidden/>
              </w:rPr>
              <w:instrText xml:space="preserve"> PAGEREF _Toc509950607 \h </w:instrText>
            </w:r>
            <w:r w:rsidR="00E833DA">
              <w:rPr>
                <w:noProof/>
                <w:webHidden/>
              </w:rPr>
            </w:r>
            <w:r w:rsidR="00E833DA">
              <w:rPr>
                <w:noProof/>
                <w:webHidden/>
              </w:rPr>
              <w:fldChar w:fldCharType="separate"/>
            </w:r>
            <w:r w:rsidR="004240AA">
              <w:rPr>
                <w:noProof/>
                <w:webHidden/>
              </w:rPr>
              <w:t>iv</w:t>
            </w:r>
            <w:r w:rsidR="00E833DA">
              <w:rPr>
                <w:noProof/>
                <w:webHidden/>
              </w:rPr>
              <w:fldChar w:fldCharType="end"/>
            </w:r>
          </w:hyperlink>
        </w:p>
        <w:p w14:paraId="1CCAAE4E" w14:textId="52808133" w:rsidR="00E833DA" w:rsidRDefault="00CC6B9C">
          <w:pPr>
            <w:pStyle w:val="TOC1"/>
            <w:tabs>
              <w:tab w:val="right" w:leader="dot" w:pos="9016"/>
            </w:tabs>
            <w:rPr>
              <w:b w:val="0"/>
              <w:bCs w:val="0"/>
              <w:noProof/>
              <w:lang w:val="en-US"/>
            </w:rPr>
          </w:pPr>
          <w:hyperlink w:anchor="_Toc509950608" w:history="1">
            <w:r w:rsidR="00E833DA" w:rsidRPr="00F473DC">
              <w:rPr>
                <w:rStyle w:val="Hyperlink"/>
                <w:noProof/>
              </w:rPr>
              <w:t>Promoting evidence uptake in schools: A review of the key features of research and evidence institutions</w:t>
            </w:r>
            <w:r w:rsidR="00E833DA">
              <w:rPr>
                <w:noProof/>
                <w:webHidden/>
              </w:rPr>
              <w:tab/>
            </w:r>
            <w:r w:rsidR="00E833DA">
              <w:rPr>
                <w:noProof/>
                <w:webHidden/>
              </w:rPr>
              <w:fldChar w:fldCharType="begin"/>
            </w:r>
            <w:r w:rsidR="00E833DA">
              <w:rPr>
                <w:noProof/>
                <w:webHidden/>
              </w:rPr>
              <w:instrText xml:space="preserve"> PAGEREF _Toc509950608 \h </w:instrText>
            </w:r>
            <w:r w:rsidR="00E833DA">
              <w:rPr>
                <w:noProof/>
                <w:webHidden/>
              </w:rPr>
            </w:r>
            <w:r w:rsidR="00E833DA">
              <w:rPr>
                <w:noProof/>
                <w:webHidden/>
              </w:rPr>
              <w:fldChar w:fldCharType="separate"/>
            </w:r>
            <w:r w:rsidR="004240AA">
              <w:rPr>
                <w:noProof/>
                <w:webHidden/>
              </w:rPr>
              <w:t>v</w:t>
            </w:r>
            <w:r w:rsidR="00E833DA">
              <w:rPr>
                <w:noProof/>
                <w:webHidden/>
              </w:rPr>
              <w:fldChar w:fldCharType="end"/>
            </w:r>
          </w:hyperlink>
        </w:p>
        <w:p w14:paraId="268D9E3C" w14:textId="6134F8E3" w:rsidR="00E833DA" w:rsidRDefault="00CC6B9C">
          <w:pPr>
            <w:pStyle w:val="TOC1"/>
            <w:tabs>
              <w:tab w:val="right" w:leader="dot" w:pos="9016"/>
            </w:tabs>
            <w:rPr>
              <w:b w:val="0"/>
              <w:bCs w:val="0"/>
              <w:noProof/>
              <w:lang w:val="en-US"/>
            </w:rPr>
          </w:pPr>
          <w:hyperlink w:anchor="_Toc509950609" w:history="1">
            <w:r w:rsidR="00E833DA" w:rsidRPr="00F473DC">
              <w:rPr>
                <w:rStyle w:val="Hyperlink"/>
                <w:noProof/>
              </w:rPr>
              <w:t>Executive summary</w:t>
            </w:r>
            <w:r w:rsidR="00E833DA">
              <w:rPr>
                <w:noProof/>
                <w:webHidden/>
              </w:rPr>
              <w:tab/>
            </w:r>
            <w:r w:rsidR="00E833DA">
              <w:rPr>
                <w:noProof/>
                <w:webHidden/>
              </w:rPr>
              <w:fldChar w:fldCharType="begin"/>
            </w:r>
            <w:r w:rsidR="00E833DA">
              <w:rPr>
                <w:noProof/>
                <w:webHidden/>
              </w:rPr>
              <w:instrText xml:space="preserve"> PAGEREF _Toc509950609 \h </w:instrText>
            </w:r>
            <w:r w:rsidR="00E833DA">
              <w:rPr>
                <w:noProof/>
                <w:webHidden/>
              </w:rPr>
            </w:r>
            <w:r w:rsidR="00E833DA">
              <w:rPr>
                <w:noProof/>
                <w:webHidden/>
              </w:rPr>
              <w:fldChar w:fldCharType="separate"/>
            </w:r>
            <w:r w:rsidR="004240AA">
              <w:rPr>
                <w:noProof/>
                <w:webHidden/>
              </w:rPr>
              <w:t>v</w:t>
            </w:r>
            <w:r w:rsidR="00E833DA">
              <w:rPr>
                <w:noProof/>
                <w:webHidden/>
              </w:rPr>
              <w:fldChar w:fldCharType="end"/>
            </w:r>
          </w:hyperlink>
        </w:p>
        <w:p w14:paraId="21FC2A9B" w14:textId="69D27131" w:rsidR="00E833DA" w:rsidRDefault="00CC6B9C">
          <w:pPr>
            <w:pStyle w:val="TOC1"/>
            <w:tabs>
              <w:tab w:val="right" w:leader="dot" w:pos="9016"/>
            </w:tabs>
            <w:rPr>
              <w:b w:val="0"/>
              <w:bCs w:val="0"/>
              <w:noProof/>
              <w:lang w:val="en-US"/>
            </w:rPr>
          </w:pPr>
          <w:hyperlink w:anchor="_Toc509950610" w:history="1">
            <w:r w:rsidR="00E833DA" w:rsidRPr="00F473DC">
              <w:rPr>
                <w:rStyle w:val="Hyperlink"/>
                <w:noProof/>
              </w:rPr>
              <w:t>Review methodology</w:t>
            </w:r>
            <w:r w:rsidR="00E833DA">
              <w:rPr>
                <w:noProof/>
                <w:webHidden/>
              </w:rPr>
              <w:tab/>
            </w:r>
            <w:r w:rsidR="00E833DA">
              <w:rPr>
                <w:noProof/>
                <w:webHidden/>
              </w:rPr>
              <w:fldChar w:fldCharType="begin"/>
            </w:r>
            <w:r w:rsidR="00E833DA">
              <w:rPr>
                <w:noProof/>
                <w:webHidden/>
              </w:rPr>
              <w:instrText xml:space="preserve"> PAGEREF _Toc509950610 \h </w:instrText>
            </w:r>
            <w:r w:rsidR="00E833DA">
              <w:rPr>
                <w:noProof/>
                <w:webHidden/>
              </w:rPr>
            </w:r>
            <w:r w:rsidR="00E833DA">
              <w:rPr>
                <w:noProof/>
                <w:webHidden/>
              </w:rPr>
              <w:fldChar w:fldCharType="separate"/>
            </w:r>
            <w:r w:rsidR="004240AA">
              <w:rPr>
                <w:noProof/>
                <w:webHidden/>
              </w:rPr>
              <w:t>v</w:t>
            </w:r>
            <w:r w:rsidR="00E833DA">
              <w:rPr>
                <w:noProof/>
                <w:webHidden/>
              </w:rPr>
              <w:fldChar w:fldCharType="end"/>
            </w:r>
          </w:hyperlink>
        </w:p>
        <w:p w14:paraId="61FB48BC" w14:textId="33FE6487" w:rsidR="00E833DA" w:rsidRDefault="00CC6B9C">
          <w:pPr>
            <w:pStyle w:val="TOC1"/>
            <w:tabs>
              <w:tab w:val="right" w:leader="dot" w:pos="9016"/>
            </w:tabs>
            <w:rPr>
              <w:b w:val="0"/>
              <w:bCs w:val="0"/>
              <w:noProof/>
              <w:lang w:val="en-US"/>
            </w:rPr>
          </w:pPr>
          <w:hyperlink w:anchor="_Toc509950611" w:history="1">
            <w:r w:rsidR="00E833DA" w:rsidRPr="00F473DC">
              <w:rPr>
                <w:rStyle w:val="Hyperlink"/>
                <w:noProof/>
              </w:rPr>
              <w:t>Key rapid synthesis findings</w:t>
            </w:r>
            <w:r w:rsidR="00E833DA">
              <w:rPr>
                <w:noProof/>
                <w:webHidden/>
              </w:rPr>
              <w:tab/>
            </w:r>
            <w:r w:rsidR="00E833DA">
              <w:rPr>
                <w:noProof/>
                <w:webHidden/>
              </w:rPr>
              <w:fldChar w:fldCharType="begin"/>
            </w:r>
            <w:r w:rsidR="00E833DA">
              <w:rPr>
                <w:noProof/>
                <w:webHidden/>
              </w:rPr>
              <w:instrText xml:space="preserve"> PAGEREF _Toc509950611 \h </w:instrText>
            </w:r>
            <w:r w:rsidR="00E833DA">
              <w:rPr>
                <w:noProof/>
                <w:webHidden/>
              </w:rPr>
            </w:r>
            <w:r w:rsidR="00E833DA">
              <w:rPr>
                <w:noProof/>
                <w:webHidden/>
              </w:rPr>
              <w:fldChar w:fldCharType="separate"/>
            </w:r>
            <w:r w:rsidR="004240AA">
              <w:rPr>
                <w:noProof/>
                <w:webHidden/>
              </w:rPr>
              <w:t>v</w:t>
            </w:r>
            <w:r w:rsidR="00E833DA">
              <w:rPr>
                <w:noProof/>
                <w:webHidden/>
              </w:rPr>
              <w:fldChar w:fldCharType="end"/>
            </w:r>
          </w:hyperlink>
        </w:p>
        <w:p w14:paraId="3BE33448" w14:textId="1A4BDF5A" w:rsidR="00E833DA" w:rsidRDefault="00CC6B9C">
          <w:pPr>
            <w:pStyle w:val="TOC1"/>
            <w:tabs>
              <w:tab w:val="right" w:leader="dot" w:pos="9016"/>
            </w:tabs>
            <w:rPr>
              <w:b w:val="0"/>
              <w:bCs w:val="0"/>
              <w:noProof/>
              <w:lang w:val="en-US"/>
            </w:rPr>
          </w:pPr>
          <w:hyperlink w:anchor="_Toc509950613" w:history="1">
            <w:r w:rsidR="00E833DA" w:rsidRPr="00F473DC">
              <w:rPr>
                <w:rStyle w:val="Hyperlink"/>
                <w:noProof/>
              </w:rPr>
              <w:t>Key tasks for evidence-centred implementation</w:t>
            </w:r>
            <w:r w:rsidR="00E833DA">
              <w:rPr>
                <w:noProof/>
                <w:webHidden/>
              </w:rPr>
              <w:tab/>
            </w:r>
            <w:r w:rsidR="00E833DA">
              <w:rPr>
                <w:noProof/>
                <w:webHidden/>
              </w:rPr>
              <w:fldChar w:fldCharType="begin"/>
            </w:r>
            <w:r w:rsidR="00E833DA">
              <w:rPr>
                <w:noProof/>
                <w:webHidden/>
              </w:rPr>
              <w:instrText xml:space="preserve"> PAGEREF _Toc509950613 \h </w:instrText>
            </w:r>
            <w:r w:rsidR="00E833DA">
              <w:rPr>
                <w:noProof/>
                <w:webHidden/>
              </w:rPr>
            </w:r>
            <w:r w:rsidR="00E833DA">
              <w:rPr>
                <w:noProof/>
                <w:webHidden/>
              </w:rPr>
              <w:fldChar w:fldCharType="separate"/>
            </w:r>
            <w:r w:rsidR="004240AA">
              <w:rPr>
                <w:noProof/>
                <w:webHidden/>
              </w:rPr>
              <w:t>vii</w:t>
            </w:r>
            <w:r w:rsidR="00E833DA">
              <w:rPr>
                <w:noProof/>
                <w:webHidden/>
              </w:rPr>
              <w:fldChar w:fldCharType="end"/>
            </w:r>
          </w:hyperlink>
        </w:p>
        <w:p w14:paraId="1659860D" w14:textId="601CF9F7" w:rsidR="00E833DA" w:rsidRDefault="00CC6B9C">
          <w:pPr>
            <w:pStyle w:val="TOC1"/>
            <w:tabs>
              <w:tab w:val="right" w:leader="dot" w:pos="9016"/>
            </w:tabs>
            <w:rPr>
              <w:b w:val="0"/>
              <w:bCs w:val="0"/>
              <w:noProof/>
              <w:lang w:val="en-US"/>
            </w:rPr>
          </w:pPr>
          <w:hyperlink w:anchor="_Toc509950614" w:history="1">
            <w:r w:rsidR="00E833DA" w:rsidRPr="00F473DC">
              <w:rPr>
                <w:rStyle w:val="Hyperlink"/>
                <w:noProof/>
              </w:rPr>
              <w:t>Recommendations</w:t>
            </w:r>
            <w:r w:rsidR="00E833DA">
              <w:rPr>
                <w:noProof/>
                <w:webHidden/>
              </w:rPr>
              <w:tab/>
            </w:r>
            <w:r w:rsidR="00E833DA">
              <w:rPr>
                <w:noProof/>
                <w:webHidden/>
              </w:rPr>
              <w:fldChar w:fldCharType="begin"/>
            </w:r>
            <w:r w:rsidR="00E833DA">
              <w:rPr>
                <w:noProof/>
                <w:webHidden/>
              </w:rPr>
              <w:instrText xml:space="preserve"> PAGEREF _Toc509950614 \h </w:instrText>
            </w:r>
            <w:r w:rsidR="00E833DA">
              <w:rPr>
                <w:noProof/>
                <w:webHidden/>
              </w:rPr>
            </w:r>
            <w:r w:rsidR="00E833DA">
              <w:rPr>
                <w:noProof/>
                <w:webHidden/>
              </w:rPr>
              <w:fldChar w:fldCharType="separate"/>
            </w:r>
            <w:r w:rsidR="004240AA">
              <w:rPr>
                <w:noProof/>
                <w:webHidden/>
              </w:rPr>
              <w:t>vii</w:t>
            </w:r>
            <w:r w:rsidR="00E833DA">
              <w:rPr>
                <w:noProof/>
                <w:webHidden/>
              </w:rPr>
              <w:fldChar w:fldCharType="end"/>
            </w:r>
          </w:hyperlink>
        </w:p>
        <w:p w14:paraId="03786510" w14:textId="08CFCC9B" w:rsidR="00E833DA" w:rsidRDefault="00CC6B9C">
          <w:pPr>
            <w:pStyle w:val="TOC1"/>
            <w:tabs>
              <w:tab w:val="left" w:pos="600"/>
              <w:tab w:val="right" w:leader="dot" w:pos="9016"/>
            </w:tabs>
            <w:rPr>
              <w:b w:val="0"/>
              <w:bCs w:val="0"/>
              <w:noProof/>
              <w:lang w:val="en-US"/>
            </w:rPr>
          </w:pPr>
          <w:hyperlink w:anchor="_Toc509950615" w:history="1">
            <w:r w:rsidR="00E833DA" w:rsidRPr="00F473DC">
              <w:rPr>
                <w:rStyle w:val="Hyperlink"/>
                <w:noProof/>
              </w:rPr>
              <w:t>1.</w:t>
            </w:r>
            <w:r w:rsidR="00E833DA">
              <w:rPr>
                <w:b w:val="0"/>
                <w:bCs w:val="0"/>
                <w:noProof/>
                <w:lang w:val="en-US"/>
              </w:rPr>
              <w:tab/>
            </w:r>
            <w:r w:rsidR="00E833DA" w:rsidRPr="00F473DC">
              <w:rPr>
                <w:rStyle w:val="Hyperlink"/>
                <w:noProof/>
              </w:rPr>
              <w:t>Introduction</w:t>
            </w:r>
            <w:r w:rsidR="00E833DA">
              <w:rPr>
                <w:noProof/>
                <w:webHidden/>
              </w:rPr>
              <w:tab/>
            </w:r>
            <w:r w:rsidR="00E833DA">
              <w:rPr>
                <w:noProof/>
                <w:webHidden/>
              </w:rPr>
              <w:fldChar w:fldCharType="begin"/>
            </w:r>
            <w:r w:rsidR="00E833DA">
              <w:rPr>
                <w:noProof/>
                <w:webHidden/>
              </w:rPr>
              <w:instrText xml:space="preserve"> PAGEREF _Toc509950615 \h </w:instrText>
            </w:r>
            <w:r w:rsidR="00E833DA">
              <w:rPr>
                <w:noProof/>
                <w:webHidden/>
              </w:rPr>
            </w:r>
            <w:r w:rsidR="00E833DA">
              <w:rPr>
                <w:noProof/>
                <w:webHidden/>
              </w:rPr>
              <w:fldChar w:fldCharType="separate"/>
            </w:r>
            <w:r w:rsidR="004240AA">
              <w:rPr>
                <w:noProof/>
                <w:webHidden/>
              </w:rPr>
              <w:t>1</w:t>
            </w:r>
            <w:r w:rsidR="00E833DA">
              <w:rPr>
                <w:noProof/>
                <w:webHidden/>
              </w:rPr>
              <w:fldChar w:fldCharType="end"/>
            </w:r>
          </w:hyperlink>
        </w:p>
        <w:p w14:paraId="3CC9BD1A" w14:textId="555173E1" w:rsidR="00E833DA" w:rsidRDefault="00CC6B9C">
          <w:pPr>
            <w:pStyle w:val="TOC1"/>
            <w:tabs>
              <w:tab w:val="left" w:pos="600"/>
              <w:tab w:val="right" w:leader="dot" w:pos="9016"/>
            </w:tabs>
            <w:rPr>
              <w:b w:val="0"/>
              <w:bCs w:val="0"/>
              <w:noProof/>
              <w:lang w:val="en-US"/>
            </w:rPr>
          </w:pPr>
          <w:hyperlink w:anchor="_Toc509950616" w:history="1">
            <w:r w:rsidR="00E833DA" w:rsidRPr="00F473DC">
              <w:rPr>
                <w:rStyle w:val="Hyperlink"/>
                <w:noProof/>
              </w:rPr>
              <w:t>2.</w:t>
            </w:r>
            <w:r w:rsidR="00E833DA">
              <w:rPr>
                <w:b w:val="0"/>
                <w:bCs w:val="0"/>
                <w:noProof/>
                <w:lang w:val="en-US"/>
              </w:rPr>
              <w:tab/>
            </w:r>
            <w:r w:rsidR="00E833DA" w:rsidRPr="00F473DC">
              <w:rPr>
                <w:rStyle w:val="Hyperlink"/>
                <w:noProof/>
              </w:rPr>
              <w:t>Background and methodology</w:t>
            </w:r>
            <w:r w:rsidR="00E833DA">
              <w:rPr>
                <w:noProof/>
                <w:webHidden/>
              </w:rPr>
              <w:tab/>
            </w:r>
            <w:r w:rsidR="00E833DA">
              <w:rPr>
                <w:noProof/>
                <w:webHidden/>
              </w:rPr>
              <w:fldChar w:fldCharType="begin"/>
            </w:r>
            <w:r w:rsidR="00E833DA">
              <w:rPr>
                <w:noProof/>
                <w:webHidden/>
              </w:rPr>
              <w:instrText xml:space="preserve"> PAGEREF _Toc509950616 \h </w:instrText>
            </w:r>
            <w:r w:rsidR="00E833DA">
              <w:rPr>
                <w:noProof/>
                <w:webHidden/>
              </w:rPr>
            </w:r>
            <w:r w:rsidR="00E833DA">
              <w:rPr>
                <w:noProof/>
                <w:webHidden/>
              </w:rPr>
              <w:fldChar w:fldCharType="separate"/>
            </w:r>
            <w:r w:rsidR="004240AA">
              <w:rPr>
                <w:noProof/>
                <w:webHidden/>
              </w:rPr>
              <w:t>1</w:t>
            </w:r>
            <w:r w:rsidR="00E833DA">
              <w:rPr>
                <w:noProof/>
                <w:webHidden/>
              </w:rPr>
              <w:fldChar w:fldCharType="end"/>
            </w:r>
          </w:hyperlink>
        </w:p>
        <w:p w14:paraId="22686151" w14:textId="5336D75D" w:rsidR="00E833DA" w:rsidRDefault="00CC6B9C">
          <w:pPr>
            <w:pStyle w:val="TOC2"/>
            <w:tabs>
              <w:tab w:val="left" w:pos="800"/>
              <w:tab w:val="right" w:leader="dot" w:pos="9016"/>
            </w:tabs>
            <w:rPr>
              <w:b w:val="0"/>
              <w:bCs w:val="0"/>
              <w:noProof/>
              <w:sz w:val="24"/>
              <w:szCs w:val="24"/>
              <w:lang w:val="en-US"/>
            </w:rPr>
          </w:pPr>
          <w:hyperlink w:anchor="_Toc509950617" w:history="1">
            <w:r w:rsidR="00E833DA" w:rsidRPr="00F473DC">
              <w:rPr>
                <w:rStyle w:val="Hyperlink"/>
                <w:noProof/>
              </w:rPr>
              <w:t>2.1.</w:t>
            </w:r>
            <w:r w:rsidR="00E833DA">
              <w:rPr>
                <w:b w:val="0"/>
                <w:bCs w:val="0"/>
                <w:noProof/>
                <w:sz w:val="24"/>
                <w:szCs w:val="24"/>
                <w:lang w:val="en-US"/>
              </w:rPr>
              <w:tab/>
            </w:r>
            <w:r w:rsidR="00E833DA" w:rsidRPr="00F473DC">
              <w:rPr>
                <w:rStyle w:val="Hyperlink"/>
                <w:noProof/>
              </w:rPr>
              <w:t>Evidence-informed and evidence-based practice</w:t>
            </w:r>
            <w:r w:rsidR="00E833DA">
              <w:rPr>
                <w:noProof/>
                <w:webHidden/>
              </w:rPr>
              <w:tab/>
            </w:r>
            <w:r w:rsidR="00E833DA">
              <w:rPr>
                <w:noProof/>
                <w:webHidden/>
              </w:rPr>
              <w:fldChar w:fldCharType="begin"/>
            </w:r>
            <w:r w:rsidR="00E833DA">
              <w:rPr>
                <w:noProof/>
                <w:webHidden/>
              </w:rPr>
              <w:instrText xml:space="preserve"> PAGEREF _Toc509950617 \h </w:instrText>
            </w:r>
            <w:r w:rsidR="00E833DA">
              <w:rPr>
                <w:noProof/>
                <w:webHidden/>
              </w:rPr>
            </w:r>
            <w:r w:rsidR="00E833DA">
              <w:rPr>
                <w:noProof/>
                <w:webHidden/>
              </w:rPr>
              <w:fldChar w:fldCharType="separate"/>
            </w:r>
            <w:r w:rsidR="004240AA">
              <w:rPr>
                <w:noProof/>
                <w:webHidden/>
              </w:rPr>
              <w:t>1</w:t>
            </w:r>
            <w:r w:rsidR="00E833DA">
              <w:rPr>
                <w:noProof/>
                <w:webHidden/>
              </w:rPr>
              <w:fldChar w:fldCharType="end"/>
            </w:r>
          </w:hyperlink>
        </w:p>
        <w:p w14:paraId="196A3639" w14:textId="2B7F48C7" w:rsidR="00E833DA" w:rsidRDefault="00CC6B9C">
          <w:pPr>
            <w:pStyle w:val="TOC2"/>
            <w:tabs>
              <w:tab w:val="left" w:pos="800"/>
              <w:tab w:val="right" w:leader="dot" w:pos="9016"/>
            </w:tabs>
            <w:rPr>
              <w:b w:val="0"/>
              <w:bCs w:val="0"/>
              <w:noProof/>
              <w:sz w:val="24"/>
              <w:szCs w:val="24"/>
              <w:lang w:val="en-US"/>
            </w:rPr>
          </w:pPr>
          <w:hyperlink w:anchor="_Toc509950618" w:history="1">
            <w:r w:rsidR="00E833DA" w:rsidRPr="00F473DC">
              <w:rPr>
                <w:rStyle w:val="Hyperlink"/>
                <w:noProof/>
              </w:rPr>
              <w:t>2.2.</w:t>
            </w:r>
            <w:r w:rsidR="00E833DA">
              <w:rPr>
                <w:b w:val="0"/>
                <w:bCs w:val="0"/>
                <w:noProof/>
                <w:sz w:val="24"/>
                <w:szCs w:val="24"/>
                <w:lang w:val="en-US"/>
              </w:rPr>
              <w:tab/>
            </w:r>
            <w:r w:rsidR="00E833DA" w:rsidRPr="00F473DC">
              <w:rPr>
                <w:rStyle w:val="Hyperlink"/>
                <w:noProof/>
              </w:rPr>
              <w:t>Rapid synthesis methodology</w:t>
            </w:r>
            <w:r w:rsidR="00E833DA">
              <w:rPr>
                <w:noProof/>
                <w:webHidden/>
              </w:rPr>
              <w:tab/>
            </w:r>
            <w:r w:rsidR="00E833DA">
              <w:rPr>
                <w:noProof/>
                <w:webHidden/>
              </w:rPr>
              <w:fldChar w:fldCharType="begin"/>
            </w:r>
            <w:r w:rsidR="00E833DA">
              <w:rPr>
                <w:noProof/>
                <w:webHidden/>
              </w:rPr>
              <w:instrText xml:space="preserve"> PAGEREF _Toc509950618 \h </w:instrText>
            </w:r>
            <w:r w:rsidR="00E833DA">
              <w:rPr>
                <w:noProof/>
                <w:webHidden/>
              </w:rPr>
            </w:r>
            <w:r w:rsidR="00E833DA">
              <w:rPr>
                <w:noProof/>
                <w:webHidden/>
              </w:rPr>
              <w:fldChar w:fldCharType="separate"/>
            </w:r>
            <w:r w:rsidR="004240AA">
              <w:rPr>
                <w:noProof/>
                <w:webHidden/>
              </w:rPr>
              <w:t>2</w:t>
            </w:r>
            <w:r w:rsidR="00E833DA">
              <w:rPr>
                <w:noProof/>
                <w:webHidden/>
              </w:rPr>
              <w:fldChar w:fldCharType="end"/>
            </w:r>
          </w:hyperlink>
        </w:p>
        <w:p w14:paraId="1AAEDB5C" w14:textId="256E76D2" w:rsidR="00E833DA" w:rsidRDefault="00CC6B9C">
          <w:pPr>
            <w:pStyle w:val="TOC2"/>
            <w:tabs>
              <w:tab w:val="left" w:pos="800"/>
              <w:tab w:val="right" w:leader="dot" w:pos="9016"/>
            </w:tabs>
            <w:rPr>
              <w:b w:val="0"/>
              <w:bCs w:val="0"/>
              <w:noProof/>
              <w:sz w:val="24"/>
              <w:szCs w:val="24"/>
              <w:lang w:val="en-US"/>
            </w:rPr>
          </w:pPr>
          <w:hyperlink w:anchor="_Toc509950619" w:history="1">
            <w:r w:rsidR="00E833DA" w:rsidRPr="00F473DC">
              <w:rPr>
                <w:rStyle w:val="Hyperlink"/>
                <w:noProof/>
              </w:rPr>
              <w:t>2.3.</w:t>
            </w:r>
            <w:r w:rsidR="00E833DA">
              <w:rPr>
                <w:b w:val="0"/>
                <w:bCs w:val="0"/>
                <w:noProof/>
                <w:sz w:val="24"/>
                <w:szCs w:val="24"/>
                <w:lang w:val="en-US"/>
              </w:rPr>
              <w:tab/>
            </w:r>
            <w:r w:rsidR="00E833DA" w:rsidRPr="00F473DC">
              <w:rPr>
                <w:rStyle w:val="Hyperlink"/>
                <w:noProof/>
              </w:rPr>
              <w:t>Reviewed literature</w:t>
            </w:r>
            <w:r w:rsidR="00E833DA">
              <w:rPr>
                <w:noProof/>
                <w:webHidden/>
              </w:rPr>
              <w:tab/>
            </w:r>
            <w:r w:rsidR="00E833DA">
              <w:rPr>
                <w:noProof/>
                <w:webHidden/>
              </w:rPr>
              <w:fldChar w:fldCharType="begin"/>
            </w:r>
            <w:r w:rsidR="00E833DA">
              <w:rPr>
                <w:noProof/>
                <w:webHidden/>
              </w:rPr>
              <w:instrText xml:space="preserve"> PAGEREF _Toc509950619 \h </w:instrText>
            </w:r>
            <w:r w:rsidR="00E833DA">
              <w:rPr>
                <w:noProof/>
                <w:webHidden/>
              </w:rPr>
            </w:r>
            <w:r w:rsidR="00E833DA">
              <w:rPr>
                <w:noProof/>
                <w:webHidden/>
              </w:rPr>
              <w:fldChar w:fldCharType="separate"/>
            </w:r>
            <w:r w:rsidR="004240AA">
              <w:rPr>
                <w:noProof/>
                <w:webHidden/>
              </w:rPr>
              <w:t>2</w:t>
            </w:r>
            <w:r w:rsidR="00E833DA">
              <w:rPr>
                <w:noProof/>
                <w:webHidden/>
              </w:rPr>
              <w:fldChar w:fldCharType="end"/>
            </w:r>
          </w:hyperlink>
        </w:p>
        <w:p w14:paraId="0211CE4B" w14:textId="051FA27B" w:rsidR="00E833DA" w:rsidRDefault="00CC6B9C">
          <w:pPr>
            <w:pStyle w:val="TOC1"/>
            <w:tabs>
              <w:tab w:val="left" w:pos="800"/>
              <w:tab w:val="right" w:leader="dot" w:pos="9016"/>
            </w:tabs>
            <w:rPr>
              <w:b w:val="0"/>
              <w:bCs w:val="0"/>
              <w:noProof/>
              <w:lang w:val="en-US"/>
            </w:rPr>
          </w:pPr>
          <w:hyperlink w:anchor="_Toc509950622" w:history="1">
            <w:r w:rsidR="00E833DA" w:rsidRPr="00F473DC">
              <w:rPr>
                <w:rStyle w:val="Hyperlink"/>
                <w:noProof/>
              </w:rPr>
              <w:t>2.4.</w:t>
            </w:r>
            <w:r w:rsidR="00E833DA">
              <w:rPr>
                <w:b w:val="0"/>
                <w:bCs w:val="0"/>
                <w:noProof/>
                <w:lang w:val="en-US"/>
              </w:rPr>
              <w:tab/>
            </w:r>
            <w:r w:rsidR="00E833DA" w:rsidRPr="00F473DC">
              <w:rPr>
                <w:rStyle w:val="Hyperlink"/>
                <w:noProof/>
              </w:rPr>
              <w:t>Stakeholder consultations</w:t>
            </w:r>
            <w:r w:rsidR="00E833DA">
              <w:rPr>
                <w:noProof/>
                <w:webHidden/>
              </w:rPr>
              <w:tab/>
            </w:r>
            <w:r w:rsidR="00E833DA">
              <w:rPr>
                <w:noProof/>
                <w:webHidden/>
              </w:rPr>
              <w:fldChar w:fldCharType="begin"/>
            </w:r>
            <w:r w:rsidR="00E833DA">
              <w:rPr>
                <w:noProof/>
                <w:webHidden/>
              </w:rPr>
              <w:instrText xml:space="preserve"> PAGEREF _Toc509950622 \h </w:instrText>
            </w:r>
            <w:r w:rsidR="00E833DA">
              <w:rPr>
                <w:noProof/>
                <w:webHidden/>
              </w:rPr>
            </w:r>
            <w:r w:rsidR="00E833DA">
              <w:rPr>
                <w:noProof/>
                <w:webHidden/>
              </w:rPr>
              <w:fldChar w:fldCharType="separate"/>
            </w:r>
            <w:r w:rsidR="004240AA">
              <w:rPr>
                <w:noProof/>
                <w:webHidden/>
              </w:rPr>
              <w:t>5</w:t>
            </w:r>
            <w:r w:rsidR="00E833DA">
              <w:rPr>
                <w:noProof/>
                <w:webHidden/>
              </w:rPr>
              <w:fldChar w:fldCharType="end"/>
            </w:r>
          </w:hyperlink>
        </w:p>
        <w:p w14:paraId="757D708B" w14:textId="52268AD8" w:rsidR="00E833DA" w:rsidRDefault="00CC6B9C">
          <w:pPr>
            <w:pStyle w:val="TOC1"/>
            <w:tabs>
              <w:tab w:val="left" w:pos="600"/>
              <w:tab w:val="right" w:leader="dot" w:pos="9016"/>
            </w:tabs>
            <w:rPr>
              <w:b w:val="0"/>
              <w:bCs w:val="0"/>
              <w:noProof/>
              <w:lang w:val="en-US"/>
            </w:rPr>
          </w:pPr>
          <w:hyperlink w:anchor="_Toc509950624" w:history="1">
            <w:r w:rsidR="00E833DA" w:rsidRPr="00F473DC">
              <w:rPr>
                <w:rStyle w:val="Hyperlink"/>
                <w:noProof/>
              </w:rPr>
              <w:t>3.</w:t>
            </w:r>
            <w:r w:rsidR="00E833DA">
              <w:rPr>
                <w:b w:val="0"/>
                <w:bCs w:val="0"/>
                <w:noProof/>
                <w:lang w:val="en-US"/>
              </w:rPr>
              <w:tab/>
            </w:r>
            <w:r w:rsidR="00E833DA" w:rsidRPr="00F473DC">
              <w:rPr>
                <w:rStyle w:val="Hyperlink"/>
                <w:noProof/>
              </w:rPr>
              <w:t>The model institution that supports evidence-informed policy and practice</w:t>
            </w:r>
            <w:r w:rsidR="00E833DA">
              <w:rPr>
                <w:noProof/>
                <w:webHidden/>
              </w:rPr>
              <w:tab/>
            </w:r>
            <w:r w:rsidR="00E833DA">
              <w:rPr>
                <w:noProof/>
                <w:webHidden/>
              </w:rPr>
              <w:fldChar w:fldCharType="begin"/>
            </w:r>
            <w:r w:rsidR="00E833DA">
              <w:rPr>
                <w:noProof/>
                <w:webHidden/>
              </w:rPr>
              <w:instrText xml:space="preserve"> PAGEREF _Toc509950624 \h </w:instrText>
            </w:r>
            <w:r w:rsidR="00E833DA">
              <w:rPr>
                <w:noProof/>
                <w:webHidden/>
              </w:rPr>
            </w:r>
            <w:r w:rsidR="00E833DA">
              <w:rPr>
                <w:noProof/>
                <w:webHidden/>
              </w:rPr>
              <w:fldChar w:fldCharType="separate"/>
            </w:r>
            <w:r w:rsidR="004240AA">
              <w:rPr>
                <w:noProof/>
                <w:webHidden/>
              </w:rPr>
              <w:t>6</w:t>
            </w:r>
            <w:r w:rsidR="00E833DA">
              <w:rPr>
                <w:noProof/>
                <w:webHidden/>
              </w:rPr>
              <w:fldChar w:fldCharType="end"/>
            </w:r>
          </w:hyperlink>
        </w:p>
        <w:p w14:paraId="68538E22" w14:textId="1A31236D" w:rsidR="00E833DA" w:rsidRDefault="00CC6B9C">
          <w:pPr>
            <w:pStyle w:val="TOC2"/>
            <w:tabs>
              <w:tab w:val="left" w:pos="800"/>
              <w:tab w:val="right" w:leader="dot" w:pos="9016"/>
            </w:tabs>
            <w:rPr>
              <w:b w:val="0"/>
              <w:bCs w:val="0"/>
              <w:noProof/>
              <w:sz w:val="24"/>
              <w:szCs w:val="24"/>
              <w:lang w:val="en-US"/>
            </w:rPr>
          </w:pPr>
          <w:hyperlink w:anchor="_Toc509950625" w:history="1">
            <w:r w:rsidR="00E833DA" w:rsidRPr="00F473DC">
              <w:rPr>
                <w:rStyle w:val="Hyperlink"/>
                <w:noProof/>
              </w:rPr>
              <w:t>3.1.</w:t>
            </w:r>
            <w:r w:rsidR="00E833DA">
              <w:rPr>
                <w:b w:val="0"/>
                <w:bCs w:val="0"/>
                <w:noProof/>
                <w:sz w:val="24"/>
                <w:szCs w:val="24"/>
                <w:lang w:val="en-US"/>
              </w:rPr>
              <w:tab/>
            </w:r>
            <w:r w:rsidR="00E833DA" w:rsidRPr="00F473DC">
              <w:rPr>
                <w:rStyle w:val="Hyperlink"/>
                <w:noProof/>
              </w:rPr>
              <w:t>The Evidence into Action model</w:t>
            </w:r>
            <w:r w:rsidR="00E833DA">
              <w:rPr>
                <w:noProof/>
                <w:webHidden/>
              </w:rPr>
              <w:tab/>
            </w:r>
            <w:r w:rsidR="00E833DA">
              <w:rPr>
                <w:noProof/>
                <w:webHidden/>
              </w:rPr>
              <w:fldChar w:fldCharType="begin"/>
            </w:r>
            <w:r w:rsidR="00E833DA">
              <w:rPr>
                <w:noProof/>
                <w:webHidden/>
              </w:rPr>
              <w:instrText xml:space="preserve"> PAGEREF _Toc509950625 \h </w:instrText>
            </w:r>
            <w:r w:rsidR="00E833DA">
              <w:rPr>
                <w:noProof/>
                <w:webHidden/>
              </w:rPr>
            </w:r>
            <w:r w:rsidR="00E833DA">
              <w:rPr>
                <w:noProof/>
                <w:webHidden/>
              </w:rPr>
              <w:fldChar w:fldCharType="separate"/>
            </w:r>
            <w:r w:rsidR="004240AA">
              <w:rPr>
                <w:noProof/>
                <w:webHidden/>
              </w:rPr>
              <w:t>6</w:t>
            </w:r>
            <w:r w:rsidR="00E833DA">
              <w:rPr>
                <w:noProof/>
                <w:webHidden/>
              </w:rPr>
              <w:fldChar w:fldCharType="end"/>
            </w:r>
          </w:hyperlink>
        </w:p>
        <w:p w14:paraId="589C6E22" w14:textId="3B48C8F3" w:rsidR="00E833DA" w:rsidRDefault="00CC6B9C">
          <w:pPr>
            <w:pStyle w:val="TOC3"/>
            <w:tabs>
              <w:tab w:val="left" w:pos="1200"/>
              <w:tab w:val="right" w:leader="dot" w:pos="9016"/>
            </w:tabs>
            <w:rPr>
              <w:noProof/>
              <w:sz w:val="24"/>
              <w:szCs w:val="24"/>
              <w:lang w:val="en-US"/>
            </w:rPr>
          </w:pPr>
          <w:hyperlink w:anchor="_Toc509950628" w:history="1">
            <w:r w:rsidR="00E833DA" w:rsidRPr="00F473DC">
              <w:rPr>
                <w:rStyle w:val="Hyperlink"/>
                <w:noProof/>
              </w:rPr>
              <w:t>3.1.1.</w:t>
            </w:r>
            <w:r w:rsidR="00E833DA">
              <w:rPr>
                <w:noProof/>
                <w:sz w:val="24"/>
                <w:szCs w:val="24"/>
                <w:lang w:val="en-US"/>
              </w:rPr>
              <w:tab/>
            </w:r>
            <w:r w:rsidR="00E833DA" w:rsidRPr="00F473DC">
              <w:rPr>
                <w:rStyle w:val="Hyperlink"/>
                <w:noProof/>
              </w:rPr>
              <w:t>Tasks for implementing the Evidence into Action model</w:t>
            </w:r>
            <w:r w:rsidR="00E833DA">
              <w:rPr>
                <w:noProof/>
                <w:webHidden/>
              </w:rPr>
              <w:tab/>
            </w:r>
            <w:r w:rsidR="00E833DA">
              <w:rPr>
                <w:noProof/>
                <w:webHidden/>
              </w:rPr>
              <w:fldChar w:fldCharType="begin"/>
            </w:r>
            <w:r w:rsidR="00E833DA">
              <w:rPr>
                <w:noProof/>
                <w:webHidden/>
              </w:rPr>
              <w:instrText xml:space="preserve"> PAGEREF _Toc509950628 \h </w:instrText>
            </w:r>
            <w:r w:rsidR="00E833DA">
              <w:rPr>
                <w:noProof/>
                <w:webHidden/>
              </w:rPr>
            </w:r>
            <w:r w:rsidR="00E833DA">
              <w:rPr>
                <w:noProof/>
                <w:webHidden/>
              </w:rPr>
              <w:fldChar w:fldCharType="separate"/>
            </w:r>
            <w:r w:rsidR="004240AA">
              <w:rPr>
                <w:noProof/>
                <w:webHidden/>
              </w:rPr>
              <w:t>9</w:t>
            </w:r>
            <w:r w:rsidR="00E833DA">
              <w:rPr>
                <w:noProof/>
                <w:webHidden/>
              </w:rPr>
              <w:fldChar w:fldCharType="end"/>
            </w:r>
          </w:hyperlink>
        </w:p>
        <w:p w14:paraId="0439E6EC" w14:textId="4C3248B1" w:rsidR="00E833DA" w:rsidRDefault="00CC6B9C">
          <w:pPr>
            <w:pStyle w:val="TOC2"/>
            <w:tabs>
              <w:tab w:val="left" w:pos="800"/>
              <w:tab w:val="right" w:leader="dot" w:pos="9016"/>
            </w:tabs>
            <w:rPr>
              <w:b w:val="0"/>
              <w:bCs w:val="0"/>
              <w:noProof/>
              <w:sz w:val="24"/>
              <w:szCs w:val="24"/>
              <w:lang w:val="en-US"/>
            </w:rPr>
          </w:pPr>
          <w:hyperlink w:anchor="_Toc509950629" w:history="1">
            <w:r w:rsidR="00E833DA" w:rsidRPr="00F473DC">
              <w:rPr>
                <w:rStyle w:val="Hyperlink"/>
                <w:noProof/>
              </w:rPr>
              <w:t>3.2.</w:t>
            </w:r>
            <w:r w:rsidR="00E833DA">
              <w:rPr>
                <w:b w:val="0"/>
                <w:bCs w:val="0"/>
                <w:noProof/>
                <w:sz w:val="24"/>
                <w:szCs w:val="24"/>
                <w:lang w:val="en-US"/>
              </w:rPr>
              <w:tab/>
            </w:r>
            <w:r w:rsidR="00E833DA" w:rsidRPr="00F473DC">
              <w:rPr>
                <w:rStyle w:val="Hyperlink"/>
                <w:noProof/>
              </w:rPr>
              <w:t>Recommendations</w:t>
            </w:r>
            <w:r w:rsidR="00E833DA">
              <w:rPr>
                <w:noProof/>
                <w:webHidden/>
              </w:rPr>
              <w:tab/>
            </w:r>
            <w:r w:rsidR="00E833DA">
              <w:rPr>
                <w:noProof/>
                <w:webHidden/>
              </w:rPr>
              <w:fldChar w:fldCharType="begin"/>
            </w:r>
            <w:r w:rsidR="00E833DA">
              <w:rPr>
                <w:noProof/>
                <w:webHidden/>
              </w:rPr>
              <w:instrText xml:space="preserve"> PAGEREF _Toc509950629 \h </w:instrText>
            </w:r>
            <w:r w:rsidR="00E833DA">
              <w:rPr>
                <w:noProof/>
                <w:webHidden/>
              </w:rPr>
            </w:r>
            <w:r w:rsidR="00E833DA">
              <w:rPr>
                <w:noProof/>
                <w:webHidden/>
              </w:rPr>
              <w:fldChar w:fldCharType="separate"/>
            </w:r>
            <w:r w:rsidR="004240AA">
              <w:rPr>
                <w:noProof/>
                <w:webHidden/>
              </w:rPr>
              <w:t>10</w:t>
            </w:r>
            <w:r w:rsidR="00E833DA">
              <w:rPr>
                <w:noProof/>
                <w:webHidden/>
              </w:rPr>
              <w:fldChar w:fldCharType="end"/>
            </w:r>
          </w:hyperlink>
        </w:p>
        <w:p w14:paraId="3C5C93AC" w14:textId="79E9AE44" w:rsidR="00E833DA" w:rsidRDefault="00CC6B9C">
          <w:pPr>
            <w:pStyle w:val="TOC1"/>
            <w:tabs>
              <w:tab w:val="left" w:pos="600"/>
              <w:tab w:val="right" w:leader="dot" w:pos="9016"/>
            </w:tabs>
            <w:rPr>
              <w:b w:val="0"/>
              <w:bCs w:val="0"/>
              <w:noProof/>
              <w:lang w:val="en-US"/>
            </w:rPr>
          </w:pPr>
          <w:hyperlink w:anchor="_Toc509950630" w:history="1">
            <w:r w:rsidR="00E833DA" w:rsidRPr="00F473DC">
              <w:rPr>
                <w:rStyle w:val="Hyperlink"/>
                <w:noProof/>
              </w:rPr>
              <w:t>4.</w:t>
            </w:r>
            <w:r w:rsidR="00E833DA">
              <w:rPr>
                <w:b w:val="0"/>
                <w:bCs w:val="0"/>
                <w:noProof/>
                <w:lang w:val="en-US"/>
              </w:rPr>
              <w:tab/>
            </w:r>
            <w:r w:rsidR="00E833DA" w:rsidRPr="00F473DC">
              <w:rPr>
                <w:rStyle w:val="Hyperlink"/>
                <w:noProof/>
              </w:rPr>
              <w:t>Rapid synthesis: Support for a utilisation model</w:t>
            </w:r>
            <w:r w:rsidR="00E833DA">
              <w:rPr>
                <w:noProof/>
                <w:webHidden/>
              </w:rPr>
              <w:tab/>
            </w:r>
            <w:r w:rsidR="00E833DA">
              <w:rPr>
                <w:noProof/>
                <w:webHidden/>
              </w:rPr>
              <w:fldChar w:fldCharType="begin"/>
            </w:r>
            <w:r w:rsidR="00E833DA">
              <w:rPr>
                <w:noProof/>
                <w:webHidden/>
              </w:rPr>
              <w:instrText xml:space="preserve"> PAGEREF _Toc509950630 \h </w:instrText>
            </w:r>
            <w:r w:rsidR="00E833DA">
              <w:rPr>
                <w:noProof/>
                <w:webHidden/>
              </w:rPr>
            </w:r>
            <w:r w:rsidR="00E833DA">
              <w:rPr>
                <w:noProof/>
                <w:webHidden/>
              </w:rPr>
              <w:fldChar w:fldCharType="separate"/>
            </w:r>
            <w:r w:rsidR="004240AA">
              <w:rPr>
                <w:noProof/>
                <w:webHidden/>
              </w:rPr>
              <w:t>11</w:t>
            </w:r>
            <w:r w:rsidR="00E833DA">
              <w:rPr>
                <w:noProof/>
                <w:webHidden/>
              </w:rPr>
              <w:fldChar w:fldCharType="end"/>
            </w:r>
          </w:hyperlink>
        </w:p>
        <w:p w14:paraId="1D06B91D" w14:textId="72F96C0B" w:rsidR="00E833DA" w:rsidRDefault="00CC6B9C">
          <w:pPr>
            <w:pStyle w:val="TOC2"/>
            <w:tabs>
              <w:tab w:val="left" w:pos="800"/>
              <w:tab w:val="right" w:leader="dot" w:pos="9016"/>
            </w:tabs>
            <w:rPr>
              <w:b w:val="0"/>
              <w:bCs w:val="0"/>
              <w:noProof/>
              <w:sz w:val="24"/>
              <w:szCs w:val="24"/>
              <w:lang w:val="en-US"/>
            </w:rPr>
          </w:pPr>
          <w:hyperlink w:anchor="_Toc509950632" w:history="1">
            <w:r w:rsidR="00E833DA" w:rsidRPr="00F473DC">
              <w:rPr>
                <w:rStyle w:val="Hyperlink"/>
                <w:noProof/>
              </w:rPr>
              <w:t>4.1.</w:t>
            </w:r>
            <w:r w:rsidR="00E833DA">
              <w:rPr>
                <w:b w:val="0"/>
                <w:bCs w:val="0"/>
                <w:noProof/>
                <w:sz w:val="24"/>
                <w:szCs w:val="24"/>
                <w:lang w:val="en-US"/>
              </w:rPr>
              <w:tab/>
            </w:r>
            <w:r w:rsidR="00E833DA" w:rsidRPr="00F473DC">
              <w:rPr>
                <w:rStyle w:val="Hyperlink"/>
                <w:noProof/>
              </w:rPr>
              <w:t>Function 1: Generating relevant evidence</w:t>
            </w:r>
            <w:r w:rsidR="00E833DA">
              <w:rPr>
                <w:noProof/>
                <w:webHidden/>
              </w:rPr>
              <w:tab/>
            </w:r>
            <w:r w:rsidR="00E833DA">
              <w:rPr>
                <w:noProof/>
                <w:webHidden/>
              </w:rPr>
              <w:fldChar w:fldCharType="begin"/>
            </w:r>
            <w:r w:rsidR="00E833DA">
              <w:rPr>
                <w:noProof/>
                <w:webHidden/>
              </w:rPr>
              <w:instrText xml:space="preserve"> PAGEREF _Toc509950632 \h </w:instrText>
            </w:r>
            <w:r w:rsidR="00E833DA">
              <w:rPr>
                <w:noProof/>
                <w:webHidden/>
              </w:rPr>
            </w:r>
            <w:r w:rsidR="00E833DA">
              <w:rPr>
                <w:noProof/>
                <w:webHidden/>
              </w:rPr>
              <w:fldChar w:fldCharType="separate"/>
            </w:r>
            <w:r w:rsidR="004240AA">
              <w:rPr>
                <w:noProof/>
                <w:webHidden/>
              </w:rPr>
              <w:t>14</w:t>
            </w:r>
            <w:r w:rsidR="00E833DA">
              <w:rPr>
                <w:noProof/>
                <w:webHidden/>
              </w:rPr>
              <w:fldChar w:fldCharType="end"/>
            </w:r>
          </w:hyperlink>
        </w:p>
        <w:p w14:paraId="40FF74F5" w14:textId="19A27B74" w:rsidR="00E833DA" w:rsidRDefault="00CC6B9C">
          <w:pPr>
            <w:pStyle w:val="TOC3"/>
            <w:tabs>
              <w:tab w:val="left" w:pos="1200"/>
              <w:tab w:val="right" w:leader="dot" w:pos="9016"/>
            </w:tabs>
            <w:rPr>
              <w:noProof/>
              <w:sz w:val="24"/>
              <w:szCs w:val="24"/>
              <w:lang w:val="en-US"/>
            </w:rPr>
          </w:pPr>
          <w:hyperlink w:anchor="_Toc509950634" w:history="1">
            <w:r w:rsidR="00E833DA" w:rsidRPr="00F473DC">
              <w:rPr>
                <w:rStyle w:val="Hyperlink"/>
                <w:noProof/>
              </w:rPr>
              <w:t>4.1.1.</w:t>
            </w:r>
            <w:r w:rsidR="00E833DA">
              <w:rPr>
                <w:noProof/>
                <w:sz w:val="24"/>
                <w:szCs w:val="24"/>
                <w:lang w:val="en-US"/>
              </w:rPr>
              <w:tab/>
            </w:r>
            <w:r w:rsidR="00E833DA" w:rsidRPr="00F473DC">
              <w:rPr>
                <w:rStyle w:val="Hyperlink"/>
                <w:noProof/>
              </w:rPr>
              <w:t>Effective collaboration with the intended end-user</w:t>
            </w:r>
            <w:r w:rsidR="00E833DA">
              <w:rPr>
                <w:noProof/>
                <w:webHidden/>
              </w:rPr>
              <w:tab/>
            </w:r>
            <w:r w:rsidR="00E833DA">
              <w:rPr>
                <w:noProof/>
                <w:webHidden/>
              </w:rPr>
              <w:fldChar w:fldCharType="begin"/>
            </w:r>
            <w:r w:rsidR="00E833DA">
              <w:rPr>
                <w:noProof/>
                <w:webHidden/>
              </w:rPr>
              <w:instrText xml:space="preserve"> PAGEREF _Toc509950634 \h </w:instrText>
            </w:r>
            <w:r w:rsidR="00E833DA">
              <w:rPr>
                <w:noProof/>
                <w:webHidden/>
              </w:rPr>
            </w:r>
            <w:r w:rsidR="00E833DA">
              <w:rPr>
                <w:noProof/>
                <w:webHidden/>
              </w:rPr>
              <w:fldChar w:fldCharType="separate"/>
            </w:r>
            <w:r w:rsidR="004240AA">
              <w:rPr>
                <w:noProof/>
                <w:webHidden/>
              </w:rPr>
              <w:t>16</w:t>
            </w:r>
            <w:r w:rsidR="00E833DA">
              <w:rPr>
                <w:noProof/>
                <w:webHidden/>
              </w:rPr>
              <w:fldChar w:fldCharType="end"/>
            </w:r>
          </w:hyperlink>
        </w:p>
        <w:p w14:paraId="2336C268" w14:textId="487D3CF5" w:rsidR="00E833DA" w:rsidRDefault="00CC6B9C">
          <w:pPr>
            <w:pStyle w:val="TOC3"/>
            <w:tabs>
              <w:tab w:val="left" w:pos="1200"/>
              <w:tab w:val="right" w:leader="dot" w:pos="9016"/>
            </w:tabs>
            <w:rPr>
              <w:noProof/>
              <w:sz w:val="24"/>
              <w:szCs w:val="24"/>
              <w:lang w:val="en-US"/>
            </w:rPr>
          </w:pPr>
          <w:hyperlink w:anchor="_Toc509950635" w:history="1">
            <w:r w:rsidR="00E833DA" w:rsidRPr="00F473DC">
              <w:rPr>
                <w:rStyle w:val="Hyperlink"/>
                <w:noProof/>
              </w:rPr>
              <w:t>4.1.2.</w:t>
            </w:r>
            <w:r w:rsidR="00E833DA">
              <w:rPr>
                <w:noProof/>
                <w:sz w:val="24"/>
                <w:szCs w:val="24"/>
                <w:lang w:val="en-US"/>
              </w:rPr>
              <w:tab/>
            </w:r>
            <w:r w:rsidR="00E833DA" w:rsidRPr="00F473DC">
              <w:rPr>
                <w:rStyle w:val="Hyperlink"/>
                <w:noProof/>
              </w:rPr>
              <w:t>Focus on generating ‘actionable’ knowledge</w:t>
            </w:r>
            <w:r w:rsidR="00E833DA">
              <w:rPr>
                <w:noProof/>
                <w:webHidden/>
              </w:rPr>
              <w:tab/>
            </w:r>
            <w:r w:rsidR="00E833DA">
              <w:rPr>
                <w:noProof/>
                <w:webHidden/>
              </w:rPr>
              <w:fldChar w:fldCharType="begin"/>
            </w:r>
            <w:r w:rsidR="00E833DA">
              <w:rPr>
                <w:noProof/>
                <w:webHidden/>
              </w:rPr>
              <w:instrText xml:space="preserve"> PAGEREF _Toc509950635 \h </w:instrText>
            </w:r>
            <w:r w:rsidR="00E833DA">
              <w:rPr>
                <w:noProof/>
                <w:webHidden/>
              </w:rPr>
            </w:r>
            <w:r w:rsidR="00E833DA">
              <w:rPr>
                <w:noProof/>
                <w:webHidden/>
              </w:rPr>
              <w:fldChar w:fldCharType="separate"/>
            </w:r>
            <w:r w:rsidR="004240AA">
              <w:rPr>
                <w:noProof/>
                <w:webHidden/>
              </w:rPr>
              <w:t>17</w:t>
            </w:r>
            <w:r w:rsidR="00E833DA">
              <w:rPr>
                <w:noProof/>
                <w:webHidden/>
              </w:rPr>
              <w:fldChar w:fldCharType="end"/>
            </w:r>
          </w:hyperlink>
        </w:p>
        <w:p w14:paraId="06CCDCBD" w14:textId="78FE155B" w:rsidR="00E833DA" w:rsidRDefault="00CC6B9C">
          <w:pPr>
            <w:pStyle w:val="TOC3"/>
            <w:tabs>
              <w:tab w:val="left" w:pos="1200"/>
              <w:tab w:val="right" w:leader="dot" w:pos="9016"/>
            </w:tabs>
            <w:rPr>
              <w:noProof/>
              <w:sz w:val="24"/>
              <w:szCs w:val="24"/>
              <w:lang w:val="en-US"/>
            </w:rPr>
          </w:pPr>
          <w:hyperlink w:anchor="_Toc509950636" w:history="1">
            <w:r w:rsidR="00E833DA" w:rsidRPr="00F473DC">
              <w:rPr>
                <w:rStyle w:val="Hyperlink"/>
                <w:noProof/>
              </w:rPr>
              <w:t>4.1.3.</w:t>
            </w:r>
            <w:r w:rsidR="00E833DA">
              <w:rPr>
                <w:noProof/>
                <w:sz w:val="24"/>
                <w:szCs w:val="24"/>
                <w:lang w:val="en-US"/>
              </w:rPr>
              <w:tab/>
            </w:r>
            <w:r w:rsidR="00E833DA" w:rsidRPr="00F473DC">
              <w:rPr>
                <w:rStyle w:val="Hyperlink"/>
                <w:noProof/>
              </w:rPr>
              <w:t>Development of guidelines</w:t>
            </w:r>
            <w:r w:rsidR="00E833DA">
              <w:rPr>
                <w:noProof/>
                <w:webHidden/>
              </w:rPr>
              <w:tab/>
            </w:r>
            <w:r w:rsidR="00E833DA">
              <w:rPr>
                <w:noProof/>
                <w:webHidden/>
              </w:rPr>
              <w:fldChar w:fldCharType="begin"/>
            </w:r>
            <w:r w:rsidR="00E833DA">
              <w:rPr>
                <w:noProof/>
                <w:webHidden/>
              </w:rPr>
              <w:instrText xml:space="preserve"> PAGEREF _Toc509950636 \h </w:instrText>
            </w:r>
            <w:r w:rsidR="00E833DA">
              <w:rPr>
                <w:noProof/>
                <w:webHidden/>
              </w:rPr>
            </w:r>
            <w:r w:rsidR="00E833DA">
              <w:rPr>
                <w:noProof/>
                <w:webHidden/>
              </w:rPr>
              <w:fldChar w:fldCharType="separate"/>
            </w:r>
            <w:r w:rsidR="004240AA">
              <w:rPr>
                <w:noProof/>
                <w:webHidden/>
              </w:rPr>
              <w:t>17</w:t>
            </w:r>
            <w:r w:rsidR="00E833DA">
              <w:rPr>
                <w:noProof/>
                <w:webHidden/>
              </w:rPr>
              <w:fldChar w:fldCharType="end"/>
            </w:r>
          </w:hyperlink>
        </w:p>
        <w:p w14:paraId="7C3CE0AD" w14:textId="2796B46E" w:rsidR="00E833DA" w:rsidRDefault="00CC6B9C">
          <w:pPr>
            <w:pStyle w:val="TOC2"/>
            <w:tabs>
              <w:tab w:val="left" w:pos="800"/>
              <w:tab w:val="right" w:leader="dot" w:pos="9016"/>
            </w:tabs>
            <w:rPr>
              <w:b w:val="0"/>
              <w:bCs w:val="0"/>
              <w:noProof/>
              <w:sz w:val="24"/>
              <w:szCs w:val="24"/>
              <w:lang w:val="en-US"/>
            </w:rPr>
          </w:pPr>
          <w:hyperlink w:anchor="_Toc509950637" w:history="1">
            <w:r w:rsidR="00E833DA" w:rsidRPr="00F473DC">
              <w:rPr>
                <w:rStyle w:val="Hyperlink"/>
                <w:noProof/>
              </w:rPr>
              <w:t>4.2.</w:t>
            </w:r>
            <w:r w:rsidR="00E833DA">
              <w:rPr>
                <w:b w:val="0"/>
                <w:bCs w:val="0"/>
                <w:noProof/>
                <w:sz w:val="24"/>
                <w:szCs w:val="24"/>
                <w:lang w:val="en-US"/>
              </w:rPr>
              <w:tab/>
            </w:r>
            <w:r w:rsidR="00E833DA" w:rsidRPr="00F473DC">
              <w:rPr>
                <w:rStyle w:val="Hyperlink"/>
                <w:noProof/>
              </w:rPr>
              <w:t>Function 2: Synthesising evidence</w:t>
            </w:r>
            <w:r w:rsidR="00E833DA">
              <w:rPr>
                <w:noProof/>
                <w:webHidden/>
              </w:rPr>
              <w:tab/>
            </w:r>
            <w:r w:rsidR="00E833DA">
              <w:rPr>
                <w:noProof/>
                <w:webHidden/>
              </w:rPr>
              <w:fldChar w:fldCharType="begin"/>
            </w:r>
            <w:r w:rsidR="00E833DA">
              <w:rPr>
                <w:noProof/>
                <w:webHidden/>
              </w:rPr>
              <w:instrText xml:space="preserve"> PAGEREF _Toc509950637 \h </w:instrText>
            </w:r>
            <w:r w:rsidR="00E833DA">
              <w:rPr>
                <w:noProof/>
                <w:webHidden/>
              </w:rPr>
            </w:r>
            <w:r w:rsidR="00E833DA">
              <w:rPr>
                <w:noProof/>
                <w:webHidden/>
              </w:rPr>
              <w:fldChar w:fldCharType="separate"/>
            </w:r>
            <w:r w:rsidR="004240AA">
              <w:rPr>
                <w:noProof/>
                <w:webHidden/>
              </w:rPr>
              <w:t>18</w:t>
            </w:r>
            <w:r w:rsidR="00E833DA">
              <w:rPr>
                <w:noProof/>
                <w:webHidden/>
              </w:rPr>
              <w:fldChar w:fldCharType="end"/>
            </w:r>
          </w:hyperlink>
        </w:p>
        <w:p w14:paraId="46843885" w14:textId="731065FF" w:rsidR="00E833DA" w:rsidRDefault="00CC6B9C">
          <w:pPr>
            <w:pStyle w:val="TOC3"/>
            <w:tabs>
              <w:tab w:val="left" w:pos="1200"/>
              <w:tab w:val="right" w:leader="dot" w:pos="9016"/>
            </w:tabs>
            <w:rPr>
              <w:noProof/>
              <w:sz w:val="24"/>
              <w:szCs w:val="24"/>
              <w:lang w:val="en-US"/>
            </w:rPr>
          </w:pPr>
          <w:hyperlink w:anchor="_Toc509950638" w:history="1">
            <w:r w:rsidR="00E833DA" w:rsidRPr="00F473DC">
              <w:rPr>
                <w:rStyle w:val="Hyperlink"/>
                <w:noProof/>
              </w:rPr>
              <w:t>4.2.1.</w:t>
            </w:r>
            <w:r w:rsidR="00E833DA">
              <w:rPr>
                <w:noProof/>
                <w:sz w:val="24"/>
                <w:szCs w:val="24"/>
                <w:lang w:val="en-US"/>
              </w:rPr>
              <w:tab/>
            </w:r>
            <w:r w:rsidR="00E833DA" w:rsidRPr="00F473DC">
              <w:rPr>
                <w:rStyle w:val="Hyperlink"/>
                <w:noProof/>
              </w:rPr>
              <w:t>Defining quality evidence and Methods for Scaling</w:t>
            </w:r>
            <w:r w:rsidR="00E833DA">
              <w:rPr>
                <w:noProof/>
                <w:webHidden/>
              </w:rPr>
              <w:tab/>
            </w:r>
            <w:r w:rsidR="00E833DA">
              <w:rPr>
                <w:noProof/>
                <w:webHidden/>
              </w:rPr>
              <w:fldChar w:fldCharType="begin"/>
            </w:r>
            <w:r w:rsidR="00E833DA">
              <w:rPr>
                <w:noProof/>
                <w:webHidden/>
              </w:rPr>
              <w:instrText xml:space="preserve"> PAGEREF _Toc509950638 \h </w:instrText>
            </w:r>
            <w:r w:rsidR="00E833DA">
              <w:rPr>
                <w:noProof/>
                <w:webHidden/>
              </w:rPr>
            </w:r>
            <w:r w:rsidR="00E833DA">
              <w:rPr>
                <w:noProof/>
                <w:webHidden/>
              </w:rPr>
              <w:fldChar w:fldCharType="separate"/>
            </w:r>
            <w:r w:rsidR="004240AA">
              <w:rPr>
                <w:noProof/>
                <w:webHidden/>
              </w:rPr>
              <w:t>18</w:t>
            </w:r>
            <w:r w:rsidR="00E833DA">
              <w:rPr>
                <w:noProof/>
                <w:webHidden/>
              </w:rPr>
              <w:fldChar w:fldCharType="end"/>
            </w:r>
          </w:hyperlink>
        </w:p>
        <w:p w14:paraId="597920E7" w14:textId="626769DB" w:rsidR="00E833DA" w:rsidRDefault="00CC6B9C">
          <w:pPr>
            <w:pStyle w:val="TOC3"/>
            <w:tabs>
              <w:tab w:val="left" w:pos="1200"/>
              <w:tab w:val="right" w:leader="dot" w:pos="9016"/>
            </w:tabs>
            <w:rPr>
              <w:noProof/>
              <w:sz w:val="24"/>
              <w:szCs w:val="24"/>
              <w:lang w:val="en-US"/>
            </w:rPr>
          </w:pPr>
          <w:hyperlink w:anchor="_Toc509950639" w:history="1">
            <w:r w:rsidR="00E833DA" w:rsidRPr="00F473DC">
              <w:rPr>
                <w:rStyle w:val="Hyperlink"/>
                <w:noProof/>
              </w:rPr>
              <w:t>4.2.2.</w:t>
            </w:r>
            <w:r w:rsidR="00E833DA">
              <w:rPr>
                <w:noProof/>
                <w:sz w:val="24"/>
                <w:szCs w:val="24"/>
                <w:lang w:val="en-US"/>
              </w:rPr>
              <w:tab/>
            </w:r>
            <w:r w:rsidR="00E833DA" w:rsidRPr="00F473DC">
              <w:rPr>
                <w:rStyle w:val="Hyperlink"/>
                <w:noProof/>
              </w:rPr>
              <w:t>Scale</w:t>
            </w:r>
            <w:r w:rsidR="00E833DA">
              <w:rPr>
                <w:noProof/>
                <w:webHidden/>
              </w:rPr>
              <w:tab/>
            </w:r>
            <w:r w:rsidR="00E833DA">
              <w:rPr>
                <w:noProof/>
                <w:webHidden/>
              </w:rPr>
              <w:fldChar w:fldCharType="begin"/>
            </w:r>
            <w:r w:rsidR="00E833DA">
              <w:rPr>
                <w:noProof/>
                <w:webHidden/>
              </w:rPr>
              <w:instrText xml:space="preserve"> PAGEREF _Toc509950639 \h </w:instrText>
            </w:r>
            <w:r w:rsidR="00E833DA">
              <w:rPr>
                <w:noProof/>
                <w:webHidden/>
              </w:rPr>
            </w:r>
            <w:r w:rsidR="00E833DA">
              <w:rPr>
                <w:noProof/>
                <w:webHidden/>
              </w:rPr>
              <w:fldChar w:fldCharType="separate"/>
            </w:r>
            <w:r w:rsidR="004240AA">
              <w:rPr>
                <w:noProof/>
                <w:webHidden/>
              </w:rPr>
              <w:t>19</w:t>
            </w:r>
            <w:r w:rsidR="00E833DA">
              <w:rPr>
                <w:noProof/>
                <w:webHidden/>
              </w:rPr>
              <w:fldChar w:fldCharType="end"/>
            </w:r>
          </w:hyperlink>
        </w:p>
        <w:p w14:paraId="17447731" w14:textId="37A8A9C0" w:rsidR="00E833DA" w:rsidRDefault="00CC6B9C">
          <w:pPr>
            <w:pStyle w:val="TOC3"/>
            <w:tabs>
              <w:tab w:val="left" w:pos="1200"/>
              <w:tab w:val="right" w:leader="dot" w:pos="9016"/>
            </w:tabs>
            <w:rPr>
              <w:noProof/>
              <w:sz w:val="24"/>
              <w:szCs w:val="24"/>
              <w:lang w:val="en-US"/>
            </w:rPr>
          </w:pPr>
          <w:hyperlink w:anchor="_Toc509950641" w:history="1">
            <w:r w:rsidR="00E833DA" w:rsidRPr="00F473DC">
              <w:rPr>
                <w:rStyle w:val="Hyperlink"/>
                <w:noProof/>
              </w:rPr>
              <w:t>4.2.3.</w:t>
            </w:r>
            <w:r w:rsidR="00E833DA">
              <w:rPr>
                <w:noProof/>
                <w:sz w:val="24"/>
                <w:szCs w:val="24"/>
                <w:lang w:val="en-US"/>
              </w:rPr>
              <w:tab/>
            </w:r>
            <w:r w:rsidR="00E833DA" w:rsidRPr="00F473DC">
              <w:rPr>
                <w:rStyle w:val="Hyperlink"/>
                <w:noProof/>
              </w:rPr>
              <w:t>Nature of the evidence base</w:t>
            </w:r>
            <w:r w:rsidR="00E833DA">
              <w:rPr>
                <w:noProof/>
                <w:webHidden/>
              </w:rPr>
              <w:tab/>
            </w:r>
            <w:r w:rsidR="00E833DA">
              <w:rPr>
                <w:noProof/>
                <w:webHidden/>
              </w:rPr>
              <w:fldChar w:fldCharType="begin"/>
            </w:r>
            <w:r w:rsidR="00E833DA">
              <w:rPr>
                <w:noProof/>
                <w:webHidden/>
              </w:rPr>
              <w:instrText xml:space="preserve"> PAGEREF _Toc509950641 \h </w:instrText>
            </w:r>
            <w:r w:rsidR="00E833DA">
              <w:rPr>
                <w:noProof/>
                <w:webHidden/>
              </w:rPr>
            </w:r>
            <w:r w:rsidR="00E833DA">
              <w:rPr>
                <w:noProof/>
                <w:webHidden/>
              </w:rPr>
              <w:fldChar w:fldCharType="separate"/>
            </w:r>
            <w:r w:rsidR="004240AA">
              <w:rPr>
                <w:noProof/>
                <w:webHidden/>
              </w:rPr>
              <w:t>22</w:t>
            </w:r>
            <w:r w:rsidR="00E833DA">
              <w:rPr>
                <w:noProof/>
                <w:webHidden/>
              </w:rPr>
              <w:fldChar w:fldCharType="end"/>
            </w:r>
          </w:hyperlink>
        </w:p>
        <w:p w14:paraId="389D3E69" w14:textId="73BAE14C" w:rsidR="00E833DA" w:rsidRDefault="00CC6B9C">
          <w:pPr>
            <w:pStyle w:val="TOC3"/>
            <w:tabs>
              <w:tab w:val="left" w:pos="1200"/>
              <w:tab w:val="right" w:leader="dot" w:pos="9016"/>
            </w:tabs>
            <w:rPr>
              <w:noProof/>
              <w:sz w:val="24"/>
              <w:szCs w:val="24"/>
              <w:lang w:val="en-US"/>
            </w:rPr>
          </w:pPr>
          <w:hyperlink w:anchor="_Toc509950642" w:history="1">
            <w:r w:rsidR="00E833DA" w:rsidRPr="00F473DC">
              <w:rPr>
                <w:rStyle w:val="Hyperlink"/>
                <w:noProof/>
              </w:rPr>
              <w:t>4.2.4.</w:t>
            </w:r>
            <w:r w:rsidR="00E833DA">
              <w:rPr>
                <w:noProof/>
                <w:sz w:val="24"/>
                <w:szCs w:val="24"/>
                <w:lang w:val="en-US"/>
              </w:rPr>
              <w:tab/>
            </w:r>
            <w:r w:rsidR="00E833DA" w:rsidRPr="00F473DC">
              <w:rPr>
                <w:rStyle w:val="Hyperlink"/>
                <w:noProof/>
              </w:rPr>
              <w:t>Approaches to assessing the quality of evidence that support evidence-informed practice/policy</w:t>
            </w:r>
            <w:r w:rsidR="00E833DA">
              <w:rPr>
                <w:noProof/>
                <w:webHidden/>
              </w:rPr>
              <w:tab/>
            </w:r>
            <w:r w:rsidR="00E833DA">
              <w:rPr>
                <w:noProof/>
                <w:webHidden/>
              </w:rPr>
              <w:fldChar w:fldCharType="begin"/>
            </w:r>
            <w:r w:rsidR="00E833DA">
              <w:rPr>
                <w:noProof/>
                <w:webHidden/>
              </w:rPr>
              <w:instrText xml:space="preserve"> PAGEREF _Toc509950642 \h </w:instrText>
            </w:r>
            <w:r w:rsidR="00E833DA">
              <w:rPr>
                <w:noProof/>
                <w:webHidden/>
              </w:rPr>
            </w:r>
            <w:r w:rsidR="00E833DA">
              <w:rPr>
                <w:noProof/>
                <w:webHidden/>
              </w:rPr>
              <w:fldChar w:fldCharType="separate"/>
            </w:r>
            <w:r w:rsidR="004240AA">
              <w:rPr>
                <w:noProof/>
                <w:webHidden/>
              </w:rPr>
              <w:t>23</w:t>
            </w:r>
            <w:r w:rsidR="00E833DA">
              <w:rPr>
                <w:noProof/>
                <w:webHidden/>
              </w:rPr>
              <w:fldChar w:fldCharType="end"/>
            </w:r>
          </w:hyperlink>
        </w:p>
        <w:p w14:paraId="0370110C" w14:textId="421C70BA" w:rsidR="00E833DA" w:rsidRDefault="00CC6B9C">
          <w:pPr>
            <w:pStyle w:val="TOC3"/>
            <w:tabs>
              <w:tab w:val="left" w:pos="1200"/>
              <w:tab w:val="right" w:leader="dot" w:pos="9016"/>
            </w:tabs>
            <w:rPr>
              <w:noProof/>
              <w:sz w:val="24"/>
              <w:szCs w:val="24"/>
              <w:lang w:val="en-US"/>
            </w:rPr>
          </w:pPr>
          <w:hyperlink w:anchor="_Toc509950643" w:history="1">
            <w:r w:rsidR="00E833DA" w:rsidRPr="00F473DC">
              <w:rPr>
                <w:rStyle w:val="Hyperlink"/>
                <w:noProof/>
              </w:rPr>
              <w:t>4.2.5.</w:t>
            </w:r>
            <w:r w:rsidR="00E833DA">
              <w:rPr>
                <w:noProof/>
                <w:sz w:val="24"/>
                <w:szCs w:val="24"/>
                <w:lang w:val="en-US"/>
              </w:rPr>
              <w:tab/>
            </w:r>
            <w:r w:rsidR="00E833DA" w:rsidRPr="00F473DC">
              <w:rPr>
                <w:rStyle w:val="Hyperlink"/>
                <w:noProof/>
              </w:rPr>
              <w:t>‘Actionable’,‘implementable’ and relevant knowledge</w:t>
            </w:r>
            <w:r w:rsidR="00E833DA">
              <w:rPr>
                <w:noProof/>
                <w:webHidden/>
              </w:rPr>
              <w:tab/>
            </w:r>
            <w:r w:rsidR="00E833DA">
              <w:rPr>
                <w:noProof/>
                <w:webHidden/>
              </w:rPr>
              <w:fldChar w:fldCharType="begin"/>
            </w:r>
            <w:r w:rsidR="00E833DA">
              <w:rPr>
                <w:noProof/>
                <w:webHidden/>
              </w:rPr>
              <w:instrText xml:space="preserve"> PAGEREF _Toc509950643 \h </w:instrText>
            </w:r>
            <w:r w:rsidR="00E833DA">
              <w:rPr>
                <w:noProof/>
                <w:webHidden/>
              </w:rPr>
            </w:r>
            <w:r w:rsidR="00E833DA">
              <w:rPr>
                <w:noProof/>
                <w:webHidden/>
              </w:rPr>
              <w:fldChar w:fldCharType="separate"/>
            </w:r>
            <w:r w:rsidR="004240AA">
              <w:rPr>
                <w:noProof/>
                <w:webHidden/>
              </w:rPr>
              <w:t>24</w:t>
            </w:r>
            <w:r w:rsidR="00E833DA">
              <w:rPr>
                <w:noProof/>
                <w:webHidden/>
              </w:rPr>
              <w:fldChar w:fldCharType="end"/>
            </w:r>
          </w:hyperlink>
        </w:p>
        <w:p w14:paraId="7D4AB719" w14:textId="7B5ED2F1" w:rsidR="00E833DA" w:rsidRDefault="00CC6B9C">
          <w:pPr>
            <w:pStyle w:val="TOC3"/>
            <w:tabs>
              <w:tab w:val="left" w:pos="1200"/>
              <w:tab w:val="right" w:leader="dot" w:pos="9016"/>
            </w:tabs>
            <w:rPr>
              <w:noProof/>
              <w:sz w:val="24"/>
              <w:szCs w:val="24"/>
              <w:lang w:val="en-US"/>
            </w:rPr>
          </w:pPr>
          <w:hyperlink w:anchor="_Toc509950644" w:history="1">
            <w:r w:rsidR="00E833DA" w:rsidRPr="00F473DC">
              <w:rPr>
                <w:rStyle w:val="Hyperlink"/>
                <w:noProof/>
              </w:rPr>
              <w:t>4.2.6.</w:t>
            </w:r>
            <w:r w:rsidR="00E833DA">
              <w:rPr>
                <w:noProof/>
                <w:sz w:val="24"/>
                <w:szCs w:val="24"/>
                <w:lang w:val="en-US"/>
              </w:rPr>
              <w:tab/>
            </w:r>
            <w:r w:rsidR="00E833DA" w:rsidRPr="00F473DC">
              <w:rPr>
                <w:rStyle w:val="Hyperlink"/>
                <w:noProof/>
              </w:rPr>
              <w:t>Role of content experts and evidence and consensus statements from professional organisations</w:t>
            </w:r>
            <w:r w:rsidR="00E833DA">
              <w:rPr>
                <w:noProof/>
                <w:webHidden/>
              </w:rPr>
              <w:tab/>
            </w:r>
            <w:r w:rsidR="00E833DA">
              <w:rPr>
                <w:noProof/>
                <w:webHidden/>
              </w:rPr>
              <w:fldChar w:fldCharType="begin"/>
            </w:r>
            <w:r w:rsidR="00E833DA">
              <w:rPr>
                <w:noProof/>
                <w:webHidden/>
              </w:rPr>
              <w:instrText xml:space="preserve"> PAGEREF _Toc509950644 \h </w:instrText>
            </w:r>
            <w:r w:rsidR="00E833DA">
              <w:rPr>
                <w:noProof/>
                <w:webHidden/>
              </w:rPr>
            </w:r>
            <w:r w:rsidR="00E833DA">
              <w:rPr>
                <w:noProof/>
                <w:webHidden/>
              </w:rPr>
              <w:fldChar w:fldCharType="separate"/>
            </w:r>
            <w:r w:rsidR="004240AA">
              <w:rPr>
                <w:noProof/>
                <w:webHidden/>
              </w:rPr>
              <w:t>24</w:t>
            </w:r>
            <w:r w:rsidR="00E833DA">
              <w:rPr>
                <w:noProof/>
                <w:webHidden/>
              </w:rPr>
              <w:fldChar w:fldCharType="end"/>
            </w:r>
          </w:hyperlink>
        </w:p>
        <w:p w14:paraId="365F2DB3" w14:textId="53590273" w:rsidR="00E833DA" w:rsidRDefault="00CC6B9C">
          <w:pPr>
            <w:pStyle w:val="TOC2"/>
            <w:tabs>
              <w:tab w:val="left" w:pos="800"/>
              <w:tab w:val="right" w:leader="dot" w:pos="9016"/>
            </w:tabs>
            <w:rPr>
              <w:b w:val="0"/>
              <w:bCs w:val="0"/>
              <w:noProof/>
              <w:sz w:val="24"/>
              <w:szCs w:val="24"/>
              <w:lang w:val="en-US"/>
            </w:rPr>
          </w:pPr>
          <w:hyperlink w:anchor="_Toc509950645" w:history="1">
            <w:r w:rsidR="00E833DA" w:rsidRPr="00F473DC">
              <w:rPr>
                <w:rStyle w:val="Hyperlink"/>
                <w:noProof/>
              </w:rPr>
              <w:t>4.3.</w:t>
            </w:r>
            <w:r w:rsidR="00E833DA">
              <w:rPr>
                <w:b w:val="0"/>
                <w:bCs w:val="0"/>
                <w:noProof/>
                <w:sz w:val="24"/>
                <w:szCs w:val="24"/>
                <w:lang w:val="en-US"/>
              </w:rPr>
              <w:tab/>
            </w:r>
            <w:r w:rsidR="00E833DA" w:rsidRPr="00F473DC">
              <w:rPr>
                <w:rStyle w:val="Hyperlink"/>
                <w:noProof/>
              </w:rPr>
              <w:t>Function 3: Knowledge transfer, brokering and management</w:t>
            </w:r>
            <w:r w:rsidR="00E833DA">
              <w:rPr>
                <w:noProof/>
                <w:webHidden/>
              </w:rPr>
              <w:tab/>
            </w:r>
            <w:r w:rsidR="00E833DA">
              <w:rPr>
                <w:noProof/>
                <w:webHidden/>
              </w:rPr>
              <w:fldChar w:fldCharType="begin"/>
            </w:r>
            <w:r w:rsidR="00E833DA">
              <w:rPr>
                <w:noProof/>
                <w:webHidden/>
              </w:rPr>
              <w:instrText xml:space="preserve"> PAGEREF _Toc509950645 \h </w:instrText>
            </w:r>
            <w:r w:rsidR="00E833DA">
              <w:rPr>
                <w:noProof/>
                <w:webHidden/>
              </w:rPr>
            </w:r>
            <w:r w:rsidR="00E833DA">
              <w:rPr>
                <w:noProof/>
                <w:webHidden/>
              </w:rPr>
              <w:fldChar w:fldCharType="separate"/>
            </w:r>
            <w:r w:rsidR="004240AA">
              <w:rPr>
                <w:noProof/>
                <w:webHidden/>
              </w:rPr>
              <w:t>24</w:t>
            </w:r>
            <w:r w:rsidR="00E833DA">
              <w:rPr>
                <w:noProof/>
                <w:webHidden/>
              </w:rPr>
              <w:fldChar w:fldCharType="end"/>
            </w:r>
          </w:hyperlink>
        </w:p>
        <w:p w14:paraId="5FE5976E" w14:textId="0FFA442E" w:rsidR="00E833DA" w:rsidRDefault="00CC6B9C">
          <w:pPr>
            <w:pStyle w:val="TOC3"/>
            <w:tabs>
              <w:tab w:val="left" w:pos="1200"/>
              <w:tab w:val="right" w:leader="dot" w:pos="9016"/>
            </w:tabs>
            <w:rPr>
              <w:noProof/>
              <w:sz w:val="24"/>
              <w:szCs w:val="24"/>
              <w:lang w:val="en-US"/>
            </w:rPr>
          </w:pPr>
          <w:hyperlink w:anchor="_Toc509950647" w:history="1">
            <w:r w:rsidR="00E833DA" w:rsidRPr="00F473DC">
              <w:rPr>
                <w:rStyle w:val="Hyperlink"/>
                <w:noProof/>
              </w:rPr>
              <w:t>4.3.1.</w:t>
            </w:r>
            <w:r w:rsidR="00E833DA">
              <w:rPr>
                <w:noProof/>
                <w:sz w:val="24"/>
                <w:szCs w:val="24"/>
                <w:lang w:val="en-US"/>
              </w:rPr>
              <w:tab/>
            </w:r>
            <w:r w:rsidR="00E833DA" w:rsidRPr="00F473DC">
              <w:rPr>
                <w:rStyle w:val="Hyperlink"/>
                <w:noProof/>
              </w:rPr>
              <w:t>Approaches to knowledge translation</w:t>
            </w:r>
            <w:r w:rsidR="00E833DA">
              <w:rPr>
                <w:noProof/>
                <w:webHidden/>
              </w:rPr>
              <w:tab/>
            </w:r>
            <w:r w:rsidR="00E833DA">
              <w:rPr>
                <w:noProof/>
                <w:webHidden/>
              </w:rPr>
              <w:fldChar w:fldCharType="begin"/>
            </w:r>
            <w:r w:rsidR="00E833DA">
              <w:rPr>
                <w:noProof/>
                <w:webHidden/>
              </w:rPr>
              <w:instrText xml:space="preserve"> PAGEREF _Toc509950647 \h </w:instrText>
            </w:r>
            <w:r w:rsidR="00E833DA">
              <w:rPr>
                <w:noProof/>
                <w:webHidden/>
              </w:rPr>
            </w:r>
            <w:r w:rsidR="00E833DA">
              <w:rPr>
                <w:noProof/>
                <w:webHidden/>
              </w:rPr>
              <w:fldChar w:fldCharType="separate"/>
            </w:r>
            <w:r w:rsidR="004240AA">
              <w:rPr>
                <w:noProof/>
                <w:webHidden/>
              </w:rPr>
              <w:t>27</w:t>
            </w:r>
            <w:r w:rsidR="00E833DA">
              <w:rPr>
                <w:noProof/>
                <w:webHidden/>
              </w:rPr>
              <w:fldChar w:fldCharType="end"/>
            </w:r>
          </w:hyperlink>
        </w:p>
        <w:p w14:paraId="05EF2F01" w14:textId="659DDD4C" w:rsidR="00E833DA" w:rsidRDefault="00CC6B9C">
          <w:pPr>
            <w:pStyle w:val="TOC3"/>
            <w:tabs>
              <w:tab w:val="left" w:pos="1200"/>
              <w:tab w:val="right" w:leader="dot" w:pos="9016"/>
            </w:tabs>
            <w:rPr>
              <w:noProof/>
              <w:sz w:val="24"/>
              <w:szCs w:val="24"/>
              <w:lang w:val="en-US"/>
            </w:rPr>
          </w:pPr>
          <w:hyperlink w:anchor="_Toc509950648" w:history="1">
            <w:r w:rsidR="00E833DA" w:rsidRPr="00F473DC">
              <w:rPr>
                <w:rStyle w:val="Hyperlink"/>
                <w:noProof/>
              </w:rPr>
              <w:t>4.3.2.</w:t>
            </w:r>
            <w:r w:rsidR="00E833DA">
              <w:rPr>
                <w:noProof/>
                <w:sz w:val="24"/>
                <w:szCs w:val="24"/>
                <w:lang w:val="en-US"/>
              </w:rPr>
              <w:tab/>
            </w:r>
            <w:r w:rsidR="00E833DA" w:rsidRPr="00F473DC">
              <w:rPr>
                <w:rStyle w:val="Hyperlink"/>
                <w:noProof/>
              </w:rPr>
              <w:t>Role of knowledge brokers</w:t>
            </w:r>
            <w:r w:rsidR="00E833DA">
              <w:rPr>
                <w:noProof/>
                <w:webHidden/>
              </w:rPr>
              <w:tab/>
            </w:r>
            <w:r w:rsidR="00E833DA">
              <w:rPr>
                <w:noProof/>
                <w:webHidden/>
              </w:rPr>
              <w:fldChar w:fldCharType="begin"/>
            </w:r>
            <w:r w:rsidR="00E833DA">
              <w:rPr>
                <w:noProof/>
                <w:webHidden/>
              </w:rPr>
              <w:instrText xml:space="preserve"> PAGEREF _Toc509950648 \h </w:instrText>
            </w:r>
            <w:r w:rsidR="00E833DA">
              <w:rPr>
                <w:noProof/>
                <w:webHidden/>
              </w:rPr>
            </w:r>
            <w:r w:rsidR="00E833DA">
              <w:rPr>
                <w:noProof/>
                <w:webHidden/>
              </w:rPr>
              <w:fldChar w:fldCharType="separate"/>
            </w:r>
            <w:r w:rsidR="004240AA">
              <w:rPr>
                <w:noProof/>
                <w:webHidden/>
              </w:rPr>
              <w:t>27</w:t>
            </w:r>
            <w:r w:rsidR="00E833DA">
              <w:rPr>
                <w:noProof/>
                <w:webHidden/>
              </w:rPr>
              <w:fldChar w:fldCharType="end"/>
            </w:r>
          </w:hyperlink>
        </w:p>
        <w:p w14:paraId="43EAFD40" w14:textId="46DE9B60" w:rsidR="00E833DA" w:rsidRDefault="00CC6B9C">
          <w:pPr>
            <w:pStyle w:val="TOC3"/>
            <w:tabs>
              <w:tab w:val="left" w:pos="1200"/>
              <w:tab w:val="right" w:leader="dot" w:pos="9016"/>
            </w:tabs>
            <w:rPr>
              <w:noProof/>
              <w:sz w:val="24"/>
              <w:szCs w:val="24"/>
              <w:lang w:val="en-US"/>
            </w:rPr>
          </w:pPr>
          <w:hyperlink w:anchor="_Toc509950649" w:history="1">
            <w:r w:rsidR="00E833DA" w:rsidRPr="00F473DC">
              <w:rPr>
                <w:rStyle w:val="Hyperlink"/>
                <w:noProof/>
              </w:rPr>
              <w:t>4.3.3.</w:t>
            </w:r>
            <w:r w:rsidR="00E833DA">
              <w:rPr>
                <w:noProof/>
                <w:sz w:val="24"/>
                <w:szCs w:val="24"/>
                <w:lang w:val="en-US"/>
              </w:rPr>
              <w:tab/>
            </w:r>
            <w:r w:rsidR="00E833DA" w:rsidRPr="00F473DC">
              <w:rPr>
                <w:rStyle w:val="Hyperlink"/>
                <w:noProof/>
              </w:rPr>
              <w:t>Strategies for disseminating evidence-based knowledge and practices</w:t>
            </w:r>
            <w:r w:rsidR="00E833DA">
              <w:rPr>
                <w:noProof/>
                <w:webHidden/>
              </w:rPr>
              <w:tab/>
            </w:r>
            <w:r w:rsidR="00E833DA">
              <w:rPr>
                <w:noProof/>
                <w:webHidden/>
              </w:rPr>
              <w:fldChar w:fldCharType="begin"/>
            </w:r>
            <w:r w:rsidR="00E833DA">
              <w:rPr>
                <w:noProof/>
                <w:webHidden/>
              </w:rPr>
              <w:instrText xml:space="preserve"> PAGEREF _Toc509950649 \h </w:instrText>
            </w:r>
            <w:r w:rsidR="00E833DA">
              <w:rPr>
                <w:noProof/>
                <w:webHidden/>
              </w:rPr>
            </w:r>
            <w:r w:rsidR="00E833DA">
              <w:rPr>
                <w:noProof/>
                <w:webHidden/>
              </w:rPr>
              <w:fldChar w:fldCharType="separate"/>
            </w:r>
            <w:r w:rsidR="004240AA">
              <w:rPr>
                <w:noProof/>
                <w:webHidden/>
              </w:rPr>
              <w:t>28</w:t>
            </w:r>
            <w:r w:rsidR="00E833DA">
              <w:rPr>
                <w:noProof/>
                <w:webHidden/>
              </w:rPr>
              <w:fldChar w:fldCharType="end"/>
            </w:r>
          </w:hyperlink>
        </w:p>
        <w:p w14:paraId="29024975" w14:textId="233125E0" w:rsidR="00E833DA" w:rsidRDefault="00CC6B9C">
          <w:pPr>
            <w:pStyle w:val="TOC3"/>
            <w:tabs>
              <w:tab w:val="left" w:pos="1200"/>
              <w:tab w:val="right" w:leader="dot" w:pos="9016"/>
            </w:tabs>
            <w:rPr>
              <w:noProof/>
              <w:sz w:val="24"/>
              <w:szCs w:val="24"/>
              <w:lang w:val="en-US"/>
            </w:rPr>
          </w:pPr>
          <w:hyperlink w:anchor="_Toc509950650" w:history="1">
            <w:r w:rsidR="00E833DA" w:rsidRPr="00F473DC">
              <w:rPr>
                <w:rStyle w:val="Hyperlink"/>
                <w:noProof/>
              </w:rPr>
              <w:t>4.3.4.</w:t>
            </w:r>
            <w:r w:rsidR="00E833DA">
              <w:rPr>
                <w:noProof/>
                <w:sz w:val="24"/>
                <w:szCs w:val="24"/>
                <w:lang w:val="en-US"/>
              </w:rPr>
              <w:tab/>
            </w:r>
            <w:r w:rsidR="00E833DA" w:rsidRPr="00F473DC">
              <w:rPr>
                <w:rStyle w:val="Hyperlink"/>
                <w:noProof/>
              </w:rPr>
              <w:t>Dissemination routes</w:t>
            </w:r>
            <w:r w:rsidR="00E833DA">
              <w:rPr>
                <w:noProof/>
                <w:webHidden/>
              </w:rPr>
              <w:tab/>
            </w:r>
            <w:r w:rsidR="00E833DA">
              <w:rPr>
                <w:noProof/>
                <w:webHidden/>
              </w:rPr>
              <w:fldChar w:fldCharType="begin"/>
            </w:r>
            <w:r w:rsidR="00E833DA">
              <w:rPr>
                <w:noProof/>
                <w:webHidden/>
              </w:rPr>
              <w:instrText xml:space="preserve"> PAGEREF _Toc509950650 \h </w:instrText>
            </w:r>
            <w:r w:rsidR="00E833DA">
              <w:rPr>
                <w:noProof/>
                <w:webHidden/>
              </w:rPr>
            </w:r>
            <w:r w:rsidR="00E833DA">
              <w:rPr>
                <w:noProof/>
                <w:webHidden/>
              </w:rPr>
              <w:fldChar w:fldCharType="separate"/>
            </w:r>
            <w:r w:rsidR="004240AA">
              <w:rPr>
                <w:noProof/>
                <w:webHidden/>
              </w:rPr>
              <w:t>28</w:t>
            </w:r>
            <w:r w:rsidR="00E833DA">
              <w:rPr>
                <w:noProof/>
                <w:webHidden/>
              </w:rPr>
              <w:fldChar w:fldCharType="end"/>
            </w:r>
          </w:hyperlink>
        </w:p>
        <w:p w14:paraId="57C8D2BD" w14:textId="61BB52AC" w:rsidR="00E833DA" w:rsidRDefault="00CC6B9C">
          <w:pPr>
            <w:pStyle w:val="TOC3"/>
            <w:tabs>
              <w:tab w:val="left" w:pos="1200"/>
              <w:tab w:val="right" w:leader="dot" w:pos="9016"/>
            </w:tabs>
            <w:rPr>
              <w:noProof/>
              <w:sz w:val="24"/>
              <w:szCs w:val="24"/>
              <w:lang w:val="en-US"/>
            </w:rPr>
          </w:pPr>
          <w:hyperlink w:anchor="_Toc509950651" w:history="1">
            <w:r w:rsidR="00E833DA" w:rsidRPr="00F473DC">
              <w:rPr>
                <w:rStyle w:val="Hyperlink"/>
                <w:noProof/>
              </w:rPr>
              <w:t>4.3.5.</w:t>
            </w:r>
            <w:r w:rsidR="00E833DA">
              <w:rPr>
                <w:noProof/>
                <w:sz w:val="24"/>
                <w:szCs w:val="24"/>
                <w:lang w:val="en-US"/>
              </w:rPr>
              <w:tab/>
            </w:r>
            <w:r w:rsidR="00E833DA" w:rsidRPr="00F473DC">
              <w:rPr>
                <w:rStyle w:val="Hyperlink"/>
                <w:noProof/>
              </w:rPr>
              <w:t>Ongoing monitoring and evaluation of knowledge translation</w:t>
            </w:r>
            <w:r w:rsidR="00E833DA">
              <w:rPr>
                <w:noProof/>
                <w:webHidden/>
              </w:rPr>
              <w:tab/>
            </w:r>
            <w:r w:rsidR="00E833DA">
              <w:rPr>
                <w:noProof/>
                <w:webHidden/>
              </w:rPr>
              <w:fldChar w:fldCharType="begin"/>
            </w:r>
            <w:r w:rsidR="00E833DA">
              <w:rPr>
                <w:noProof/>
                <w:webHidden/>
              </w:rPr>
              <w:instrText xml:space="preserve"> PAGEREF _Toc509950651 \h </w:instrText>
            </w:r>
            <w:r w:rsidR="00E833DA">
              <w:rPr>
                <w:noProof/>
                <w:webHidden/>
              </w:rPr>
            </w:r>
            <w:r w:rsidR="00E833DA">
              <w:rPr>
                <w:noProof/>
                <w:webHidden/>
              </w:rPr>
              <w:fldChar w:fldCharType="separate"/>
            </w:r>
            <w:r w:rsidR="004240AA">
              <w:rPr>
                <w:noProof/>
                <w:webHidden/>
              </w:rPr>
              <w:t>29</w:t>
            </w:r>
            <w:r w:rsidR="00E833DA">
              <w:rPr>
                <w:noProof/>
                <w:webHidden/>
              </w:rPr>
              <w:fldChar w:fldCharType="end"/>
            </w:r>
          </w:hyperlink>
        </w:p>
        <w:p w14:paraId="4E497034" w14:textId="6A1FBC94" w:rsidR="00E833DA" w:rsidRDefault="00CC6B9C">
          <w:pPr>
            <w:pStyle w:val="TOC2"/>
            <w:tabs>
              <w:tab w:val="left" w:pos="800"/>
              <w:tab w:val="right" w:leader="dot" w:pos="9016"/>
            </w:tabs>
            <w:rPr>
              <w:b w:val="0"/>
              <w:bCs w:val="0"/>
              <w:noProof/>
              <w:sz w:val="24"/>
              <w:szCs w:val="24"/>
              <w:lang w:val="en-US"/>
            </w:rPr>
          </w:pPr>
          <w:hyperlink w:anchor="_Toc509950652" w:history="1">
            <w:r w:rsidR="00E833DA" w:rsidRPr="00F473DC">
              <w:rPr>
                <w:rStyle w:val="Hyperlink"/>
                <w:noProof/>
              </w:rPr>
              <w:t>4.4.</w:t>
            </w:r>
            <w:r w:rsidR="00E833DA">
              <w:rPr>
                <w:b w:val="0"/>
                <w:bCs w:val="0"/>
                <w:noProof/>
                <w:sz w:val="24"/>
                <w:szCs w:val="24"/>
                <w:lang w:val="en-US"/>
              </w:rPr>
              <w:tab/>
            </w:r>
            <w:r w:rsidR="00E833DA" w:rsidRPr="00F473DC">
              <w:rPr>
                <w:rStyle w:val="Hyperlink"/>
                <w:noProof/>
              </w:rPr>
              <w:t>Function 4: Utilisation</w:t>
            </w:r>
            <w:r w:rsidR="00E833DA">
              <w:rPr>
                <w:noProof/>
                <w:webHidden/>
              </w:rPr>
              <w:tab/>
            </w:r>
            <w:r w:rsidR="00E833DA">
              <w:rPr>
                <w:noProof/>
                <w:webHidden/>
              </w:rPr>
              <w:fldChar w:fldCharType="begin"/>
            </w:r>
            <w:r w:rsidR="00E833DA">
              <w:rPr>
                <w:noProof/>
                <w:webHidden/>
              </w:rPr>
              <w:instrText xml:space="preserve"> PAGEREF _Toc509950652 \h </w:instrText>
            </w:r>
            <w:r w:rsidR="00E833DA">
              <w:rPr>
                <w:noProof/>
                <w:webHidden/>
              </w:rPr>
            </w:r>
            <w:r w:rsidR="00E833DA">
              <w:rPr>
                <w:noProof/>
                <w:webHidden/>
              </w:rPr>
              <w:fldChar w:fldCharType="separate"/>
            </w:r>
            <w:r w:rsidR="004240AA">
              <w:rPr>
                <w:noProof/>
                <w:webHidden/>
              </w:rPr>
              <w:t>29</w:t>
            </w:r>
            <w:r w:rsidR="00E833DA">
              <w:rPr>
                <w:noProof/>
                <w:webHidden/>
              </w:rPr>
              <w:fldChar w:fldCharType="end"/>
            </w:r>
          </w:hyperlink>
        </w:p>
        <w:p w14:paraId="58A63B24" w14:textId="3435B294" w:rsidR="00E833DA" w:rsidRDefault="00CC6B9C">
          <w:pPr>
            <w:pStyle w:val="TOC3"/>
            <w:tabs>
              <w:tab w:val="left" w:pos="1200"/>
              <w:tab w:val="right" w:leader="dot" w:pos="9016"/>
            </w:tabs>
            <w:rPr>
              <w:noProof/>
              <w:sz w:val="24"/>
              <w:szCs w:val="24"/>
              <w:lang w:val="en-US"/>
            </w:rPr>
          </w:pPr>
          <w:hyperlink w:anchor="_Toc509950655" w:history="1">
            <w:r w:rsidR="00E833DA" w:rsidRPr="00F473DC">
              <w:rPr>
                <w:rStyle w:val="Hyperlink"/>
                <w:noProof/>
              </w:rPr>
              <w:t>4.4.1.</w:t>
            </w:r>
            <w:r w:rsidR="00E833DA">
              <w:rPr>
                <w:noProof/>
                <w:sz w:val="24"/>
                <w:szCs w:val="24"/>
                <w:lang w:val="en-US"/>
              </w:rPr>
              <w:tab/>
            </w:r>
            <w:r w:rsidR="00E833DA" w:rsidRPr="00F473DC">
              <w:rPr>
                <w:rStyle w:val="Hyperlink"/>
                <w:noProof/>
              </w:rPr>
              <w:t>Evidence-based and intentional design of infrastructure</w:t>
            </w:r>
            <w:r w:rsidR="00E833DA">
              <w:rPr>
                <w:noProof/>
                <w:webHidden/>
              </w:rPr>
              <w:tab/>
            </w:r>
            <w:r w:rsidR="00E833DA">
              <w:rPr>
                <w:noProof/>
                <w:webHidden/>
              </w:rPr>
              <w:fldChar w:fldCharType="begin"/>
            </w:r>
            <w:r w:rsidR="00E833DA">
              <w:rPr>
                <w:noProof/>
                <w:webHidden/>
              </w:rPr>
              <w:instrText xml:space="preserve"> PAGEREF _Toc509950655 \h </w:instrText>
            </w:r>
            <w:r w:rsidR="00E833DA">
              <w:rPr>
                <w:noProof/>
                <w:webHidden/>
              </w:rPr>
            </w:r>
            <w:r w:rsidR="00E833DA">
              <w:rPr>
                <w:noProof/>
                <w:webHidden/>
              </w:rPr>
              <w:fldChar w:fldCharType="separate"/>
            </w:r>
            <w:r w:rsidR="004240AA">
              <w:rPr>
                <w:noProof/>
                <w:webHidden/>
              </w:rPr>
              <w:t>31</w:t>
            </w:r>
            <w:r w:rsidR="00E833DA">
              <w:rPr>
                <w:noProof/>
                <w:webHidden/>
              </w:rPr>
              <w:fldChar w:fldCharType="end"/>
            </w:r>
          </w:hyperlink>
        </w:p>
        <w:p w14:paraId="7C37C212" w14:textId="178EFA9C" w:rsidR="00E833DA" w:rsidRDefault="00CC6B9C">
          <w:pPr>
            <w:pStyle w:val="TOC3"/>
            <w:tabs>
              <w:tab w:val="left" w:pos="1200"/>
              <w:tab w:val="right" w:leader="dot" w:pos="9016"/>
            </w:tabs>
            <w:rPr>
              <w:noProof/>
              <w:sz w:val="24"/>
              <w:szCs w:val="24"/>
              <w:lang w:val="en-US"/>
            </w:rPr>
          </w:pPr>
          <w:hyperlink w:anchor="_Toc509950656" w:history="1">
            <w:r w:rsidR="00E833DA" w:rsidRPr="00F473DC">
              <w:rPr>
                <w:rStyle w:val="Hyperlink"/>
                <w:noProof/>
              </w:rPr>
              <w:t>4.4.2.</w:t>
            </w:r>
            <w:r w:rsidR="00E833DA">
              <w:rPr>
                <w:noProof/>
                <w:sz w:val="24"/>
                <w:szCs w:val="24"/>
                <w:lang w:val="en-US"/>
              </w:rPr>
              <w:tab/>
            </w:r>
            <w:r w:rsidR="00E833DA" w:rsidRPr="00F473DC">
              <w:rPr>
                <w:rStyle w:val="Hyperlink"/>
                <w:noProof/>
              </w:rPr>
              <w:t>Feedback loops in utilisation infrastructure</w:t>
            </w:r>
            <w:r w:rsidR="00E833DA">
              <w:rPr>
                <w:noProof/>
                <w:webHidden/>
              </w:rPr>
              <w:tab/>
            </w:r>
            <w:r w:rsidR="00E833DA">
              <w:rPr>
                <w:noProof/>
                <w:webHidden/>
              </w:rPr>
              <w:fldChar w:fldCharType="begin"/>
            </w:r>
            <w:r w:rsidR="00E833DA">
              <w:rPr>
                <w:noProof/>
                <w:webHidden/>
              </w:rPr>
              <w:instrText xml:space="preserve"> PAGEREF _Toc509950656 \h </w:instrText>
            </w:r>
            <w:r w:rsidR="00E833DA">
              <w:rPr>
                <w:noProof/>
                <w:webHidden/>
              </w:rPr>
            </w:r>
            <w:r w:rsidR="00E833DA">
              <w:rPr>
                <w:noProof/>
                <w:webHidden/>
              </w:rPr>
              <w:fldChar w:fldCharType="separate"/>
            </w:r>
            <w:r w:rsidR="004240AA">
              <w:rPr>
                <w:noProof/>
                <w:webHidden/>
              </w:rPr>
              <w:t>32</w:t>
            </w:r>
            <w:r w:rsidR="00E833DA">
              <w:rPr>
                <w:noProof/>
                <w:webHidden/>
              </w:rPr>
              <w:fldChar w:fldCharType="end"/>
            </w:r>
          </w:hyperlink>
        </w:p>
        <w:p w14:paraId="021D1F42" w14:textId="658156E8" w:rsidR="00E833DA" w:rsidRDefault="00CC6B9C">
          <w:pPr>
            <w:pStyle w:val="TOC3"/>
            <w:tabs>
              <w:tab w:val="left" w:pos="1200"/>
              <w:tab w:val="right" w:leader="dot" w:pos="9016"/>
            </w:tabs>
            <w:rPr>
              <w:noProof/>
              <w:sz w:val="24"/>
              <w:szCs w:val="24"/>
              <w:lang w:val="en-US"/>
            </w:rPr>
          </w:pPr>
          <w:hyperlink w:anchor="_Toc509950657" w:history="1">
            <w:r w:rsidR="00E833DA" w:rsidRPr="00F473DC">
              <w:rPr>
                <w:rStyle w:val="Hyperlink"/>
                <w:noProof/>
              </w:rPr>
              <w:t>4.4.3.</w:t>
            </w:r>
            <w:r w:rsidR="00E833DA">
              <w:rPr>
                <w:noProof/>
                <w:sz w:val="24"/>
                <w:szCs w:val="24"/>
                <w:lang w:val="en-US"/>
              </w:rPr>
              <w:tab/>
            </w:r>
            <w:r w:rsidR="00E833DA" w:rsidRPr="00F473DC">
              <w:rPr>
                <w:rStyle w:val="Hyperlink"/>
                <w:noProof/>
              </w:rPr>
              <w:t>Sustained funding to enable forecasting</w:t>
            </w:r>
            <w:r w:rsidR="00E833DA">
              <w:rPr>
                <w:noProof/>
                <w:webHidden/>
              </w:rPr>
              <w:tab/>
            </w:r>
            <w:r w:rsidR="00E833DA">
              <w:rPr>
                <w:noProof/>
                <w:webHidden/>
              </w:rPr>
              <w:fldChar w:fldCharType="begin"/>
            </w:r>
            <w:r w:rsidR="00E833DA">
              <w:rPr>
                <w:noProof/>
                <w:webHidden/>
              </w:rPr>
              <w:instrText xml:space="preserve"> PAGEREF _Toc509950657 \h </w:instrText>
            </w:r>
            <w:r w:rsidR="00E833DA">
              <w:rPr>
                <w:noProof/>
                <w:webHidden/>
              </w:rPr>
            </w:r>
            <w:r w:rsidR="00E833DA">
              <w:rPr>
                <w:noProof/>
                <w:webHidden/>
              </w:rPr>
              <w:fldChar w:fldCharType="separate"/>
            </w:r>
            <w:r w:rsidR="004240AA">
              <w:rPr>
                <w:noProof/>
                <w:webHidden/>
              </w:rPr>
              <w:t>33</w:t>
            </w:r>
            <w:r w:rsidR="00E833DA">
              <w:rPr>
                <w:noProof/>
                <w:webHidden/>
              </w:rPr>
              <w:fldChar w:fldCharType="end"/>
            </w:r>
          </w:hyperlink>
        </w:p>
        <w:p w14:paraId="3244DE0D" w14:textId="68BC41D3" w:rsidR="00E833DA" w:rsidRDefault="00CC6B9C">
          <w:pPr>
            <w:pStyle w:val="TOC3"/>
            <w:tabs>
              <w:tab w:val="left" w:pos="1200"/>
              <w:tab w:val="right" w:leader="dot" w:pos="9016"/>
            </w:tabs>
            <w:rPr>
              <w:noProof/>
              <w:sz w:val="24"/>
              <w:szCs w:val="24"/>
              <w:lang w:val="en-US"/>
            </w:rPr>
          </w:pPr>
          <w:hyperlink w:anchor="_Toc509950658" w:history="1">
            <w:r w:rsidR="00E833DA" w:rsidRPr="00F473DC">
              <w:rPr>
                <w:rStyle w:val="Hyperlink"/>
                <w:noProof/>
              </w:rPr>
              <w:t>4.4.4.</w:t>
            </w:r>
            <w:r w:rsidR="00E833DA">
              <w:rPr>
                <w:noProof/>
                <w:sz w:val="24"/>
                <w:szCs w:val="24"/>
                <w:lang w:val="en-US"/>
              </w:rPr>
              <w:tab/>
            </w:r>
            <w:r w:rsidR="00E833DA" w:rsidRPr="00F473DC">
              <w:rPr>
                <w:rStyle w:val="Hyperlink"/>
                <w:noProof/>
              </w:rPr>
              <w:t>Quality knowledge management strategy</w:t>
            </w:r>
            <w:r w:rsidR="00E833DA">
              <w:rPr>
                <w:noProof/>
                <w:webHidden/>
              </w:rPr>
              <w:tab/>
            </w:r>
            <w:r w:rsidR="00E833DA">
              <w:rPr>
                <w:noProof/>
                <w:webHidden/>
              </w:rPr>
              <w:fldChar w:fldCharType="begin"/>
            </w:r>
            <w:r w:rsidR="00E833DA">
              <w:rPr>
                <w:noProof/>
                <w:webHidden/>
              </w:rPr>
              <w:instrText xml:space="preserve"> PAGEREF _Toc509950658 \h </w:instrText>
            </w:r>
            <w:r w:rsidR="00E833DA">
              <w:rPr>
                <w:noProof/>
                <w:webHidden/>
              </w:rPr>
            </w:r>
            <w:r w:rsidR="00E833DA">
              <w:rPr>
                <w:noProof/>
                <w:webHidden/>
              </w:rPr>
              <w:fldChar w:fldCharType="separate"/>
            </w:r>
            <w:r w:rsidR="004240AA">
              <w:rPr>
                <w:noProof/>
                <w:webHidden/>
              </w:rPr>
              <w:t>33</w:t>
            </w:r>
            <w:r w:rsidR="00E833DA">
              <w:rPr>
                <w:noProof/>
                <w:webHidden/>
              </w:rPr>
              <w:fldChar w:fldCharType="end"/>
            </w:r>
          </w:hyperlink>
        </w:p>
        <w:p w14:paraId="17075F9C" w14:textId="4DB1F41D" w:rsidR="00E833DA" w:rsidRDefault="00CC6B9C">
          <w:pPr>
            <w:pStyle w:val="TOC2"/>
            <w:tabs>
              <w:tab w:val="left" w:pos="800"/>
              <w:tab w:val="right" w:leader="dot" w:pos="9016"/>
            </w:tabs>
            <w:rPr>
              <w:b w:val="0"/>
              <w:bCs w:val="0"/>
              <w:noProof/>
              <w:sz w:val="24"/>
              <w:szCs w:val="24"/>
              <w:lang w:val="en-US"/>
            </w:rPr>
          </w:pPr>
          <w:hyperlink w:anchor="_Toc509950659" w:history="1">
            <w:r w:rsidR="00E833DA" w:rsidRPr="00F473DC">
              <w:rPr>
                <w:rStyle w:val="Hyperlink"/>
                <w:noProof/>
              </w:rPr>
              <w:t>4.5.</w:t>
            </w:r>
            <w:r w:rsidR="00E833DA">
              <w:rPr>
                <w:b w:val="0"/>
                <w:bCs w:val="0"/>
                <w:noProof/>
                <w:sz w:val="24"/>
                <w:szCs w:val="24"/>
                <w:lang w:val="en-US"/>
              </w:rPr>
              <w:tab/>
            </w:r>
            <w:r w:rsidR="00E833DA" w:rsidRPr="00F473DC">
              <w:rPr>
                <w:rStyle w:val="Hyperlink"/>
                <w:noProof/>
              </w:rPr>
              <w:t>Summary of rapid synthesis findings</w:t>
            </w:r>
            <w:r w:rsidR="00E833DA">
              <w:rPr>
                <w:noProof/>
                <w:webHidden/>
              </w:rPr>
              <w:tab/>
            </w:r>
            <w:r w:rsidR="00E833DA">
              <w:rPr>
                <w:noProof/>
                <w:webHidden/>
              </w:rPr>
              <w:fldChar w:fldCharType="begin"/>
            </w:r>
            <w:r w:rsidR="00E833DA">
              <w:rPr>
                <w:noProof/>
                <w:webHidden/>
              </w:rPr>
              <w:instrText xml:space="preserve"> PAGEREF _Toc509950659 \h </w:instrText>
            </w:r>
            <w:r w:rsidR="00E833DA">
              <w:rPr>
                <w:noProof/>
                <w:webHidden/>
              </w:rPr>
            </w:r>
            <w:r w:rsidR="00E833DA">
              <w:rPr>
                <w:noProof/>
                <w:webHidden/>
              </w:rPr>
              <w:fldChar w:fldCharType="separate"/>
            </w:r>
            <w:r w:rsidR="004240AA">
              <w:rPr>
                <w:noProof/>
                <w:webHidden/>
              </w:rPr>
              <w:t>34</w:t>
            </w:r>
            <w:r w:rsidR="00E833DA">
              <w:rPr>
                <w:noProof/>
                <w:webHidden/>
              </w:rPr>
              <w:fldChar w:fldCharType="end"/>
            </w:r>
          </w:hyperlink>
        </w:p>
        <w:p w14:paraId="3B8DA1E5" w14:textId="6C6669C0" w:rsidR="00E833DA" w:rsidRDefault="00CC6B9C">
          <w:pPr>
            <w:pStyle w:val="TOC2"/>
            <w:tabs>
              <w:tab w:val="left" w:pos="800"/>
              <w:tab w:val="right" w:leader="dot" w:pos="9016"/>
            </w:tabs>
            <w:rPr>
              <w:b w:val="0"/>
              <w:bCs w:val="0"/>
              <w:noProof/>
              <w:sz w:val="24"/>
              <w:szCs w:val="24"/>
              <w:lang w:val="en-US"/>
            </w:rPr>
          </w:pPr>
          <w:hyperlink w:anchor="_Toc509950661" w:history="1">
            <w:r w:rsidR="00E833DA" w:rsidRPr="00F473DC">
              <w:rPr>
                <w:rStyle w:val="Hyperlink"/>
                <w:noProof/>
              </w:rPr>
              <w:t>4.6.</w:t>
            </w:r>
            <w:r w:rsidR="00E833DA">
              <w:rPr>
                <w:b w:val="0"/>
                <w:bCs w:val="0"/>
                <w:noProof/>
                <w:sz w:val="24"/>
                <w:szCs w:val="24"/>
                <w:lang w:val="en-US"/>
              </w:rPr>
              <w:tab/>
            </w:r>
            <w:r w:rsidR="00E833DA" w:rsidRPr="00F473DC">
              <w:rPr>
                <w:rStyle w:val="Hyperlink"/>
                <w:noProof/>
              </w:rPr>
              <w:t>Limitations to the current evidence base</w:t>
            </w:r>
            <w:r w:rsidR="00E833DA">
              <w:rPr>
                <w:noProof/>
                <w:webHidden/>
              </w:rPr>
              <w:tab/>
            </w:r>
            <w:r w:rsidR="00E833DA">
              <w:rPr>
                <w:noProof/>
                <w:webHidden/>
              </w:rPr>
              <w:fldChar w:fldCharType="begin"/>
            </w:r>
            <w:r w:rsidR="00E833DA">
              <w:rPr>
                <w:noProof/>
                <w:webHidden/>
              </w:rPr>
              <w:instrText xml:space="preserve"> PAGEREF _Toc509950661 \h </w:instrText>
            </w:r>
            <w:r w:rsidR="00E833DA">
              <w:rPr>
                <w:noProof/>
                <w:webHidden/>
              </w:rPr>
            </w:r>
            <w:r w:rsidR="00E833DA">
              <w:rPr>
                <w:noProof/>
                <w:webHidden/>
              </w:rPr>
              <w:fldChar w:fldCharType="separate"/>
            </w:r>
            <w:r w:rsidR="004240AA">
              <w:rPr>
                <w:noProof/>
                <w:webHidden/>
              </w:rPr>
              <w:t>36</w:t>
            </w:r>
            <w:r w:rsidR="00E833DA">
              <w:rPr>
                <w:noProof/>
                <w:webHidden/>
              </w:rPr>
              <w:fldChar w:fldCharType="end"/>
            </w:r>
          </w:hyperlink>
        </w:p>
        <w:p w14:paraId="4388B18C" w14:textId="39B7B957" w:rsidR="00E833DA" w:rsidRDefault="00CC6B9C">
          <w:pPr>
            <w:pStyle w:val="TOC1"/>
            <w:tabs>
              <w:tab w:val="left" w:pos="600"/>
              <w:tab w:val="right" w:leader="dot" w:pos="9016"/>
            </w:tabs>
            <w:rPr>
              <w:b w:val="0"/>
              <w:bCs w:val="0"/>
              <w:noProof/>
              <w:lang w:val="en-US"/>
            </w:rPr>
          </w:pPr>
          <w:hyperlink w:anchor="_Toc509950662" w:history="1">
            <w:r w:rsidR="00E833DA" w:rsidRPr="00F473DC">
              <w:rPr>
                <w:rStyle w:val="Hyperlink"/>
                <w:noProof/>
              </w:rPr>
              <w:t>5.</w:t>
            </w:r>
            <w:r w:rsidR="00E833DA">
              <w:rPr>
                <w:b w:val="0"/>
                <w:bCs w:val="0"/>
                <w:noProof/>
                <w:lang w:val="en-US"/>
              </w:rPr>
              <w:tab/>
            </w:r>
            <w:r w:rsidR="00E833DA" w:rsidRPr="00F473DC">
              <w:rPr>
                <w:rStyle w:val="Hyperlink"/>
                <w:noProof/>
              </w:rPr>
              <w:t>Broader considerations for an educational institution in the Australian context</w:t>
            </w:r>
            <w:r w:rsidR="00E833DA">
              <w:rPr>
                <w:noProof/>
                <w:webHidden/>
              </w:rPr>
              <w:tab/>
            </w:r>
            <w:r w:rsidR="00E833DA">
              <w:rPr>
                <w:noProof/>
                <w:webHidden/>
              </w:rPr>
              <w:fldChar w:fldCharType="begin"/>
            </w:r>
            <w:r w:rsidR="00E833DA">
              <w:rPr>
                <w:noProof/>
                <w:webHidden/>
              </w:rPr>
              <w:instrText xml:space="preserve"> PAGEREF _Toc509950662 \h </w:instrText>
            </w:r>
            <w:r w:rsidR="00E833DA">
              <w:rPr>
                <w:noProof/>
                <w:webHidden/>
              </w:rPr>
            </w:r>
            <w:r w:rsidR="00E833DA">
              <w:rPr>
                <w:noProof/>
                <w:webHidden/>
              </w:rPr>
              <w:fldChar w:fldCharType="separate"/>
            </w:r>
            <w:r w:rsidR="004240AA">
              <w:rPr>
                <w:noProof/>
                <w:webHidden/>
              </w:rPr>
              <w:t>37</w:t>
            </w:r>
            <w:r w:rsidR="00E833DA">
              <w:rPr>
                <w:noProof/>
                <w:webHidden/>
              </w:rPr>
              <w:fldChar w:fldCharType="end"/>
            </w:r>
          </w:hyperlink>
        </w:p>
        <w:p w14:paraId="6E101C27" w14:textId="44971B69" w:rsidR="00E833DA" w:rsidRDefault="00CC6B9C">
          <w:pPr>
            <w:pStyle w:val="TOC3"/>
            <w:tabs>
              <w:tab w:val="right" w:leader="dot" w:pos="9016"/>
            </w:tabs>
            <w:rPr>
              <w:noProof/>
              <w:sz w:val="24"/>
              <w:szCs w:val="24"/>
              <w:lang w:val="en-US"/>
            </w:rPr>
          </w:pPr>
          <w:hyperlink w:anchor="_Toc509950663" w:history="1">
            <w:r w:rsidR="00E833DA" w:rsidRPr="00F473DC">
              <w:rPr>
                <w:rStyle w:val="Hyperlink"/>
                <w:noProof/>
              </w:rPr>
              <w:t>Governance</w:t>
            </w:r>
            <w:r w:rsidR="00E833DA">
              <w:rPr>
                <w:noProof/>
                <w:webHidden/>
              </w:rPr>
              <w:tab/>
            </w:r>
            <w:r w:rsidR="00E833DA">
              <w:rPr>
                <w:noProof/>
                <w:webHidden/>
              </w:rPr>
              <w:fldChar w:fldCharType="begin"/>
            </w:r>
            <w:r w:rsidR="00E833DA">
              <w:rPr>
                <w:noProof/>
                <w:webHidden/>
              </w:rPr>
              <w:instrText xml:space="preserve"> PAGEREF _Toc509950663 \h </w:instrText>
            </w:r>
            <w:r w:rsidR="00E833DA">
              <w:rPr>
                <w:noProof/>
                <w:webHidden/>
              </w:rPr>
            </w:r>
            <w:r w:rsidR="00E833DA">
              <w:rPr>
                <w:noProof/>
                <w:webHidden/>
              </w:rPr>
              <w:fldChar w:fldCharType="separate"/>
            </w:r>
            <w:r w:rsidR="004240AA">
              <w:rPr>
                <w:noProof/>
                <w:webHidden/>
              </w:rPr>
              <w:t>37</w:t>
            </w:r>
            <w:r w:rsidR="00E833DA">
              <w:rPr>
                <w:noProof/>
                <w:webHidden/>
              </w:rPr>
              <w:fldChar w:fldCharType="end"/>
            </w:r>
          </w:hyperlink>
        </w:p>
        <w:p w14:paraId="7B14EB44" w14:textId="3E7A296C" w:rsidR="00E833DA" w:rsidRDefault="00CC6B9C">
          <w:pPr>
            <w:pStyle w:val="TOC3"/>
            <w:tabs>
              <w:tab w:val="right" w:leader="dot" w:pos="9016"/>
            </w:tabs>
            <w:rPr>
              <w:noProof/>
              <w:sz w:val="24"/>
              <w:szCs w:val="24"/>
              <w:lang w:val="en-US"/>
            </w:rPr>
          </w:pPr>
          <w:hyperlink w:anchor="_Toc509950664" w:history="1">
            <w:r w:rsidR="00E833DA" w:rsidRPr="00F473DC">
              <w:rPr>
                <w:rStyle w:val="Hyperlink"/>
                <w:noProof/>
              </w:rPr>
              <w:t>Federalism and the Australian education context</w:t>
            </w:r>
            <w:r w:rsidR="00E833DA">
              <w:rPr>
                <w:noProof/>
                <w:webHidden/>
              </w:rPr>
              <w:tab/>
            </w:r>
            <w:r w:rsidR="00E833DA">
              <w:rPr>
                <w:noProof/>
                <w:webHidden/>
              </w:rPr>
              <w:fldChar w:fldCharType="begin"/>
            </w:r>
            <w:r w:rsidR="00E833DA">
              <w:rPr>
                <w:noProof/>
                <w:webHidden/>
              </w:rPr>
              <w:instrText xml:space="preserve"> PAGEREF _Toc509950664 \h </w:instrText>
            </w:r>
            <w:r w:rsidR="00E833DA">
              <w:rPr>
                <w:noProof/>
                <w:webHidden/>
              </w:rPr>
            </w:r>
            <w:r w:rsidR="00E833DA">
              <w:rPr>
                <w:noProof/>
                <w:webHidden/>
              </w:rPr>
              <w:fldChar w:fldCharType="separate"/>
            </w:r>
            <w:r w:rsidR="004240AA">
              <w:rPr>
                <w:noProof/>
                <w:webHidden/>
              </w:rPr>
              <w:t>37</w:t>
            </w:r>
            <w:r w:rsidR="00E833DA">
              <w:rPr>
                <w:noProof/>
                <w:webHidden/>
              </w:rPr>
              <w:fldChar w:fldCharType="end"/>
            </w:r>
          </w:hyperlink>
        </w:p>
        <w:p w14:paraId="6C928D81" w14:textId="179FF1E8" w:rsidR="00E833DA" w:rsidRDefault="00CC6B9C">
          <w:pPr>
            <w:pStyle w:val="TOC3"/>
            <w:tabs>
              <w:tab w:val="right" w:leader="dot" w:pos="9016"/>
            </w:tabs>
            <w:rPr>
              <w:noProof/>
              <w:sz w:val="24"/>
              <w:szCs w:val="24"/>
              <w:lang w:val="en-US"/>
            </w:rPr>
          </w:pPr>
          <w:hyperlink w:anchor="_Toc509950665" w:history="1">
            <w:r w:rsidR="00E833DA" w:rsidRPr="00F473DC">
              <w:rPr>
                <w:rStyle w:val="Hyperlink"/>
                <w:noProof/>
              </w:rPr>
              <w:t>Existing system supports</w:t>
            </w:r>
            <w:r w:rsidR="00E833DA">
              <w:rPr>
                <w:noProof/>
                <w:webHidden/>
              </w:rPr>
              <w:tab/>
            </w:r>
            <w:r w:rsidR="00E833DA">
              <w:rPr>
                <w:noProof/>
                <w:webHidden/>
              </w:rPr>
              <w:fldChar w:fldCharType="begin"/>
            </w:r>
            <w:r w:rsidR="00E833DA">
              <w:rPr>
                <w:noProof/>
                <w:webHidden/>
              </w:rPr>
              <w:instrText xml:space="preserve"> PAGEREF _Toc509950665 \h </w:instrText>
            </w:r>
            <w:r w:rsidR="00E833DA">
              <w:rPr>
                <w:noProof/>
                <w:webHidden/>
              </w:rPr>
            </w:r>
            <w:r w:rsidR="00E833DA">
              <w:rPr>
                <w:noProof/>
                <w:webHidden/>
              </w:rPr>
              <w:fldChar w:fldCharType="separate"/>
            </w:r>
            <w:r w:rsidR="004240AA">
              <w:rPr>
                <w:noProof/>
                <w:webHidden/>
              </w:rPr>
              <w:t>38</w:t>
            </w:r>
            <w:r w:rsidR="00E833DA">
              <w:rPr>
                <w:noProof/>
                <w:webHidden/>
              </w:rPr>
              <w:fldChar w:fldCharType="end"/>
            </w:r>
          </w:hyperlink>
        </w:p>
        <w:p w14:paraId="66737579" w14:textId="79C6BECC" w:rsidR="00E833DA" w:rsidRDefault="00CC6B9C">
          <w:pPr>
            <w:pStyle w:val="TOC3"/>
            <w:tabs>
              <w:tab w:val="right" w:leader="dot" w:pos="9016"/>
            </w:tabs>
            <w:rPr>
              <w:noProof/>
              <w:sz w:val="24"/>
              <w:szCs w:val="24"/>
              <w:lang w:val="en-US"/>
            </w:rPr>
          </w:pPr>
          <w:hyperlink w:anchor="_Toc509950667" w:history="1">
            <w:r w:rsidR="00E833DA" w:rsidRPr="00F473DC">
              <w:rPr>
                <w:rStyle w:val="Hyperlink"/>
                <w:noProof/>
              </w:rPr>
              <w:t>Resourcing</w:t>
            </w:r>
            <w:r w:rsidR="00E833DA">
              <w:rPr>
                <w:noProof/>
                <w:webHidden/>
              </w:rPr>
              <w:tab/>
            </w:r>
            <w:r w:rsidR="00E833DA">
              <w:rPr>
                <w:noProof/>
                <w:webHidden/>
              </w:rPr>
              <w:fldChar w:fldCharType="begin"/>
            </w:r>
            <w:r w:rsidR="00E833DA">
              <w:rPr>
                <w:noProof/>
                <w:webHidden/>
              </w:rPr>
              <w:instrText xml:space="preserve"> PAGEREF _Toc509950667 \h </w:instrText>
            </w:r>
            <w:r w:rsidR="00E833DA">
              <w:rPr>
                <w:noProof/>
                <w:webHidden/>
              </w:rPr>
            </w:r>
            <w:r w:rsidR="00E833DA">
              <w:rPr>
                <w:noProof/>
                <w:webHidden/>
              </w:rPr>
              <w:fldChar w:fldCharType="separate"/>
            </w:r>
            <w:r w:rsidR="004240AA">
              <w:rPr>
                <w:noProof/>
                <w:webHidden/>
              </w:rPr>
              <w:t>40</w:t>
            </w:r>
            <w:r w:rsidR="00E833DA">
              <w:rPr>
                <w:noProof/>
                <w:webHidden/>
              </w:rPr>
              <w:fldChar w:fldCharType="end"/>
            </w:r>
          </w:hyperlink>
        </w:p>
        <w:p w14:paraId="378E596D" w14:textId="0A8E0AF4" w:rsidR="00E833DA" w:rsidRDefault="00CC6B9C">
          <w:pPr>
            <w:pStyle w:val="TOC3"/>
            <w:tabs>
              <w:tab w:val="right" w:leader="dot" w:pos="9016"/>
            </w:tabs>
            <w:rPr>
              <w:noProof/>
              <w:sz w:val="24"/>
              <w:szCs w:val="24"/>
              <w:lang w:val="en-US"/>
            </w:rPr>
          </w:pPr>
          <w:hyperlink w:anchor="_Toc509950670" w:history="1">
            <w:r w:rsidR="00E833DA" w:rsidRPr="00F473DC">
              <w:rPr>
                <w:rStyle w:val="Hyperlink"/>
                <w:noProof/>
              </w:rPr>
              <w:t>Funding informed by needs and targets</w:t>
            </w:r>
            <w:r w:rsidR="00E833DA">
              <w:rPr>
                <w:noProof/>
                <w:webHidden/>
              </w:rPr>
              <w:tab/>
            </w:r>
            <w:r w:rsidR="00E833DA">
              <w:rPr>
                <w:noProof/>
                <w:webHidden/>
              </w:rPr>
              <w:fldChar w:fldCharType="begin"/>
            </w:r>
            <w:r w:rsidR="00E833DA">
              <w:rPr>
                <w:noProof/>
                <w:webHidden/>
              </w:rPr>
              <w:instrText xml:space="preserve"> PAGEREF _Toc509950670 \h </w:instrText>
            </w:r>
            <w:r w:rsidR="00E833DA">
              <w:rPr>
                <w:noProof/>
                <w:webHidden/>
              </w:rPr>
            </w:r>
            <w:r w:rsidR="00E833DA">
              <w:rPr>
                <w:noProof/>
                <w:webHidden/>
              </w:rPr>
              <w:fldChar w:fldCharType="separate"/>
            </w:r>
            <w:r w:rsidR="004240AA">
              <w:rPr>
                <w:noProof/>
                <w:webHidden/>
              </w:rPr>
              <w:t>42</w:t>
            </w:r>
            <w:r w:rsidR="00E833DA">
              <w:rPr>
                <w:noProof/>
                <w:webHidden/>
              </w:rPr>
              <w:fldChar w:fldCharType="end"/>
            </w:r>
          </w:hyperlink>
        </w:p>
        <w:p w14:paraId="6B098B1A" w14:textId="66B51890" w:rsidR="00E833DA" w:rsidRDefault="00CC6B9C">
          <w:pPr>
            <w:pStyle w:val="TOC3"/>
            <w:tabs>
              <w:tab w:val="right" w:leader="dot" w:pos="9016"/>
            </w:tabs>
            <w:rPr>
              <w:noProof/>
              <w:sz w:val="24"/>
              <w:szCs w:val="24"/>
              <w:lang w:val="en-US"/>
            </w:rPr>
          </w:pPr>
          <w:hyperlink w:anchor="_Toc509950671" w:history="1">
            <w:r w:rsidR="00E833DA" w:rsidRPr="00F473DC">
              <w:rPr>
                <w:rStyle w:val="Hyperlink"/>
                <w:noProof/>
              </w:rPr>
              <w:t>Pricing models for Australian government organisations</w:t>
            </w:r>
            <w:r w:rsidR="00E833DA">
              <w:rPr>
                <w:noProof/>
                <w:webHidden/>
              </w:rPr>
              <w:tab/>
            </w:r>
            <w:r w:rsidR="00E833DA">
              <w:rPr>
                <w:noProof/>
                <w:webHidden/>
              </w:rPr>
              <w:fldChar w:fldCharType="begin"/>
            </w:r>
            <w:r w:rsidR="00E833DA">
              <w:rPr>
                <w:noProof/>
                <w:webHidden/>
              </w:rPr>
              <w:instrText xml:space="preserve"> PAGEREF _Toc509950671 \h </w:instrText>
            </w:r>
            <w:r w:rsidR="00E833DA">
              <w:rPr>
                <w:noProof/>
                <w:webHidden/>
              </w:rPr>
            </w:r>
            <w:r w:rsidR="00E833DA">
              <w:rPr>
                <w:noProof/>
                <w:webHidden/>
              </w:rPr>
              <w:fldChar w:fldCharType="separate"/>
            </w:r>
            <w:r w:rsidR="004240AA">
              <w:rPr>
                <w:noProof/>
                <w:webHidden/>
              </w:rPr>
              <w:t>42</w:t>
            </w:r>
            <w:r w:rsidR="00E833DA">
              <w:rPr>
                <w:noProof/>
                <w:webHidden/>
              </w:rPr>
              <w:fldChar w:fldCharType="end"/>
            </w:r>
          </w:hyperlink>
        </w:p>
        <w:p w14:paraId="3A639C4D" w14:textId="5526316E" w:rsidR="00E833DA" w:rsidRDefault="00CC6B9C" w:rsidP="00E833DA">
          <w:pPr>
            <w:pStyle w:val="TOC3"/>
            <w:tabs>
              <w:tab w:val="right" w:leader="dot" w:pos="9016"/>
            </w:tabs>
            <w:rPr>
              <w:b/>
              <w:bCs/>
              <w:noProof/>
              <w:lang w:val="en-US"/>
            </w:rPr>
          </w:pPr>
          <w:hyperlink w:anchor="_Toc509950676" w:history="1">
            <w:r w:rsidR="00E833DA" w:rsidRPr="00F473DC">
              <w:rPr>
                <w:rStyle w:val="Hyperlink"/>
                <w:noProof/>
              </w:rPr>
              <w:t>Financial performance monitoring and accountability</w:t>
            </w:r>
            <w:r w:rsidR="00E833DA">
              <w:rPr>
                <w:noProof/>
                <w:webHidden/>
              </w:rPr>
              <w:tab/>
            </w:r>
            <w:r w:rsidR="00E833DA">
              <w:rPr>
                <w:noProof/>
                <w:webHidden/>
              </w:rPr>
              <w:fldChar w:fldCharType="begin"/>
            </w:r>
            <w:r w:rsidR="00E833DA">
              <w:rPr>
                <w:noProof/>
                <w:webHidden/>
              </w:rPr>
              <w:instrText xml:space="preserve"> PAGEREF _Toc509950676 \h </w:instrText>
            </w:r>
            <w:r w:rsidR="00E833DA">
              <w:rPr>
                <w:noProof/>
                <w:webHidden/>
              </w:rPr>
            </w:r>
            <w:r w:rsidR="00E833DA">
              <w:rPr>
                <w:noProof/>
                <w:webHidden/>
              </w:rPr>
              <w:fldChar w:fldCharType="separate"/>
            </w:r>
            <w:r w:rsidR="004240AA">
              <w:rPr>
                <w:noProof/>
                <w:webHidden/>
              </w:rPr>
              <w:t>44</w:t>
            </w:r>
            <w:r w:rsidR="00E833DA">
              <w:rPr>
                <w:noProof/>
                <w:webHidden/>
              </w:rPr>
              <w:fldChar w:fldCharType="end"/>
            </w:r>
          </w:hyperlink>
        </w:p>
        <w:p w14:paraId="1A6FFBA9" w14:textId="6C167E95" w:rsidR="00E833DA" w:rsidRDefault="00CC6B9C">
          <w:pPr>
            <w:pStyle w:val="TOC3"/>
            <w:tabs>
              <w:tab w:val="right" w:leader="dot" w:pos="9016"/>
            </w:tabs>
            <w:rPr>
              <w:noProof/>
              <w:sz w:val="24"/>
              <w:szCs w:val="24"/>
              <w:lang w:val="en-US"/>
            </w:rPr>
          </w:pPr>
          <w:hyperlink w:anchor="_Toc509950678" w:history="1">
            <w:r w:rsidR="00E833DA" w:rsidRPr="00F473DC">
              <w:rPr>
                <w:rStyle w:val="Hyperlink"/>
                <w:noProof/>
              </w:rPr>
              <w:t>Potential estimates of cost</w:t>
            </w:r>
            <w:r w:rsidR="00E833DA">
              <w:rPr>
                <w:noProof/>
                <w:webHidden/>
              </w:rPr>
              <w:tab/>
            </w:r>
            <w:r w:rsidR="00E833DA">
              <w:rPr>
                <w:noProof/>
                <w:webHidden/>
              </w:rPr>
              <w:fldChar w:fldCharType="begin"/>
            </w:r>
            <w:r w:rsidR="00E833DA">
              <w:rPr>
                <w:noProof/>
                <w:webHidden/>
              </w:rPr>
              <w:instrText xml:space="preserve"> PAGEREF _Toc509950678 \h </w:instrText>
            </w:r>
            <w:r w:rsidR="00E833DA">
              <w:rPr>
                <w:noProof/>
                <w:webHidden/>
              </w:rPr>
            </w:r>
            <w:r w:rsidR="00E833DA">
              <w:rPr>
                <w:noProof/>
                <w:webHidden/>
              </w:rPr>
              <w:fldChar w:fldCharType="separate"/>
            </w:r>
            <w:r w:rsidR="004240AA">
              <w:rPr>
                <w:noProof/>
                <w:webHidden/>
              </w:rPr>
              <w:t>45</w:t>
            </w:r>
            <w:r w:rsidR="00E833DA">
              <w:rPr>
                <w:noProof/>
                <w:webHidden/>
              </w:rPr>
              <w:fldChar w:fldCharType="end"/>
            </w:r>
          </w:hyperlink>
        </w:p>
        <w:p w14:paraId="4FB04299" w14:textId="2C758A53" w:rsidR="00E833DA" w:rsidRDefault="00CC6B9C">
          <w:pPr>
            <w:pStyle w:val="TOC1"/>
            <w:tabs>
              <w:tab w:val="left" w:pos="600"/>
              <w:tab w:val="right" w:leader="dot" w:pos="9016"/>
            </w:tabs>
            <w:rPr>
              <w:b w:val="0"/>
              <w:bCs w:val="0"/>
              <w:noProof/>
              <w:lang w:val="en-US"/>
            </w:rPr>
          </w:pPr>
          <w:hyperlink w:anchor="_Toc509950680" w:history="1">
            <w:r w:rsidR="00E833DA" w:rsidRPr="00F473DC">
              <w:rPr>
                <w:rStyle w:val="Hyperlink"/>
                <w:noProof/>
              </w:rPr>
              <w:t>6.</w:t>
            </w:r>
            <w:r w:rsidR="00E833DA">
              <w:rPr>
                <w:b w:val="0"/>
                <w:bCs w:val="0"/>
                <w:noProof/>
                <w:lang w:val="en-US"/>
              </w:rPr>
              <w:tab/>
            </w:r>
            <w:r w:rsidR="00E833DA" w:rsidRPr="00F473DC">
              <w:rPr>
                <w:rStyle w:val="Hyperlink"/>
                <w:noProof/>
              </w:rPr>
              <w:t>Conclusions</w:t>
            </w:r>
            <w:r w:rsidR="00E833DA">
              <w:rPr>
                <w:noProof/>
                <w:webHidden/>
              </w:rPr>
              <w:tab/>
            </w:r>
            <w:r w:rsidR="00E833DA">
              <w:rPr>
                <w:noProof/>
                <w:webHidden/>
              </w:rPr>
              <w:fldChar w:fldCharType="begin"/>
            </w:r>
            <w:r w:rsidR="00E833DA">
              <w:rPr>
                <w:noProof/>
                <w:webHidden/>
              </w:rPr>
              <w:instrText xml:space="preserve"> PAGEREF _Toc509950680 \h </w:instrText>
            </w:r>
            <w:r w:rsidR="00E833DA">
              <w:rPr>
                <w:noProof/>
                <w:webHidden/>
              </w:rPr>
            </w:r>
            <w:r w:rsidR="00E833DA">
              <w:rPr>
                <w:noProof/>
                <w:webHidden/>
              </w:rPr>
              <w:fldChar w:fldCharType="separate"/>
            </w:r>
            <w:r w:rsidR="004240AA">
              <w:rPr>
                <w:noProof/>
                <w:webHidden/>
              </w:rPr>
              <w:t>47</w:t>
            </w:r>
            <w:r w:rsidR="00E833DA">
              <w:rPr>
                <w:noProof/>
                <w:webHidden/>
              </w:rPr>
              <w:fldChar w:fldCharType="end"/>
            </w:r>
          </w:hyperlink>
        </w:p>
        <w:p w14:paraId="37F7C41F" w14:textId="5794F5C4" w:rsidR="00E833DA" w:rsidRDefault="00CC6B9C">
          <w:pPr>
            <w:pStyle w:val="TOC1"/>
            <w:tabs>
              <w:tab w:val="left" w:pos="600"/>
              <w:tab w:val="right" w:leader="dot" w:pos="9016"/>
            </w:tabs>
            <w:rPr>
              <w:b w:val="0"/>
              <w:bCs w:val="0"/>
              <w:noProof/>
              <w:lang w:val="en-US"/>
            </w:rPr>
          </w:pPr>
          <w:hyperlink w:anchor="_Toc509950681" w:history="1">
            <w:r w:rsidR="00E833DA" w:rsidRPr="00F473DC">
              <w:rPr>
                <w:rStyle w:val="Hyperlink"/>
                <w:noProof/>
              </w:rPr>
              <w:t>7.</w:t>
            </w:r>
            <w:r w:rsidR="00E833DA">
              <w:rPr>
                <w:b w:val="0"/>
                <w:bCs w:val="0"/>
                <w:noProof/>
                <w:lang w:val="en-US"/>
              </w:rPr>
              <w:tab/>
            </w:r>
            <w:r w:rsidR="00E833DA" w:rsidRPr="00F473DC">
              <w:rPr>
                <w:rStyle w:val="Hyperlink"/>
                <w:noProof/>
              </w:rPr>
              <w:t>References</w:t>
            </w:r>
            <w:r w:rsidR="00E833DA">
              <w:rPr>
                <w:noProof/>
                <w:webHidden/>
              </w:rPr>
              <w:tab/>
            </w:r>
            <w:r w:rsidR="00E833DA">
              <w:rPr>
                <w:noProof/>
                <w:webHidden/>
              </w:rPr>
              <w:fldChar w:fldCharType="begin"/>
            </w:r>
            <w:r w:rsidR="00E833DA">
              <w:rPr>
                <w:noProof/>
                <w:webHidden/>
              </w:rPr>
              <w:instrText xml:space="preserve"> PAGEREF _Toc509950681 \h </w:instrText>
            </w:r>
            <w:r w:rsidR="00E833DA">
              <w:rPr>
                <w:noProof/>
                <w:webHidden/>
              </w:rPr>
            </w:r>
            <w:r w:rsidR="00E833DA">
              <w:rPr>
                <w:noProof/>
                <w:webHidden/>
              </w:rPr>
              <w:fldChar w:fldCharType="separate"/>
            </w:r>
            <w:r w:rsidR="004240AA">
              <w:rPr>
                <w:noProof/>
                <w:webHidden/>
              </w:rPr>
              <w:t>48</w:t>
            </w:r>
            <w:r w:rsidR="00E833DA">
              <w:rPr>
                <w:noProof/>
                <w:webHidden/>
              </w:rPr>
              <w:fldChar w:fldCharType="end"/>
            </w:r>
          </w:hyperlink>
        </w:p>
        <w:p w14:paraId="1EA30ABD" w14:textId="475156EA" w:rsidR="00E833DA" w:rsidRDefault="00CC6B9C">
          <w:pPr>
            <w:pStyle w:val="TOC1"/>
            <w:tabs>
              <w:tab w:val="left" w:pos="600"/>
              <w:tab w:val="right" w:leader="dot" w:pos="9016"/>
            </w:tabs>
            <w:rPr>
              <w:b w:val="0"/>
              <w:bCs w:val="0"/>
              <w:noProof/>
              <w:lang w:val="en-US"/>
            </w:rPr>
          </w:pPr>
          <w:hyperlink w:anchor="_Toc509950683" w:history="1">
            <w:r w:rsidR="00E833DA" w:rsidRPr="00F473DC">
              <w:rPr>
                <w:rStyle w:val="Hyperlink"/>
                <w:noProof/>
              </w:rPr>
              <w:t>8.</w:t>
            </w:r>
            <w:r w:rsidR="00E833DA">
              <w:rPr>
                <w:b w:val="0"/>
                <w:bCs w:val="0"/>
                <w:noProof/>
                <w:lang w:val="en-US"/>
              </w:rPr>
              <w:tab/>
            </w:r>
            <w:r w:rsidR="00E833DA" w:rsidRPr="00F473DC">
              <w:rPr>
                <w:rStyle w:val="Hyperlink"/>
                <w:noProof/>
              </w:rPr>
              <w:t>Reviewed references by topic</w:t>
            </w:r>
            <w:r w:rsidR="00E833DA">
              <w:rPr>
                <w:noProof/>
                <w:webHidden/>
              </w:rPr>
              <w:tab/>
            </w:r>
            <w:r w:rsidR="00E833DA">
              <w:rPr>
                <w:noProof/>
                <w:webHidden/>
              </w:rPr>
              <w:fldChar w:fldCharType="begin"/>
            </w:r>
            <w:r w:rsidR="00E833DA">
              <w:rPr>
                <w:noProof/>
                <w:webHidden/>
              </w:rPr>
              <w:instrText xml:space="preserve"> PAGEREF _Toc509950683 \h </w:instrText>
            </w:r>
            <w:r w:rsidR="00E833DA">
              <w:rPr>
                <w:noProof/>
                <w:webHidden/>
              </w:rPr>
            </w:r>
            <w:r w:rsidR="00E833DA">
              <w:rPr>
                <w:noProof/>
                <w:webHidden/>
              </w:rPr>
              <w:fldChar w:fldCharType="separate"/>
            </w:r>
            <w:r w:rsidR="004240AA">
              <w:rPr>
                <w:noProof/>
                <w:webHidden/>
              </w:rPr>
              <w:t>51</w:t>
            </w:r>
            <w:r w:rsidR="00E833DA">
              <w:rPr>
                <w:noProof/>
                <w:webHidden/>
              </w:rPr>
              <w:fldChar w:fldCharType="end"/>
            </w:r>
          </w:hyperlink>
        </w:p>
        <w:p w14:paraId="6FDFAA02" w14:textId="500A6337" w:rsidR="00E833DA" w:rsidRDefault="00CC6B9C">
          <w:pPr>
            <w:pStyle w:val="TOC2"/>
            <w:tabs>
              <w:tab w:val="left" w:pos="800"/>
              <w:tab w:val="right" w:leader="dot" w:pos="9016"/>
            </w:tabs>
            <w:rPr>
              <w:b w:val="0"/>
              <w:bCs w:val="0"/>
              <w:noProof/>
              <w:sz w:val="24"/>
              <w:szCs w:val="24"/>
              <w:lang w:val="en-US"/>
            </w:rPr>
          </w:pPr>
          <w:hyperlink w:anchor="_Toc509950684" w:history="1">
            <w:r w:rsidR="00E833DA" w:rsidRPr="00F473DC">
              <w:rPr>
                <w:rStyle w:val="Hyperlink"/>
                <w:noProof/>
              </w:rPr>
              <w:t>8.1.</w:t>
            </w:r>
            <w:r w:rsidR="00E833DA">
              <w:rPr>
                <w:b w:val="0"/>
                <w:bCs w:val="0"/>
                <w:noProof/>
                <w:sz w:val="24"/>
                <w:szCs w:val="24"/>
                <w:lang w:val="en-US"/>
              </w:rPr>
              <w:tab/>
            </w:r>
            <w:r w:rsidR="00E833DA" w:rsidRPr="00F473DC">
              <w:rPr>
                <w:rStyle w:val="Hyperlink"/>
                <w:noProof/>
              </w:rPr>
              <w:t>Knowledge translation and application</w:t>
            </w:r>
            <w:r w:rsidR="00E833DA">
              <w:rPr>
                <w:noProof/>
                <w:webHidden/>
              </w:rPr>
              <w:tab/>
            </w:r>
            <w:r w:rsidR="00E833DA">
              <w:rPr>
                <w:noProof/>
                <w:webHidden/>
              </w:rPr>
              <w:fldChar w:fldCharType="begin"/>
            </w:r>
            <w:r w:rsidR="00E833DA">
              <w:rPr>
                <w:noProof/>
                <w:webHidden/>
              </w:rPr>
              <w:instrText xml:space="preserve"> PAGEREF _Toc509950684 \h </w:instrText>
            </w:r>
            <w:r w:rsidR="00E833DA">
              <w:rPr>
                <w:noProof/>
                <w:webHidden/>
              </w:rPr>
            </w:r>
            <w:r w:rsidR="00E833DA">
              <w:rPr>
                <w:noProof/>
                <w:webHidden/>
              </w:rPr>
              <w:fldChar w:fldCharType="separate"/>
            </w:r>
            <w:r w:rsidR="004240AA">
              <w:rPr>
                <w:noProof/>
                <w:webHidden/>
              </w:rPr>
              <w:t>51</w:t>
            </w:r>
            <w:r w:rsidR="00E833DA">
              <w:rPr>
                <w:noProof/>
                <w:webHidden/>
              </w:rPr>
              <w:fldChar w:fldCharType="end"/>
            </w:r>
          </w:hyperlink>
        </w:p>
        <w:p w14:paraId="7289F527" w14:textId="7558AA9F" w:rsidR="00E833DA" w:rsidRDefault="00CC6B9C">
          <w:pPr>
            <w:pStyle w:val="TOC2"/>
            <w:tabs>
              <w:tab w:val="left" w:pos="800"/>
              <w:tab w:val="right" w:leader="dot" w:pos="9016"/>
            </w:tabs>
            <w:rPr>
              <w:b w:val="0"/>
              <w:bCs w:val="0"/>
              <w:noProof/>
              <w:sz w:val="24"/>
              <w:szCs w:val="24"/>
              <w:lang w:val="en-US"/>
            </w:rPr>
          </w:pPr>
          <w:hyperlink w:anchor="_Toc509950685" w:history="1">
            <w:r w:rsidR="00E833DA" w:rsidRPr="00F473DC">
              <w:rPr>
                <w:rStyle w:val="Hyperlink"/>
                <w:noProof/>
              </w:rPr>
              <w:t>8.2.</w:t>
            </w:r>
            <w:r w:rsidR="00E833DA">
              <w:rPr>
                <w:b w:val="0"/>
                <w:bCs w:val="0"/>
                <w:noProof/>
                <w:sz w:val="24"/>
                <w:szCs w:val="24"/>
                <w:lang w:val="en-US"/>
              </w:rPr>
              <w:tab/>
            </w:r>
            <w:r w:rsidR="00E833DA" w:rsidRPr="00F473DC">
              <w:rPr>
                <w:rStyle w:val="Hyperlink"/>
                <w:noProof/>
              </w:rPr>
              <w:t>Approaches to grading evidence in research and evidence institutions</w:t>
            </w:r>
            <w:r w:rsidR="00E833DA">
              <w:rPr>
                <w:noProof/>
                <w:webHidden/>
              </w:rPr>
              <w:tab/>
            </w:r>
            <w:r w:rsidR="00E833DA">
              <w:rPr>
                <w:noProof/>
                <w:webHidden/>
              </w:rPr>
              <w:fldChar w:fldCharType="begin"/>
            </w:r>
            <w:r w:rsidR="00E833DA">
              <w:rPr>
                <w:noProof/>
                <w:webHidden/>
              </w:rPr>
              <w:instrText xml:space="preserve"> PAGEREF _Toc509950685 \h </w:instrText>
            </w:r>
            <w:r w:rsidR="00E833DA">
              <w:rPr>
                <w:noProof/>
                <w:webHidden/>
              </w:rPr>
            </w:r>
            <w:r w:rsidR="00E833DA">
              <w:rPr>
                <w:noProof/>
                <w:webHidden/>
              </w:rPr>
              <w:fldChar w:fldCharType="separate"/>
            </w:r>
            <w:r w:rsidR="004240AA">
              <w:rPr>
                <w:noProof/>
                <w:webHidden/>
              </w:rPr>
              <w:t>55</w:t>
            </w:r>
            <w:r w:rsidR="00E833DA">
              <w:rPr>
                <w:noProof/>
                <w:webHidden/>
              </w:rPr>
              <w:fldChar w:fldCharType="end"/>
            </w:r>
          </w:hyperlink>
        </w:p>
        <w:p w14:paraId="318EBEB2" w14:textId="58C8474F" w:rsidR="00E833DA" w:rsidRDefault="00CC6B9C">
          <w:pPr>
            <w:pStyle w:val="TOC2"/>
            <w:tabs>
              <w:tab w:val="left" w:pos="800"/>
              <w:tab w:val="right" w:leader="dot" w:pos="9016"/>
            </w:tabs>
            <w:rPr>
              <w:b w:val="0"/>
              <w:bCs w:val="0"/>
              <w:noProof/>
              <w:sz w:val="24"/>
              <w:szCs w:val="24"/>
              <w:lang w:val="en-US"/>
            </w:rPr>
          </w:pPr>
          <w:hyperlink w:anchor="_Toc509950686" w:history="1">
            <w:r w:rsidR="00E833DA" w:rsidRPr="00F473DC">
              <w:rPr>
                <w:rStyle w:val="Hyperlink"/>
                <w:noProof/>
              </w:rPr>
              <w:t>8.3.</w:t>
            </w:r>
            <w:r w:rsidR="00E833DA">
              <w:rPr>
                <w:b w:val="0"/>
                <w:bCs w:val="0"/>
                <w:noProof/>
                <w:sz w:val="24"/>
                <w:szCs w:val="24"/>
                <w:lang w:val="en-US"/>
              </w:rPr>
              <w:tab/>
            </w:r>
            <w:r w:rsidR="00E833DA" w:rsidRPr="00F473DC">
              <w:rPr>
                <w:rStyle w:val="Hyperlink"/>
                <w:noProof/>
              </w:rPr>
              <w:t>Effectiveness of research and evidence institutions</w:t>
            </w:r>
            <w:r w:rsidR="00E833DA">
              <w:rPr>
                <w:noProof/>
                <w:webHidden/>
              </w:rPr>
              <w:tab/>
            </w:r>
            <w:r w:rsidR="00E833DA">
              <w:rPr>
                <w:noProof/>
                <w:webHidden/>
              </w:rPr>
              <w:fldChar w:fldCharType="begin"/>
            </w:r>
            <w:r w:rsidR="00E833DA">
              <w:rPr>
                <w:noProof/>
                <w:webHidden/>
              </w:rPr>
              <w:instrText xml:space="preserve"> PAGEREF _Toc509950686 \h </w:instrText>
            </w:r>
            <w:r w:rsidR="00E833DA">
              <w:rPr>
                <w:noProof/>
                <w:webHidden/>
              </w:rPr>
            </w:r>
            <w:r w:rsidR="00E833DA">
              <w:rPr>
                <w:noProof/>
                <w:webHidden/>
              </w:rPr>
              <w:fldChar w:fldCharType="separate"/>
            </w:r>
            <w:r w:rsidR="004240AA">
              <w:rPr>
                <w:noProof/>
                <w:webHidden/>
              </w:rPr>
              <w:t>60</w:t>
            </w:r>
            <w:r w:rsidR="00E833DA">
              <w:rPr>
                <w:noProof/>
                <w:webHidden/>
              </w:rPr>
              <w:fldChar w:fldCharType="end"/>
            </w:r>
          </w:hyperlink>
        </w:p>
        <w:p w14:paraId="4C36914C" w14:textId="2706D8C4" w:rsidR="00E833DA" w:rsidRDefault="00CC6B9C">
          <w:pPr>
            <w:pStyle w:val="TOC2"/>
            <w:tabs>
              <w:tab w:val="left" w:pos="800"/>
              <w:tab w:val="right" w:leader="dot" w:pos="9016"/>
            </w:tabs>
            <w:rPr>
              <w:b w:val="0"/>
              <w:bCs w:val="0"/>
              <w:noProof/>
              <w:sz w:val="24"/>
              <w:szCs w:val="24"/>
              <w:lang w:val="en-US"/>
            </w:rPr>
          </w:pPr>
          <w:hyperlink w:anchor="_Toc509950687" w:history="1">
            <w:r w:rsidR="00E833DA" w:rsidRPr="00F473DC">
              <w:rPr>
                <w:rStyle w:val="Hyperlink"/>
                <w:noProof/>
              </w:rPr>
              <w:t>8.4.</w:t>
            </w:r>
            <w:r w:rsidR="00E833DA">
              <w:rPr>
                <w:b w:val="0"/>
                <w:bCs w:val="0"/>
                <w:noProof/>
                <w:sz w:val="24"/>
                <w:szCs w:val="24"/>
                <w:lang w:val="en-US"/>
              </w:rPr>
              <w:tab/>
            </w:r>
            <w:r w:rsidR="00E833DA" w:rsidRPr="00F473DC">
              <w:rPr>
                <w:rStyle w:val="Hyperlink"/>
                <w:noProof/>
              </w:rPr>
              <w:t>Function and functionality of research and evidence institutions</w:t>
            </w:r>
            <w:r w:rsidR="00E833DA">
              <w:rPr>
                <w:noProof/>
                <w:webHidden/>
              </w:rPr>
              <w:tab/>
            </w:r>
            <w:r w:rsidR="00E833DA">
              <w:rPr>
                <w:noProof/>
                <w:webHidden/>
              </w:rPr>
              <w:fldChar w:fldCharType="begin"/>
            </w:r>
            <w:r w:rsidR="00E833DA">
              <w:rPr>
                <w:noProof/>
                <w:webHidden/>
              </w:rPr>
              <w:instrText xml:space="preserve"> PAGEREF _Toc509950687 \h </w:instrText>
            </w:r>
            <w:r w:rsidR="00E833DA">
              <w:rPr>
                <w:noProof/>
                <w:webHidden/>
              </w:rPr>
            </w:r>
            <w:r w:rsidR="00E833DA">
              <w:rPr>
                <w:noProof/>
                <w:webHidden/>
              </w:rPr>
              <w:fldChar w:fldCharType="separate"/>
            </w:r>
            <w:r w:rsidR="004240AA">
              <w:rPr>
                <w:noProof/>
                <w:webHidden/>
              </w:rPr>
              <w:t>63</w:t>
            </w:r>
            <w:r w:rsidR="00E833DA">
              <w:rPr>
                <w:noProof/>
                <w:webHidden/>
              </w:rPr>
              <w:fldChar w:fldCharType="end"/>
            </w:r>
          </w:hyperlink>
        </w:p>
        <w:p w14:paraId="6470FA42" w14:textId="137155AF" w:rsidR="00E833DA" w:rsidRDefault="00CC6B9C">
          <w:pPr>
            <w:pStyle w:val="TOC2"/>
            <w:tabs>
              <w:tab w:val="left" w:pos="800"/>
              <w:tab w:val="right" w:leader="dot" w:pos="9016"/>
            </w:tabs>
            <w:rPr>
              <w:b w:val="0"/>
              <w:bCs w:val="0"/>
              <w:noProof/>
              <w:sz w:val="24"/>
              <w:szCs w:val="24"/>
              <w:lang w:val="en-US"/>
            </w:rPr>
          </w:pPr>
          <w:hyperlink w:anchor="_Toc509950688" w:history="1">
            <w:r w:rsidR="00E833DA" w:rsidRPr="00F473DC">
              <w:rPr>
                <w:rStyle w:val="Hyperlink"/>
                <w:noProof/>
              </w:rPr>
              <w:t>8.5.</w:t>
            </w:r>
            <w:r w:rsidR="00E833DA">
              <w:rPr>
                <w:b w:val="0"/>
                <w:bCs w:val="0"/>
                <w:noProof/>
                <w:sz w:val="24"/>
                <w:szCs w:val="24"/>
                <w:lang w:val="en-US"/>
              </w:rPr>
              <w:tab/>
            </w:r>
            <w:r w:rsidR="00E833DA" w:rsidRPr="00F473DC">
              <w:rPr>
                <w:rStyle w:val="Hyperlink"/>
                <w:noProof/>
              </w:rPr>
              <w:t>Governance of research and evidence and institutions</w:t>
            </w:r>
            <w:r w:rsidR="00E833DA">
              <w:rPr>
                <w:noProof/>
                <w:webHidden/>
              </w:rPr>
              <w:tab/>
            </w:r>
            <w:r w:rsidR="00E833DA">
              <w:rPr>
                <w:noProof/>
                <w:webHidden/>
              </w:rPr>
              <w:fldChar w:fldCharType="begin"/>
            </w:r>
            <w:r w:rsidR="00E833DA">
              <w:rPr>
                <w:noProof/>
                <w:webHidden/>
              </w:rPr>
              <w:instrText xml:space="preserve"> PAGEREF _Toc509950688 \h </w:instrText>
            </w:r>
            <w:r w:rsidR="00E833DA">
              <w:rPr>
                <w:noProof/>
                <w:webHidden/>
              </w:rPr>
            </w:r>
            <w:r w:rsidR="00E833DA">
              <w:rPr>
                <w:noProof/>
                <w:webHidden/>
              </w:rPr>
              <w:fldChar w:fldCharType="separate"/>
            </w:r>
            <w:r w:rsidR="004240AA">
              <w:rPr>
                <w:noProof/>
                <w:webHidden/>
              </w:rPr>
              <w:t>63</w:t>
            </w:r>
            <w:r w:rsidR="00E833DA">
              <w:rPr>
                <w:noProof/>
                <w:webHidden/>
              </w:rPr>
              <w:fldChar w:fldCharType="end"/>
            </w:r>
          </w:hyperlink>
        </w:p>
        <w:p w14:paraId="1E69CF19" w14:textId="1E258BF8" w:rsidR="00E833DA" w:rsidRDefault="00CC6B9C">
          <w:pPr>
            <w:pStyle w:val="TOC1"/>
            <w:tabs>
              <w:tab w:val="left" w:pos="600"/>
              <w:tab w:val="right" w:leader="dot" w:pos="9016"/>
            </w:tabs>
            <w:rPr>
              <w:b w:val="0"/>
              <w:bCs w:val="0"/>
              <w:noProof/>
              <w:lang w:val="en-US"/>
            </w:rPr>
          </w:pPr>
          <w:hyperlink w:anchor="_Toc509950690" w:history="1">
            <w:r w:rsidR="00E833DA" w:rsidRPr="00F473DC">
              <w:rPr>
                <w:rStyle w:val="Hyperlink"/>
                <w:noProof/>
              </w:rPr>
              <w:t>9.</w:t>
            </w:r>
            <w:r w:rsidR="00E833DA">
              <w:rPr>
                <w:b w:val="0"/>
                <w:bCs w:val="0"/>
                <w:noProof/>
                <w:lang w:val="en-US"/>
              </w:rPr>
              <w:tab/>
            </w:r>
            <w:r w:rsidR="00E833DA" w:rsidRPr="00F473DC">
              <w:rPr>
                <w:rStyle w:val="Hyperlink"/>
                <w:noProof/>
              </w:rPr>
              <w:t>Appendix A: Summary of Literature Reviewed</w:t>
            </w:r>
            <w:r w:rsidR="00E833DA">
              <w:rPr>
                <w:noProof/>
                <w:webHidden/>
              </w:rPr>
              <w:tab/>
            </w:r>
            <w:r w:rsidR="00E833DA">
              <w:rPr>
                <w:noProof/>
                <w:webHidden/>
              </w:rPr>
              <w:fldChar w:fldCharType="begin"/>
            </w:r>
            <w:r w:rsidR="00E833DA">
              <w:rPr>
                <w:noProof/>
                <w:webHidden/>
              </w:rPr>
              <w:instrText xml:space="preserve"> PAGEREF _Toc509950690 \h </w:instrText>
            </w:r>
            <w:r w:rsidR="00E833DA">
              <w:rPr>
                <w:noProof/>
                <w:webHidden/>
              </w:rPr>
            </w:r>
            <w:r w:rsidR="00E833DA">
              <w:rPr>
                <w:noProof/>
                <w:webHidden/>
              </w:rPr>
              <w:fldChar w:fldCharType="separate"/>
            </w:r>
            <w:r w:rsidR="004240AA">
              <w:rPr>
                <w:noProof/>
                <w:webHidden/>
              </w:rPr>
              <w:t>71</w:t>
            </w:r>
            <w:r w:rsidR="00E833DA">
              <w:rPr>
                <w:noProof/>
                <w:webHidden/>
              </w:rPr>
              <w:fldChar w:fldCharType="end"/>
            </w:r>
          </w:hyperlink>
        </w:p>
        <w:p w14:paraId="0ABEE3E4" w14:textId="7EFAEAA1" w:rsidR="005A6FF4" w:rsidRDefault="005A6FF4">
          <w:r>
            <w:rPr>
              <w:b/>
              <w:bCs/>
              <w:noProof/>
            </w:rPr>
            <w:fldChar w:fldCharType="end"/>
          </w:r>
        </w:p>
      </w:sdtContent>
    </w:sdt>
    <w:p w14:paraId="28635472" w14:textId="08C53A57" w:rsidR="005A6FF4" w:rsidRPr="00C45C55" w:rsidRDefault="00E833DA" w:rsidP="00E833DA">
      <w:pPr>
        <w:spacing w:after="160" w:line="259" w:lineRule="auto"/>
        <w:outlineLvl w:val="0"/>
        <w:rPr>
          <w:rFonts w:asciiTheme="majorHAnsi" w:hAnsiTheme="majorHAnsi"/>
          <w:b/>
          <w:color w:val="0070C0"/>
          <w:sz w:val="28"/>
          <w:szCs w:val="28"/>
        </w:rPr>
      </w:pPr>
      <w:bookmarkStart w:id="2" w:name="_Toc509950605"/>
      <w:r>
        <w:rPr>
          <w:rFonts w:asciiTheme="majorHAnsi" w:hAnsiTheme="majorHAnsi"/>
          <w:b/>
          <w:color w:val="0070C0"/>
          <w:sz w:val="28"/>
          <w:szCs w:val="28"/>
        </w:rPr>
        <w:t>List</w:t>
      </w:r>
      <w:r w:rsidR="005A6FF4" w:rsidRPr="00C45C55">
        <w:rPr>
          <w:rFonts w:asciiTheme="majorHAnsi" w:hAnsiTheme="majorHAnsi"/>
          <w:b/>
          <w:color w:val="0070C0"/>
          <w:sz w:val="28"/>
          <w:szCs w:val="28"/>
        </w:rPr>
        <w:t xml:space="preserve"> of Figures</w:t>
      </w:r>
      <w:bookmarkEnd w:id="2"/>
    </w:p>
    <w:p w14:paraId="135978BD" w14:textId="37CA5B3C" w:rsidR="00E41B8F" w:rsidRDefault="00E833DA">
      <w:pPr>
        <w:pStyle w:val="TableofFigures"/>
        <w:tabs>
          <w:tab w:val="right" w:leader="dot" w:pos="9016"/>
        </w:tabs>
        <w:rPr>
          <w:caps w:val="0"/>
          <w:noProof/>
          <w:sz w:val="24"/>
          <w:szCs w:val="24"/>
          <w:lang w:val="en-US"/>
        </w:rPr>
      </w:pPr>
      <w:r w:rsidRPr="00E833DA">
        <w:rPr>
          <w:b/>
          <w:bCs/>
          <w:caps w:val="0"/>
        </w:rPr>
        <w:fldChar w:fldCharType="begin"/>
      </w:r>
      <w:r w:rsidRPr="00E833DA">
        <w:rPr>
          <w:b/>
          <w:bCs/>
          <w:caps w:val="0"/>
        </w:rPr>
        <w:instrText xml:space="preserve"> TOC \c "Figure" </w:instrText>
      </w:r>
      <w:r w:rsidRPr="00E833DA">
        <w:rPr>
          <w:b/>
          <w:bCs/>
          <w:caps w:val="0"/>
        </w:rPr>
        <w:fldChar w:fldCharType="separate"/>
      </w:r>
      <w:r w:rsidR="00E41B8F">
        <w:rPr>
          <w:caps w:val="0"/>
          <w:noProof/>
        </w:rPr>
        <w:t>Figure 1. Evidence into action model</w:t>
      </w:r>
      <w:r w:rsidR="00E41B8F">
        <w:rPr>
          <w:caps w:val="0"/>
          <w:noProof/>
        </w:rPr>
        <w:tab/>
      </w:r>
      <w:r w:rsidR="00EF5866">
        <w:rPr>
          <w:noProof/>
        </w:rPr>
        <w:t>vi</w:t>
      </w:r>
    </w:p>
    <w:p w14:paraId="6A79A540" w14:textId="64F050FB" w:rsidR="00E41B8F" w:rsidRDefault="00E41B8F">
      <w:pPr>
        <w:pStyle w:val="TableofFigures"/>
        <w:tabs>
          <w:tab w:val="right" w:leader="dot" w:pos="9016"/>
        </w:tabs>
        <w:rPr>
          <w:caps w:val="0"/>
          <w:noProof/>
          <w:sz w:val="24"/>
          <w:szCs w:val="24"/>
          <w:lang w:val="en-US"/>
        </w:rPr>
      </w:pPr>
      <w:r>
        <w:rPr>
          <w:caps w:val="0"/>
          <w:noProof/>
        </w:rPr>
        <w:t>Figure 2: Prisma statement</w:t>
      </w:r>
      <w:r>
        <w:rPr>
          <w:caps w:val="0"/>
          <w:noProof/>
        </w:rPr>
        <w:tab/>
      </w:r>
      <w:r>
        <w:rPr>
          <w:noProof/>
        </w:rPr>
        <w:fldChar w:fldCharType="begin"/>
      </w:r>
      <w:r>
        <w:rPr>
          <w:noProof/>
        </w:rPr>
        <w:instrText xml:space="preserve"> PAGEREF _Toc509951275 \h </w:instrText>
      </w:r>
      <w:r>
        <w:rPr>
          <w:noProof/>
        </w:rPr>
      </w:r>
      <w:r>
        <w:rPr>
          <w:noProof/>
        </w:rPr>
        <w:fldChar w:fldCharType="separate"/>
      </w:r>
      <w:r w:rsidR="004240AA">
        <w:rPr>
          <w:noProof/>
        </w:rPr>
        <w:t>4</w:t>
      </w:r>
      <w:r>
        <w:rPr>
          <w:noProof/>
        </w:rPr>
        <w:fldChar w:fldCharType="end"/>
      </w:r>
    </w:p>
    <w:p w14:paraId="57C58A19" w14:textId="570DB45E" w:rsidR="00E41B8F" w:rsidRDefault="00E41B8F" w:rsidP="00E41B8F">
      <w:pPr>
        <w:pStyle w:val="TableofFigures"/>
        <w:tabs>
          <w:tab w:val="right" w:leader="dot" w:pos="9016"/>
        </w:tabs>
        <w:rPr>
          <w:caps w:val="0"/>
          <w:noProof/>
          <w:sz w:val="24"/>
          <w:szCs w:val="24"/>
          <w:lang w:val="en-US"/>
        </w:rPr>
      </w:pPr>
      <w:r>
        <w:rPr>
          <w:caps w:val="0"/>
          <w:noProof/>
        </w:rPr>
        <w:t>Figure 3: Evidence into action model</w:t>
      </w:r>
      <w:r>
        <w:rPr>
          <w:caps w:val="0"/>
          <w:noProof/>
        </w:rPr>
        <w:tab/>
      </w:r>
      <w:r>
        <w:rPr>
          <w:noProof/>
        </w:rPr>
        <w:fldChar w:fldCharType="begin"/>
      </w:r>
      <w:r>
        <w:rPr>
          <w:noProof/>
        </w:rPr>
        <w:instrText xml:space="preserve"> PAGEREF _Toc509951276 \h </w:instrText>
      </w:r>
      <w:r>
        <w:rPr>
          <w:noProof/>
        </w:rPr>
      </w:r>
      <w:r>
        <w:rPr>
          <w:noProof/>
        </w:rPr>
        <w:fldChar w:fldCharType="separate"/>
      </w:r>
      <w:r w:rsidR="004240AA">
        <w:rPr>
          <w:noProof/>
        </w:rPr>
        <w:t>6</w:t>
      </w:r>
      <w:r>
        <w:rPr>
          <w:noProof/>
        </w:rPr>
        <w:fldChar w:fldCharType="end"/>
      </w:r>
    </w:p>
    <w:p w14:paraId="504FD8F7" w14:textId="36E2652B" w:rsidR="00E41B8F" w:rsidRDefault="00E41B8F">
      <w:pPr>
        <w:pStyle w:val="TableofFigures"/>
        <w:tabs>
          <w:tab w:val="right" w:leader="dot" w:pos="9016"/>
        </w:tabs>
        <w:rPr>
          <w:caps w:val="0"/>
          <w:noProof/>
          <w:sz w:val="24"/>
          <w:szCs w:val="24"/>
          <w:lang w:val="en-US"/>
        </w:rPr>
      </w:pPr>
      <w:r>
        <w:rPr>
          <w:caps w:val="0"/>
          <w:noProof/>
        </w:rPr>
        <w:t>Figure 4:</w:t>
      </w:r>
      <w:r w:rsidRPr="00AE79A0">
        <w:rPr>
          <w:noProof/>
        </w:rPr>
        <w:t xml:space="preserve"> </w:t>
      </w:r>
      <w:r>
        <w:rPr>
          <w:caps w:val="0"/>
          <w:noProof/>
        </w:rPr>
        <w:t>A process of backward design</w:t>
      </w:r>
      <w:r>
        <w:rPr>
          <w:caps w:val="0"/>
          <w:noProof/>
        </w:rPr>
        <w:tab/>
      </w:r>
      <w:r>
        <w:rPr>
          <w:noProof/>
        </w:rPr>
        <w:fldChar w:fldCharType="begin"/>
      </w:r>
      <w:r>
        <w:rPr>
          <w:noProof/>
        </w:rPr>
        <w:instrText xml:space="preserve"> PAGEREF _Toc509951277 \h </w:instrText>
      </w:r>
      <w:r>
        <w:rPr>
          <w:noProof/>
        </w:rPr>
      </w:r>
      <w:r>
        <w:rPr>
          <w:noProof/>
        </w:rPr>
        <w:fldChar w:fldCharType="separate"/>
      </w:r>
      <w:r w:rsidR="004240AA">
        <w:rPr>
          <w:noProof/>
        </w:rPr>
        <w:t>7</w:t>
      </w:r>
      <w:r>
        <w:rPr>
          <w:noProof/>
        </w:rPr>
        <w:fldChar w:fldCharType="end"/>
      </w:r>
    </w:p>
    <w:p w14:paraId="22436D8C" w14:textId="665E437C" w:rsidR="00E41B8F" w:rsidRDefault="00E41B8F" w:rsidP="00E41B8F">
      <w:pPr>
        <w:pStyle w:val="TableofFigures"/>
        <w:tabs>
          <w:tab w:val="right" w:leader="dot" w:pos="9016"/>
        </w:tabs>
        <w:rPr>
          <w:caps w:val="0"/>
          <w:noProof/>
          <w:sz w:val="24"/>
          <w:szCs w:val="24"/>
          <w:lang w:val="en-US"/>
        </w:rPr>
      </w:pPr>
      <w:r>
        <w:rPr>
          <w:caps w:val="0"/>
          <w:noProof/>
        </w:rPr>
        <w:t>Figure 5: Functions, functionality and actions of reviewed evidence and research institutions</w:t>
      </w:r>
      <w:r>
        <w:rPr>
          <w:caps w:val="0"/>
          <w:noProof/>
        </w:rPr>
        <w:tab/>
      </w:r>
      <w:r>
        <w:rPr>
          <w:noProof/>
        </w:rPr>
        <w:fldChar w:fldCharType="begin"/>
      </w:r>
      <w:r>
        <w:rPr>
          <w:noProof/>
        </w:rPr>
        <w:instrText xml:space="preserve"> PAGEREF _Toc509951278 \h </w:instrText>
      </w:r>
      <w:r>
        <w:rPr>
          <w:noProof/>
        </w:rPr>
      </w:r>
      <w:r>
        <w:rPr>
          <w:noProof/>
        </w:rPr>
        <w:fldChar w:fldCharType="separate"/>
      </w:r>
      <w:r w:rsidR="004240AA">
        <w:rPr>
          <w:noProof/>
        </w:rPr>
        <w:t>13</w:t>
      </w:r>
      <w:r>
        <w:rPr>
          <w:noProof/>
        </w:rPr>
        <w:fldChar w:fldCharType="end"/>
      </w:r>
    </w:p>
    <w:p w14:paraId="0FCE6A54" w14:textId="1719481A" w:rsidR="00E41B8F" w:rsidRDefault="00E41B8F" w:rsidP="00E41B8F">
      <w:pPr>
        <w:pStyle w:val="TableofFigures"/>
        <w:tabs>
          <w:tab w:val="right" w:leader="dot" w:pos="9016"/>
        </w:tabs>
        <w:rPr>
          <w:caps w:val="0"/>
          <w:noProof/>
          <w:sz w:val="24"/>
          <w:szCs w:val="24"/>
          <w:lang w:val="en-US"/>
        </w:rPr>
      </w:pPr>
      <w:r>
        <w:rPr>
          <w:caps w:val="0"/>
          <w:noProof/>
        </w:rPr>
        <w:t>Figure 6: Approaches to evidence synthesis in reviewed research and evidence institutions</w:t>
      </w:r>
      <w:r>
        <w:rPr>
          <w:caps w:val="0"/>
          <w:noProof/>
        </w:rPr>
        <w:tab/>
      </w:r>
      <w:r>
        <w:rPr>
          <w:noProof/>
        </w:rPr>
        <w:fldChar w:fldCharType="begin"/>
      </w:r>
      <w:r>
        <w:rPr>
          <w:noProof/>
        </w:rPr>
        <w:instrText xml:space="preserve"> PAGEREF _Toc509951279 \h </w:instrText>
      </w:r>
      <w:r>
        <w:rPr>
          <w:noProof/>
        </w:rPr>
      </w:r>
      <w:r>
        <w:rPr>
          <w:noProof/>
        </w:rPr>
        <w:fldChar w:fldCharType="separate"/>
      </w:r>
      <w:r w:rsidR="004240AA">
        <w:rPr>
          <w:noProof/>
        </w:rPr>
        <w:t>20</w:t>
      </w:r>
      <w:r>
        <w:rPr>
          <w:noProof/>
        </w:rPr>
        <w:fldChar w:fldCharType="end"/>
      </w:r>
    </w:p>
    <w:p w14:paraId="7CD1E384" w14:textId="6CF9A1B2" w:rsidR="00E41B8F" w:rsidRDefault="00E41B8F" w:rsidP="00E41B8F">
      <w:pPr>
        <w:pStyle w:val="TableofFigures"/>
        <w:tabs>
          <w:tab w:val="right" w:leader="dot" w:pos="9016"/>
        </w:tabs>
        <w:rPr>
          <w:caps w:val="0"/>
          <w:noProof/>
          <w:sz w:val="24"/>
          <w:szCs w:val="24"/>
          <w:lang w:val="en-US"/>
        </w:rPr>
      </w:pPr>
      <w:r>
        <w:rPr>
          <w:caps w:val="0"/>
          <w:noProof/>
        </w:rPr>
        <w:t>Figure 7: Forms of evidence necessary for informing evidence-informed practice and policy</w:t>
      </w:r>
      <w:r>
        <w:rPr>
          <w:caps w:val="0"/>
          <w:noProof/>
        </w:rPr>
        <w:tab/>
      </w:r>
      <w:r>
        <w:rPr>
          <w:noProof/>
        </w:rPr>
        <w:fldChar w:fldCharType="begin"/>
      </w:r>
      <w:r>
        <w:rPr>
          <w:noProof/>
        </w:rPr>
        <w:instrText xml:space="preserve"> PAGEREF _Toc509951280 \h </w:instrText>
      </w:r>
      <w:r>
        <w:rPr>
          <w:noProof/>
        </w:rPr>
      </w:r>
      <w:r>
        <w:rPr>
          <w:noProof/>
        </w:rPr>
        <w:fldChar w:fldCharType="separate"/>
      </w:r>
      <w:r w:rsidR="004240AA">
        <w:rPr>
          <w:noProof/>
        </w:rPr>
        <w:t>23</w:t>
      </w:r>
      <w:r>
        <w:rPr>
          <w:noProof/>
        </w:rPr>
        <w:fldChar w:fldCharType="end"/>
      </w:r>
    </w:p>
    <w:p w14:paraId="1B123857" w14:textId="54B195C7" w:rsidR="00E41B8F" w:rsidRDefault="00E41B8F">
      <w:pPr>
        <w:pStyle w:val="TableofFigures"/>
        <w:tabs>
          <w:tab w:val="right" w:leader="dot" w:pos="9016"/>
        </w:tabs>
        <w:rPr>
          <w:caps w:val="0"/>
          <w:noProof/>
          <w:sz w:val="24"/>
          <w:szCs w:val="24"/>
          <w:lang w:val="en-US"/>
        </w:rPr>
      </w:pPr>
      <w:r>
        <w:rPr>
          <w:caps w:val="0"/>
          <w:noProof/>
        </w:rPr>
        <w:t>Figure 8: Approaches to knowledge translation, brokering and management in reviewed research and evidence institutions</w:t>
      </w:r>
      <w:r>
        <w:rPr>
          <w:caps w:val="0"/>
          <w:noProof/>
        </w:rPr>
        <w:tab/>
      </w:r>
      <w:r>
        <w:rPr>
          <w:noProof/>
        </w:rPr>
        <w:fldChar w:fldCharType="begin"/>
      </w:r>
      <w:r>
        <w:rPr>
          <w:noProof/>
        </w:rPr>
        <w:instrText xml:space="preserve"> PAGEREF _Toc509951281 \h </w:instrText>
      </w:r>
      <w:r>
        <w:rPr>
          <w:noProof/>
        </w:rPr>
      </w:r>
      <w:r>
        <w:rPr>
          <w:noProof/>
        </w:rPr>
        <w:fldChar w:fldCharType="separate"/>
      </w:r>
      <w:r w:rsidR="004240AA">
        <w:rPr>
          <w:noProof/>
        </w:rPr>
        <w:t>25</w:t>
      </w:r>
      <w:r>
        <w:rPr>
          <w:noProof/>
        </w:rPr>
        <w:fldChar w:fldCharType="end"/>
      </w:r>
    </w:p>
    <w:p w14:paraId="25081EF9" w14:textId="1504FD77" w:rsidR="00E41B8F" w:rsidRDefault="00E41B8F">
      <w:pPr>
        <w:pStyle w:val="TableofFigures"/>
        <w:tabs>
          <w:tab w:val="right" w:leader="dot" w:pos="9016"/>
        </w:tabs>
        <w:rPr>
          <w:caps w:val="0"/>
          <w:noProof/>
          <w:sz w:val="24"/>
          <w:szCs w:val="24"/>
          <w:lang w:val="en-US"/>
        </w:rPr>
      </w:pPr>
      <w:r>
        <w:rPr>
          <w:caps w:val="0"/>
          <w:noProof/>
        </w:rPr>
        <w:t>Figure 9: Role of maximising research utilisation in supporting eip in reviewed research and evidence institutions</w:t>
      </w:r>
      <w:r>
        <w:rPr>
          <w:caps w:val="0"/>
          <w:noProof/>
        </w:rPr>
        <w:tab/>
      </w:r>
      <w:r>
        <w:rPr>
          <w:noProof/>
        </w:rPr>
        <w:fldChar w:fldCharType="begin"/>
      </w:r>
      <w:r>
        <w:rPr>
          <w:noProof/>
        </w:rPr>
        <w:instrText xml:space="preserve"> PAGEREF _Toc509951282 \h </w:instrText>
      </w:r>
      <w:r>
        <w:rPr>
          <w:noProof/>
        </w:rPr>
      </w:r>
      <w:r>
        <w:rPr>
          <w:noProof/>
        </w:rPr>
        <w:fldChar w:fldCharType="separate"/>
      </w:r>
      <w:r w:rsidR="004240AA">
        <w:rPr>
          <w:noProof/>
        </w:rPr>
        <w:t>30</w:t>
      </w:r>
      <w:r>
        <w:rPr>
          <w:noProof/>
        </w:rPr>
        <w:fldChar w:fldCharType="end"/>
      </w:r>
    </w:p>
    <w:p w14:paraId="4399073B" w14:textId="724245FB" w:rsidR="00E41B8F" w:rsidRDefault="00E41B8F">
      <w:pPr>
        <w:pStyle w:val="TableofFigures"/>
        <w:tabs>
          <w:tab w:val="right" w:leader="dot" w:pos="9016"/>
        </w:tabs>
        <w:rPr>
          <w:caps w:val="0"/>
          <w:noProof/>
          <w:sz w:val="24"/>
          <w:szCs w:val="24"/>
          <w:lang w:val="en-US"/>
        </w:rPr>
      </w:pPr>
      <w:r>
        <w:rPr>
          <w:caps w:val="0"/>
          <w:noProof/>
        </w:rPr>
        <w:t>Figure 10: A structure for a collective impact</w:t>
      </w:r>
      <w:r>
        <w:rPr>
          <w:caps w:val="0"/>
          <w:noProof/>
        </w:rPr>
        <w:tab/>
      </w:r>
      <w:r>
        <w:rPr>
          <w:noProof/>
        </w:rPr>
        <w:fldChar w:fldCharType="begin"/>
      </w:r>
      <w:r>
        <w:rPr>
          <w:noProof/>
        </w:rPr>
        <w:instrText xml:space="preserve"> PAGEREF _Toc509951283 \h </w:instrText>
      </w:r>
      <w:r>
        <w:rPr>
          <w:noProof/>
        </w:rPr>
      </w:r>
      <w:r>
        <w:rPr>
          <w:noProof/>
        </w:rPr>
        <w:fldChar w:fldCharType="separate"/>
      </w:r>
      <w:r w:rsidR="004240AA">
        <w:rPr>
          <w:noProof/>
        </w:rPr>
        <w:t>39</w:t>
      </w:r>
      <w:r>
        <w:rPr>
          <w:noProof/>
        </w:rPr>
        <w:fldChar w:fldCharType="end"/>
      </w:r>
    </w:p>
    <w:p w14:paraId="60B734EE" w14:textId="1BF9F268" w:rsidR="00E41B8F" w:rsidRDefault="00E41B8F" w:rsidP="00E41B8F">
      <w:pPr>
        <w:pStyle w:val="TableofFigures"/>
        <w:tabs>
          <w:tab w:val="right" w:leader="dot" w:pos="9016"/>
        </w:tabs>
        <w:rPr>
          <w:caps w:val="0"/>
          <w:noProof/>
          <w:sz w:val="24"/>
          <w:szCs w:val="24"/>
          <w:lang w:val="en-US"/>
        </w:rPr>
      </w:pPr>
      <w:r>
        <w:rPr>
          <w:caps w:val="0"/>
          <w:noProof/>
        </w:rPr>
        <w:t>Figure 11: Cost categories</w:t>
      </w:r>
      <w:r>
        <w:rPr>
          <w:caps w:val="0"/>
          <w:noProof/>
        </w:rPr>
        <w:tab/>
      </w:r>
      <w:r>
        <w:rPr>
          <w:noProof/>
        </w:rPr>
        <w:fldChar w:fldCharType="begin"/>
      </w:r>
      <w:r>
        <w:rPr>
          <w:noProof/>
        </w:rPr>
        <w:instrText xml:space="preserve"> PAGEREF _Toc509951284 \h </w:instrText>
      </w:r>
      <w:r>
        <w:rPr>
          <w:noProof/>
        </w:rPr>
      </w:r>
      <w:r>
        <w:rPr>
          <w:noProof/>
        </w:rPr>
        <w:fldChar w:fldCharType="separate"/>
      </w:r>
      <w:r w:rsidR="004240AA">
        <w:rPr>
          <w:noProof/>
        </w:rPr>
        <w:t>41</w:t>
      </w:r>
      <w:r>
        <w:rPr>
          <w:noProof/>
        </w:rPr>
        <w:fldChar w:fldCharType="end"/>
      </w:r>
    </w:p>
    <w:p w14:paraId="6F7667C6" w14:textId="362D24DA" w:rsidR="00E41B8F" w:rsidRDefault="00E41B8F" w:rsidP="00E41B8F">
      <w:pPr>
        <w:pStyle w:val="TableofFigures"/>
        <w:tabs>
          <w:tab w:val="right" w:leader="dot" w:pos="9016"/>
        </w:tabs>
        <w:rPr>
          <w:caps w:val="0"/>
          <w:noProof/>
          <w:sz w:val="24"/>
          <w:szCs w:val="24"/>
          <w:lang w:val="en-US"/>
        </w:rPr>
      </w:pPr>
      <w:r>
        <w:rPr>
          <w:caps w:val="0"/>
          <w:noProof/>
        </w:rPr>
        <w:t>Figure 12: Resourcing model for a national evidence institution</w:t>
      </w:r>
      <w:r>
        <w:rPr>
          <w:caps w:val="0"/>
          <w:noProof/>
        </w:rPr>
        <w:tab/>
      </w:r>
      <w:r>
        <w:rPr>
          <w:noProof/>
        </w:rPr>
        <w:fldChar w:fldCharType="begin"/>
      </w:r>
      <w:r>
        <w:rPr>
          <w:noProof/>
        </w:rPr>
        <w:instrText xml:space="preserve"> PAGEREF _Toc509951285 \h </w:instrText>
      </w:r>
      <w:r>
        <w:rPr>
          <w:noProof/>
        </w:rPr>
      </w:r>
      <w:r>
        <w:rPr>
          <w:noProof/>
        </w:rPr>
        <w:fldChar w:fldCharType="separate"/>
      </w:r>
      <w:r w:rsidR="004240AA">
        <w:rPr>
          <w:noProof/>
        </w:rPr>
        <w:t>46</w:t>
      </w:r>
      <w:r>
        <w:rPr>
          <w:noProof/>
        </w:rPr>
        <w:fldChar w:fldCharType="end"/>
      </w:r>
    </w:p>
    <w:p w14:paraId="5AE66611" w14:textId="081EFAC7" w:rsidR="005A6FF4" w:rsidRDefault="00E833DA" w:rsidP="0093470E">
      <w:pPr>
        <w:spacing w:after="160" w:line="259" w:lineRule="auto"/>
        <w:rPr>
          <w:b/>
          <w:bCs/>
          <w:caps/>
          <w:szCs w:val="20"/>
        </w:rPr>
      </w:pPr>
      <w:r w:rsidRPr="00E833DA">
        <w:rPr>
          <w:b/>
          <w:bCs/>
          <w:caps/>
          <w:szCs w:val="20"/>
        </w:rPr>
        <w:fldChar w:fldCharType="end"/>
      </w:r>
    </w:p>
    <w:p w14:paraId="0A33B1ED" w14:textId="77777777" w:rsidR="00E41B8F" w:rsidRDefault="00E833DA" w:rsidP="00E833DA">
      <w:pPr>
        <w:spacing w:after="80" w:line="259" w:lineRule="auto"/>
        <w:outlineLvl w:val="0"/>
        <w:rPr>
          <w:noProof/>
        </w:rPr>
      </w:pPr>
      <w:bookmarkStart w:id="3" w:name="_Toc509950606"/>
      <w:r>
        <w:rPr>
          <w:rFonts w:asciiTheme="majorHAnsi" w:hAnsiTheme="majorHAnsi"/>
          <w:b/>
          <w:color w:val="0070C0"/>
          <w:sz w:val="28"/>
          <w:szCs w:val="28"/>
        </w:rPr>
        <w:lastRenderedPageBreak/>
        <w:t>List</w:t>
      </w:r>
      <w:r w:rsidR="005A6FF4" w:rsidRPr="00C45C55">
        <w:rPr>
          <w:rFonts w:asciiTheme="majorHAnsi" w:hAnsiTheme="majorHAnsi"/>
          <w:b/>
          <w:color w:val="0070C0"/>
          <w:sz w:val="28"/>
          <w:szCs w:val="28"/>
        </w:rPr>
        <w:t xml:space="preserve"> of Tables</w:t>
      </w:r>
      <w:bookmarkEnd w:id="3"/>
      <w:r>
        <w:rPr>
          <w:b/>
          <w:szCs w:val="20"/>
        </w:rPr>
        <w:fldChar w:fldCharType="begin"/>
      </w:r>
      <w:r>
        <w:rPr>
          <w:b/>
          <w:szCs w:val="20"/>
        </w:rPr>
        <w:instrText xml:space="preserve"> TOC \c "Table" </w:instrText>
      </w:r>
      <w:r>
        <w:rPr>
          <w:b/>
          <w:szCs w:val="20"/>
        </w:rPr>
        <w:fldChar w:fldCharType="separate"/>
      </w:r>
    </w:p>
    <w:p w14:paraId="7C3D853F" w14:textId="76A27132" w:rsidR="00E41B8F" w:rsidRDefault="00E41B8F" w:rsidP="00E41B8F">
      <w:pPr>
        <w:pStyle w:val="TableofFigures"/>
        <w:tabs>
          <w:tab w:val="right" w:leader="dot" w:pos="9016"/>
        </w:tabs>
        <w:rPr>
          <w:caps w:val="0"/>
          <w:noProof/>
          <w:sz w:val="24"/>
          <w:szCs w:val="24"/>
          <w:lang w:val="en-US"/>
        </w:rPr>
      </w:pPr>
      <w:r>
        <w:rPr>
          <w:caps w:val="0"/>
          <w:noProof/>
        </w:rPr>
        <w:t>Table 1: Search strategy</w:t>
      </w:r>
      <w:r>
        <w:rPr>
          <w:caps w:val="0"/>
          <w:noProof/>
        </w:rPr>
        <w:tab/>
      </w:r>
      <w:r>
        <w:rPr>
          <w:noProof/>
        </w:rPr>
        <w:fldChar w:fldCharType="begin"/>
      </w:r>
      <w:r>
        <w:rPr>
          <w:noProof/>
        </w:rPr>
        <w:instrText xml:space="preserve"> PAGEREF _Toc509951287 \h </w:instrText>
      </w:r>
      <w:r>
        <w:rPr>
          <w:noProof/>
        </w:rPr>
      </w:r>
      <w:r>
        <w:rPr>
          <w:noProof/>
        </w:rPr>
        <w:fldChar w:fldCharType="separate"/>
      </w:r>
      <w:r w:rsidR="004240AA">
        <w:rPr>
          <w:noProof/>
        </w:rPr>
        <w:t>3</w:t>
      </w:r>
      <w:r>
        <w:rPr>
          <w:noProof/>
        </w:rPr>
        <w:fldChar w:fldCharType="end"/>
      </w:r>
    </w:p>
    <w:p w14:paraId="5F2DABE9" w14:textId="5CBCF7F7" w:rsidR="00E41B8F" w:rsidRDefault="00E41B8F" w:rsidP="00E41B8F">
      <w:pPr>
        <w:pStyle w:val="TableofFigures"/>
        <w:tabs>
          <w:tab w:val="right" w:leader="dot" w:pos="9016"/>
        </w:tabs>
        <w:rPr>
          <w:caps w:val="0"/>
          <w:noProof/>
          <w:sz w:val="24"/>
          <w:szCs w:val="24"/>
          <w:lang w:val="en-US"/>
        </w:rPr>
      </w:pPr>
      <w:r>
        <w:rPr>
          <w:caps w:val="0"/>
          <w:noProof/>
        </w:rPr>
        <w:t>Table 2: Organisations represented in stakeholder interviews</w:t>
      </w:r>
      <w:r>
        <w:rPr>
          <w:noProof/>
        </w:rPr>
        <w:tab/>
      </w:r>
      <w:r>
        <w:rPr>
          <w:noProof/>
        </w:rPr>
        <w:fldChar w:fldCharType="begin"/>
      </w:r>
      <w:r>
        <w:rPr>
          <w:noProof/>
        </w:rPr>
        <w:instrText xml:space="preserve"> PAGEREF _Toc509951288 \h </w:instrText>
      </w:r>
      <w:r>
        <w:rPr>
          <w:noProof/>
        </w:rPr>
      </w:r>
      <w:r>
        <w:rPr>
          <w:noProof/>
        </w:rPr>
        <w:fldChar w:fldCharType="separate"/>
      </w:r>
      <w:r w:rsidR="004240AA">
        <w:rPr>
          <w:noProof/>
        </w:rPr>
        <w:t>5</w:t>
      </w:r>
      <w:r>
        <w:rPr>
          <w:noProof/>
        </w:rPr>
        <w:fldChar w:fldCharType="end"/>
      </w:r>
    </w:p>
    <w:p w14:paraId="7628E461" w14:textId="00C97391" w:rsidR="00E41B8F" w:rsidRDefault="00E41B8F" w:rsidP="00E41B8F">
      <w:pPr>
        <w:pStyle w:val="TableofFigures"/>
        <w:tabs>
          <w:tab w:val="right" w:leader="dot" w:pos="9016"/>
        </w:tabs>
        <w:rPr>
          <w:caps w:val="0"/>
          <w:noProof/>
          <w:sz w:val="24"/>
          <w:szCs w:val="24"/>
          <w:lang w:val="en-US"/>
        </w:rPr>
      </w:pPr>
      <w:r>
        <w:rPr>
          <w:caps w:val="0"/>
          <w:noProof/>
        </w:rPr>
        <w:t>Table 3: Strength of evidence for findings associated with evidence generation</w:t>
      </w:r>
      <w:r>
        <w:rPr>
          <w:caps w:val="0"/>
          <w:noProof/>
        </w:rPr>
        <w:tab/>
      </w:r>
      <w:r>
        <w:rPr>
          <w:noProof/>
        </w:rPr>
        <w:fldChar w:fldCharType="begin"/>
      </w:r>
      <w:r>
        <w:rPr>
          <w:noProof/>
        </w:rPr>
        <w:instrText xml:space="preserve"> PAGEREF _Toc509951289 \h </w:instrText>
      </w:r>
      <w:r>
        <w:rPr>
          <w:noProof/>
        </w:rPr>
      </w:r>
      <w:r>
        <w:rPr>
          <w:noProof/>
        </w:rPr>
        <w:fldChar w:fldCharType="separate"/>
      </w:r>
      <w:r w:rsidR="004240AA">
        <w:rPr>
          <w:noProof/>
        </w:rPr>
        <w:t>15</w:t>
      </w:r>
      <w:r>
        <w:rPr>
          <w:noProof/>
        </w:rPr>
        <w:fldChar w:fldCharType="end"/>
      </w:r>
    </w:p>
    <w:p w14:paraId="19CE5C2B" w14:textId="36995AC0" w:rsidR="00E41B8F" w:rsidRDefault="00E41B8F" w:rsidP="00E41B8F">
      <w:pPr>
        <w:pStyle w:val="TableofFigures"/>
        <w:tabs>
          <w:tab w:val="right" w:leader="dot" w:pos="9016"/>
        </w:tabs>
        <w:rPr>
          <w:caps w:val="0"/>
          <w:noProof/>
          <w:sz w:val="24"/>
          <w:szCs w:val="24"/>
          <w:lang w:val="en-US"/>
        </w:rPr>
      </w:pPr>
      <w:r>
        <w:rPr>
          <w:caps w:val="0"/>
          <w:noProof/>
        </w:rPr>
        <w:t>Table 4: Strength of evidence for findings associated with evidence synthesis</w:t>
      </w:r>
      <w:r>
        <w:rPr>
          <w:caps w:val="0"/>
          <w:noProof/>
        </w:rPr>
        <w:tab/>
      </w:r>
      <w:r>
        <w:rPr>
          <w:noProof/>
        </w:rPr>
        <w:fldChar w:fldCharType="begin"/>
      </w:r>
      <w:r>
        <w:rPr>
          <w:noProof/>
        </w:rPr>
        <w:instrText xml:space="preserve"> PAGEREF _Toc509951290 \h </w:instrText>
      </w:r>
      <w:r>
        <w:rPr>
          <w:noProof/>
        </w:rPr>
      </w:r>
      <w:r>
        <w:rPr>
          <w:noProof/>
        </w:rPr>
        <w:fldChar w:fldCharType="separate"/>
      </w:r>
      <w:r w:rsidR="004240AA">
        <w:rPr>
          <w:noProof/>
        </w:rPr>
        <w:t>21</w:t>
      </w:r>
      <w:r>
        <w:rPr>
          <w:noProof/>
        </w:rPr>
        <w:fldChar w:fldCharType="end"/>
      </w:r>
    </w:p>
    <w:p w14:paraId="1CB2AC13" w14:textId="5FD600A2" w:rsidR="00E41B8F" w:rsidRDefault="00E41B8F" w:rsidP="00E41B8F">
      <w:pPr>
        <w:pStyle w:val="TableofFigures"/>
        <w:tabs>
          <w:tab w:val="right" w:leader="dot" w:pos="9016"/>
        </w:tabs>
        <w:rPr>
          <w:caps w:val="0"/>
          <w:noProof/>
          <w:sz w:val="24"/>
          <w:szCs w:val="24"/>
          <w:lang w:val="en-US"/>
        </w:rPr>
      </w:pPr>
      <w:r>
        <w:rPr>
          <w:caps w:val="0"/>
          <w:noProof/>
        </w:rPr>
        <w:t>Table 5: Strength of evidence for findings associated with knowledge translation and dissemination</w:t>
      </w:r>
      <w:r>
        <w:rPr>
          <w:caps w:val="0"/>
          <w:noProof/>
        </w:rPr>
        <w:tab/>
      </w:r>
      <w:r>
        <w:rPr>
          <w:noProof/>
        </w:rPr>
        <w:fldChar w:fldCharType="begin"/>
      </w:r>
      <w:r>
        <w:rPr>
          <w:noProof/>
        </w:rPr>
        <w:instrText xml:space="preserve"> PAGEREF _Toc509951291 \h </w:instrText>
      </w:r>
      <w:r>
        <w:rPr>
          <w:noProof/>
        </w:rPr>
      </w:r>
      <w:r>
        <w:rPr>
          <w:noProof/>
        </w:rPr>
        <w:fldChar w:fldCharType="separate"/>
      </w:r>
      <w:r w:rsidR="004240AA">
        <w:rPr>
          <w:noProof/>
        </w:rPr>
        <w:t>26</w:t>
      </w:r>
      <w:r>
        <w:rPr>
          <w:noProof/>
        </w:rPr>
        <w:fldChar w:fldCharType="end"/>
      </w:r>
    </w:p>
    <w:p w14:paraId="0D800F33" w14:textId="3A3897A4" w:rsidR="00E41B8F" w:rsidRDefault="00E41B8F" w:rsidP="00E41B8F">
      <w:pPr>
        <w:pStyle w:val="TableofFigures"/>
        <w:tabs>
          <w:tab w:val="right" w:leader="dot" w:pos="9016"/>
        </w:tabs>
        <w:rPr>
          <w:caps w:val="0"/>
          <w:noProof/>
          <w:sz w:val="24"/>
          <w:szCs w:val="24"/>
          <w:lang w:val="en-US"/>
        </w:rPr>
      </w:pPr>
      <w:r>
        <w:rPr>
          <w:caps w:val="0"/>
          <w:noProof/>
        </w:rPr>
        <w:t xml:space="preserve">Table 6: Strength </w:t>
      </w:r>
      <w:bookmarkStart w:id="4" w:name="_GoBack"/>
      <w:bookmarkEnd w:id="4"/>
      <w:r>
        <w:rPr>
          <w:caps w:val="0"/>
          <w:noProof/>
        </w:rPr>
        <w:t>of evidence for findings associated with utilisation</w:t>
      </w:r>
      <w:r>
        <w:rPr>
          <w:caps w:val="0"/>
          <w:noProof/>
        </w:rPr>
        <w:tab/>
      </w:r>
      <w:r>
        <w:rPr>
          <w:noProof/>
        </w:rPr>
        <w:fldChar w:fldCharType="begin"/>
      </w:r>
      <w:r>
        <w:rPr>
          <w:noProof/>
        </w:rPr>
        <w:instrText xml:space="preserve"> PAGEREF _Toc509951292 \h </w:instrText>
      </w:r>
      <w:r>
        <w:rPr>
          <w:noProof/>
        </w:rPr>
      </w:r>
      <w:r>
        <w:rPr>
          <w:noProof/>
        </w:rPr>
        <w:fldChar w:fldCharType="separate"/>
      </w:r>
      <w:r w:rsidR="004240AA">
        <w:rPr>
          <w:noProof/>
        </w:rPr>
        <w:t>31</w:t>
      </w:r>
      <w:r>
        <w:rPr>
          <w:noProof/>
        </w:rPr>
        <w:fldChar w:fldCharType="end"/>
      </w:r>
    </w:p>
    <w:p w14:paraId="04D3D725" w14:textId="2D9079C0" w:rsidR="00E41B8F" w:rsidRDefault="00E41B8F" w:rsidP="00E41B8F">
      <w:pPr>
        <w:pStyle w:val="TableofFigures"/>
        <w:tabs>
          <w:tab w:val="right" w:leader="dot" w:pos="9016"/>
        </w:tabs>
        <w:rPr>
          <w:caps w:val="0"/>
          <w:noProof/>
          <w:sz w:val="24"/>
          <w:szCs w:val="24"/>
          <w:lang w:val="en-US"/>
        </w:rPr>
      </w:pPr>
      <w:r>
        <w:rPr>
          <w:caps w:val="0"/>
          <w:noProof/>
        </w:rPr>
        <w:t>Table 7: Summary of synthesis findings</w:t>
      </w:r>
      <w:r>
        <w:rPr>
          <w:caps w:val="0"/>
          <w:noProof/>
        </w:rPr>
        <w:tab/>
      </w:r>
      <w:r>
        <w:rPr>
          <w:noProof/>
        </w:rPr>
        <w:fldChar w:fldCharType="begin"/>
      </w:r>
      <w:r>
        <w:rPr>
          <w:noProof/>
        </w:rPr>
        <w:instrText xml:space="preserve"> PAGEREF _Toc509951293 \h </w:instrText>
      </w:r>
      <w:r>
        <w:rPr>
          <w:noProof/>
        </w:rPr>
      </w:r>
      <w:r>
        <w:rPr>
          <w:noProof/>
        </w:rPr>
        <w:fldChar w:fldCharType="separate"/>
      </w:r>
      <w:r w:rsidR="004240AA">
        <w:rPr>
          <w:noProof/>
        </w:rPr>
        <w:t>34</w:t>
      </w:r>
      <w:r>
        <w:rPr>
          <w:noProof/>
        </w:rPr>
        <w:fldChar w:fldCharType="end"/>
      </w:r>
    </w:p>
    <w:p w14:paraId="4DF16215" w14:textId="39D6FF2A" w:rsidR="00E41B8F" w:rsidRDefault="00E41B8F" w:rsidP="00E41B8F">
      <w:pPr>
        <w:pStyle w:val="TableofFigures"/>
        <w:tabs>
          <w:tab w:val="right" w:leader="dot" w:pos="9016"/>
        </w:tabs>
        <w:rPr>
          <w:caps w:val="0"/>
          <w:noProof/>
          <w:sz w:val="24"/>
          <w:szCs w:val="24"/>
          <w:lang w:val="en-US"/>
        </w:rPr>
      </w:pPr>
      <w:r>
        <w:rPr>
          <w:caps w:val="0"/>
          <w:noProof/>
        </w:rPr>
        <w:t>Ta</w:t>
      </w:r>
      <w:r w:rsidR="00EF5866">
        <w:rPr>
          <w:caps w:val="0"/>
          <w:noProof/>
        </w:rPr>
        <w:t>ble 8: Operational funds via EEF</w:t>
      </w:r>
      <w:r>
        <w:rPr>
          <w:caps w:val="0"/>
          <w:noProof/>
        </w:rPr>
        <w:t xml:space="preserve"> trust partners</w:t>
      </w:r>
      <w:r>
        <w:rPr>
          <w:caps w:val="0"/>
          <w:noProof/>
        </w:rPr>
        <w:tab/>
      </w:r>
      <w:r>
        <w:rPr>
          <w:noProof/>
        </w:rPr>
        <w:fldChar w:fldCharType="begin"/>
      </w:r>
      <w:r>
        <w:rPr>
          <w:noProof/>
        </w:rPr>
        <w:instrText xml:space="preserve"> PAGEREF _Toc509951294 \h </w:instrText>
      </w:r>
      <w:r>
        <w:rPr>
          <w:noProof/>
        </w:rPr>
      </w:r>
      <w:r>
        <w:rPr>
          <w:noProof/>
        </w:rPr>
        <w:fldChar w:fldCharType="separate"/>
      </w:r>
      <w:r w:rsidR="004240AA">
        <w:rPr>
          <w:noProof/>
        </w:rPr>
        <w:t>42</w:t>
      </w:r>
      <w:r>
        <w:rPr>
          <w:noProof/>
        </w:rPr>
        <w:fldChar w:fldCharType="end"/>
      </w:r>
    </w:p>
    <w:p w14:paraId="404CAFF2" w14:textId="5D7759B3" w:rsidR="00E41B8F" w:rsidRDefault="00E41B8F" w:rsidP="00E41B8F">
      <w:pPr>
        <w:pStyle w:val="TableofFigures"/>
        <w:tabs>
          <w:tab w:val="right" w:leader="dot" w:pos="9016"/>
        </w:tabs>
        <w:rPr>
          <w:caps w:val="0"/>
          <w:noProof/>
          <w:sz w:val="24"/>
          <w:szCs w:val="24"/>
          <w:lang w:val="en-US"/>
        </w:rPr>
      </w:pPr>
      <w:r>
        <w:rPr>
          <w:caps w:val="0"/>
          <w:noProof/>
        </w:rPr>
        <w:t>Table 9: Funding for aitsl in response to temag</w:t>
      </w:r>
      <w:r>
        <w:rPr>
          <w:caps w:val="0"/>
          <w:noProof/>
        </w:rPr>
        <w:tab/>
      </w:r>
      <w:r>
        <w:rPr>
          <w:noProof/>
        </w:rPr>
        <w:fldChar w:fldCharType="begin"/>
      </w:r>
      <w:r>
        <w:rPr>
          <w:noProof/>
        </w:rPr>
        <w:instrText xml:space="preserve"> PAGEREF _Toc509951295 \h </w:instrText>
      </w:r>
      <w:r>
        <w:rPr>
          <w:noProof/>
        </w:rPr>
      </w:r>
      <w:r>
        <w:rPr>
          <w:noProof/>
        </w:rPr>
        <w:fldChar w:fldCharType="separate"/>
      </w:r>
      <w:r w:rsidR="004240AA">
        <w:rPr>
          <w:noProof/>
        </w:rPr>
        <w:t>43</w:t>
      </w:r>
      <w:r>
        <w:rPr>
          <w:noProof/>
        </w:rPr>
        <w:fldChar w:fldCharType="end"/>
      </w:r>
    </w:p>
    <w:p w14:paraId="5906BB77" w14:textId="456F11F4" w:rsidR="00E41B8F" w:rsidRDefault="00E41B8F" w:rsidP="00E41B8F">
      <w:pPr>
        <w:pStyle w:val="TableofFigures"/>
        <w:tabs>
          <w:tab w:val="right" w:leader="dot" w:pos="9016"/>
        </w:tabs>
        <w:rPr>
          <w:caps w:val="0"/>
          <w:noProof/>
          <w:sz w:val="24"/>
          <w:szCs w:val="24"/>
          <w:lang w:val="en-US"/>
        </w:rPr>
      </w:pPr>
      <w:r>
        <w:rPr>
          <w:caps w:val="0"/>
          <w:noProof/>
        </w:rPr>
        <w:t>Table 10: Australian government budget 2017-18: acara</w:t>
      </w:r>
      <w:r>
        <w:rPr>
          <w:caps w:val="0"/>
          <w:noProof/>
        </w:rPr>
        <w:tab/>
      </w:r>
      <w:r>
        <w:rPr>
          <w:noProof/>
        </w:rPr>
        <w:fldChar w:fldCharType="begin"/>
      </w:r>
      <w:r>
        <w:rPr>
          <w:noProof/>
        </w:rPr>
        <w:instrText xml:space="preserve"> PAGEREF _Toc509951296 \h </w:instrText>
      </w:r>
      <w:r>
        <w:rPr>
          <w:noProof/>
        </w:rPr>
      </w:r>
      <w:r>
        <w:rPr>
          <w:noProof/>
        </w:rPr>
        <w:fldChar w:fldCharType="separate"/>
      </w:r>
      <w:r w:rsidR="004240AA">
        <w:rPr>
          <w:noProof/>
        </w:rPr>
        <w:t>43</w:t>
      </w:r>
      <w:r>
        <w:rPr>
          <w:noProof/>
        </w:rPr>
        <w:fldChar w:fldCharType="end"/>
      </w:r>
    </w:p>
    <w:p w14:paraId="7252BB4A" w14:textId="06228941" w:rsidR="00E41B8F" w:rsidRDefault="00E41B8F" w:rsidP="00E41B8F">
      <w:pPr>
        <w:pStyle w:val="TableofFigures"/>
        <w:tabs>
          <w:tab w:val="right" w:leader="dot" w:pos="9016"/>
        </w:tabs>
        <w:rPr>
          <w:caps w:val="0"/>
          <w:noProof/>
          <w:sz w:val="24"/>
          <w:szCs w:val="24"/>
          <w:lang w:val="en-US"/>
        </w:rPr>
      </w:pPr>
      <w:r>
        <w:rPr>
          <w:caps w:val="0"/>
          <w:noProof/>
        </w:rPr>
        <w:t>Table 11: Australian government budget 2017-18: aitsl</w:t>
      </w:r>
      <w:r>
        <w:rPr>
          <w:caps w:val="0"/>
          <w:noProof/>
        </w:rPr>
        <w:tab/>
      </w:r>
      <w:r>
        <w:rPr>
          <w:noProof/>
        </w:rPr>
        <w:fldChar w:fldCharType="begin"/>
      </w:r>
      <w:r>
        <w:rPr>
          <w:noProof/>
        </w:rPr>
        <w:instrText xml:space="preserve"> PAGEREF _Toc509951297 \h </w:instrText>
      </w:r>
      <w:r>
        <w:rPr>
          <w:noProof/>
        </w:rPr>
      </w:r>
      <w:r>
        <w:rPr>
          <w:noProof/>
        </w:rPr>
        <w:fldChar w:fldCharType="separate"/>
      </w:r>
      <w:r w:rsidR="004240AA">
        <w:rPr>
          <w:noProof/>
        </w:rPr>
        <w:t>44</w:t>
      </w:r>
      <w:r>
        <w:rPr>
          <w:noProof/>
        </w:rPr>
        <w:fldChar w:fldCharType="end"/>
      </w:r>
    </w:p>
    <w:p w14:paraId="6AE7F7C6" w14:textId="4DF52564" w:rsidR="00E41B8F" w:rsidRDefault="00E41B8F" w:rsidP="00E41B8F">
      <w:pPr>
        <w:pStyle w:val="TableofFigures"/>
        <w:tabs>
          <w:tab w:val="right" w:leader="dot" w:pos="9016"/>
        </w:tabs>
        <w:rPr>
          <w:caps w:val="0"/>
          <w:noProof/>
          <w:sz w:val="24"/>
          <w:szCs w:val="24"/>
          <w:lang w:val="en-US"/>
        </w:rPr>
      </w:pPr>
      <w:r>
        <w:rPr>
          <w:caps w:val="0"/>
          <w:noProof/>
        </w:rPr>
        <w:t>Table 12: Australian government budget 2017-18: arc</w:t>
      </w:r>
      <w:r>
        <w:rPr>
          <w:caps w:val="0"/>
          <w:noProof/>
        </w:rPr>
        <w:tab/>
      </w:r>
      <w:r>
        <w:rPr>
          <w:noProof/>
        </w:rPr>
        <w:fldChar w:fldCharType="begin"/>
      </w:r>
      <w:r>
        <w:rPr>
          <w:noProof/>
        </w:rPr>
        <w:instrText xml:space="preserve"> PAGEREF _Toc509951298 \h </w:instrText>
      </w:r>
      <w:r>
        <w:rPr>
          <w:noProof/>
        </w:rPr>
      </w:r>
      <w:r>
        <w:rPr>
          <w:noProof/>
        </w:rPr>
        <w:fldChar w:fldCharType="separate"/>
      </w:r>
      <w:r w:rsidR="004240AA">
        <w:rPr>
          <w:noProof/>
        </w:rPr>
        <w:t>44</w:t>
      </w:r>
      <w:r>
        <w:rPr>
          <w:noProof/>
        </w:rPr>
        <w:fldChar w:fldCharType="end"/>
      </w:r>
    </w:p>
    <w:p w14:paraId="6019445D" w14:textId="617D1CC7" w:rsidR="00E41B8F" w:rsidRDefault="00E41B8F" w:rsidP="00E41B8F">
      <w:pPr>
        <w:pStyle w:val="TableofFigures"/>
        <w:tabs>
          <w:tab w:val="right" w:leader="dot" w:pos="9016"/>
        </w:tabs>
        <w:rPr>
          <w:caps w:val="0"/>
          <w:noProof/>
          <w:sz w:val="24"/>
          <w:szCs w:val="24"/>
          <w:lang w:val="en-US"/>
        </w:rPr>
      </w:pPr>
      <w:r>
        <w:rPr>
          <w:caps w:val="0"/>
          <w:noProof/>
        </w:rPr>
        <w:t>Table 13: Suggested costs of needs-analysis/environmental forecasting</w:t>
      </w:r>
      <w:r>
        <w:rPr>
          <w:caps w:val="0"/>
          <w:noProof/>
        </w:rPr>
        <w:tab/>
      </w:r>
      <w:r>
        <w:rPr>
          <w:noProof/>
        </w:rPr>
        <w:fldChar w:fldCharType="begin"/>
      </w:r>
      <w:r>
        <w:rPr>
          <w:noProof/>
        </w:rPr>
        <w:instrText xml:space="preserve"> PAGEREF _Toc509951299 \h </w:instrText>
      </w:r>
      <w:r>
        <w:rPr>
          <w:noProof/>
        </w:rPr>
      </w:r>
      <w:r>
        <w:rPr>
          <w:noProof/>
        </w:rPr>
        <w:fldChar w:fldCharType="separate"/>
      </w:r>
      <w:r w:rsidR="004240AA">
        <w:rPr>
          <w:noProof/>
        </w:rPr>
        <w:t>45</w:t>
      </w:r>
      <w:r>
        <w:rPr>
          <w:noProof/>
        </w:rPr>
        <w:fldChar w:fldCharType="end"/>
      </w:r>
    </w:p>
    <w:p w14:paraId="4460911B" w14:textId="1C1E20BC" w:rsidR="00E41B8F" w:rsidRDefault="00E41B8F" w:rsidP="00E41B8F">
      <w:pPr>
        <w:pStyle w:val="TableofFigures"/>
        <w:tabs>
          <w:tab w:val="right" w:leader="dot" w:pos="9016"/>
        </w:tabs>
        <w:rPr>
          <w:caps w:val="0"/>
          <w:noProof/>
          <w:sz w:val="24"/>
          <w:szCs w:val="24"/>
          <w:lang w:val="en-US"/>
        </w:rPr>
      </w:pPr>
      <w:r>
        <w:rPr>
          <w:caps w:val="0"/>
          <w:noProof/>
        </w:rPr>
        <w:t>Table 15: Summary of reviewed literature</w:t>
      </w:r>
      <w:r>
        <w:rPr>
          <w:noProof/>
        </w:rPr>
        <w:tab/>
      </w:r>
      <w:r>
        <w:rPr>
          <w:noProof/>
        </w:rPr>
        <w:fldChar w:fldCharType="begin"/>
      </w:r>
      <w:r>
        <w:rPr>
          <w:noProof/>
        </w:rPr>
        <w:instrText xml:space="preserve"> PAGEREF _Toc509951300 \h </w:instrText>
      </w:r>
      <w:r>
        <w:rPr>
          <w:noProof/>
        </w:rPr>
      </w:r>
      <w:r>
        <w:rPr>
          <w:noProof/>
        </w:rPr>
        <w:fldChar w:fldCharType="separate"/>
      </w:r>
      <w:r w:rsidR="004240AA">
        <w:rPr>
          <w:noProof/>
        </w:rPr>
        <w:t>72</w:t>
      </w:r>
      <w:r>
        <w:rPr>
          <w:noProof/>
        </w:rPr>
        <w:fldChar w:fldCharType="end"/>
      </w:r>
    </w:p>
    <w:p w14:paraId="47AB932C" w14:textId="3AE6264B" w:rsidR="00E41B8F" w:rsidRDefault="00E41B8F" w:rsidP="00E41B8F">
      <w:pPr>
        <w:pStyle w:val="TableofFigures"/>
        <w:tabs>
          <w:tab w:val="right" w:leader="dot" w:pos="9016"/>
        </w:tabs>
        <w:rPr>
          <w:caps w:val="0"/>
          <w:noProof/>
          <w:sz w:val="24"/>
          <w:szCs w:val="24"/>
          <w:lang w:val="en-US"/>
        </w:rPr>
      </w:pPr>
      <w:r>
        <w:rPr>
          <w:caps w:val="0"/>
          <w:noProof/>
        </w:rPr>
        <w:t>Table 16: Summary of reviewed grey literature</w:t>
      </w:r>
      <w:r>
        <w:rPr>
          <w:caps w:val="0"/>
          <w:noProof/>
        </w:rPr>
        <w:tab/>
      </w:r>
      <w:r>
        <w:rPr>
          <w:noProof/>
        </w:rPr>
        <w:fldChar w:fldCharType="begin"/>
      </w:r>
      <w:r>
        <w:rPr>
          <w:noProof/>
        </w:rPr>
        <w:instrText xml:space="preserve"> PAGEREF _Toc509951301 \h </w:instrText>
      </w:r>
      <w:r>
        <w:rPr>
          <w:noProof/>
        </w:rPr>
      </w:r>
      <w:r>
        <w:rPr>
          <w:noProof/>
        </w:rPr>
        <w:fldChar w:fldCharType="separate"/>
      </w:r>
      <w:r w:rsidR="004240AA">
        <w:rPr>
          <w:noProof/>
        </w:rPr>
        <w:t>84</w:t>
      </w:r>
      <w:r>
        <w:rPr>
          <w:noProof/>
        </w:rPr>
        <w:fldChar w:fldCharType="end"/>
      </w:r>
    </w:p>
    <w:p w14:paraId="2D07BC55" w14:textId="29F81211" w:rsidR="0093470E" w:rsidRPr="00C45C55" w:rsidRDefault="00E833DA" w:rsidP="00494FAB">
      <w:pPr>
        <w:pStyle w:val="Heading1"/>
      </w:pPr>
      <w:r>
        <w:rPr>
          <w:szCs w:val="20"/>
        </w:rPr>
        <w:fldChar w:fldCharType="end"/>
      </w:r>
      <w:bookmarkStart w:id="5" w:name="_Toc509950607"/>
      <w:r w:rsidR="005A6FF4" w:rsidRPr="00C45C55">
        <w:t>Abbreviations</w:t>
      </w:r>
      <w:bookmarkEnd w:id="5"/>
    </w:p>
    <w:tbl>
      <w:tblPr>
        <w:tblW w:w="0" w:type="auto"/>
        <w:tblLook w:val="04A0" w:firstRow="1" w:lastRow="0" w:firstColumn="1" w:lastColumn="0" w:noHBand="0" w:noVBand="1"/>
      </w:tblPr>
      <w:tblGrid>
        <w:gridCol w:w="1271"/>
        <w:gridCol w:w="7745"/>
      </w:tblGrid>
      <w:tr w:rsidR="0093470E" w:rsidRPr="00E16853" w14:paraId="145CED3A" w14:textId="77777777" w:rsidTr="007674CF">
        <w:tc>
          <w:tcPr>
            <w:tcW w:w="1271" w:type="dxa"/>
          </w:tcPr>
          <w:p w14:paraId="1CD0CF9D" w14:textId="77777777" w:rsidR="0093470E" w:rsidRPr="00E16853" w:rsidRDefault="0093470E" w:rsidP="007674CF">
            <w:pPr>
              <w:pStyle w:val="NoSpacing"/>
            </w:pPr>
            <w:r w:rsidRPr="00E16853">
              <w:t xml:space="preserve">ACARA </w:t>
            </w:r>
          </w:p>
        </w:tc>
        <w:tc>
          <w:tcPr>
            <w:tcW w:w="7745" w:type="dxa"/>
          </w:tcPr>
          <w:p w14:paraId="11B97F7F" w14:textId="77777777" w:rsidR="0093470E" w:rsidRPr="00E16853" w:rsidRDefault="0093470E" w:rsidP="007674CF">
            <w:pPr>
              <w:pStyle w:val="NoSpacing"/>
            </w:pPr>
            <w:r w:rsidRPr="00E16853">
              <w:t>Australian Curriculum Assessment and Reporting Authority</w:t>
            </w:r>
          </w:p>
        </w:tc>
      </w:tr>
      <w:tr w:rsidR="00851E3E" w:rsidRPr="00E16853" w14:paraId="24705435" w14:textId="77777777" w:rsidTr="007674CF">
        <w:tc>
          <w:tcPr>
            <w:tcW w:w="1271" w:type="dxa"/>
          </w:tcPr>
          <w:p w14:paraId="4C05857D" w14:textId="77777777" w:rsidR="00851E3E" w:rsidRPr="00E16853" w:rsidRDefault="00851E3E" w:rsidP="007674CF">
            <w:pPr>
              <w:pStyle w:val="NoSpacing"/>
            </w:pPr>
            <w:r>
              <w:t>AACODS</w:t>
            </w:r>
          </w:p>
        </w:tc>
        <w:tc>
          <w:tcPr>
            <w:tcW w:w="7745" w:type="dxa"/>
          </w:tcPr>
          <w:p w14:paraId="0ADEE7D4" w14:textId="77777777" w:rsidR="00851E3E" w:rsidRPr="00E16853" w:rsidRDefault="00851E3E" w:rsidP="007674CF">
            <w:pPr>
              <w:pStyle w:val="NoSpacing"/>
            </w:pPr>
            <w:r>
              <w:t>Authority, accuracy, coverage, objectivity, date and significance</w:t>
            </w:r>
          </w:p>
        </w:tc>
      </w:tr>
      <w:tr w:rsidR="0093470E" w:rsidRPr="00E16853" w14:paraId="2223B3B3" w14:textId="77777777" w:rsidTr="007674CF">
        <w:tc>
          <w:tcPr>
            <w:tcW w:w="1271" w:type="dxa"/>
          </w:tcPr>
          <w:p w14:paraId="045B44D5" w14:textId="77777777" w:rsidR="0093470E" w:rsidRPr="00E16853" w:rsidRDefault="0093470E" w:rsidP="007674CF">
            <w:pPr>
              <w:pStyle w:val="NoSpacing"/>
            </w:pPr>
            <w:r w:rsidRPr="00E16853">
              <w:t>ACER</w:t>
            </w:r>
          </w:p>
        </w:tc>
        <w:tc>
          <w:tcPr>
            <w:tcW w:w="7745" w:type="dxa"/>
          </w:tcPr>
          <w:p w14:paraId="3C6C4F1C" w14:textId="77777777" w:rsidR="0093470E" w:rsidRPr="00E16853" w:rsidRDefault="0093470E" w:rsidP="007674CF">
            <w:pPr>
              <w:pStyle w:val="NoSpacing"/>
            </w:pPr>
            <w:r w:rsidRPr="00E16853">
              <w:t>Australian Council for Educational Research</w:t>
            </w:r>
          </w:p>
        </w:tc>
      </w:tr>
      <w:tr w:rsidR="0093470E" w:rsidRPr="00E16853" w14:paraId="0F90000B" w14:textId="77777777" w:rsidTr="007674CF">
        <w:tc>
          <w:tcPr>
            <w:tcW w:w="1271" w:type="dxa"/>
          </w:tcPr>
          <w:p w14:paraId="4EB19B4A" w14:textId="77777777" w:rsidR="0093470E" w:rsidRPr="00E16853" w:rsidRDefault="0093470E" w:rsidP="007674CF">
            <w:pPr>
              <w:pStyle w:val="NoSpacing"/>
            </w:pPr>
            <w:r w:rsidRPr="00E16853">
              <w:t>AITSL</w:t>
            </w:r>
          </w:p>
        </w:tc>
        <w:tc>
          <w:tcPr>
            <w:tcW w:w="7745" w:type="dxa"/>
          </w:tcPr>
          <w:p w14:paraId="0E9F47BE" w14:textId="77777777" w:rsidR="0093470E" w:rsidRPr="00E16853" w:rsidRDefault="0093470E" w:rsidP="007674CF">
            <w:pPr>
              <w:pStyle w:val="NoSpacing"/>
            </w:pPr>
            <w:r w:rsidRPr="00E16853">
              <w:t>Australian Institute of Teaching and School Leadership</w:t>
            </w:r>
          </w:p>
        </w:tc>
      </w:tr>
      <w:tr w:rsidR="0093470E" w:rsidRPr="00E16853" w14:paraId="13D4C838" w14:textId="77777777" w:rsidTr="007674CF">
        <w:tc>
          <w:tcPr>
            <w:tcW w:w="1271" w:type="dxa"/>
          </w:tcPr>
          <w:p w14:paraId="225E6C6E" w14:textId="77777777" w:rsidR="0093470E" w:rsidRPr="00E16853" w:rsidRDefault="0093470E" w:rsidP="007674CF">
            <w:pPr>
              <w:pStyle w:val="NoSpacing"/>
            </w:pPr>
            <w:r w:rsidRPr="00E16853">
              <w:t>CONSORT</w:t>
            </w:r>
          </w:p>
        </w:tc>
        <w:tc>
          <w:tcPr>
            <w:tcW w:w="7745" w:type="dxa"/>
          </w:tcPr>
          <w:p w14:paraId="1B7287E9" w14:textId="77777777" w:rsidR="0093470E" w:rsidRPr="00E16853" w:rsidRDefault="0093470E" w:rsidP="007674CF">
            <w:pPr>
              <w:pStyle w:val="NoSpacing"/>
            </w:pPr>
            <w:r w:rsidRPr="00E16853">
              <w:t>Consolidated Standards of Reporting Trials</w:t>
            </w:r>
          </w:p>
        </w:tc>
      </w:tr>
      <w:tr w:rsidR="001F1637" w:rsidRPr="00E16853" w14:paraId="0EB7C55B" w14:textId="77777777" w:rsidTr="007674CF">
        <w:tc>
          <w:tcPr>
            <w:tcW w:w="1271" w:type="dxa"/>
          </w:tcPr>
          <w:p w14:paraId="6511C643" w14:textId="77777777" w:rsidR="001F1637" w:rsidRPr="00E16853" w:rsidRDefault="001F1637" w:rsidP="007674CF">
            <w:pPr>
              <w:pStyle w:val="NoSpacing"/>
            </w:pPr>
            <w:r>
              <w:t>EBP</w:t>
            </w:r>
          </w:p>
        </w:tc>
        <w:tc>
          <w:tcPr>
            <w:tcW w:w="7745" w:type="dxa"/>
          </w:tcPr>
          <w:p w14:paraId="75EFE1D6" w14:textId="77777777" w:rsidR="001F1637" w:rsidRPr="00E16853" w:rsidRDefault="001F1637" w:rsidP="007674CF">
            <w:pPr>
              <w:pStyle w:val="NoSpacing"/>
            </w:pPr>
            <w:r>
              <w:t>Evidence-based practice</w:t>
            </w:r>
          </w:p>
        </w:tc>
      </w:tr>
      <w:tr w:rsidR="0093470E" w:rsidRPr="00E16853" w14:paraId="6B05A643" w14:textId="77777777" w:rsidTr="007674CF">
        <w:tc>
          <w:tcPr>
            <w:tcW w:w="1271" w:type="dxa"/>
          </w:tcPr>
          <w:p w14:paraId="3B1AFC37" w14:textId="77777777" w:rsidR="0093470E" w:rsidRPr="00E16853" w:rsidRDefault="0093470E" w:rsidP="007674CF">
            <w:pPr>
              <w:pStyle w:val="NoSpacing"/>
            </w:pPr>
            <w:r w:rsidRPr="00E16853">
              <w:t>EEF</w:t>
            </w:r>
          </w:p>
        </w:tc>
        <w:tc>
          <w:tcPr>
            <w:tcW w:w="7745" w:type="dxa"/>
          </w:tcPr>
          <w:p w14:paraId="154AA0C0" w14:textId="77777777" w:rsidR="0093470E" w:rsidRPr="00E16853" w:rsidRDefault="0093470E" w:rsidP="007674CF">
            <w:pPr>
              <w:pStyle w:val="NoSpacing"/>
            </w:pPr>
            <w:r w:rsidRPr="00E16853">
              <w:t>Education Endowment Foundation</w:t>
            </w:r>
          </w:p>
        </w:tc>
      </w:tr>
      <w:tr w:rsidR="00851E3E" w:rsidRPr="00E16853" w14:paraId="0DAB0D05" w14:textId="77777777" w:rsidTr="007674CF">
        <w:tc>
          <w:tcPr>
            <w:tcW w:w="1271" w:type="dxa"/>
          </w:tcPr>
          <w:p w14:paraId="52C8413D" w14:textId="77777777" w:rsidR="00851E3E" w:rsidRPr="00E16853" w:rsidRDefault="00851E3E" w:rsidP="007674CF">
            <w:pPr>
              <w:pStyle w:val="NoSpacing"/>
            </w:pPr>
            <w:r>
              <w:t>EIDM</w:t>
            </w:r>
          </w:p>
        </w:tc>
        <w:tc>
          <w:tcPr>
            <w:tcW w:w="7745" w:type="dxa"/>
          </w:tcPr>
          <w:p w14:paraId="677BA663" w14:textId="77777777" w:rsidR="00851E3E" w:rsidRPr="00E16853" w:rsidRDefault="00851E3E" w:rsidP="007674CF">
            <w:pPr>
              <w:pStyle w:val="NoSpacing"/>
            </w:pPr>
            <w:r>
              <w:t>Evidence-informed decision making</w:t>
            </w:r>
          </w:p>
        </w:tc>
      </w:tr>
      <w:tr w:rsidR="001F1637" w:rsidRPr="00E16853" w14:paraId="271AB9C9" w14:textId="77777777" w:rsidTr="007674CF">
        <w:tc>
          <w:tcPr>
            <w:tcW w:w="1271" w:type="dxa"/>
          </w:tcPr>
          <w:p w14:paraId="761F1F40" w14:textId="77777777" w:rsidR="001F1637" w:rsidRPr="00E16853" w:rsidRDefault="001F1637" w:rsidP="007674CF">
            <w:pPr>
              <w:pStyle w:val="NoSpacing"/>
            </w:pPr>
            <w:r>
              <w:t>EIP</w:t>
            </w:r>
          </w:p>
        </w:tc>
        <w:tc>
          <w:tcPr>
            <w:tcW w:w="7745" w:type="dxa"/>
          </w:tcPr>
          <w:p w14:paraId="22FEE16C" w14:textId="77777777" w:rsidR="001F1637" w:rsidRPr="00E16853" w:rsidRDefault="001F1637" w:rsidP="007674CF">
            <w:pPr>
              <w:pStyle w:val="NoSpacing"/>
            </w:pPr>
            <w:r>
              <w:t>Evidence-informed practice</w:t>
            </w:r>
          </w:p>
        </w:tc>
      </w:tr>
      <w:tr w:rsidR="00851E3E" w:rsidRPr="00E16853" w14:paraId="0D3790B9" w14:textId="77777777" w:rsidTr="007674CF">
        <w:tc>
          <w:tcPr>
            <w:tcW w:w="1271" w:type="dxa"/>
          </w:tcPr>
          <w:p w14:paraId="47562DC9" w14:textId="77777777" w:rsidR="00851E3E" w:rsidRDefault="00851E3E" w:rsidP="007674CF">
            <w:pPr>
              <w:pStyle w:val="NoSpacing"/>
            </w:pPr>
            <w:r>
              <w:t>ESM</w:t>
            </w:r>
          </w:p>
        </w:tc>
        <w:tc>
          <w:tcPr>
            <w:tcW w:w="7745" w:type="dxa"/>
          </w:tcPr>
          <w:p w14:paraId="502742B9" w14:textId="77777777" w:rsidR="00851E3E" w:rsidRDefault="00851E3E" w:rsidP="007674CF">
            <w:pPr>
              <w:pStyle w:val="NoSpacing"/>
            </w:pPr>
            <w:r>
              <w:t>Effective strategies manuals</w:t>
            </w:r>
          </w:p>
        </w:tc>
      </w:tr>
      <w:tr w:rsidR="00851E3E" w:rsidRPr="00E16853" w14:paraId="70F3B6C4" w14:textId="77777777" w:rsidTr="007674CF">
        <w:tc>
          <w:tcPr>
            <w:tcW w:w="1271" w:type="dxa"/>
          </w:tcPr>
          <w:p w14:paraId="27B7B0B2" w14:textId="77777777" w:rsidR="00851E3E" w:rsidRDefault="00851E3E" w:rsidP="007674CF">
            <w:pPr>
              <w:pStyle w:val="NoSpacing"/>
            </w:pPr>
            <w:r>
              <w:t>MCRI</w:t>
            </w:r>
          </w:p>
        </w:tc>
        <w:tc>
          <w:tcPr>
            <w:tcW w:w="7745" w:type="dxa"/>
          </w:tcPr>
          <w:p w14:paraId="4D026BF0" w14:textId="55D83A08" w:rsidR="00851E3E" w:rsidRDefault="00851E3E" w:rsidP="007674CF">
            <w:pPr>
              <w:pStyle w:val="NoSpacing"/>
            </w:pPr>
            <w:r>
              <w:t xml:space="preserve">Murdoch </w:t>
            </w:r>
            <w:r w:rsidR="00C45C55">
              <w:t>Children’s</w:t>
            </w:r>
            <w:r>
              <w:t xml:space="preserve"> Research Institute</w:t>
            </w:r>
          </w:p>
        </w:tc>
      </w:tr>
      <w:tr w:rsidR="00851E3E" w:rsidRPr="00E16853" w14:paraId="7F0E55FB" w14:textId="77777777" w:rsidTr="007674CF">
        <w:tc>
          <w:tcPr>
            <w:tcW w:w="1271" w:type="dxa"/>
          </w:tcPr>
          <w:p w14:paraId="50B78293" w14:textId="77777777" w:rsidR="00851E3E" w:rsidRPr="00E16853" w:rsidRDefault="00851E3E" w:rsidP="007674CF">
            <w:pPr>
              <w:pStyle w:val="NoSpacing"/>
            </w:pPr>
            <w:r>
              <w:t>NAPLAN</w:t>
            </w:r>
          </w:p>
        </w:tc>
        <w:tc>
          <w:tcPr>
            <w:tcW w:w="7745" w:type="dxa"/>
          </w:tcPr>
          <w:p w14:paraId="2B192788" w14:textId="77777777" w:rsidR="00851E3E" w:rsidRPr="00E16853" w:rsidRDefault="00851E3E" w:rsidP="007674CF">
            <w:pPr>
              <w:pStyle w:val="NoSpacing"/>
            </w:pPr>
            <w:r>
              <w:t>National Assessment Plan -PRS Literacy and Numeracy</w:t>
            </w:r>
          </w:p>
        </w:tc>
      </w:tr>
      <w:tr w:rsidR="0093470E" w:rsidRPr="00E16853" w14:paraId="7F9656B3" w14:textId="77777777" w:rsidTr="007674CF">
        <w:tc>
          <w:tcPr>
            <w:tcW w:w="1271" w:type="dxa"/>
          </w:tcPr>
          <w:p w14:paraId="64058C9F" w14:textId="77777777" w:rsidR="0093470E" w:rsidRPr="00E16853" w:rsidRDefault="0093470E" w:rsidP="007674CF">
            <w:pPr>
              <w:pStyle w:val="NoSpacing"/>
            </w:pPr>
            <w:r w:rsidRPr="00E16853">
              <w:t>NICE</w:t>
            </w:r>
          </w:p>
        </w:tc>
        <w:tc>
          <w:tcPr>
            <w:tcW w:w="7745" w:type="dxa"/>
          </w:tcPr>
          <w:p w14:paraId="43F09524" w14:textId="77777777" w:rsidR="0093470E" w:rsidRPr="00E16853" w:rsidRDefault="0093470E" w:rsidP="007674CF">
            <w:pPr>
              <w:pStyle w:val="NoSpacing"/>
            </w:pPr>
            <w:r w:rsidRPr="00E16853">
              <w:t>National Institute for Health Care Excellence</w:t>
            </w:r>
          </w:p>
        </w:tc>
      </w:tr>
      <w:tr w:rsidR="0093470E" w:rsidRPr="00E16853" w14:paraId="4C160A1F" w14:textId="77777777" w:rsidTr="007674CF">
        <w:tc>
          <w:tcPr>
            <w:tcW w:w="1271" w:type="dxa"/>
          </w:tcPr>
          <w:p w14:paraId="4588FBF3" w14:textId="77777777" w:rsidR="0093470E" w:rsidRPr="00E16853" w:rsidRDefault="0093470E" w:rsidP="007674CF">
            <w:pPr>
              <w:pStyle w:val="NoSpacing"/>
            </w:pPr>
            <w:r w:rsidRPr="00E16853">
              <w:t>OECD</w:t>
            </w:r>
          </w:p>
        </w:tc>
        <w:tc>
          <w:tcPr>
            <w:tcW w:w="7745" w:type="dxa"/>
          </w:tcPr>
          <w:p w14:paraId="33367AE9" w14:textId="77777777" w:rsidR="0093470E" w:rsidRPr="00E16853" w:rsidRDefault="0093470E" w:rsidP="007674CF">
            <w:pPr>
              <w:pStyle w:val="NoSpacing"/>
            </w:pPr>
            <w:r w:rsidRPr="00E16853">
              <w:t>Organisation for Economic Cooperation and Development</w:t>
            </w:r>
          </w:p>
        </w:tc>
      </w:tr>
      <w:tr w:rsidR="00851E3E" w:rsidRPr="00E16853" w14:paraId="4C30DA91" w14:textId="77777777" w:rsidTr="007674CF">
        <w:tc>
          <w:tcPr>
            <w:tcW w:w="1271" w:type="dxa"/>
          </w:tcPr>
          <w:p w14:paraId="7578EDDA" w14:textId="77777777" w:rsidR="00851E3E" w:rsidRDefault="00851E3E" w:rsidP="007674CF">
            <w:pPr>
              <w:pStyle w:val="NoSpacing"/>
            </w:pPr>
            <w:r>
              <w:t>PRISMA</w:t>
            </w:r>
          </w:p>
          <w:p w14:paraId="048F1A10" w14:textId="707667D5" w:rsidR="00BE4558" w:rsidRPr="00E16853" w:rsidRDefault="00BE4558" w:rsidP="007674CF">
            <w:pPr>
              <w:pStyle w:val="NoSpacing"/>
            </w:pPr>
            <w:r>
              <w:t>PPP</w:t>
            </w:r>
          </w:p>
        </w:tc>
        <w:tc>
          <w:tcPr>
            <w:tcW w:w="7745" w:type="dxa"/>
          </w:tcPr>
          <w:p w14:paraId="51C13EC8" w14:textId="77777777" w:rsidR="00BE4558" w:rsidRDefault="00851E3E" w:rsidP="007674CF">
            <w:pPr>
              <w:pStyle w:val="NoSpacing"/>
            </w:pPr>
            <w:r>
              <w:t>Preferred Reporting Items for Systematic Reviews and Meta-Analyses</w:t>
            </w:r>
          </w:p>
          <w:p w14:paraId="00E78047" w14:textId="44F54ABA" w:rsidR="00BE4558" w:rsidRPr="00E16853" w:rsidRDefault="00BE4558" w:rsidP="007674CF">
            <w:pPr>
              <w:pStyle w:val="NoSpacing"/>
            </w:pPr>
            <w:r>
              <w:t xml:space="preserve">Public Private </w:t>
            </w:r>
            <w:r w:rsidR="003D3716">
              <w:t>Partnerships</w:t>
            </w:r>
          </w:p>
        </w:tc>
      </w:tr>
      <w:tr w:rsidR="0093470E" w:rsidRPr="00E16853" w14:paraId="3803ED15" w14:textId="77777777" w:rsidTr="007674CF">
        <w:tc>
          <w:tcPr>
            <w:tcW w:w="1271" w:type="dxa"/>
          </w:tcPr>
          <w:p w14:paraId="093DBE0E" w14:textId="77777777" w:rsidR="0093470E" w:rsidRPr="00E16853" w:rsidRDefault="0093470E" w:rsidP="007674CF">
            <w:pPr>
              <w:pStyle w:val="NoSpacing"/>
            </w:pPr>
            <w:r w:rsidRPr="00E16853">
              <w:t>RCT</w:t>
            </w:r>
          </w:p>
        </w:tc>
        <w:tc>
          <w:tcPr>
            <w:tcW w:w="7745" w:type="dxa"/>
          </w:tcPr>
          <w:p w14:paraId="20B0C1B4" w14:textId="77777777" w:rsidR="0093470E" w:rsidRPr="00E16853" w:rsidRDefault="0093470E" w:rsidP="007674CF">
            <w:pPr>
              <w:pStyle w:val="NoSpacing"/>
            </w:pPr>
            <w:r w:rsidRPr="00E16853">
              <w:t>Randomised controlled trial</w:t>
            </w:r>
          </w:p>
        </w:tc>
      </w:tr>
      <w:tr w:rsidR="001F1637" w:rsidRPr="00E16853" w14:paraId="3C0ADC3D" w14:textId="77777777" w:rsidTr="007674CF">
        <w:tc>
          <w:tcPr>
            <w:tcW w:w="1271" w:type="dxa"/>
          </w:tcPr>
          <w:p w14:paraId="09AB1E8A" w14:textId="77777777" w:rsidR="001F1637" w:rsidRPr="00E16853" w:rsidRDefault="001F1637" w:rsidP="007674CF">
            <w:pPr>
              <w:pStyle w:val="NoSpacing"/>
            </w:pPr>
            <w:r>
              <w:t>REI</w:t>
            </w:r>
          </w:p>
        </w:tc>
        <w:tc>
          <w:tcPr>
            <w:tcW w:w="7745" w:type="dxa"/>
          </w:tcPr>
          <w:p w14:paraId="04BF5ACB" w14:textId="77777777" w:rsidR="001F1637" w:rsidRPr="00E16853" w:rsidRDefault="001F1637" w:rsidP="007674CF">
            <w:pPr>
              <w:pStyle w:val="NoSpacing"/>
            </w:pPr>
            <w:r>
              <w:t>Research and evidence institution</w:t>
            </w:r>
          </w:p>
        </w:tc>
      </w:tr>
      <w:tr w:rsidR="00851E3E" w:rsidRPr="00E16853" w14:paraId="78A4E784" w14:textId="77777777" w:rsidTr="007674CF">
        <w:tc>
          <w:tcPr>
            <w:tcW w:w="1271" w:type="dxa"/>
          </w:tcPr>
          <w:p w14:paraId="07AFD65F" w14:textId="77777777" w:rsidR="00851E3E" w:rsidRDefault="00851E3E" w:rsidP="007674CF">
            <w:pPr>
              <w:pStyle w:val="NoSpacing"/>
            </w:pPr>
            <w:r>
              <w:t>SCIE</w:t>
            </w:r>
          </w:p>
        </w:tc>
        <w:tc>
          <w:tcPr>
            <w:tcW w:w="7745" w:type="dxa"/>
          </w:tcPr>
          <w:p w14:paraId="7FBFB58D" w14:textId="77777777" w:rsidR="00851E3E" w:rsidRDefault="005C7875" w:rsidP="007674CF">
            <w:pPr>
              <w:pStyle w:val="NoSpacing"/>
            </w:pPr>
            <w:r>
              <w:t>Social Care Institute for Excellence</w:t>
            </w:r>
          </w:p>
        </w:tc>
      </w:tr>
      <w:tr w:rsidR="00851E3E" w:rsidRPr="00E16853" w14:paraId="0CB06748" w14:textId="77777777" w:rsidTr="007674CF">
        <w:tc>
          <w:tcPr>
            <w:tcW w:w="1271" w:type="dxa"/>
          </w:tcPr>
          <w:p w14:paraId="6952B88C" w14:textId="77777777" w:rsidR="00851E3E" w:rsidRDefault="00851E3E" w:rsidP="007674CF">
            <w:pPr>
              <w:pStyle w:val="NoSpacing"/>
            </w:pPr>
            <w:r>
              <w:t>STEM</w:t>
            </w:r>
          </w:p>
        </w:tc>
        <w:tc>
          <w:tcPr>
            <w:tcW w:w="7745" w:type="dxa"/>
          </w:tcPr>
          <w:p w14:paraId="257ECDF8" w14:textId="77777777" w:rsidR="00851E3E" w:rsidRDefault="00851E3E" w:rsidP="007674CF">
            <w:pPr>
              <w:pStyle w:val="NoSpacing"/>
            </w:pPr>
            <w:r>
              <w:t>Science, technology, engineering and mathematics</w:t>
            </w:r>
          </w:p>
        </w:tc>
      </w:tr>
      <w:tr w:rsidR="0093470E" w:rsidRPr="00E16853" w14:paraId="6B10D9AB" w14:textId="77777777" w:rsidTr="007674CF">
        <w:tc>
          <w:tcPr>
            <w:tcW w:w="1271" w:type="dxa"/>
          </w:tcPr>
          <w:p w14:paraId="6676F3DF" w14:textId="77777777" w:rsidR="0093470E" w:rsidRPr="00E16853" w:rsidRDefault="0093470E" w:rsidP="007674CF">
            <w:pPr>
              <w:pStyle w:val="NoSpacing"/>
            </w:pPr>
            <w:r w:rsidRPr="00E16853">
              <w:t>STROBE</w:t>
            </w:r>
          </w:p>
        </w:tc>
        <w:tc>
          <w:tcPr>
            <w:tcW w:w="7745" w:type="dxa"/>
          </w:tcPr>
          <w:p w14:paraId="7C768D1F" w14:textId="77777777" w:rsidR="0093470E" w:rsidRPr="00E16853" w:rsidRDefault="0093470E" w:rsidP="007674CF">
            <w:pPr>
              <w:pStyle w:val="NoSpacing"/>
            </w:pPr>
            <w:r w:rsidRPr="00E16853">
              <w:t>Strengthening the Reporting of Observational Studies in Epidemiology</w:t>
            </w:r>
          </w:p>
        </w:tc>
      </w:tr>
      <w:tr w:rsidR="0093470E" w:rsidRPr="00E16853" w14:paraId="2698C8B6" w14:textId="77777777" w:rsidTr="007674CF">
        <w:tc>
          <w:tcPr>
            <w:tcW w:w="1271" w:type="dxa"/>
          </w:tcPr>
          <w:p w14:paraId="007B5542" w14:textId="77777777" w:rsidR="0093470E" w:rsidRPr="00E16853" w:rsidRDefault="0093470E" w:rsidP="007674CF">
            <w:pPr>
              <w:pStyle w:val="NoSpacing"/>
            </w:pPr>
            <w:r w:rsidRPr="00E16853">
              <w:t>TREND</w:t>
            </w:r>
          </w:p>
        </w:tc>
        <w:tc>
          <w:tcPr>
            <w:tcW w:w="7745" w:type="dxa"/>
          </w:tcPr>
          <w:p w14:paraId="16827A41" w14:textId="77777777" w:rsidR="0093470E" w:rsidRPr="00E16853" w:rsidRDefault="0093470E" w:rsidP="007674CF">
            <w:pPr>
              <w:pStyle w:val="NoSpacing"/>
            </w:pPr>
            <w:r w:rsidRPr="00E16853">
              <w:t>Transparent Reporting of Evaluations with Non</w:t>
            </w:r>
            <w:r>
              <w:t>r</w:t>
            </w:r>
            <w:r w:rsidRPr="00E16853">
              <w:t>andomi</w:t>
            </w:r>
            <w:r>
              <w:t>z</w:t>
            </w:r>
            <w:r w:rsidRPr="00E16853">
              <w:t>ed Designs</w:t>
            </w:r>
          </w:p>
        </w:tc>
      </w:tr>
      <w:tr w:rsidR="0093470E" w:rsidRPr="00E16853" w14:paraId="661C006F" w14:textId="77777777" w:rsidTr="007674CF">
        <w:tc>
          <w:tcPr>
            <w:tcW w:w="1271" w:type="dxa"/>
          </w:tcPr>
          <w:p w14:paraId="4E58BCD4" w14:textId="77777777" w:rsidR="0093470E" w:rsidRPr="00E16853" w:rsidRDefault="0093470E" w:rsidP="007674CF">
            <w:pPr>
              <w:pStyle w:val="NoSpacing"/>
            </w:pPr>
            <w:r w:rsidRPr="00E16853">
              <w:t>UNESCO</w:t>
            </w:r>
          </w:p>
        </w:tc>
        <w:tc>
          <w:tcPr>
            <w:tcW w:w="7745" w:type="dxa"/>
          </w:tcPr>
          <w:p w14:paraId="3D50F6E2" w14:textId="77777777" w:rsidR="0093470E" w:rsidRPr="00E16853" w:rsidRDefault="0093470E" w:rsidP="007674CF">
            <w:pPr>
              <w:pStyle w:val="NoSpacing"/>
            </w:pPr>
            <w:r w:rsidRPr="00E16853">
              <w:t>United Nations Educational, Scientific and Cultural Organization</w:t>
            </w:r>
          </w:p>
        </w:tc>
      </w:tr>
      <w:tr w:rsidR="0093470E" w:rsidRPr="00E16853" w14:paraId="74F3071C" w14:textId="77777777" w:rsidTr="007674CF">
        <w:tc>
          <w:tcPr>
            <w:tcW w:w="1271" w:type="dxa"/>
          </w:tcPr>
          <w:p w14:paraId="5B499556" w14:textId="77777777" w:rsidR="0093470E" w:rsidRPr="00E16853" w:rsidRDefault="0093470E" w:rsidP="007674CF">
            <w:pPr>
              <w:pStyle w:val="NoSpacing"/>
            </w:pPr>
            <w:r w:rsidRPr="00E16853">
              <w:t>WHO</w:t>
            </w:r>
          </w:p>
        </w:tc>
        <w:tc>
          <w:tcPr>
            <w:tcW w:w="7745" w:type="dxa"/>
          </w:tcPr>
          <w:p w14:paraId="30F2FD7A" w14:textId="77777777" w:rsidR="0093470E" w:rsidRPr="00E16853" w:rsidRDefault="0093470E" w:rsidP="007674CF">
            <w:pPr>
              <w:pStyle w:val="NoSpacing"/>
            </w:pPr>
            <w:r w:rsidRPr="00E16853">
              <w:t>World Health Organization</w:t>
            </w:r>
          </w:p>
        </w:tc>
      </w:tr>
    </w:tbl>
    <w:p w14:paraId="5602AE59" w14:textId="77777777" w:rsidR="00013B8D" w:rsidRDefault="00013B8D" w:rsidP="0093470E">
      <w:pPr>
        <w:spacing w:after="160" w:line="259" w:lineRule="auto"/>
      </w:pPr>
    </w:p>
    <w:p w14:paraId="2AE5BC0E" w14:textId="77777777" w:rsidR="001D0D30" w:rsidRDefault="001D0D30">
      <w:pPr>
        <w:spacing w:after="160" w:line="259" w:lineRule="auto"/>
      </w:pPr>
      <w:r>
        <w:br w:type="page"/>
      </w:r>
    </w:p>
    <w:p w14:paraId="4A6C3123" w14:textId="77777777" w:rsidR="0093470E" w:rsidRPr="008B5D3D" w:rsidRDefault="0093470E" w:rsidP="008B5D3D">
      <w:pPr>
        <w:jc w:val="center"/>
        <w:rPr>
          <w:rFonts w:ascii="Georgia" w:hAnsi="Georgia"/>
          <w:b/>
          <w:color w:val="3C5C97" w:themeColor="accent4" w:themeShade="BF"/>
          <w:sz w:val="32"/>
          <w:szCs w:val="32"/>
        </w:rPr>
      </w:pPr>
      <w:bookmarkStart w:id="6" w:name="_Toc509950608"/>
      <w:r w:rsidRPr="008B5D3D">
        <w:rPr>
          <w:rFonts w:ascii="Georgia" w:hAnsi="Georgia"/>
          <w:b/>
          <w:color w:val="3C5C97" w:themeColor="accent4" w:themeShade="BF"/>
          <w:sz w:val="32"/>
          <w:szCs w:val="32"/>
        </w:rPr>
        <w:lastRenderedPageBreak/>
        <w:t>Promoting evidence uptake in schools: A review of the key features of research and evidence institutions</w:t>
      </w:r>
      <w:bookmarkEnd w:id="6"/>
    </w:p>
    <w:p w14:paraId="33A5F391" w14:textId="77777777" w:rsidR="0093470E" w:rsidRPr="00E16853" w:rsidRDefault="0093470E" w:rsidP="00E833DA">
      <w:pPr>
        <w:pStyle w:val="NumberedHeading1"/>
        <w:numPr>
          <w:ilvl w:val="0"/>
          <w:numId w:val="0"/>
        </w:numPr>
        <w:jc w:val="center"/>
      </w:pPr>
      <w:bookmarkStart w:id="7" w:name="_Toc509950609"/>
      <w:r w:rsidRPr="00E16853">
        <w:t xml:space="preserve">Executive </w:t>
      </w:r>
      <w:r w:rsidR="00755AD0">
        <w:t>s</w:t>
      </w:r>
      <w:r w:rsidRPr="00E16853">
        <w:t>ummary</w:t>
      </w:r>
      <w:bookmarkEnd w:id="7"/>
    </w:p>
    <w:p w14:paraId="091427E4" w14:textId="0BC883AB" w:rsidR="00156CCF" w:rsidRPr="00E16853" w:rsidRDefault="00156CCF" w:rsidP="00156CCF">
      <w:bookmarkStart w:id="8" w:name="_Toc509950610"/>
      <w:r w:rsidRPr="00E16853">
        <w:t xml:space="preserve">Despite continued investment in a range of education reforms, national and international assessments have found little improvement in </w:t>
      </w:r>
      <w:r>
        <w:t xml:space="preserve">Australian </w:t>
      </w:r>
      <w:r w:rsidRPr="00E16853">
        <w:t>student achievement outcomes</w:t>
      </w:r>
      <w:r w:rsidR="00550723">
        <w:t>.</w:t>
      </w:r>
      <w:r>
        <w:t xml:space="preserve"> </w:t>
      </w:r>
      <w:r w:rsidRPr="00E16853">
        <w:t>Australia</w:t>
      </w:r>
      <w:r>
        <w:t xml:space="preserve"> has dropped in the international student outcome assessment </w:t>
      </w:r>
      <w:r w:rsidRPr="00E16853">
        <w:t>ranking</w:t>
      </w:r>
      <w:r>
        <w:t>s</w:t>
      </w:r>
      <w:r w:rsidRPr="00E16853">
        <w:t xml:space="preserve"> due to other countries improving at a greater rate. </w:t>
      </w:r>
    </w:p>
    <w:p w14:paraId="5083C982" w14:textId="77777777" w:rsidR="00663919" w:rsidRDefault="00156CCF" w:rsidP="00156CCF">
      <w:r>
        <w:t>The</w:t>
      </w:r>
      <w:r w:rsidRPr="00E16853">
        <w:t xml:space="preserve"> </w:t>
      </w:r>
      <w:r>
        <w:t xml:space="preserve">Secretariat for the Review to Achieve </w:t>
      </w:r>
      <w:r w:rsidRPr="00E16853">
        <w:t>Education</w:t>
      </w:r>
      <w:r>
        <w:t>al</w:t>
      </w:r>
      <w:r w:rsidRPr="00E16853">
        <w:t xml:space="preserve"> Excellence </w:t>
      </w:r>
      <w:r>
        <w:t xml:space="preserve">in Australian Schools (Education Excellence </w:t>
      </w:r>
      <w:r w:rsidRPr="00E16853">
        <w:t>Review Secretariat</w:t>
      </w:r>
      <w:r>
        <w:t>)</w:t>
      </w:r>
      <w:r w:rsidRPr="00E16853">
        <w:t xml:space="preserve"> commissioned the Centre for Program Evaluation at the University of Melbourne to conduct a rapid synthesis of existing evidence to understand</w:t>
      </w:r>
      <w:r>
        <w:t>:</w:t>
      </w:r>
      <w:r w:rsidRPr="00E16853">
        <w:t xml:space="preserve"> (i) how evidence in education can inform practice</w:t>
      </w:r>
      <w:r>
        <w:t>;</w:t>
      </w:r>
      <w:r w:rsidRPr="00E16853">
        <w:t xml:space="preserve"> (ii) what the enablers and barriers to evidence uptake are</w:t>
      </w:r>
      <w:r>
        <w:t>;</w:t>
      </w:r>
      <w:r w:rsidRPr="00E16853">
        <w:t xml:space="preserve"> and</w:t>
      </w:r>
      <w:r>
        <w:t xml:space="preserve">, </w:t>
      </w:r>
      <w:r w:rsidRPr="00E16853">
        <w:t xml:space="preserve">(iii) how schools can be supported to use evidence-informed practices. The rapid synthesis drew upon findings from the practices of </w:t>
      </w:r>
      <w:r>
        <w:t>multiple sectors including</w:t>
      </w:r>
      <w:r w:rsidRPr="00E16853">
        <w:t xml:space="preserve"> education, health promotion, public health, mental health, and tourism that aim to support evidence-informed practice. These institutes were in Australia, the US, the UK, and the European Union. </w:t>
      </w:r>
    </w:p>
    <w:p w14:paraId="654B0242" w14:textId="2FD31971" w:rsidR="00156CCF" w:rsidRPr="00E16853" w:rsidRDefault="00156CCF" w:rsidP="00156CCF">
      <w:r w:rsidRPr="00E16853">
        <w:t xml:space="preserve">Specifically, the synthesis aimed to understand their: </w:t>
      </w:r>
    </w:p>
    <w:p w14:paraId="09A2932B" w14:textId="77777777" w:rsidR="00156CCF" w:rsidRPr="00E16853" w:rsidRDefault="00156CCF" w:rsidP="00156CCF">
      <w:pPr>
        <w:pStyle w:val="ListParagraph"/>
        <w:numPr>
          <w:ilvl w:val="0"/>
          <w:numId w:val="12"/>
        </w:numPr>
        <w:spacing w:after="0" w:line="240" w:lineRule="auto"/>
        <w:contextualSpacing/>
      </w:pPr>
      <w:r w:rsidRPr="00E16853">
        <w:t>Impact, governance structures, functions, and functionality</w:t>
      </w:r>
    </w:p>
    <w:p w14:paraId="3CF48F65" w14:textId="77777777" w:rsidR="00156CCF" w:rsidRPr="00E16853" w:rsidRDefault="00156CCF" w:rsidP="00156CCF">
      <w:pPr>
        <w:pStyle w:val="ListParagraph"/>
        <w:numPr>
          <w:ilvl w:val="0"/>
          <w:numId w:val="12"/>
        </w:numPr>
        <w:spacing w:after="0" w:line="240" w:lineRule="auto"/>
        <w:contextualSpacing/>
      </w:pPr>
      <w:r w:rsidRPr="00E16853">
        <w:t>Approaches to grading and synthesising evidence</w:t>
      </w:r>
    </w:p>
    <w:p w14:paraId="0D2DE711" w14:textId="77777777" w:rsidR="00156CCF" w:rsidRPr="00E16853" w:rsidRDefault="00156CCF" w:rsidP="00156CCF">
      <w:pPr>
        <w:pStyle w:val="ListParagraph"/>
        <w:numPr>
          <w:ilvl w:val="0"/>
          <w:numId w:val="12"/>
        </w:numPr>
        <w:spacing w:after="0" w:line="240" w:lineRule="auto"/>
        <w:contextualSpacing/>
      </w:pPr>
      <w:r w:rsidRPr="00E16853">
        <w:t>Platforms for synthesising evidence and disseminating findings and user input</w:t>
      </w:r>
    </w:p>
    <w:p w14:paraId="0C2AA8E4" w14:textId="3B13CDEE" w:rsidR="00663919" w:rsidRDefault="00156CCF" w:rsidP="00813AA6">
      <w:pPr>
        <w:pStyle w:val="ListParagraph"/>
        <w:numPr>
          <w:ilvl w:val="0"/>
          <w:numId w:val="12"/>
        </w:numPr>
        <w:spacing w:after="0" w:line="240" w:lineRule="auto"/>
        <w:contextualSpacing/>
      </w:pPr>
      <w:r w:rsidRPr="00E16853">
        <w:t>Knowledge translation and application strategies</w:t>
      </w:r>
    </w:p>
    <w:p w14:paraId="01D009AB" w14:textId="77777777" w:rsidR="00813AA6" w:rsidRDefault="00813AA6" w:rsidP="00813AA6">
      <w:pPr>
        <w:pStyle w:val="ListParagraph"/>
        <w:spacing w:after="0" w:line="240" w:lineRule="auto"/>
        <w:ind w:left="720"/>
        <w:contextualSpacing/>
      </w:pPr>
    </w:p>
    <w:p w14:paraId="539DC258" w14:textId="77777777" w:rsidR="00156CCF" w:rsidRDefault="00156CCF" w:rsidP="00156CCF">
      <w:r w:rsidRPr="00E16853">
        <w:t>Findings then informed the recommendation to establish an institution that could support evidence-informed education in Australia</w:t>
      </w:r>
      <w:r>
        <w:t xml:space="preserve"> by</w:t>
      </w:r>
      <w:r w:rsidRPr="00E16853">
        <w:t xml:space="preserve"> actively closing the gap between evidence synthesis and practice changes. </w:t>
      </w:r>
    </w:p>
    <w:p w14:paraId="01C5044E" w14:textId="77777777" w:rsidR="0093470E" w:rsidRPr="00E16853" w:rsidRDefault="0093470E" w:rsidP="00E833DA">
      <w:pPr>
        <w:pStyle w:val="NumberedHeading2"/>
        <w:numPr>
          <w:ilvl w:val="0"/>
          <w:numId w:val="0"/>
        </w:numPr>
        <w:ind w:left="680" w:hanging="680"/>
        <w:outlineLvl w:val="0"/>
      </w:pPr>
      <w:r w:rsidRPr="00E16853">
        <w:t>Review methodology</w:t>
      </w:r>
      <w:bookmarkEnd w:id="8"/>
    </w:p>
    <w:p w14:paraId="774FB9CC" w14:textId="6612700A" w:rsidR="00156CCF" w:rsidRDefault="00156CCF" w:rsidP="00156CCF">
      <w:bookmarkStart w:id="9" w:name="_Toc509950611"/>
      <w:r w:rsidRPr="00E16853">
        <w:t xml:space="preserve">A multi-method approach was employed to conduct the synthesis, which included semi-structured interviews and adapted systematic review techniques. Information was gathered from website publications, annual reports, and technical reports from research and evidence institutions, </w:t>
      </w:r>
      <w:r w:rsidRPr="00E16853">
        <w:rPr>
          <w:noProof/>
        </w:rPr>
        <w:t>peer-reviewed</w:t>
      </w:r>
      <w:r w:rsidRPr="00E16853">
        <w:t xml:space="preserve"> research and policy documents. Overall, </w:t>
      </w:r>
      <w:r w:rsidR="0093156B">
        <w:t>6746 sources were screened, and 88</w:t>
      </w:r>
      <w:r w:rsidRPr="00E16853">
        <w:t xml:space="preserve"> were identified as relevant for inclusion. Six interviews were conducted.</w:t>
      </w:r>
      <w:r w:rsidRPr="00E16853" w:rsidDel="00365306">
        <w:t xml:space="preserve"> </w:t>
      </w:r>
      <w:r w:rsidRPr="00E16853">
        <w:t>The literature was synthesised, assessed for quality and relevance, and analysed to extract information based on the review aims. Extracted information was then thematically analysed.</w:t>
      </w:r>
      <w:r w:rsidR="00EE533F">
        <w:t xml:space="preserve"> Given the variations in the quality of sources and findings, the strength of the evidence for each domain </w:t>
      </w:r>
      <w:r w:rsidR="008B5D3D">
        <w:t xml:space="preserve">was rated </w:t>
      </w:r>
      <w:r w:rsidR="008B4759">
        <w:t>against a</w:t>
      </w:r>
      <w:r w:rsidR="008B5D3D">
        <w:t xml:space="preserve"> number of </w:t>
      </w:r>
      <w:r w:rsidR="008B4759">
        <w:t>dimensions and</w:t>
      </w:r>
      <w:r w:rsidR="008B5D3D">
        <w:t xml:space="preserve"> </w:t>
      </w:r>
      <w:r w:rsidR="00EE533F">
        <w:t>is also presented.</w:t>
      </w:r>
    </w:p>
    <w:p w14:paraId="67D95BA7" w14:textId="77777777" w:rsidR="0093470E" w:rsidRPr="00E16853" w:rsidRDefault="0093470E" w:rsidP="00E833DA">
      <w:pPr>
        <w:pStyle w:val="NumberedHeading2"/>
        <w:numPr>
          <w:ilvl w:val="0"/>
          <w:numId w:val="0"/>
        </w:numPr>
        <w:outlineLvl w:val="0"/>
      </w:pPr>
      <w:r w:rsidRPr="00E16853">
        <w:t xml:space="preserve">Key </w:t>
      </w:r>
      <w:r w:rsidR="0014038A">
        <w:t>rapid synthesis</w:t>
      </w:r>
      <w:r w:rsidRPr="00E16853">
        <w:t xml:space="preserve"> findings</w:t>
      </w:r>
      <w:bookmarkEnd w:id="9"/>
    </w:p>
    <w:p w14:paraId="6B6EDA99" w14:textId="77777777" w:rsidR="00E73E7F" w:rsidRDefault="0093470E" w:rsidP="001836DA">
      <w:r w:rsidRPr="00E16853">
        <w:t>The narrative synthesis of the existing literature highlighted a set of principles, governance structures, and functionalities that an ideal institution would require to actively support evidence-informed practice in education.</w:t>
      </w:r>
    </w:p>
    <w:p w14:paraId="7BD08620" w14:textId="141438EC" w:rsidR="00E73E7F" w:rsidRPr="00550723" w:rsidRDefault="00E73E7F" w:rsidP="001836DA">
      <w:pPr>
        <w:rPr>
          <w:b/>
        </w:rPr>
      </w:pPr>
      <w:r>
        <w:rPr>
          <w:b/>
        </w:rPr>
        <w:t>The importance of the institute being principle-based</w:t>
      </w:r>
    </w:p>
    <w:p w14:paraId="031A46C3" w14:textId="3F854E2C" w:rsidR="001836DA" w:rsidRPr="00A562C9" w:rsidRDefault="0093470E" w:rsidP="001836DA">
      <w:pPr>
        <w:rPr>
          <w:rFonts w:eastAsia="Times New Roman" w:cs="Times New Roman"/>
          <w:color w:val="000000"/>
          <w:szCs w:val="20"/>
          <w:lang w:eastAsia="en-US"/>
        </w:rPr>
      </w:pPr>
      <w:r w:rsidRPr="00E16853">
        <w:t xml:space="preserve"> </w:t>
      </w:r>
      <w:r w:rsidR="001836DA">
        <w:t>Importantly, the institution will need to be independent</w:t>
      </w:r>
      <w:r w:rsidR="00D75244">
        <w:t xml:space="preserve"> and</w:t>
      </w:r>
      <w:r w:rsidR="001836DA">
        <w:t xml:space="preserve"> principal-based to </w:t>
      </w:r>
      <w:r w:rsidR="0059749D">
        <w:t>ensure evidence is used to inform practice.</w:t>
      </w:r>
      <w:r w:rsidR="0059749D">
        <w:rPr>
          <w:rFonts w:eastAsia="Times New Roman" w:cs="Times New Roman"/>
          <w:color w:val="000000"/>
          <w:szCs w:val="20"/>
          <w:lang w:eastAsia="en-US"/>
        </w:rPr>
        <w:t xml:space="preserve"> </w:t>
      </w:r>
      <w:r w:rsidR="001836DA">
        <w:rPr>
          <w:rFonts w:eastAsia="Times New Roman" w:cs="Times New Roman"/>
          <w:color w:val="000000"/>
          <w:szCs w:val="20"/>
          <w:lang w:eastAsia="en-US"/>
        </w:rPr>
        <w:t xml:space="preserve">Principals which emerged throughout the </w:t>
      </w:r>
      <w:r w:rsidR="001836DA" w:rsidRPr="00F939E7">
        <w:rPr>
          <w:rFonts w:eastAsia="Times New Roman" w:cs="Times New Roman"/>
          <w:color w:val="000000"/>
          <w:szCs w:val="20"/>
          <w:lang w:eastAsia="en-US"/>
        </w:rPr>
        <w:t>literature that relate to increasing evidence informed practice</w:t>
      </w:r>
      <w:r w:rsidR="001836DA">
        <w:rPr>
          <w:rFonts w:eastAsia="Times New Roman" w:cs="Times New Roman"/>
          <w:color w:val="000000"/>
          <w:szCs w:val="20"/>
          <w:lang w:eastAsia="en-US"/>
        </w:rPr>
        <w:t xml:space="preserve"> are listed below</w:t>
      </w:r>
      <w:r w:rsidR="001836DA">
        <w:rPr>
          <w:szCs w:val="20"/>
        </w:rPr>
        <w:t xml:space="preserve">: </w:t>
      </w:r>
    </w:p>
    <w:p w14:paraId="22196435" w14:textId="77777777" w:rsidR="001836DA" w:rsidRPr="000F3226" w:rsidRDefault="001836DA" w:rsidP="000F3226">
      <w:pPr>
        <w:pStyle w:val="ListParagraph"/>
        <w:numPr>
          <w:ilvl w:val="0"/>
          <w:numId w:val="12"/>
        </w:numPr>
        <w:spacing w:after="0" w:line="240" w:lineRule="auto"/>
        <w:contextualSpacing/>
      </w:pPr>
      <w:r w:rsidRPr="000F3226">
        <w:rPr>
          <w:b/>
        </w:rPr>
        <w:t>Independence:</w:t>
      </w:r>
      <w:r w:rsidRPr="000F3226">
        <w:t xml:space="preserve"> Maintains a sense of self-determination or autonomy to ensure buy-in from all beneficiaries.</w:t>
      </w:r>
    </w:p>
    <w:p w14:paraId="43261607" w14:textId="5FC81E90" w:rsidR="001836DA" w:rsidRPr="000F3226" w:rsidRDefault="001836DA" w:rsidP="000F3226">
      <w:pPr>
        <w:pStyle w:val="ListParagraph"/>
        <w:numPr>
          <w:ilvl w:val="0"/>
          <w:numId w:val="12"/>
        </w:numPr>
        <w:spacing w:after="0" w:line="240" w:lineRule="auto"/>
        <w:contextualSpacing/>
      </w:pPr>
      <w:r w:rsidRPr="000F3226">
        <w:rPr>
          <w:b/>
        </w:rPr>
        <w:t>Collaborative:</w:t>
      </w:r>
      <w:r w:rsidRPr="000F3226">
        <w:t xml:space="preserve"> Promotes connection and active engagement with and between the beneficiaries and the institution.</w:t>
      </w:r>
    </w:p>
    <w:p w14:paraId="2727F40B" w14:textId="7814B2C4" w:rsidR="001836DA" w:rsidRPr="000F3226" w:rsidRDefault="001836DA" w:rsidP="000F3226">
      <w:pPr>
        <w:pStyle w:val="ListParagraph"/>
        <w:numPr>
          <w:ilvl w:val="0"/>
          <w:numId w:val="12"/>
        </w:numPr>
        <w:spacing w:after="0" w:line="240" w:lineRule="auto"/>
        <w:contextualSpacing/>
      </w:pPr>
      <w:r w:rsidRPr="000F3226">
        <w:rPr>
          <w:b/>
        </w:rPr>
        <w:t>Evaluative:</w:t>
      </w:r>
      <w:r w:rsidRPr="000F3226">
        <w:t xml:space="preserve"> Builds a culture of evaluative thinking across the education sector while exemplifying an approach to monitoring and evaluati</w:t>
      </w:r>
      <w:r w:rsidR="00D75244" w:rsidRPr="000F3226">
        <w:t>ng</w:t>
      </w:r>
      <w:r w:rsidRPr="000F3226">
        <w:t xml:space="preserve"> practice that ensures quality assurance.</w:t>
      </w:r>
    </w:p>
    <w:p w14:paraId="42CA1A3F" w14:textId="77777777" w:rsidR="001836DA" w:rsidRPr="000F3226" w:rsidRDefault="001836DA" w:rsidP="000F3226">
      <w:pPr>
        <w:pStyle w:val="ListParagraph"/>
        <w:numPr>
          <w:ilvl w:val="0"/>
          <w:numId w:val="12"/>
        </w:numPr>
        <w:spacing w:after="0" w:line="240" w:lineRule="auto"/>
        <w:contextualSpacing/>
      </w:pPr>
      <w:r w:rsidRPr="000F3226">
        <w:rPr>
          <w:b/>
        </w:rPr>
        <w:t>Promoter:</w:t>
      </w:r>
      <w:r w:rsidRPr="000F3226">
        <w:t xml:space="preserve"> Advocates for research agendas and findings with and for beneficiaries.</w:t>
      </w:r>
    </w:p>
    <w:p w14:paraId="5E5DAAF7" w14:textId="77777777" w:rsidR="001836DA" w:rsidRPr="000F3226" w:rsidRDefault="001836DA" w:rsidP="000F3226">
      <w:pPr>
        <w:pStyle w:val="ListParagraph"/>
        <w:numPr>
          <w:ilvl w:val="0"/>
          <w:numId w:val="12"/>
        </w:numPr>
        <w:spacing w:after="0" w:line="240" w:lineRule="auto"/>
        <w:contextualSpacing/>
      </w:pPr>
      <w:r w:rsidRPr="000F3226">
        <w:rPr>
          <w:b/>
        </w:rPr>
        <w:t>Capacity builder:</w:t>
      </w:r>
      <w:r w:rsidRPr="000F3226">
        <w:t xml:space="preserve"> Develops and strengthens skills across all beneficiaries to use evidence in some form.</w:t>
      </w:r>
    </w:p>
    <w:p w14:paraId="4A74BBE4" w14:textId="5DDFB216" w:rsidR="001836DA" w:rsidRPr="000F3226" w:rsidRDefault="001836DA" w:rsidP="000F3226">
      <w:pPr>
        <w:pStyle w:val="ListParagraph"/>
        <w:numPr>
          <w:ilvl w:val="0"/>
          <w:numId w:val="12"/>
        </w:numPr>
        <w:spacing w:after="0" w:line="240" w:lineRule="auto"/>
        <w:contextualSpacing/>
      </w:pPr>
      <w:r w:rsidRPr="000F3226">
        <w:rPr>
          <w:b/>
        </w:rPr>
        <w:lastRenderedPageBreak/>
        <w:t>Dynamic:</w:t>
      </w:r>
      <w:r w:rsidRPr="000F3226">
        <w:t xml:space="preserve"> Respond</w:t>
      </w:r>
      <w:r w:rsidR="002708F3" w:rsidRPr="000F3226">
        <w:t>s</w:t>
      </w:r>
      <w:r w:rsidRPr="000F3226">
        <w:t xml:space="preserve"> to and actively seek</w:t>
      </w:r>
      <w:r w:rsidR="002708F3" w:rsidRPr="000F3226">
        <w:t>s</w:t>
      </w:r>
      <w:r w:rsidRPr="000F3226">
        <w:t xml:space="preserve"> to thrive in a fast-changing educational environment. </w:t>
      </w:r>
    </w:p>
    <w:p w14:paraId="7B5904D3" w14:textId="1FCEFD58" w:rsidR="001836DA" w:rsidRPr="000F3226" w:rsidRDefault="001836DA" w:rsidP="000F3226">
      <w:pPr>
        <w:pStyle w:val="ListParagraph"/>
        <w:numPr>
          <w:ilvl w:val="0"/>
          <w:numId w:val="12"/>
        </w:numPr>
        <w:spacing w:after="0" w:line="240" w:lineRule="auto"/>
        <w:contextualSpacing/>
      </w:pPr>
      <w:r w:rsidRPr="000F3226">
        <w:rPr>
          <w:b/>
        </w:rPr>
        <w:t>Environmental forecaster:</w:t>
      </w:r>
      <w:r w:rsidRPr="000F3226">
        <w:t xml:space="preserve"> Understand</w:t>
      </w:r>
      <w:r w:rsidR="002708F3" w:rsidRPr="000F3226">
        <w:t>s</w:t>
      </w:r>
      <w:r w:rsidRPr="000F3226">
        <w:t xml:space="preserve"> the education environment through scanning and </w:t>
      </w:r>
      <w:r w:rsidR="002708F3" w:rsidRPr="000F3226">
        <w:t>is</w:t>
      </w:r>
      <w:r w:rsidRPr="000F3226">
        <w:t xml:space="preserve"> predictive of contemporary trends, problems and events.</w:t>
      </w:r>
    </w:p>
    <w:p w14:paraId="211AFB2E" w14:textId="2D8E0929" w:rsidR="001836DA" w:rsidRPr="000F3226" w:rsidRDefault="001836DA" w:rsidP="000F3226">
      <w:pPr>
        <w:pStyle w:val="ListParagraph"/>
        <w:numPr>
          <w:ilvl w:val="0"/>
          <w:numId w:val="12"/>
        </w:numPr>
        <w:spacing w:after="0" w:line="240" w:lineRule="auto"/>
        <w:contextualSpacing/>
      </w:pPr>
      <w:r w:rsidRPr="000F3226">
        <w:rPr>
          <w:b/>
        </w:rPr>
        <w:t>Responsive:</w:t>
      </w:r>
      <w:r w:rsidRPr="000F3226">
        <w:t xml:space="preserve"> Ensure</w:t>
      </w:r>
      <w:r w:rsidR="002708F3" w:rsidRPr="000F3226">
        <w:t>s</w:t>
      </w:r>
      <w:r w:rsidRPr="000F3226">
        <w:t xml:space="preserve"> </w:t>
      </w:r>
      <w:r w:rsidR="008B4759" w:rsidRPr="000F3226">
        <w:t>research is</w:t>
      </w:r>
      <w:r w:rsidRPr="000F3226">
        <w:t xml:space="preserve"> relevant and responsive to the needs of the beneficiaries.</w:t>
      </w:r>
    </w:p>
    <w:p w14:paraId="2322D62D" w14:textId="3E8969E2" w:rsidR="001836DA" w:rsidRPr="000F3226" w:rsidRDefault="001836DA" w:rsidP="000F3226">
      <w:pPr>
        <w:pStyle w:val="ListParagraph"/>
        <w:numPr>
          <w:ilvl w:val="0"/>
          <w:numId w:val="12"/>
        </w:numPr>
        <w:spacing w:line="240" w:lineRule="auto"/>
        <w:contextualSpacing/>
      </w:pPr>
      <w:r w:rsidRPr="000F3226">
        <w:rPr>
          <w:b/>
        </w:rPr>
        <w:t>Innovative:</w:t>
      </w:r>
      <w:r w:rsidRPr="000F3226">
        <w:t xml:space="preserve"> The application of novel solutions that meet a current or unarticulated educational need</w:t>
      </w:r>
      <w:r w:rsidR="002708F3" w:rsidRPr="000F3226">
        <w:t xml:space="preserve">. </w:t>
      </w:r>
      <w:r w:rsidRPr="000F3226">
        <w:t>The evidence for the inclusion of these principles is integrated throughout the summary of the literature gathered for the synthesis.  However, it must be emphasized that the vision and principles for the model of a way of working for the institution must be determined or</w:t>
      </w:r>
      <w:r w:rsidR="002708F3" w:rsidRPr="000F3226">
        <w:t>,</w:t>
      </w:r>
      <w:r w:rsidRPr="000F3226">
        <w:t xml:space="preserve"> at the very least</w:t>
      </w:r>
      <w:r w:rsidR="002708F3" w:rsidRPr="000F3226">
        <w:t>,</w:t>
      </w:r>
      <w:r w:rsidRPr="000F3226">
        <w:t xml:space="preserve"> ratified by the key stakeholders. </w:t>
      </w:r>
    </w:p>
    <w:p w14:paraId="58D3DAB7" w14:textId="3600223B" w:rsidR="00E73E7F" w:rsidRPr="004240AA" w:rsidRDefault="0059749D" w:rsidP="004240AA">
      <w:pPr>
        <w:rPr>
          <w:szCs w:val="20"/>
        </w:rPr>
      </w:pPr>
      <w:r w:rsidRPr="0059749D">
        <w:rPr>
          <w:szCs w:val="20"/>
        </w:rPr>
        <w:t>Several studies have demonstrated that the need for clarity of principles is essential and</w:t>
      </w:r>
      <w:r w:rsidR="002708F3">
        <w:rPr>
          <w:szCs w:val="20"/>
        </w:rPr>
        <w:t xml:space="preserve"> that</w:t>
      </w:r>
      <w:r w:rsidRPr="0059749D">
        <w:rPr>
          <w:szCs w:val="20"/>
        </w:rPr>
        <w:t xml:space="preserve"> the institution will need to engage the sector to guarantee the nature and clarity of its’ purpose and principles</w:t>
      </w:r>
      <w:r w:rsidR="002708F3">
        <w:rPr>
          <w:szCs w:val="20"/>
        </w:rPr>
        <w:t>.</w:t>
      </w:r>
      <w:r>
        <w:rPr>
          <w:szCs w:val="20"/>
        </w:rPr>
        <w:t xml:space="preserve"> </w:t>
      </w:r>
      <w:r w:rsidR="001836DA">
        <w:rPr>
          <w:szCs w:val="20"/>
        </w:rPr>
        <w:t>Based on these principles, the</w:t>
      </w:r>
      <w:r w:rsidR="001836DA" w:rsidRPr="00DA7D2D">
        <w:rPr>
          <w:szCs w:val="20"/>
        </w:rPr>
        <w:t xml:space="preserve"> model suggests a cyclical approach to </w:t>
      </w:r>
      <w:r w:rsidR="001836DA">
        <w:rPr>
          <w:szCs w:val="20"/>
        </w:rPr>
        <w:t xml:space="preserve">the task </w:t>
      </w:r>
      <w:r w:rsidR="001836DA" w:rsidRPr="00DA7D2D">
        <w:rPr>
          <w:szCs w:val="20"/>
        </w:rPr>
        <w:t>of ensuring educational evidence is proffered into action so that educational practice is evidence-informed.</w:t>
      </w:r>
      <w:r w:rsidR="004240AA">
        <w:rPr>
          <w:szCs w:val="20"/>
        </w:rPr>
        <w:t xml:space="preserve"> </w:t>
      </w:r>
    </w:p>
    <w:p w14:paraId="05FBF65E" w14:textId="3C490865" w:rsidR="001836DA" w:rsidRPr="00550723" w:rsidRDefault="00E73E7F" w:rsidP="00550723">
      <w:pPr>
        <w:rPr>
          <w:b/>
        </w:rPr>
      </w:pPr>
      <w:r w:rsidRPr="00550723">
        <w:rPr>
          <w:b/>
        </w:rPr>
        <w:t>The four functions of the institute – the Evidence into Action Model</w:t>
      </w:r>
    </w:p>
    <w:p w14:paraId="5D91B0B7" w14:textId="210B391F" w:rsidR="0059749D" w:rsidRDefault="0093470E" w:rsidP="00550723">
      <w:r w:rsidRPr="00E16853">
        <w:t xml:space="preserve">The Evidence into Action </w:t>
      </w:r>
      <w:r>
        <w:t>M</w:t>
      </w:r>
      <w:r w:rsidRPr="00E16853">
        <w:t xml:space="preserve">odel </w:t>
      </w:r>
      <w:r>
        <w:t>outline</w:t>
      </w:r>
      <w:r w:rsidR="00583F27">
        <w:t>d</w:t>
      </w:r>
      <w:r>
        <w:t xml:space="preserve"> </w:t>
      </w:r>
      <w:r w:rsidR="0059749D">
        <w:t xml:space="preserve">below highlights the key functions that </w:t>
      </w:r>
      <w:r w:rsidR="00583F27">
        <w:t xml:space="preserve">an </w:t>
      </w:r>
      <w:r w:rsidR="00583F27" w:rsidRPr="008B4759">
        <w:rPr>
          <w:i/>
        </w:rPr>
        <w:t>independent principle</w:t>
      </w:r>
      <w:r w:rsidR="002708F3" w:rsidRPr="008B4759">
        <w:rPr>
          <w:i/>
        </w:rPr>
        <w:t>-</w:t>
      </w:r>
      <w:r w:rsidR="00583F27" w:rsidRPr="008B4759">
        <w:rPr>
          <w:i/>
        </w:rPr>
        <w:t>based</w:t>
      </w:r>
      <w:r w:rsidR="00583F27">
        <w:t xml:space="preserve"> institution </w:t>
      </w:r>
      <w:r w:rsidR="00543419">
        <w:t>might adopt</w:t>
      </w:r>
      <w:r w:rsidR="0059749D">
        <w:t>.</w:t>
      </w:r>
      <w:r w:rsidR="008B4759">
        <w:t xml:space="preserve"> The model specifies that these </w:t>
      </w:r>
      <w:r w:rsidR="00982C31">
        <w:t>specific functions</w:t>
      </w:r>
      <w:r w:rsidR="008B4759">
        <w:t xml:space="preserve"> are grounded in the key research areas </w:t>
      </w:r>
      <w:r w:rsidR="00543419">
        <w:t>described and</w:t>
      </w:r>
      <w:r w:rsidR="008B4759">
        <w:t xml:space="preserve"> that the various beneficiaries have contributed to understanding the purpose and relevance of the functions. </w:t>
      </w:r>
      <w:r w:rsidR="0059749D">
        <w:t xml:space="preserve"> These </w:t>
      </w:r>
      <w:r w:rsidR="008B4759">
        <w:t xml:space="preserve">functions </w:t>
      </w:r>
      <w:r w:rsidR="0059749D">
        <w:t>are:</w:t>
      </w:r>
    </w:p>
    <w:p w14:paraId="40203006" w14:textId="4CCD1A13" w:rsidR="00E73E7F" w:rsidRDefault="0059749D" w:rsidP="000F3226">
      <w:pPr>
        <w:pStyle w:val="ListParagraph"/>
        <w:numPr>
          <w:ilvl w:val="0"/>
          <w:numId w:val="12"/>
        </w:numPr>
        <w:spacing w:after="0" w:line="240" w:lineRule="auto"/>
        <w:contextualSpacing/>
      </w:pPr>
      <w:r>
        <w:t>Generate and source</w:t>
      </w:r>
      <w:r w:rsidR="00E73E7F">
        <w:t>:</w:t>
      </w:r>
      <w:r>
        <w:t xml:space="preserve"> </w:t>
      </w:r>
      <w:r w:rsidR="00E73E7F">
        <w:t>T</w:t>
      </w:r>
      <w:r w:rsidR="00E73E7F" w:rsidRPr="00E73E7F">
        <w:t>he creation, identification and/or collation of evidence in an area or theme within the key research areas (policy, theory, practice implementation and scale)</w:t>
      </w:r>
    </w:p>
    <w:p w14:paraId="4069CC33" w14:textId="1ACA02F0" w:rsidR="00E73E7F" w:rsidRDefault="00E73E7F" w:rsidP="000F3226">
      <w:pPr>
        <w:pStyle w:val="ListParagraph"/>
        <w:numPr>
          <w:ilvl w:val="0"/>
          <w:numId w:val="12"/>
        </w:numPr>
        <w:spacing w:after="0" w:line="240" w:lineRule="auto"/>
        <w:contextualSpacing/>
      </w:pPr>
      <w:r>
        <w:t xml:space="preserve">Synthesis: </w:t>
      </w:r>
      <w:r w:rsidRPr="00E73E7F">
        <w:t>combining various components or elements of the research to form a connected whole. The synthesis process requires a systematic approach to combining facts with criteria and standards to enable an evaluative judgement to be made about the topic under investigation.</w:t>
      </w:r>
    </w:p>
    <w:p w14:paraId="6F2F1FF7" w14:textId="276A3381" w:rsidR="00E73E7F" w:rsidRDefault="00E73E7F" w:rsidP="000F3226">
      <w:pPr>
        <w:pStyle w:val="ListParagraph"/>
        <w:numPr>
          <w:ilvl w:val="0"/>
          <w:numId w:val="12"/>
        </w:numPr>
        <w:spacing w:after="0" w:line="240" w:lineRule="auto"/>
        <w:contextualSpacing/>
      </w:pPr>
      <w:r>
        <w:t xml:space="preserve">Utilisation: The process of maximising the use of evidence to inform practice </w:t>
      </w:r>
    </w:p>
    <w:p w14:paraId="063971E6" w14:textId="6A706181" w:rsidR="00E73E7F" w:rsidRDefault="00E73E7F" w:rsidP="000F3226">
      <w:pPr>
        <w:pStyle w:val="ListParagraph"/>
        <w:numPr>
          <w:ilvl w:val="0"/>
          <w:numId w:val="12"/>
        </w:numPr>
        <w:spacing w:after="0" w:line="240" w:lineRule="auto"/>
        <w:contextualSpacing/>
      </w:pPr>
      <w:r>
        <w:t>Knowledge management: process of collating, translating and effectively distributing the synthesised research evidence</w:t>
      </w:r>
    </w:p>
    <w:p w14:paraId="74598D44" w14:textId="474BEC44" w:rsidR="00C34A88" w:rsidRDefault="00C34A88" w:rsidP="00C34A88">
      <w:pPr>
        <w:spacing w:after="0" w:line="240" w:lineRule="auto"/>
        <w:contextualSpacing/>
      </w:pPr>
    </w:p>
    <w:p w14:paraId="46B3C51E" w14:textId="389CD902" w:rsidR="00C34A88" w:rsidRDefault="00C34A88" w:rsidP="00C34A88">
      <w:pPr>
        <w:spacing w:after="0" w:line="240" w:lineRule="auto"/>
        <w:contextualSpacing/>
      </w:pPr>
      <w:r>
        <w:rPr>
          <w:noProof/>
          <w:lang w:val="en-US" w:eastAsia="en-US"/>
        </w:rPr>
        <w:drawing>
          <wp:inline distT="0" distB="0" distL="0" distR="0" wp14:anchorId="743DE1DD" wp14:editId="17F04A37">
            <wp:extent cx="5715000" cy="2807402"/>
            <wp:effectExtent l="0" t="0" r="0" b="0"/>
            <wp:docPr id="11" name="Picture 11" descr="This figure provides an overview of the Evidence into Action model. It shows the four functions of the institute: generate and source; synthesis; knowledge management; and utilisation. It also identifies a set of proposed key research areas, being theory, practice, implementation and scale; and the beneficiaries of its work, being researchers, practitioners, policy makers and comment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571" cy="2813577"/>
                    </a:xfrm>
                    <a:prstGeom prst="rect">
                      <a:avLst/>
                    </a:prstGeom>
                    <a:noFill/>
                  </pic:spPr>
                </pic:pic>
              </a:graphicData>
            </a:graphic>
          </wp:inline>
        </w:drawing>
      </w:r>
    </w:p>
    <w:p w14:paraId="0DD6F3D9" w14:textId="318D8B58" w:rsidR="0062482E" w:rsidRPr="00E16853" w:rsidRDefault="0062482E" w:rsidP="000F3226"/>
    <w:p w14:paraId="3C298EB2" w14:textId="4C7A276D" w:rsidR="00E73E7F" w:rsidRPr="00494FAB" w:rsidRDefault="0062482E" w:rsidP="00494FAB">
      <w:pPr>
        <w:pStyle w:val="CaptionFig"/>
      </w:pPr>
      <w:r w:rsidRPr="00494FAB">
        <w:t xml:space="preserve">Figure </w:t>
      </w:r>
      <w:fldSimple w:instr=" SEQ Figure \* ARABIC ">
        <w:r w:rsidR="004240AA" w:rsidRPr="00494FAB">
          <w:rPr>
            <w:noProof/>
          </w:rPr>
          <w:t>1</w:t>
        </w:r>
      </w:fldSimple>
      <w:r w:rsidRPr="00494FAB">
        <w:t>. Evidence into Action Model</w:t>
      </w:r>
    </w:p>
    <w:p w14:paraId="1FC28433" w14:textId="77777777" w:rsidR="00982C31" w:rsidRDefault="00982C31" w:rsidP="00E73E7F">
      <w:pPr>
        <w:rPr>
          <w:b/>
          <w:szCs w:val="20"/>
        </w:rPr>
      </w:pPr>
    </w:p>
    <w:p w14:paraId="7F01C4C5" w14:textId="77777777" w:rsidR="00982C31" w:rsidRDefault="00982C31" w:rsidP="00E73E7F">
      <w:pPr>
        <w:rPr>
          <w:b/>
          <w:szCs w:val="20"/>
        </w:rPr>
      </w:pPr>
    </w:p>
    <w:p w14:paraId="16637453" w14:textId="045654D9" w:rsidR="00E73E7F" w:rsidRPr="00550723" w:rsidRDefault="00E73E7F" w:rsidP="00E73E7F">
      <w:pPr>
        <w:rPr>
          <w:b/>
          <w:szCs w:val="20"/>
        </w:rPr>
      </w:pPr>
      <w:r w:rsidRPr="00550723">
        <w:rPr>
          <w:b/>
          <w:szCs w:val="20"/>
        </w:rPr>
        <w:t>Key research areas of the Institute</w:t>
      </w:r>
    </w:p>
    <w:p w14:paraId="55F40841" w14:textId="55DD8D92" w:rsidR="00E73E7F" w:rsidRPr="00DA7D2D" w:rsidRDefault="00E73E7F" w:rsidP="00E73E7F">
      <w:pPr>
        <w:rPr>
          <w:szCs w:val="20"/>
        </w:rPr>
      </w:pPr>
      <w:r w:rsidRPr="00DA7D2D">
        <w:rPr>
          <w:szCs w:val="20"/>
        </w:rPr>
        <w:lastRenderedPageBreak/>
        <w:t>These specific research areas are common across the institution</w:t>
      </w:r>
      <w:r w:rsidR="002708F3">
        <w:rPr>
          <w:szCs w:val="20"/>
        </w:rPr>
        <w:t>,</w:t>
      </w:r>
      <w:r w:rsidRPr="00DA7D2D">
        <w:rPr>
          <w:szCs w:val="20"/>
        </w:rPr>
        <w:t xml:space="preserve"> regardless of the targeted research agenda. The following describes the specific areas of focus:</w:t>
      </w:r>
    </w:p>
    <w:p w14:paraId="0DED78B6" w14:textId="621EBC73" w:rsidR="00E73E7F" w:rsidRPr="000F3226" w:rsidRDefault="00E73E7F" w:rsidP="000F3226">
      <w:pPr>
        <w:pStyle w:val="ListParagraph"/>
        <w:numPr>
          <w:ilvl w:val="0"/>
          <w:numId w:val="12"/>
        </w:numPr>
        <w:spacing w:after="0" w:line="240" w:lineRule="auto"/>
        <w:contextualSpacing/>
      </w:pPr>
      <w:r w:rsidRPr="000F3226">
        <w:t>Theory</w:t>
      </w:r>
      <w:r w:rsidR="002708F3" w:rsidRPr="000F3226">
        <w:t>:</w:t>
      </w:r>
      <w:r w:rsidR="0062482E" w:rsidRPr="000F3226">
        <w:t xml:space="preserve"> </w:t>
      </w:r>
      <w:r w:rsidR="002708F3" w:rsidRPr="000F3226">
        <w:t>A</w:t>
      </w:r>
      <w:r w:rsidR="0062482E" w:rsidRPr="000F3226">
        <w:t>n understanding of the theory of change for interventions and programs</w:t>
      </w:r>
      <w:r w:rsidRPr="000F3226">
        <w:t>,</w:t>
      </w:r>
    </w:p>
    <w:p w14:paraId="6A3CA273" w14:textId="5030782B" w:rsidR="00E73E7F" w:rsidRPr="000F3226" w:rsidRDefault="00E73E7F" w:rsidP="000F3226">
      <w:pPr>
        <w:pStyle w:val="ListParagraph"/>
        <w:numPr>
          <w:ilvl w:val="0"/>
          <w:numId w:val="12"/>
        </w:numPr>
        <w:spacing w:after="0" w:line="240" w:lineRule="auto"/>
        <w:contextualSpacing/>
      </w:pPr>
      <w:r w:rsidRPr="000F3226">
        <w:t xml:space="preserve">Practice: </w:t>
      </w:r>
      <w:r w:rsidR="002708F3" w:rsidRPr="000F3226">
        <w:t>T</w:t>
      </w:r>
      <w:r w:rsidRPr="000F3226">
        <w:t>he tasks required for the fidelity of the theory or programs etc.,</w:t>
      </w:r>
    </w:p>
    <w:p w14:paraId="333108CB" w14:textId="6E7EF524" w:rsidR="00E73E7F" w:rsidRPr="000F3226" w:rsidRDefault="00E73E7F" w:rsidP="000F3226">
      <w:pPr>
        <w:pStyle w:val="ListParagraph"/>
        <w:numPr>
          <w:ilvl w:val="0"/>
          <w:numId w:val="12"/>
        </w:numPr>
        <w:spacing w:after="0" w:line="240" w:lineRule="auto"/>
        <w:contextualSpacing/>
      </w:pPr>
      <w:r w:rsidRPr="000F3226">
        <w:t xml:space="preserve">Implementation: </w:t>
      </w:r>
      <w:r w:rsidR="002708F3" w:rsidRPr="000F3226">
        <w:t>T</w:t>
      </w:r>
      <w:r w:rsidRPr="000F3226">
        <w:t xml:space="preserve">he degree and quality of tasks needed to put evidence into effect to achieve fidelity, </w:t>
      </w:r>
      <w:r w:rsidR="0062482E" w:rsidRPr="000F3226">
        <w:t xml:space="preserve">including costs and resource requirements, </w:t>
      </w:r>
      <w:r w:rsidRPr="000F3226">
        <w:t xml:space="preserve">and </w:t>
      </w:r>
    </w:p>
    <w:p w14:paraId="41755131" w14:textId="178F5905" w:rsidR="00E73E7F" w:rsidRPr="000F3226" w:rsidRDefault="00E73E7F" w:rsidP="000F3226">
      <w:pPr>
        <w:pStyle w:val="ListParagraph"/>
        <w:numPr>
          <w:ilvl w:val="0"/>
          <w:numId w:val="12"/>
        </w:numPr>
        <w:spacing w:line="240" w:lineRule="auto"/>
        <w:contextualSpacing/>
      </w:pPr>
      <w:r w:rsidRPr="000F3226">
        <w:t xml:space="preserve">Scale: </w:t>
      </w:r>
      <w:r w:rsidR="002708F3" w:rsidRPr="000F3226">
        <w:t>T</w:t>
      </w:r>
      <w:r w:rsidRPr="000F3226">
        <w:t>he act of taking the evidence to a broad range or general population.</w:t>
      </w:r>
    </w:p>
    <w:p w14:paraId="6E21B108" w14:textId="6EC693D5" w:rsidR="00E73E7F" w:rsidRPr="00550723" w:rsidRDefault="00E73E7F" w:rsidP="00550723">
      <w:pPr>
        <w:rPr>
          <w:szCs w:val="20"/>
          <w:lang w:val="en-US"/>
        </w:rPr>
      </w:pPr>
      <w:r w:rsidRPr="00550723">
        <w:rPr>
          <w:b/>
          <w:szCs w:val="20"/>
          <w:lang w:val="en-US"/>
        </w:rPr>
        <w:t xml:space="preserve">A broader set of </w:t>
      </w:r>
      <w:r w:rsidR="0062482E" w:rsidRPr="00550723">
        <w:rPr>
          <w:b/>
          <w:szCs w:val="20"/>
          <w:lang w:val="en-US"/>
        </w:rPr>
        <w:t>beneficiaries</w:t>
      </w:r>
    </w:p>
    <w:p w14:paraId="4CB89DE4" w14:textId="76F00F89" w:rsidR="00E73E7F" w:rsidRDefault="00E73E7F" w:rsidP="00E73E7F">
      <w:pPr>
        <w:rPr>
          <w:szCs w:val="20"/>
        </w:rPr>
      </w:pPr>
      <w:r>
        <w:rPr>
          <w:szCs w:val="20"/>
        </w:rPr>
        <w:t xml:space="preserve">Finally, this aspect of the Evidence into Action </w:t>
      </w:r>
      <w:r w:rsidR="002708F3">
        <w:rPr>
          <w:szCs w:val="20"/>
        </w:rPr>
        <w:t>M</w:t>
      </w:r>
      <w:r>
        <w:rPr>
          <w:szCs w:val="20"/>
        </w:rPr>
        <w:t>odel describes those groups and agents that will benefit from the institution and its activities</w:t>
      </w:r>
      <w:r w:rsidR="0062482E">
        <w:rPr>
          <w:szCs w:val="20"/>
        </w:rPr>
        <w:t>.</w:t>
      </w:r>
      <w:r w:rsidR="008B4759">
        <w:rPr>
          <w:szCs w:val="20"/>
        </w:rPr>
        <w:t xml:space="preserve"> </w:t>
      </w:r>
      <w:r w:rsidR="0029317E">
        <w:rPr>
          <w:szCs w:val="20"/>
        </w:rPr>
        <w:t xml:space="preserve"> The education system as a collective need to take part in and benefit from institution. </w:t>
      </w:r>
      <w:r w:rsidR="0029317E" w:rsidRPr="0029317E">
        <w:rPr>
          <w:szCs w:val="20"/>
        </w:rPr>
        <w:t>Pursuing</w:t>
      </w:r>
      <w:r w:rsidR="0029317E">
        <w:rPr>
          <w:szCs w:val="20"/>
        </w:rPr>
        <w:t xml:space="preserve"> just classroom teachers or policymakers will not have the desired impact.  </w:t>
      </w:r>
      <w:r w:rsidR="00773540">
        <w:rPr>
          <w:szCs w:val="20"/>
        </w:rPr>
        <w:t>It is also import</w:t>
      </w:r>
      <w:r w:rsidR="002F7BA9">
        <w:rPr>
          <w:szCs w:val="20"/>
        </w:rPr>
        <w:t xml:space="preserve">ant to recognise that each beneficiary has a specific role within the educational system. Along with this role comes </w:t>
      </w:r>
      <w:r w:rsidR="002F7BA9" w:rsidRPr="002F7BA9">
        <w:rPr>
          <w:szCs w:val="20"/>
        </w:rPr>
        <w:t>peculiar</w:t>
      </w:r>
      <w:r w:rsidR="002F7BA9">
        <w:rPr>
          <w:szCs w:val="20"/>
        </w:rPr>
        <w:t xml:space="preserve"> values and institutionalised knowledge</w:t>
      </w:r>
      <w:r w:rsidR="00CE6B9E">
        <w:rPr>
          <w:szCs w:val="20"/>
        </w:rPr>
        <w:t>, t</w:t>
      </w:r>
      <w:r w:rsidR="002F7BA9">
        <w:rPr>
          <w:szCs w:val="20"/>
        </w:rPr>
        <w:t xml:space="preserve">hese </w:t>
      </w:r>
      <w:r w:rsidR="002F7BA9" w:rsidRPr="002F7BA9">
        <w:rPr>
          <w:szCs w:val="20"/>
          <w:lang w:val="en-US"/>
        </w:rPr>
        <w:t xml:space="preserve">preexisting beliefs and practices guide how </w:t>
      </w:r>
      <w:r w:rsidR="002F7BA9">
        <w:rPr>
          <w:szCs w:val="20"/>
          <w:lang w:val="en-US"/>
        </w:rPr>
        <w:t xml:space="preserve">they come to understand or interpret </w:t>
      </w:r>
      <w:r w:rsidR="002F7BA9" w:rsidRPr="002F7BA9">
        <w:rPr>
          <w:szCs w:val="20"/>
          <w:lang w:val="en-US"/>
        </w:rPr>
        <w:t>the nature of a problem</w:t>
      </w:r>
      <w:r w:rsidR="002F7BA9">
        <w:rPr>
          <w:szCs w:val="20"/>
          <w:lang w:val="en-US"/>
        </w:rPr>
        <w:t xml:space="preserve"> </w:t>
      </w:r>
      <w:r w:rsidR="006875DD">
        <w:rPr>
          <w:szCs w:val="20"/>
          <w:lang w:val="en-US"/>
        </w:rPr>
        <w:t>and a</w:t>
      </w:r>
      <w:r w:rsidR="00CE6B9E">
        <w:rPr>
          <w:szCs w:val="20"/>
          <w:lang w:val="en-US"/>
        </w:rPr>
        <w:t xml:space="preserve"> </w:t>
      </w:r>
      <w:r w:rsidR="002F7BA9">
        <w:rPr>
          <w:szCs w:val="20"/>
          <w:lang w:val="en-US"/>
        </w:rPr>
        <w:t>potential solution.</w:t>
      </w:r>
      <w:r w:rsidR="003D6D7D">
        <w:rPr>
          <w:szCs w:val="20"/>
          <w:lang w:val="en-US"/>
        </w:rPr>
        <w:t xml:space="preserve">  </w:t>
      </w:r>
      <w:r w:rsidR="003D6D7D" w:rsidRPr="003D6D7D">
        <w:rPr>
          <w:szCs w:val="20"/>
          <w:lang w:val="en-US"/>
        </w:rPr>
        <w:t xml:space="preserve">As suggested </w:t>
      </w:r>
      <w:r w:rsidR="003D6D7D">
        <w:rPr>
          <w:szCs w:val="20"/>
          <w:lang w:val="en-US"/>
        </w:rPr>
        <w:t>by Coburn,</w:t>
      </w:r>
      <w:r w:rsidR="00CE6B9E">
        <w:rPr>
          <w:szCs w:val="20"/>
          <w:lang w:val="en-US"/>
        </w:rPr>
        <w:t xml:space="preserve"> </w:t>
      </w:r>
      <w:r w:rsidR="003D3716">
        <w:rPr>
          <w:szCs w:val="20"/>
          <w:lang w:val="en-US"/>
        </w:rPr>
        <w:t>C.,</w:t>
      </w:r>
      <w:r w:rsidR="003D6D7D">
        <w:rPr>
          <w:szCs w:val="20"/>
          <w:lang w:val="en-US"/>
        </w:rPr>
        <w:t xml:space="preserve"> </w:t>
      </w:r>
      <w:proofErr w:type="spellStart"/>
      <w:r w:rsidR="003D6D7D">
        <w:rPr>
          <w:szCs w:val="20"/>
          <w:lang w:val="en-US"/>
        </w:rPr>
        <w:t>Toure</w:t>
      </w:r>
      <w:proofErr w:type="spellEnd"/>
      <w:r w:rsidR="003D6D7D">
        <w:rPr>
          <w:szCs w:val="20"/>
          <w:lang w:val="en-US"/>
        </w:rPr>
        <w:t>, J</w:t>
      </w:r>
      <w:r w:rsidR="003D3716">
        <w:rPr>
          <w:szCs w:val="20"/>
          <w:lang w:val="en-US"/>
        </w:rPr>
        <w:t>.,</w:t>
      </w:r>
      <w:r w:rsidR="003D6D7D">
        <w:rPr>
          <w:szCs w:val="20"/>
          <w:lang w:val="en-US"/>
        </w:rPr>
        <w:t xml:space="preserve"> &amp; Yamashita</w:t>
      </w:r>
      <w:r w:rsidR="003D3716">
        <w:rPr>
          <w:szCs w:val="20"/>
          <w:lang w:val="en-US"/>
        </w:rPr>
        <w:t>,</w:t>
      </w:r>
      <w:r w:rsidR="003D6D7D">
        <w:rPr>
          <w:szCs w:val="20"/>
          <w:lang w:val="en-US"/>
        </w:rPr>
        <w:t xml:space="preserve"> M</w:t>
      </w:r>
      <w:r w:rsidR="003D3716">
        <w:rPr>
          <w:szCs w:val="20"/>
          <w:lang w:val="en-US"/>
        </w:rPr>
        <w:t>.</w:t>
      </w:r>
      <w:r w:rsidR="003D6D7D">
        <w:rPr>
          <w:szCs w:val="20"/>
          <w:lang w:val="en-US"/>
        </w:rPr>
        <w:t xml:space="preserve"> (2009)</w:t>
      </w:r>
      <w:r w:rsidR="003D3716">
        <w:rPr>
          <w:szCs w:val="20"/>
          <w:lang w:val="en-US"/>
        </w:rPr>
        <w:t xml:space="preserve">, </w:t>
      </w:r>
      <w:r w:rsidR="003D6D7D">
        <w:rPr>
          <w:szCs w:val="20"/>
          <w:lang w:val="en-US"/>
        </w:rPr>
        <w:t>‘</w:t>
      </w:r>
      <w:r w:rsidR="003D6D7D" w:rsidRPr="003D6D7D">
        <w:rPr>
          <w:szCs w:val="20"/>
          <w:lang w:val="en-US"/>
        </w:rPr>
        <w:t>sense</w:t>
      </w:r>
      <w:r w:rsidR="003D3716">
        <w:rPr>
          <w:szCs w:val="20"/>
          <w:lang w:val="en-US"/>
        </w:rPr>
        <w:t>-</w:t>
      </w:r>
      <w:r w:rsidR="003D6D7D" w:rsidRPr="003D6D7D">
        <w:rPr>
          <w:szCs w:val="20"/>
          <w:lang w:val="en-US"/>
        </w:rPr>
        <w:t>m</w:t>
      </w:r>
      <w:r w:rsidR="003D6D7D">
        <w:rPr>
          <w:szCs w:val="20"/>
          <w:lang w:val="en-US"/>
        </w:rPr>
        <w:t xml:space="preserve">aking theory </w:t>
      </w:r>
      <w:r w:rsidR="006875DD">
        <w:rPr>
          <w:szCs w:val="20"/>
          <w:lang w:val="en-US"/>
        </w:rPr>
        <w:t xml:space="preserve">suggests </w:t>
      </w:r>
      <w:r w:rsidR="006875DD" w:rsidRPr="003D6D7D">
        <w:rPr>
          <w:szCs w:val="20"/>
          <w:lang w:val="en-US"/>
        </w:rPr>
        <w:t>how</w:t>
      </w:r>
      <w:r w:rsidR="003D6D7D">
        <w:rPr>
          <w:szCs w:val="20"/>
          <w:lang w:val="en-US"/>
        </w:rPr>
        <w:t xml:space="preserve"> individuals interpret evi</w:t>
      </w:r>
      <w:r w:rsidR="003D6D7D" w:rsidRPr="003D6D7D">
        <w:rPr>
          <w:szCs w:val="20"/>
          <w:lang w:val="en-US"/>
        </w:rPr>
        <w:t xml:space="preserve">dence </w:t>
      </w:r>
      <w:r w:rsidR="003D6D7D">
        <w:rPr>
          <w:szCs w:val="20"/>
          <w:lang w:val="en-US"/>
        </w:rPr>
        <w:t>is</w:t>
      </w:r>
      <w:r w:rsidR="003D6D7D" w:rsidRPr="003D6D7D">
        <w:rPr>
          <w:szCs w:val="20"/>
          <w:lang w:val="en-US"/>
        </w:rPr>
        <w:t xml:space="preserve"> often rooted in their preexisti</w:t>
      </w:r>
      <w:r w:rsidR="003D6D7D">
        <w:rPr>
          <w:szCs w:val="20"/>
          <w:lang w:val="en-US"/>
        </w:rPr>
        <w:t>ng worldviews and shared under</w:t>
      </w:r>
      <w:r w:rsidR="003D6D7D" w:rsidRPr="003D6D7D">
        <w:rPr>
          <w:szCs w:val="20"/>
          <w:lang w:val="en-US"/>
        </w:rPr>
        <w:t>standings</w:t>
      </w:r>
      <w:r w:rsidR="003D6D7D">
        <w:rPr>
          <w:szCs w:val="20"/>
          <w:lang w:val="en-US"/>
        </w:rPr>
        <w:t>’ (</w:t>
      </w:r>
      <w:r w:rsidR="006875DD">
        <w:rPr>
          <w:szCs w:val="20"/>
          <w:lang w:val="en-US"/>
        </w:rPr>
        <w:t>pg.</w:t>
      </w:r>
      <w:r w:rsidR="003D6D7D">
        <w:rPr>
          <w:szCs w:val="20"/>
          <w:lang w:val="en-US"/>
        </w:rPr>
        <w:t xml:space="preserve"> 1127).</w:t>
      </w:r>
      <w:r w:rsidR="00CE6B9E">
        <w:rPr>
          <w:szCs w:val="20"/>
          <w:lang w:val="en-US"/>
        </w:rPr>
        <w:t xml:space="preserve"> Coburn et al, go further and suggest </w:t>
      </w:r>
      <w:r w:rsidR="006875DD">
        <w:rPr>
          <w:szCs w:val="20"/>
          <w:lang w:val="en-US"/>
        </w:rPr>
        <w:t>that limited</w:t>
      </w:r>
      <w:r w:rsidR="00CE6B9E">
        <w:rPr>
          <w:szCs w:val="20"/>
          <w:lang w:val="en-US"/>
        </w:rPr>
        <w:t xml:space="preserve"> exposure and resource can limit the use of evidence to make informed decisions about particular problems.  Providing an avenue for all engaged in this </w:t>
      </w:r>
      <w:proofErr w:type="spellStart"/>
      <w:r w:rsidR="00CE6B9E">
        <w:rPr>
          <w:szCs w:val="20"/>
          <w:lang w:val="en-US"/>
        </w:rPr>
        <w:t>utilisation</w:t>
      </w:r>
      <w:proofErr w:type="spellEnd"/>
      <w:r w:rsidR="00CE6B9E">
        <w:rPr>
          <w:szCs w:val="20"/>
          <w:lang w:val="en-US"/>
        </w:rPr>
        <w:t xml:space="preserve"> of research information to share and </w:t>
      </w:r>
      <w:r w:rsidR="00CE6B9E" w:rsidRPr="00CE6B9E">
        <w:rPr>
          <w:szCs w:val="20"/>
          <w:lang w:val="en-US"/>
        </w:rPr>
        <w:t>reflect</w:t>
      </w:r>
      <w:r w:rsidR="00CE6B9E">
        <w:rPr>
          <w:szCs w:val="20"/>
          <w:lang w:val="en-US"/>
        </w:rPr>
        <w:t xml:space="preserve"> </w:t>
      </w:r>
      <w:r w:rsidR="006875DD">
        <w:rPr>
          <w:szCs w:val="20"/>
          <w:lang w:val="en-US"/>
        </w:rPr>
        <w:t xml:space="preserve">is a </w:t>
      </w:r>
      <w:r w:rsidR="006875DD" w:rsidRPr="006875DD">
        <w:rPr>
          <w:szCs w:val="20"/>
          <w:lang w:val="en-US"/>
        </w:rPr>
        <w:t>necessity</w:t>
      </w:r>
      <w:r w:rsidR="006875DD">
        <w:rPr>
          <w:szCs w:val="20"/>
          <w:lang w:val="en-US"/>
        </w:rPr>
        <w:t>.</w:t>
      </w:r>
      <w:r w:rsidR="006875DD">
        <w:rPr>
          <w:szCs w:val="20"/>
        </w:rPr>
        <w:t xml:space="preserve">  </w:t>
      </w:r>
      <w:r w:rsidR="0029317E">
        <w:rPr>
          <w:szCs w:val="20"/>
        </w:rPr>
        <w:t>As a consequence of the need for a collective approach to the development of the institution and the</w:t>
      </w:r>
      <w:r w:rsidR="0062482E">
        <w:rPr>
          <w:szCs w:val="20"/>
        </w:rPr>
        <w:t xml:space="preserve"> beneficiaries would </w:t>
      </w:r>
      <w:r w:rsidR="008B4759">
        <w:rPr>
          <w:szCs w:val="20"/>
        </w:rPr>
        <w:t>include</w:t>
      </w:r>
      <w:r>
        <w:rPr>
          <w:szCs w:val="20"/>
        </w:rPr>
        <w:t xml:space="preserve">: </w:t>
      </w:r>
    </w:p>
    <w:p w14:paraId="618E0C8B" w14:textId="77777777" w:rsidR="00E73E7F" w:rsidRPr="000F3226" w:rsidRDefault="00E73E7F" w:rsidP="000F3226">
      <w:pPr>
        <w:pStyle w:val="ListParagraph"/>
        <w:numPr>
          <w:ilvl w:val="0"/>
          <w:numId w:val="12"/>
        </w:numPr>
        <w:spacing w:after="0" w:line="240" w:lineRule="auto"/>
        <w:contextualSpacing/>
      </w:pPr>
      <w:r w:rsidRPr="000F3226">
        <w:t>Researchers: Those engaged in the completion of educational research.</w:t>
      </w:r>
    </w:p>
    <w:p w14:paraId="21840CBC" w14:textId="1603DB0D" w:rsidR="00E73E7F" w:rsidRPr="000F3226" w:rsidRDefault="00E73E7F" w:rsidP="000F3226">
      <w:pPr>
        <w:pStyle w:val="ListParagraph"/>
        <w:numPr>
          <w:ilvl w:val="0"/>
          <w:numId w:val="12"/>
        </w:numPr>
        <w:spacing w:after="0" w:line="240" w:lineRule="auto"/>
        <w:contextualSpacing/>
      </w:pPr>
      <w:r w:rsidRPr="000F3226">
        <w:t>Practitioners: Those enacting or using evidence/research in educational communities.</w:t>
      </w:r>
    </w:p>
    <w:p w14:paraId="61E952C6" w14:textId="2444C5BE" w:rsidR="00E73E7F" w:rsidRPr="000F3226" w:rsidRDefault="00E73E7F" w:rsidP="000F3226">
      <w:pPr>
        <w:pStyle w:val="ListParagraph"/>
        <w:numPr>
          <w:ilvl w:val="0"/>
          <w:numId w:val="12"/>
        </w:numPr>
        <w:spacing w:after="0" w:line="240" w:lineRule="auto"/>
        <w:contextualSpacing/>
      </w:pPr>
      <w:r w:rsidRPr="000F3226">
        <w:t>Policymakers: Those who create ideas and plans, especially carried out by government. </w:t>
      </w:r>
    </w:p>
    <w:p w14:paraId="4F1964E6" w14:textId="3F0FB6D9" w:rsidR="00E73E7F" w:rsidRPr="000F3226" w:rsidRDefault="00E73E7F" w:rsidP="000F3226">
      <w:pPr>
        <w:pStyle w:val="ListParagraph"/>
        <w:numPr>
          <w:ilvl w:val="0"/>
          <w:numId w:val="12"/>
        </w:numPr>
        <w:spacing w:line="240" w:lineRule="auto"/>
        <w:contextualSpacing/>
      </w:pPr>
      <w:r w:rsidRPr="000F3226">
        <w:t>Social commentators: Those who have a voice in the process of education within community e.g. parents, not for profit groups, students</w:t>
      </w:r>
      <w:r w:rsidR="002E3F34" w:rsidRPr="000F3226">
        <w:t>,</w:t>
      </w:r>
      <w:r w:rsidRPr="000F3226">
        <w:t xml:space="preserve"> etc.</w:t>
      </w:r>
    </w:p>
    <w:p w14:paraId="1C40A5C5" w14:textId="50B9F548" w:rsidR="00E73E7F" w:rsidRPr="00E8131A" w:rsidRDefault="00E73E7F" w:rsidP="00E73E7F">
      <w:pPr>
        <w:rPr>
          <w:rFonts w:ascii="Calibri" w:eastAsia="MS Mincho" w:hAnsi="Calibri" w:cs="Times New Roman"/>
        </w:rPr>
      </w:pPr>
      <w:r>
        <w:rPr>
          <w:rFonts w:ascii="Calibri" w:eastAsia="MS Mincho" w:hAnsi="Calibri" w:cs="Times New Roman"/>
        </w:rPr>
        <w:t>Organising these efforts is a significant undertaking and</w:t>
      </w:r>
      <w:r w:rsidR="002E3F34">
        <w:rPr>
          <w:rFonts w:ascii="Calibri" w:eastAsia="MS Mincho" w:hAnsi="Calibri" w:cs="Times New Roman"/>
        </w:rPr>
        <w:t>,</w:t>
      </w:r>
      <w:r>
        <w:rPr>
          <w:rFonts w:ascii="Calibri" w:eastAsia="MS Mincho" w:hAnsi="Calibri" w:cs="Times New Roman"/>
        </w:rPr>
        <w:t xml:space="preserve"> as describe</w:t>
      </w:r>
      <w:r w:rsidR="002E3F34">
        <w:rPr>
          <w:rFonts w:ascii="Calibri" w:eastAsia="MS Mincho" w:hAnsi="Calibri" w:cs="Times New Roman"/>
        </w:rPr>
        <w:t>d,</w:t>
      </w:r>
      <w:r>
        <w:rPr>
          <w:rFonts w:ascii="Calibri" w:eastAsia="MS Mincho" w:hAnsi="Calibri" w:cs="Times New Roman"/>
        </w:rPr>
        <w:t xml:space="preserve"> a collaborative partnership</w:t>
      </w:r>
      <w:r w:rsidR="0029317E">
        <w:rPr>
          <w:rFonts w:ascii="Calibri" w:eastAsia="MS Mincho" w:hAnsi="Calibri" w:cs="Times New Roman"/>
        </w:rPr>
        <w:t xml:space="preserve"> will be</w:t>
      </w:r>
      <w:r>
        <w:rPr>
          <w:rFonts w:ascii="Calibri" w:eastAsia="MS Mincho" w:hAnsi="Calibri" w:cs="Times New Roman"/>
        </w:rPr>
        <w:t xml:space="preserve"> necessary. One stakeholder suggested that ‘this can’t be seen as the silver bullet, it will require support from many areas’, hence, considering a </w:t>
      </w:r>
      <w:r w:rsidRPr="00E8131A">
        <w:rPr>
          <w:rFonts w:ascii="Calibri" w:eastAsia="MS Mincho" w:hAnsi="Calibri" w:cs="Times New Roman"/>
        </w:rPr>
        <w:t xml:space="preserve">structure for </w:t>
      </w:r>
      <w:r>
        <w:rPr>
          <w:rFonts w:ascii="Calibri" w:eastAsia="MS Mincho" w:hAnsi="Calibri" w:cs="Times New Roman"/>
        </w:rPr>
        <w:t xml:space="preserve">establishing partnerships around some level </w:t>
      </w:r>
      <w:r w:rsidRPr="00E8131A">
        <w:rPr>
          <w:rFonts w:ascii="Calibri" w:eastAsia="MS Mincho" w:hAnsi="Calibri" w:cs="Times New Roman"/>
        </w:rPr>
        <w:t>collective action</w:t>
      </w:r>
      <w:r>
        <w:rPr>
          <w:rFonts w:ascii="Calibri" w:eastAsia="MS Mincho" w:hAnsi="Calibri" w:cs="Times New Roman"/>
        </w:rPr>
        <w:t xml:space="preserve"> will be helpful. </w:t>
      </w:r>
      <w:r w:rsidRPr="00E8131A">
        <w:rPr>
          <w:rFonts w:ascii="Calibri" w:eastAsia="MS Mincho" w:hAnsi="Calibri" w:cs="Times New Roman"/>
        </w:rPr>
        <w:t xml:space="preserve">Collaboration </w:t>
      </w:r>
      <w:r>
        <w:rPr>
          <w:rFonts w:ascii="Calibri" w:eastAsia="MS Mincho" w:hAnsi="Calibri" w:cs="Times New Roman"/>
        </w:rPr>
        <w:t xml:space="preserve">will be </w:t>
      </w:r>
      <w:r w:rsidRPr="00E8131A">
        <w:rPr>
          <w:rFonts w:ascii="Calibri" w:eastAsia="MS Mincho" w:hAnsi="Calibri" w:cs="Times New Roman"/>
        </w:rPr>
        <w:t xml:space="preserve">fundamental to this process and mobilising the community around a common agenda that is underpinned by a strong educational theory will increase success. </w:t>
      </w:r>
      <w:r>
        <w:t xml:space="preserve">Targeting needs that are relevant to the beneficiaries while at the same time developing strong understanding through the system will be important. </w:t>
      </w:r>
    </w:p>
    <w:p w14:paraId="0F2612AC" w14:textId="6E0C5ABB" w:rsidR="00BE4558" w:rsidRPr="004E4027" w:rsidRDefault="00BE4558" w:rsidP="0093470E">
      <w:r>
        <w:t>Furthermore</w:t>
      </w:r>
      <w:r w:rsidR="002E3F34">
        <w:t>,</w:t>
      </w:r>
      <w:r>
        <w:t xml:space="preserve"> </w:t>
      </w:r>
      <w:r w:rsidRPr="000F3226">
        <w:t>these</w:t>
      </w:r>
      <w:r>
        <w:t xml:space="preserve"> key functions have a foundation in a utilisation focussed approach where the end users are actively involved in determining relevance and need</w:t>
      </w:r>
      <w:r w:rsidR="002E3F34">
        <w:t>,</w:t>
      </w:r>
      <w:r>
        <w:t xml:space="preserve"> and </w:t>
      </w:r>
      <w:r w:rsidR="00C830B0">
        <w:t>are the beneficiaries of impact.</w:t>
      </w:r>
      <w:r w:rsidR="008B4759">
        <w:t xml:space="preserve"> </w:t>
      </w:r>
    </w:p>
    <w:p w14:paraId="628F5B0D" w14:textId="77777777" w:rsidR="0093470E" w:rsidRPr="00E16853" w:rsidRDefault="0093470E" w:rsidP="00E833DA">
      <w:pPr>
        <w:pStyle w:val="NumberedHeading2"/>
        <w:numPr>
          <w:ilvl w:val="0"/>
          <w:numId w:val="0"/>
        </w:numPr>
        <w:ind w:left="680" w:hanging="680"/>
        <w:outlineLvl w:val="0"/>
      </w:pPr>
      <w:bookmarkStart w:id="10" w:name="_Toc509950613"/>
      <w:r w:rsidRPr="00E16853">
        <w:t>Key tasks for evidence-centred implementation</w:t>
      </w:r>
      <w:bookmarkEnd w:id="10"/>
    </w:p>
    <w:p w14:paraId="30A4EDEC" w14:textId="52D868F8" w:rsidR="0093470E" w:rsidRDefault="0093470E" w:rsidP="0093470E">
      <w:r w:rsidRPr="00E16853">
        <w:t xml:space="preserve">It is acknowledged that there are current institutions within the Australian education system that perform one or </w:t>
      </w:r>
      <w:r>
        <w:t>more</w:t>
      </w:r>
      <w:r w:rsidRPr="00E16853">
        <w:t xml:space="preserve"> of these functions. However, there are no institutions in Australia that operate independently from government to perform all four functions</w:t>
      </w:r>
      <w:r>
        <w:t xml:space="preserve">, </w:t>
      </w:r>
      <w:r w:rsidR="00703C8E">
        <w:t>as well as</w:t>
      </w:r>
      <w:r w:rsidRPr="00E16853">
        <w:t xml:space="preserve"> embody</w:t>
      </w:r>
      <w:r>
        <w:t>ing</w:t>
      </w:r>
      <w:r w:rsidRPr="00E16853">
        <w:t xml:space="preserve"> the principles outlined in the model</w:t>
      </w:r>
      <w:r>
        <w:t xml:space="preserve">; </w:t>
      </w:r>
      <w:r w:rsidRPr="00E16853">
        <w:t>nor were there such examples found internationally, providing an opportunity to establish an internationally leading institute. However, the functions of the proposed institute have been informed by an examination of these existing institutes. Further, while stakeholders were interviewed from a range of organisations</w:t>
      </w:r>
      <w:r w:rsidR="002E3F34">
        <w:t xml:space="preserve"> and</w:t>
      </w:r>
      <w:r w:rsidRPr="00E16853">
        <w:t xml:space="preserve"> there was consensus that more research needs to be generated in the education </w:t>
      </w:r>
      <w:r w:rsidR="005F186A" w:rsidRPr="00E16853">
        <w:t>field, along with</w:t>
      </w:r>
      <w:r w:rsidRPr="00E16853">
        <w:t xml:space="preserve"> more investment into developing structures that can support evidence-informed practice within education.</w:t>
      </w:r>
    </w:p>
    <w:p w14:paraId="4248354D" w14:textId="77777777" w:rsidR="0093470E" w:rsidRDefault="0093470E" w:rsidP="0093470E">
      <w:pPr>
        <w:ind w:left="720" w:firstLine="60"/>
      </w:pPr>
      <w:r w:rsidRPr="00E16853">
        <w:rPr>
          <w:i/>
        </w:rPr>
        <w:t>[We] need the translation from research into evidence so teachers can look back to the evidence base – and…</w:t>
      </w:r>
      <w:r>
        <w:rPr>
          <w:i/>
        </w:rPr>
        <w:t xml:space="preserve">to </w:t>
      </w:r>
      <w:r w:rsidRPr="00E16853">
        <w:rPr>
          <w:i/>
        </w:rPr>
        <w:t>support teachers in their practice</w:t>
      </w:r>
      <w:r w:rsidRPr="00E16853">
        <w:t>. (Interviewee, education organisation)</w:t>
      </w:r>
    </w:p>
    <w:p w14:paraId="26B06AD7" w14:textId="56839D5A" w:rsidR="00C11144" w:rsidRPr="00C11144" w:rsidRDefault="00C11144" w:rsidP="00C11144">
      <w:pPr>
        <w:autoSpaceDE w:val="0"/>
        <w:autoSpaceDN w:val="0"/>
        <w:adjustRightInd w:val="0"/>
        <w:spacing w:after="240" w:line="300" w:lineRule="atLeast"/>
      </w:pPr>
      <w:bookmarkStart w:id="11" w:name="_Toc509950614"/>
      <w:r>
        <w:lastRenderedPageBreak/>
        <w:t>The core idea to support utilisation of evidence is to establish</w:t>
      </w:r>
      <w:r w:rsidRPr="00C11144">
        <w:t xml:space="preserve"> structures that enable individuals in different parts of the education sector to engage in deliberation and debate through organisational settings that encourage and enable use of evidence in substantive ways. </w:t>
      </w:r>
    </w:p>
    <w:p w14:paraId="67319826" w14:textId="11E1A43B" w:rsidR="0093470E" w:rsidRPr="00E16853" w:rsidRDefault="0093470E" w:rsidP="00E833DA">
      <w:pPr>
        <w:pStyle w:val="NumberedHeading2"/>
        <w:numPr>
          <w:ilvl w:val="0"/>
          <w:numId w:val="0"/>
        </w:numPr>
        <w:ind w:left="680" w:hanging="680"/>
        <w:outlineLvl w:val="0"/>
      </w:pPr>
      <w:r w:rsidRPr="00E16853">
        <w:t>Recommendations</w:t>
      </w:r>
      <w:bookmarkEnd w:id="11"/>
    </w:p>
    <w:p w14:paraId="74A6C716" w14:textId="0A3F31B3" w:rsidR="0093470E" w:rsidRDefault="0093470E" w:rsidP="0093470E">
      <w:r w:rsidRPr="00E16853">
        <w:t>Based on our findings, it is recommended that a national</w:t>
      </w:r>
      <w:r w:rsidR="00583F27">
        <w:t>ly</w:t>
      </w:r>
      <w:r w:rsidRPr="00E16853">
        <w:t xml:space="preserve"> independent</w:t>
      </w:r>
      <w:r w:rsidR="00583F27">
        <w:t xml:space="preserve"> utilisation focussed</w:t>
      </w:r>
      <w:r w:rsidRPr="00E16853">
        <w:t xml:space="preserve"> institution aiming to support evidence-informed practice in education in Australia:</w:t>
      </w:r>
    </w:p>
    <w:p w14:paraId="3D309CAA" w14:textId="77777777" w:rsidR="00086A92" w:rsidRPr="000F3226" w:rsidRDefault="00086A92" w:rsidP="000F3226">
      <w:pPr>
        <w:pStyle w:val="ListParagraph"/>
        <w:numPr>
          <w:ilvl w:val="0"/>
          <w:numId w:val="12"/>
        </w:numPr>
        <w:spacing w:after="0" w:line="240" w:lineRule="auto"/>
        <w:contextualSpacing/>
      </w:pPr>
      <w:r w:rsidRPr="000F3226">
        <w:t>Develops a set of guiding principles for practice that are acceptable to the education community.</w:t>
      </w:r>
    </w:p>
    <w:p w14:paraId="0CF70166" w14:textId="77777777" w:rsidR="00086A92" w:rsidRPr="000F3226" w:rsidRDefault="00086A92" w:rsidP="000F3226">
      <w:pPr>
        <w:pStyle w:val="ListParagraph"/>
        <w:numPr>
          <w:ilvl w:val="0"/>
          <w:numId w:val="12"/>
        </w:numPr>
        <w:spacing w:after="0" w:line="240" w:lineRule="auto"/>
        <w:contextualSpacing/>
      </w:pPr>
      <w:r w:rsidRPr="000F3226">
        <w:t xml:space="preserve">Is established and implemented in such a way that it mirrors the philosophy of Australia's inclusive, diverse, culture and contexts and acts as a conduit for groups to access and share knowledge. </w:t>
      </w:r>
    </w:p>
    <w:p w14:paraId="7AFD5F26" w14:textId="77777777" w:rsidR="00086A92" w:rsidRPr="000F3226" w:rsidRDefault="00086A92" w:rsidP="000F3226">
      <w:pPr>
        <w:pStyle w:val="ListParagraph"/>
        <w:numPr>
          <w:ilvl w:val="0"/>
          <w:numId w:val="12"/>
        </w:numPr>
        <w:spacing w:after="0" w:line="240" w:lineRule="auto"/>
        <w:contextualSpacing/>
      </w:pPr>
      <w:r w:rsidRPr="000F3226">
        <w:t>Explores the merit and worth of the following guiding principles described in the Evidence into Action model and determines the acceptability of the principles by stakeholders. The following principles are recommended as key to the success of any evidence-based organisation:</w:t>
      </w:r>
    </w:p>
    <w:p w14:paraId="65381E60" w14:textId="77777777" w:rsidR="00086A92" w:rsidRPr="00DA7D2D" w:rsidRDefault="00086A92" w:rsidP="000F3226">
      <w:pPr>
        <w:pStyle w:val="NoSpacing"/>
        <w:numPr>
          <w:ilvl w:val="2"/>
          <w:numId w:val="56"/>
        </w:numPr>
        <w:ind w:left="1400" w:hanging="300"/>
      </w:pPr>
      <w:r w:rsidRPr="00DA7D2D">
        <w:t>Independence</w:t>
      </w:r>
    </w:p>
    <w:p w14:paraId="34F24688" w14:textId="77777777" w:rsidR="00086A92" w:rsidRPr="00DA7D2D" w:rsidRDefault="00086A92" w:rsidP="000F3226">
      <w:pPr>
        <w:pStyle w:val="NoSpacing"/>
        <w:numPr>
          <w:ilvl w:val="2"/>
          <w:numId w:val="56"/>
        </w:numPr>
        <w:ind w:left="1400" w:hanging="300"/>
      </w:pPr>
      <w:r w:rsidRPr="00DA7D2D">
        <w:t xml:space="preserve">Collaboration </w:t>
      </w:r>
    </w:p>
    <w:p w14:paraId="4D889A56" w14:textId="77777777" w:rsidR="00086A92" w:rsidRPr="00DA7D2D" w:rsidRDefault="00086A92" w:rsidP="000F3226">
      <w:pPr>
        <w:pStyle w:val="NoSpacing"/>
        <w:numPr>
          <w:ilvl w:val="2"/>
          <w:numId w:val="56"/>
        </w:numPr>
        <w:ind w:left="1400" w:hanging="300"/>
      </w:pPr>
      <w:r w:rsidRPr="00DA7D2D">
        <w:t>Evaluation</w:t>
      </w:r>
    </w:p>
    <w:p w14:paraId="0C95A14C" w14:textId="77777777" w:rsidR="00086A92" w:rsidRPr="00DA7D2D" w:rsidRDefault="00086A92" w:rsidP="000F3226">
      <w:pPr>
        <w:pStyle w:val="NoSpacing"/>
        <w:numPr>
          <w:ilvl w:val="2"/>
          <w:numId w:val="56"/>
        </w:numPr>
        <w:ind w:left="1400" w:hanging="300"/>
      </w:pPr>
      <w:r w:rsidRPr="00DA7D2D">
        <w:t>Promotion and advocacy</w:t>
      </w:r>
    </w:p>
    <w:p w14:paraId="6359A218" w14:textId="77777777" w:rsidR="00086A92" w:rsidRPr="00DA7D2D" w:rsidRDefault="00086A92" w:rsidP="000F3226">
      <w:pPr>
        <w:pStyle w:val="NoSpacing"/>
        <w:numPr>
          <w:ilvl w:val="2"/>
          <w:numId w:val="56"/>
        </w:numPr>
        <w:ind w:left="1400" w:hanging="300"/>
      </w:pPr>
      <w:r w:rsidRPr="00DA7D2D">
        <w:t>Capacity building</w:t>
      </w:r>
    </w:p>
    <w:p w14:paraId="00AC697C" w14:textId="77777777" w:rsidR="00086A92" w:rsidRPr="00DA7D2D" w:rsidRDefault="00086A92" w:rsidP="000F3226">
      <w:pPr>
        <w:pStyle w:val="NoSpacing"/>
        <w:numPr>
          <w:ilvl w:val="2"/>
          <w:numId w:val="56"/>
        </w:numPr>
        <w:ind w:left="1400" w:hanging="300"/>
      </w:pPr>
      <w:r w:rsidRPr="00DA7D2D">
        <w:t>Environmental forecasting</w:t>
      </w:r>
    </w:p>
    <w:p w14:paraId="715769B3" w14:textId="77777777" w:rsidR="00086A92" w:rsidRPr="00DA7D2D" w:rsidRDefault="00086A92" w:rsidP="000F3226">
      <w:pPr>
        <w:pStyle w:val="NoSpacing"/>
        <w:numPr>
          <w:ilvl w:val="2"/>
          <w:numId w:val="56"/>
        </w:numPr>
        <w:ind w:left="1400" w:hanging="300"/>
      </w:pPr>
      <w:r w:rsidRPr="00DA7D2D">
        <w:t>Responsiveness to the educational community</w:t>
      </w:r>
    </w:p>
    <w:p w14:paraId="417EE5F3" w14:textId="77777777" w:rsidR="00086A92" w:rsidRPr="00DA7D2D" w:rsidRDefault="00086A92" w:rsidP="000F3226">
      <w:pPr>
        <w:pStyle w:val="NoSpacing"/>
        <w:numPr>
          <w:ilvl w:val="2"/>
          <w:numId w:val="56"/>
        </w:numPr>
        <w:ind w:left="1400" w:hanging="300"/>
      </w:pPr>
      <w:r w:rsidRPr="00DA7D2D">
        <w:t>Innovation</w:t>
      </w:r>
    </w:p>
    <w:p w14:paraId="3C486C46" w14:textId="77777777" w:rsidR="00086A92" w:rsidRPr="00DA7D2D" w:rsidRDefault="00086A92" w:rsidP="000F3226">
      <w:pPr>
        <w:pStyle w:val="NoSpacing"/>
        <w:numPr>
          <w:ilvl w:val="2"/>
          <w:numId w:val="56"/>
        </w:numPr>
        <w:ind w:left="1400" w:hanging="300"/>
      </w:pPr>
      <w:r w:rsidRPr="00DA7D2D">
        <w:t>Dynamic</w:t>
      </w:r>
    </w:p>
    <w:p w14:paraId="416EA0D5" w14:textId="52E3D175" w:rsidR="00086A92" w:rsidRPr="00DA7D2D" w:rsidRDefault="002E3F34" w:rsidP="001730F1">
      <w:pPr>
        <w:pStyle w:val="NoSpacing"/>
        <w:numPr>
          <w:ilvl w:val="0"/>
          <w:numId w:val="49"/>
        </w:numPr>
        <w:rPr>
          <w:lang w:val="en-US"/>
        </w:rPr>
      </w:pPr>
      <w:r>
        <w:rPr>
          <w:lang w:val="en-US"/>
        </w:rPr>
        <w:t>Is d</w:t>
      </w:r>
      <w:r w:rsidR="00086A92" w:rsidRPr="00DA7D2D">
        <w:rPr>
          <w:lang w:val="en-US"/>
        </w:rPr>
        <w:t>esigned to source evidence and be responsive to requests for evidence from policymakers, practitioners, researchers and social commentators.</w:t>
      </w:r>
    </w:p>
    <w:p w14:paraId="4C1CD854" w14:textId="77777777" w:rsidR="00086A92" w:rsidRPr="00DA7D2D" w:rsidRDefault="00086A92" w:rsidP="001730F1">
      <w:pPr>
        <w:pStyle w:val="NoSpacing"/>
        <w:numPr>
          <w:ilvl w:val="0"/>
          <w:numId w:val="49"/>
        </w:numPr>
        <w:rPr>
          <w:lang w:val="en-US"/>
        </w:rPr>
      </w:pPr>
      <w:r w:rsidRPr="00DA7D2D">
        <w:rPr>
          <w:lang w:val="en-US"/>
        </w:rPr>
        <w:t>Ensure</w:t>
      </w:r>
      <w:r>
        <w:rPr>
          <w:lang w:val="en-US"/>
        </w:rPr>
        <w:t>s</w:t>
      </w:r>
      <w:r w:rsidRPr="00DA7D2D">
        <w:rPr>
          <w:lang w:val="en-US"/>
        </w:rPr>
        <w:t xml:space="preserve"> that outcomes relating to uptake, scale of high-impact evidence based research and </w:t>
      </w:r>
      <w:r>
        <w:rPr>
          <w:lang w:val="en-US"/>
        </w:rPr>
        <w:t>creation of</w:t>
      </w:r>
      <w:r w:rsidRPr="00DA7D2D">
        <w:rPr>
          <w:lang w:val="en-US"/>
        </w:rPr>
        <w:t xml:space="preserve"> successful dialogue about implementation processes for school leaders and hence through the structures of schools.</w:t>
      </w:r>
    </w:p>
    <w:p w14:paraId="09A3FD43" w14:textId="77777777" w:rsidR="00086A92" w:rsidRPr="00DA7D2D" w:rsidRDefault="00086A92" w:rsidP="001730F1">
      <w:pPr>
        <w:pStyle w:val="NoSpacing"/>
        <w:numPr>
          <w:ilvl w:val="0"/>
          <w:numId w:val="49"/>
        </w:numPr>
        <w:rPr>
          <w:lang w:val="en-US"/>
        </w:rPr>
      </w:pPr>
      <w:r>
        <w:rPr>
          <w:lang w:val="en-US"/>
        </w:rPr>
        <w:t>Is</w:t>
      </w:r>
      <w:r w:rsidRPr="00DA7D2D">
        <w:rPr>
          <w:lang w:val="en-US"/>
        </w:rPr>
        <w:t xml:space="preserve"> independent or autonomous of government with the provision to be contracted (funded) by government(s) or other institutions. </w:t>
      </w:r>
    </w:p>
    <w:p w14:paraId="7337B8A5" w14:textId="08E768F9" w:rsidR="00086A92" w:rsidRPr="00DA7D2D" w:rsidRDefault="00086A92" w:rsidP="001730F1">
      <w:pPr>
        <w:pStyle w:val="NoSpacing"/>
        <w:numPr>
          <w:ilvl w:val="0"/>
          <w:numId w:val="49"/>
        </w:numPr>
        <w:rPr>
          <w:lang w:val="en-US"/>
        </w:rPr>
      </w:pPr>
      <w:r>
        <w:rPr>
          <w:lang w:val="en-US"/>
        </w:rPr>
        <w:t>Can</w:t>
      </w:r>
      <w:r w:rsidRPr="00DA7D2D">
        <w:rPr>
          <w:lang w:val="en-US"/>
        </w:rPr>
        <w:t xml:space="preserve"> access multiple funding sources and </w:t>
      </w:r>
      <w:r w:rsidR="002E3F34">
        <w:rPr>
          <w:lang w:val="en-US"/>
        </w:rPr>
        <w:t>can be</w:t>
      </w:r>
      <w:r w:rsidRPr="00DA7D2D">
        <w:rPr>
          <w:lang w:val="en-US"/>
        </w:rPr>
        <w:t xml:space="preserve"> established as a funder of research.</w:t>
      </w:r>
    </w:p>
    <w:p w14:paraId="3BB392D2" w14:textId="77777777" w:rsidR="00086A92" w:rsidRPr="00DA7D2D" w:rsidRDefault="00086A92" w:rsidP="00C34A88">
      <w:pPr>
        <w:pStyle w:val="NoSpacing"/>
        <w:numPr>
          <w:ilvl w:val="0"/>
          <w:numId w:val="49"/>
        </w:numPr>
        <w:rPr>
          <w:lang w:val="en-US"/>
        </w:rPr>
      </w:pPr>
      <w:r w:rsidRPr="00DA7D2D">
        <w:rPr>
          <w:lang w:val="en-US"/>
        </w:rPr>
        <w:t>Develop</w:t>
      </w:r>
      <w:r>
        <w:rPr>
          <w:lang w:val="en-US"/>
        </w:rPr>
        <w:t>s</w:t>
      </w:r>
      <w:r w:rsidRPr="00DA7D2D">
        <w:rPr>
          <w:lang w:val="en-US"/>
        </w:rPr>
        <w:t xml:space="preserve"> buy-in at a national level</w:t>
      </w:r>
      <w:r>
        <w:rPr>
          <w:lang w:val="en-US"/>
        </w:rPr>
        <w:t xml:space="preserve">, </w:t>
      </w:r>
      <w:r w:rsidRPr="00DA7D2D">
        <w:rPr>
          <w:lang w:val="en-US"/>
        </w:rPr>
        <w:t>such that</w:t>
      </w:r>
      <w:r>
        <w:rPr>
          <w:lang w:val="en-US"/>
        </w:rPr>
        <w:t xml:space="preserve"> buy-in is established across</w:t>
      </w:r>
      <w:r w:rsidRPr="00DA7D2D">
        <w:rPr>
          <w:lang w:val="en-US"/>
        </w:rPr>
        <w:t xml:space="preserve"> state and territory borders, political divides and jurisdictions.</w:t>
      </w:r>
    </w:p>
    <w:p w14:paraId="731445F2" w14:textId="55BF4793" w:rsidR="00086A92" w:rsidRPr="00DA7D2D" w:rsidRDefault="00086A92" w:rsidP="00C34A88">
      <w:pPr>
        <w:pStyle w:val="NoSpacing"/>
        <w:numPr>
          <w:ilvl w:val="0"/>
          <w:numId w:val="49"/>
        </w:numPr>
        <w:rPr>
          <w:lang w:val="en-US"/>
        </w:rPr>
      </w:pPr>
      <w:r w:rsidRPr="00DA7D2D">
        <w:rPr>
          <w:lang w:val="en-US"/>
        </w:rPr>
        <w:t>Consider</w:t>
      </w:r>
      <w:r>
        <w:rPr>
          <w:lang w:val="en-US"/>
        </w:rPr>
        <w:t>s</w:t>
      </w:r>
      <w:r w:rsidRPr="00DA7D2D">
        <w:rPr>
          <w:lang w:val="en-US"/>
        </w:rPr>
        <w:t xml:space="preserve"> the notion of collective impact and forge</w:t>
      </w:r>
      <w:r>
        <w:rPr>
          <w:lang w:val="en-US"/>
        </w:rPr>
        <w:t>s</w:t>
      </w:r>
      <w:r w:rsidRPr="00DA7D2D">
        <w:rPr>
          <w:lang w:val="en-US"/>
        </w:rPr>
        <w:t xml:space="preserve"> connections across governments communities, industry, </w:t>
      </w:r>
      <w:r>
        <w:rPr>
          <w:lang w:val="en-US"/>
        </w:rPr>
        <w:t>not-for-profit</w:t>
      </w:r>
      <w:r w:rsidRPr="00DA7D2D">
        <w:rPr>
          <w:lang w:val="en-US"/>
        </w:rPr>
        <w:t xml:space="preserve"> and philanthropic groups to develop </w:t>
      </w:r>
      <w:r w:rsidR="002E3F34">
        <w:rPr>
          <w:lang w:val="en-US"/>
        </w:rPr>
        <w:t>maximum</w:t>
      </w:r>
      <w:r w:rsidRPr="00DA7D2D">
        <w:rPr>
          <w:lang w:val="en-US"/>
        </w:rPr>
        <w:t xml:space="preserve"> evidence </w:t>
      </w:r>
      <w:r>
        <w:rPr>
          <w:lang w:val="en-US"/>
        </w:rPr>
        <w:t>use</w:t>
      </w:r>
      <w:r w:rsidRPr="00DA7D2D">
        <w:rPr>
          <w:lang w:val="en-US"/>
        </w:rPr>
        <w:t xml:space="preserve">. </w:t>
      </w:r>
    </w:p>
    <w:p w14:paraId="6BCC55F0" w14:textId="77777777" w:rsidR="00086A92" w:rsidRPr="00DA7D2D" w:rsidRDefault="00086A92" w:rsidP="00C34A88">
      <w:pPr>
        <w:pStyle w:val="NoSpacing"/>
        <w:numPr>
          <w:ilvl w:val="0"/>
          <w:numId w:val="49"/>
        </w:numPr>
        <w:rPr>
          <w:lang w:val="en-US"/>
        </w:rPr>
      </w:pPr>
      <w:r w:rsidRPr="00DA7D2D">
        <w:rPr>
          <w:lang w:val="en-US"/>
        </w:rPr>
        <w:t>Establish</w:t>
      </w:r>
      <w:r>
        <w:rPr>
          <w:lang w:val="en-US"/>
        </w:rPr>
        <w:t>es</w:t>
      </w:r>
      <w:r w:rsidRPr="00DA7D2D">
        <w:rPr>
          <w:lang w:val="en-US"/>
        </w:rPr>
        <w:t xml:space="preserve"> a sustainable infrastructure that is based on a dynamic</w:t>
      </w:r>
      <w:r>
        <w:rPr>
          <w:lang w:val="en-US"/>
        </w:rPr>
        <w:t>,</w:t>
      </w:r>
      <w:r w:rsidRPr="00DA7D2D">
        <w:rPr>
          <w:lang w:val="en-US"/>
        </w:rPr>
        <w:t xml:space="preserve"> yet user-friendly technological platform.</w:t>
      </w:r>
    </w:p>
    <w:p w14:paraId="1909D04D" w14:textId="65C2F650" w:rsidR="0093470E" w:rsidRDefault="00086A92" w:rsidP="00C34A88">
      <w:pPr>
        <w:pStyle w:val="NoSpacing"/>
        <w:numPr>
          <w:ilvl w:val="0"/>
          <w:numId w:val="49"/>
        </w:numPr>
        <w:rPr>
          <w:lang w:val="en-US"/>
        </w:rPr>
      </w:pPr>
      <w:r w:rsidRPr="00DA7D2D">
        <w:rPr>
          <w:lang w:val="en-US"/>
        </w:rPr>
        <w:t>Establish</w:t>
      </w:r>
      <w:r>
        <w:rPr>
          <w:lang w:val="en-US"/>
        </w:rPr>
        <w:t>es</w:t>
      </w:r>
      <w:r w:rsidRPr="00DA7D2D">
        <w:rPr>
          <w:lang w:val="en-US"/>
        </w:rPr>
        <w:t xml:space="preserve"> a functional governance board that is representative of the beneficiaries and funders to ensure the independence and sustainability of the institution.</w:t>
      </w:r>
    </w:p>
    <w:p w14:paraId="03704610" w14:textId="66905CB0" w:rsidR="00C830B0" w:rsidRDefault="00C830B0" w:rsidP="00C34A88">
      <w:pPr>
        <w:pStyle w:val="NoSpacing"/>
        <w:numPr>
          <w:ilvl w:val="0"/>
          <w:numId w:val="49"/>
        </w:numPr>
        <w:rPr>
          <w:lang w:val="en-US"/>
        </w:rPr>
      </w:pPr>
      <w:r>
        <w:rPr>
          <w:lang w:val="en-US"/>
        </w:rPr>
        <w:t>Establish a guiding coalition to ensure appropriate set up of the institution</w:t>
      </w:r>
    </w:p>
    <w:p w14:paraId="2888D40B" w14:textId="77777777" w:rsidR="00086A92" w:rsidRPr="00086A92" w:rsidRDefault="00086A92" w:rsidP="00C34A88">
      <w:pPr>
        <w:rPr>
          <w:szCs w:val="20"/>
          <w:lang w:val="en-US"/>
        </w:rPr>
      </w:pPr>
    </w:p>
    <w:p w14:paraId="243B7B12" w14:textId="2629ADAB" w:rsidR="0093470E" w:rsidRPr="00E16853" w:rsidRDefault="0093470E" w:rsidP="0093470E">
      <w:r w:rsidRPr="00E16853">
        <w:t>The resourcing for such an institution should be targeted and follow a phased approach where funding is earmarked for</w:t>
      </w:r>
      <w:r>
        <w:t>:</w:t>
      </w:r>
      <w:r w:rsidRPr="00E16853">
        <w:t xml:space="preserve"> (i) initial set-up</w:t>
      </w:r>
      <w:r>
        <w:t>;</w:t>
      </w:r>
      <w:r w:rsidRPr="00E16853">
        <w:t xml:space="preserve"> (i</w:t>
      </w:r>
      <w:r>
        <w:t>i</w:t>
      </w:r>
      <w:r w:rsidRPr="00E16853">
        <w:t>) early foundation</w:t>
      </w:r>
      <w:r>
        <w:t>;</w:t>
      </w:r>
      <w:r w:rsidRPr="00E16853">
        <w:t xml:space="preserve"> and (iii) </w:t>
      </w:r>
      <w:r>
        <w:t xml:space="preserve">the </w:t>
      </w:r>
      <w:r w:rsidRPr="00E16853">
        <w:t>ongoing functioning phase of the institution. Ongoing funding should enable the institute to meet its core functioning needs and targets, whilst top-ups</w:t>
      </w:r>
      <w:r>
        <w:t xml:space="preserve"> could</w:t>
      </w:r>
      <w:r w:rsidRPr="00E16853">
        <w:t xml:space="preserve"> be made available as required in response to need. </w:t>
      </w:r>
    </w:p>
    <w:p w14:paraId="18ED298C" w14:textId="77777777" w:rsidR="0093470E" w:rsidRPr="00E16853" w:rsidRDefault="0093470E" w:rsidP="0093470E">
      <w:r w:rsidRPr="00E16853">
        <w:t xml:space="preserve">In addition, our findings highlight the </w:t>
      </w:r>
      <w:r>
        <w:t>lack</w:t>
      </w:r>
      <w:r w:rsidRPr="00E16853">
        <w:t xml:space="preserve"> of quality research on evidence-informed practice in education in Australia, particularly in diverse educational contexts. Maximising research use to close the gap between evidence generation and practice uptake is necessary to ensure greater evidence-informed practice in Australia. Importantly, this will require greater investment into the generation of this research, where evaluative and implementation-focussed research could be prioritised. </w:t>
      </w:r>
    </w:p>
    <w:p w14:paraId="429F27C3" w14:textId="27F835BD" w:rsidR="00156CCF" w:rsidRDefault="00156CCF" w:rsidP="00156CCF">
      <w:r w:rsidRPr="0091711A">
        <w:lastRenderedPageBreak/>
        <w:t xml:space="preserve">This report </w:t>
      </w:r>
      <w:r>
        <w:t>provides an overview of the</w:t>
      </w:r>
      <w:r w:rsidRPr="0091711A">
        <w:t xml:space="preserve"> findings</w:t>
      </w:r>
      <w:r>
        <w:t xml:space="preserve"> of the rapid synthesis</w:t>
      </w:r>
      <w:r w:rsidRPr="0091711A">
        <w:t>, as well as present</w:t>
      </w:r>
      <w:r>
        <w:t>ing</w:t>
      </w:r>
      <w:r w:rsidRPr="0091711A">
        <w:t xml:space="preserve"> a model for an institution that supports evidence-informed pract</w:t>
      </w:r>
      <w:r>
        <w:t xml:space="preserve">ice and policy in Australia. </w:t>
      </w:r>
      <w:r w:rsidRPr="0091711A">
        <w:t xml:space="preserve">This rapid </w:t>
      </w:r>
      <w:r>
        <w:t>synthesis</w:t>
      </w:r>
      <w:r w:rsidRPr="0091711A">
        <w:t xml:space="preserve"> has demonstrated that the evidence relating to evidence-based practice is variable in opinion, quality and judgement of impact. However,</w:t>
      </w:r>
      <w:r>
        <w:t xml:space="preserve"> </w:t>
      </w:r>
      <w:r w:rsidRPr="0091711A">
        <w:t>it is clear that the idea of establishing an institution to support evidence informed educational policy and pr</w:t>
      </w:r>
      <w:r>
        <w:t>actice is accepted as necessary</w:t>
      </w:r>
      <w:r w:rsidR="00F402AC">
        <w:t xml:space="preserve">. </w:t>
      </w:r>
    </w:p>
    <w:p w14:paraId="249F5E2C" w14:textId="77777777" w:rsidR="00583F27" w:rsidRPr="0091711A" w:rsidRDefault="00583F27" w:rsidP="00583F27">
      <w:r>
        <w:t>T</w:t>
      </w:r>
      <w:r w:rsidRPr="0091711A">
        <w:t>o date, many institutions established internationally have yet to realise their full impact</w:t>
      </w:r>
      <w:r>
        <w:t xml:space="preserve"> potential</w:t>
      </w:r>
      <w:r w:rsidRPr="0091711A">
        <w:t xml:space="preserve">. We would argue that this is a consequence of a lack of </w:t>
      </w:r>
      <w:r>
        <w:t xml:space="preserve">evidence </w:t>
      </w:r>
      <w:r w:rsidRPr="0091711A">
        <w:t xml:space="preserve">utilisation by the education sector. We have therefore suggested that Australia can be a leader in the establishment of an evidence-based institution that travels the gamut of implementation and impact on the educational sector. The </w:t>
      </w:r>
      <w:r>
        <w:t>rapid synthesis has identified</w:t>
      </w:r>
      <w:r w:rsidRPr="0091711A">
        <w:t xml:space="preserve"> research, policy and the </w:t>
      </w:r>
      <w:r>
        <w:t>perspectives</w:t>
      </w:r>
      <w:r w:rsidRPr="0091711A">
        <w:t xml:space="preserve"> of educators, alternative sectors and industry to collate several factors that appear to stimulate effectiveness and efficiency in evidence use within the sector.</w:t>
      </w:r>
    </w:p>
    <w:p w14:paraId="5D5FA8B0" w14:textId="10EC94C1" w:rsidR="0093470E" w:rsidRPr="00E16853" w:rsidRDefault="00583F27" w:rsidP="00583F27">
      <w:r w:rsidRPr="0091711A">
        <w:t xml:space="preserve">These factors have been combined to propose the establishment and implementation of an institution designed to underpin educational practice, policy, research and community perspectives by providing not only rigorous information but also </w:t>
      </w:r>
      <w:r>
        <w:t>translating this</w:t>
      </w:r>
      <w:r w:rsidRPr="0091711A">
        <w:t xml:space="preserve"> information </w:t>
      </w:r>
      <w:r>
        <w:t>in</w:t>
      </w:r>
      <w:r w:rsidRPr="0091711A">
        <w:t>to usable knowledge and ultimately impact on the learning lives of Australian students.</w:t>
      </w:r>
    </w:p>
    <w:p w14:paraId="39D7570F" w14:textId="77777777" w:rsidR="0093470E" w:rsidRPr="00E16853" w:rsidRDefault="0093470E" w:rsidP="0093470E">
      <w:pPr>
        <w:sectPr w:rsidR="0093470E" w:rsidRPr="00E16853" w:rsidSect="008B5D3D">
          <w:footerReference w:type="default" r:id="rId11"/>
          <w:footerReference w:type="first" r:id="rId12"/>
          <w:pgSz w:w="11906" w:h="16838"/>
          <w:pgMar w:top="1440" w:right="1440" w:bottom="1440" w:left="1440" w:header="708" w:footer="708" w:gutter="0"/>
          <w:pgNumType w:fmt="lowerRoman" w:start="0"/>
          <w:cols w:space="708"/>
          <w:docGrid w:linePitch="360"/>
        </w:sectPr>
      </w:pPr>
    </w:p>
    <w:p w14:paraId="15339C3D" w14:textId="77777777" w:rsidR="0093470E" w:rsidRPr="00E16853" w:rsidRDefault="0093470E" w:rsidP="00E833DA">
      <w:pPr>
        <w:pStyle w:val="NumberedHeading1"/>
      </w:pPr>
      <w:bookmarkStart w:id="12" w:name="_Toc508637944"/>
      <w:r w:rsidRPr="00E16853">
        <w:lastRenderedPageBreak/>
        <w:tab/>
      </w:r>
      <w:bookmarkStart w:id="13" w:name="_Toc509950615"/>
      <w:r w:rsidRPr="00E16853">
        <w:t>Introduction</w:t>
      </w:r>
      <w:bookmarkEnd w:id="12"/>
      <w:bookmarkEnd w:id="13"/>
    </w:p>
    <w:p w14:paraId="77FD9611" w14:textId="023FACEC" w:rsidR="0093470E" w:rsidRPr="00051930" w:rsidRDefault="0093470E" w:rsidP="00E45653">
      <w:r w:rsidRPr="00051930">
        <w:t xml:space="preserve">The Education Excellence Review Secretariat </w:t>
      </w:r>
      <w:r w:rsidR="006D5E07">
        <w:t xml:space="preserve">at the Commonwealth Department of Education and Training </w:t>
      </w:r>
      <w:r w:rsidRPr="00051930">
        <w:t xml:space="preserve">contracted the Centre for Program Evaluation at the University of Melbourne to conduct desktop research for the </w:t>
      </w:r>
      <w:r>
        <w:t>R</w:t>
      </w:r>
      <w:r w:rsidRPr="00051930">
        <w:t xml:space="preserve">eview to </w:t>
      </w:r>
      <w:r>
        <w:t>A</w:t>
      </w:r>
      <w:r w:rsidRPr="00051930">
        <w:t xml:space="preserve">chieve Educational Excellence in Australian Schools (hereafter referred to as the Review). This report </w:t>
      </w:r>
      <w:r w:rsidR="00E02294">
        <w:t>discusses</w:t>
      </w:r>
      <w:r w:rsidRPr="00051930">
        <w:t xml:space="preserve"> the </w:t>
      </w:r>
      <w:r w:rsidR="006C3603">
        <w:t xml:space="preserve">research </w:t>
      </w:r>
      <w:r w:rsidRPr="00051930">
        <w:t xml:space="preserve">findings </w:t>
      </w:r>
      <w:r w:rsidR="00E02294">
        <w:t xml:space="preserve">and details </w:t>
      </w:r>
      <w:r w:rsidR="00BA6D12">
        <w:t xml:space="preserve">the </w:t>
      </w:r>
      <w:r w:rsidR="00E02294">
        <w:t xml:space="preserve">recommendations. </w:t>
      </w:r>
    </w:p>
    <w:p w14:paraId="5672F612" w14:textId="38501F30" w:rsidR="00E02294" w:rsidRPr="00051930" w:rsidRDefault="0093470E" w:rsidP="00E02294">
      <w:r w:rsidRPr="00051930">
        <w:t xml:space="preserve">A rapid synthesis of </w:t>
      </w:r>
      <w:r w:rsidR="00E02294">
        <w:t xml:space="preserve">recent academic and grey </w:t>
      </w:r>
      <w:r w:rsidRPr="00051930">
        <w:t xml:space="preserve">literature documenting institutions that support evidence-based practice within public health, health promotion, mental health care, education and tourism was </w:t>
      </w:r>
      <w:r w:rsidR="00E02294">
        <w:t xml:space="preserve">conducted. Based on the </w:t>
      </w:r>
      <w:r w:rsidR="00986FA3">
        <w:t xml:space="preserve">synthesis </w:t>
      </w:r>
      <w:r w:rsidR="00E02294">
        <w:t>findings</w:t>
      </w:r>
      <w:r w:rsidR="00986FA3">
        <w:t>,</w:t>
      </w:r>
      <w:r w:rsidR="00E02294">
        <w:t xml:space="preserve"> a model that outlines the functions and fundamental principles of institutions that support and effectively use evidence to inform their functioning</w:t>
      </w:r>
      <w:r w:rsidR="00927F16">
        <w:t xml:space="preserve"> was produced</w:t>
      </w:r>
      <w:r w:rsidR="00E02294">
        <w:t xml:space="preserve">. In addition to the model, recommendations were developed based on the Australian national education policy and practice context. This report is intended to assist in informing the Review and ongoing efforts to improve the quality of education across Australia. </w:t>
      </w:r>
    </w:p>
    <w:p w14:paraId="1356FFF6" w14:textId="77777777" w:rsidR="0093470E" w:rsidRPr="007674CF" w:rsidRDefault="0093470E" w:rsidP="00E833DA">
      <w:pPr>
        <w:pStyle w:val="NumberedHeading1"/>
      </w:pPr>
      <w:bookmarkStart w:id="14" w:name="_Toc508637945"/>
      <w:r w:rsidRPr="00E16853">
        <w:tab/>
      </w:r>
      <w:bookmarkStart w:id="15" w:name="_Toc509950616"/>
      <w:r w:rsidRPr="007674CF">
        <w:t xml:space="preserve">Background and </w:t>
      </w:r>
      <w:r w:rsidR="00C02F5E">
        <w:t>m</w:t>
      </w:r>
      <w:r w:rsidRPr="007674CF">
        <w:t>ethodology</w:t>
      </w:r>
      <w:bookmarkEnd w:id="14"/>
      <w:bookmarkEnd w:id="15"/>
      <w:r w:rsidRPr="007674CF">
        <w:t xml:space="preserve"> </w:t>
      </w:r>
    </w:p>
    <w:p w14:paraId="0BA637AB" w14:textId="4151FCAA" w:rsidR="00DD38D7" w:rsidRDefault="00841C0E" w:rsidP="0093470E">
      <w:r>
        <w:t xml:space="preserve">The concept of evidence-based practice and policy is still a </w:t>
      </w:r>
      <w:r w:rsidR="0093470E" w:rsidRPr="00051930">
        <w:t xml:space="preserve">relatively recent development (evidence-based medicine, for example, has only been in </w:t>
      </w:r>
      <w:r>
        <w:t xml:space="preserve">place </w:t>
      </w:r>
      <w:r w:rsidR="0093470E" w:rsidRPr="00051930">
        <w:t xml:space="preserve">since the 1990s). </w:t>
      </w:r>
      <w:r>
        <w:t xml:space="preserve">The concept is based on an underlying premise that if high quality </w:t>
      </w:r>
      <w:r w:rsidR="0093470E" w:rsidRPr="00051930">
        <w:t xml:space="preserve">and relevant evidence </w:t>
      </w:r>
      <w:r>
        <w:t xml:space="preserve">informed </w:t>
      </w:r>
      <w:r w:rsidR="0093470E" w:rsidRPr="00051930">
        <w:t>the work of practitioners and policymakers</w:t>
      </w:r>
      <w:r w:rsidR="00986FA3">
        <w:t>, then this will lead to improved outcomes</w:t>
      </w:r>
      <w:r>
        <w:t xml:space="preserve">. However, this premise </w:t>
      </w:r>
      <w:r w:rsidR="003D116C">
        <w:t>remains</w:t>
      </w:r>
      <w:r>
        <w:t xml:space="preserve"> largely theoretical, as </w:t>
      </w:r>
      <w:r w:rsidR="003D116C">
        <w:t>evidence of the</w:t>
      </w:r>
      <w:r>
        <w:t xml:space="preserve"> efficacy of using evidence to inform practice and policy </w:t>
      </w:r>
      <w:r w:rsidR="003D116C">
        <w:t xml:space="preserve">is limited. </w:t>
      </w:r>
      <w:r w:rsidR="00EF7B9B">
        <w:t xml:space="preserve">The evidence that exists </w:t>
      </w:r>
      <w:r w:rsidR="00986FA3">
        <w:t xml:space="preserve">has stemmed from </w:t>
      </w:r>
      <w:r w:rsidR="003D116C">
        <w:t>improved outcomes</w:t>
      </w:r>
      <w:r w:rsidR="00EF7B9B">
        <w:t xml:space="preserve"> </w:t>
      </w:r>
      <w:r w:rsidR="003D116C">
        <w:t>in</w:t>
      </w:r>
      <w:r w:rsidR="00EF7B9B">
        <w:t xml:space="preserve"> clinical</w:t>
      </w:r>
      <w:r w:rsidR="003D116C">
        <w:t xml:space="preserve"> medicine. </w:t>
      </w:r>
      <w:r w:rsidR="0093470E" w:rsidRPr="00051930">
        <w:t xml:space="preserve">For instance, evidence demonstrates improved clinical outcomes following the use of experimentally evaluated pharmaceuticals and </w:t>
      </w:r>
      <w:r w:rsidR="00EF7B9B">
        <w:t xml:space="preserve">significant reductions in </w:t>
      </w:r>
      <w:r w:rsidR="0093470E" w:rsidRPr="00051930">
        <w:t xml:space="preserve">post-surgical infections as result of the implementation of evidence-informed guidelines for surgical operating procedures </w:t>
      </w:r>
      <w:r w:rsidR="0093470E" w:rsidRPr="00051930">
        <w:fldChar w:fldCharType="begin" w:fldLock="1"/>
      </w:r>
      <w:r w:rsidR="0093470E" w:rsidRPr="00051930">
        <w:instrText>ADDIN CSL_CITATION { "citationItems" : [ { "id" : "ITEM-1", "itemData" : { "DOI" : "10.1037/0735-7028.35.6.563", "abstract" : "Evidence-based practice and empirically supported treatment movements are potent forces that affect the practice of psychology today and have the potential to mandate the types of treatments psychologists conduct. The histories of these movements reveal that certain aspects of therapy valued by psychologists have been ignored. It is shown that the evidence-based movements (a) overemphasize treatments and treatment differences and (b) ignore aspects of psychotherapy that have been shown to be related to outcome, such as variation among psychologists, the relationship, and other common factors. It is important that psychologists understand the development of these movements so that they can be critical consumers of research and can effectively influence the future course of events. The practice of psychology is increasingly being affected by the systems that pay for psychological services. As a field, psychology has responded to these pressures by demonstrating that various psychological treatments are based on empirical evidence, which in turn has led to attempts to mandate the types of treatment provided by psychologists. However, many practitioners have re-sisted the efforts by managed care and some academic psycholo-gists to alter their practice. In contentious contexts, it is often helpful to understand where things originated and to be cognizant of the forces that furthered various aspects while limiting others. The purpose of this article is to provide a historical perspective of the development of the evidence-based practice movement, high-lighting the omissions that have occurred so as to enable psychol-ogists to advocate more effectively in the debates that are shaping practice. This perspective will strengthen our role as scientist-practitioners in the broadest sense. History and progress are constructed and defined by events and choices made. Foucault (1965) termed the social sciences, includ-ing psychology and medicine, as the human sciences to emphasize and highlight the fact that they are constructed through the actions and choices of various actors. Looking backward through the lens of progressivism, a seemingly inevitable march toward enlighten-ment is revealed. The occasional blemish (e.g., in the social sciences, the eugenics movement) is either ignored or character-ized as an anomaly. This retrospective approach typically leads to an enthusiastic embrace of contemporary events as steps forward; critics are characterized as nostalgic an\u2026", "author" : [ { "dropping-particle" : "", "family" : "Wampold", "given" : "Bruce E", "non-dropping-particle" : "", "parse-names" : false, "suffix" : "" }, { "dropping-particle" : "", "family" : "Bhati", "given" : "Kuldhir S", "non-dropping-particle" : "", "parse-names" : false, "suffix" : "" } ], "container-title" : "Professional Psychology: Research and Practice", "id" : "ITEM-1", "issue" : "6", "issued" : { "date-parts" : [ [ "2004" ] ] }, "page" : "563-570", "title" : "Attending to the Omissions: A Historical Examination of Evidence-Based Practice Movements", "type" : "article-journal", "volume" : "35" }, "uris" : [ "http://www.mendeley.com/documents/?uuid=0253cd2e-86a9-37c3-813e-59ed14ef4c70" ] }, { "id" : "ITEM-2", "itemData" : { "DOI" : "10.1136/bmj.g3725", "ISBN" : "1756-1833 (Electronic)\\r0959-535X (Linking)", "ISSN" : "1756-1833", "PMID" : "24927763", "abstract" : "\u2022 The evidence based \u201cquality mark\u201d has been misappropriated by vested interests \u2022 The volume of evidence, especially clinical guidelines, has become unmanageable \u2022 Statistically significant benefits may be marginal in clinical practice \u2022 Inflexible rules and technology driven prompts may produce care that is management driven rather than patient centred \u2022 Evidence based guidelines often map poorly to complex multimorbidity", "author" : [ { "dropping-particle" : "", "family" : "Greenhalgh", "given" : "T.", "non-dropping-particle" : "", "parse-names" : false, "suffix" : "" }, { "dropping-particle" : "", "family" : "Howick", "given" : "J.", "non-dropping-particle" : "", "parse-names" : false, "suffix" : "" }, { "dropping-particle" : "", "family" : "Maskrey", "given" : "N.", "non-dropping-particle" : "", "parse-names" : false, "suffix" : "" } ], "container-title" : "BMJ", "id" : "ITEM-2", "issued" : { "date-parts" : [ [ "2014" ] ] }, "title" : "Evidence based medicine: a movement in crisis?", "type" : "article-journal" }, "uris" : [ "http://www.mendeley.com/documents/?uuid=5f34f78f-1fab-3df8-90eb-e73dc9a66d3f" ] }, { "id" : "ITEM-3", "itemData" : { "DOI" : "10.1067/mno.2001.120517", "ISBN" : "0029-6554 (Print)", "ISSN" : "00296554", "PMID" : "11753294", "abstract" : "The evidence-based practice movement raises questions about the continuing viability of research utilization models. This manuscript describes the updated, practitioner-oriented Stetler Model. First developed in 1976 with Marram, it was refined in 1994 with conceptual underpinnings and a set of assumptions. The model has been further refined on the basis of a related utilization-focused integrative review methodology, targeted evidence concepts, and continuing experience through use of the model with clinical nurse specialists. The revised model continues to focus on a series of judgmental activities about the appropriateness, desirability, feasibility, and manner of using research findings in an individual's or group's practice.", "author" : [ { "dropping-particle" : "", "family" : "Stetler", "given" : "Cheryl B.", "non-dropping-particle" : "", "parse-names" : false, "suffix" : "" } ], "container-title" : "Nursing Outlook", "id" : "ITEM-3", "issued" : { "date-parts" : [ [ "2001" ] ] }, "title" : "Updating the Stetler Model of research utilization to facilitate evidence-based practice", "type" : "article-journal" }, "uris" : [ "http://www.mendeley.com/documents/?uuid=c6b534b7-3e63-3237-a708-418854d4a9cf" ] } ], "mendeley" : { "formattedCitation" : "(Greenhalgh, Howick, &amp; Maskrey, 2014; Stetler, 2001; Wampold &amp; Bhati, 2004)", "plainTextFormattedCitation" : "(Greenhalgh, Howick, &amp; Maskrey, 2014; Stetler, 2001; Wampold &amp; Bhati, 2004)", "previouslyFormattedCitation" : "(Greenhalgh, Howick, &amp; Maskrey, 2014; Stetler, 2001; Wampold &amp; Bhati, 2004)" }, "properties" : {  }, "schema" : "https://github.com/citation-style-language/schema/raw/master/csl-citation.json" }</w:instrText>
      </w:r>
      <w:r w:rsidR="0093470E" w:rsidRPr="00051930">
        <w:fldChar w:fldCharType="separate"/>
      </w:r>
      <w:r w:rsidR="0093470E" w:rsidRPr="00051930">
        <w:rPr>
          <w:noProof/>
        </w:rPr>
        <w:t>(Greenhalgh, Howick, &amp; Maskrey, 2014; Stetler, 2001; Wampold &amp; Bhati, 2004)</w:t>
      </w:r>
      <w:r w:rsidR="0093470E" w:rsidRPr="00051930">
        <w:fldChar w:fldCharType="end"/>
      </w:r>
      <w:r w:rsidR="00CB6EF6">
        <w:t xml:space="preserve">. </w:t>
      </w:r>
    </w:p>
    <w:p w14:paraId="02B2508D" w14:textId="7F480416" w:rsidR="0093470E" w:rsidRDefault="00BB155C" w:rsidP="0093470E">
      <w:r>
        <w:t xml:space="preserve">In education, the evidence for the efficacy of using evidence to inform practice </w:t>
      </w:r>
      <w:r w:rsidR="00155E66">
        <w:t xml:space="preserve">to improve student achievement outcomes </w:t>
      </w:r>
      <w:r>
        <w:t xml:space="preserve">is limited. A common argument among researchers and theorists examining the concept of evidence-based practice and policy in settings that are more ‘social’ or less ‘structured’ is that </w:t>
      </w:r>
      <w:r w:rsidR="00215A1D">
        <w:t>the concept undervalues the role of professional judgement and values</w:t>
      </w:r>
      <w:r w:rsidR="00155E66">
        <w:t xml:space="preserve">. Consequently, </w:t>
      </w:r>
      <w:r w:rsidR="00215A1D">
        <w:t>the concept of evidence-informed practice was developed (</w:t>
      </w:r>
      <w:proofErr w:type="spellStart"/>
      <w:r w:rsidR="00215A1D">
        <w:t>Stetler</w:t>
      </w:r>
      <w:proofErr w:type="spellEnd"/>
      <w:r w:rsidR="00215A1D">
        <w:t xml:space="preserve">, 2001; Moore, 2016). </w:t>
      </w:r>
    </w:p>
    <w:p w14:paraId="0DC8D1E5" w14:textId="77777777" w:rsidR="0093470E" w:rsidRPr="00E16853" w:rsidRDefault="0093470E" w:rsidP="007674CF">
      <w:pPr>
        <w:pStyle w:val="NumberedHeading2"/>
      </w:pPr>
      <w:bookmarkStart w:id="16" w:name="_Toc508637946"/>
      <w:bookmarkStart w:id="17" w:name="_Toc509950617"/>
      <w:r w:rsidRPr="00E16853">
        <w:t>Evidence-informed and evidence-based practice</w:t>
      </w:r>
      <w:bookmarkEnd w:id="16"/>
      <w:bookmarkEnd w:id="17"/>
    </w:p>
    <w:p w14:paraId="6C28F929" w14:textId="364DAF3E" w:rsidR="00075049" w:rsidRDefault="00075049" w:rsidP="00075049">
      <w:r w:rsidRPr="00051930">
        <w:t xml:space="preserve">Recently, there has been a focus on articulating the distinction between evidence-based and evidence-informed practice. The latter is more relevant for education and socially-oriented aspects of services and policy. Evidence-informed practice involves </w:t>
      </w:r>
      <w:r w:rsidR="00155E66">
        <w:t>bringing together different types of evidence,</w:t>
      </w:r>
      <w:r w:rsidRPr="00051930">
        <w:t xml:space="preserve"> including contextual evidence</w:t>
      </w:r>
      <w:r w:rsidR="00155E66">
        <w:t>,</w:t>
      </w:r>
      <w:r w:rsidRPr="00051930">
        <w:t xml:space="preserve"> and applying this evidence to the practice context </w:t>
      </w:r>
      <w:r w:rsidR="00155E66">
        <w:t xml:space="preserve">of the practitioner </w:t>
      </w:r>
      <w:r w:rsidRPr="00051930">
        <w:fldChar w:fldCharType="begin" w:fldLock="1"/>
      </w:r>
      <w:r w:rsidRPr="00051930">
        <w:instrText>ADDIN CSL_CITATION { "citationItems" : [ { "id" : "ITEM-1", "itemData" : { "author" : [ { "dropping-particle" : "", "family" : "Moore", "given" : "Tim", "non-dropping-particle" : "", "parse-names" : false, "suffix" : "" } ], "id" : "ITEM-1", "issued" : { "date-parts" : [ [ "2016" ] ] }, "number-of-pages" : "54", "publisher-place" : "Melbourne", "title" : "Towards a model of evidence-informed decision making and service delivery", "type" : "report" }, "uris" : [ "http://www.mendeley.com/documents/?uuid=8cdae526-aa05-430d-ad40-2d2f3350e18c" ] } ], "mendeley" : { "formattedCitation" : "(Moore, 2016)", "plainTextFormattedCitation" : "(Moore, 2016)", "previouslyFormattedCitation" : "(Moore, 2016)" }, "properties" : {  }, "schema" : "https://github.com/citation-style-language/schema/raw/master/csl-citation.json" }</w:instrText>
      </w:r>
      <w:r w:rsidRPr="00051930">
        <w:fldChar w:fldCharType="separate"/>
      </w:r>
      <w:r w:rsidRPr="00051930">
        <w:rPr>
          <w:noProof/>
        </w:rPr>
        <w:t>(Moore, 2016)</w:t>
      </w:r>
      <w:r w:rsidRPr="00051930">
        <w:fldChar w:fldCharType="end"/>
      </w:r>
      <w:r w:rsidRPr="00051930">
        <w:t>. Th</w:t>
      </w:r>
      <w:r>
        <w:t xml:space="preserve">e </w:t>
      </w:r>
      <w:r w:rsidRPr="00051930">
        <w:t xml:space="preserve">process of synthesising, combining and applying evidence enables the end user to use this evidence to guide their decisions and practice in a way that </w:t>
      </w:r>
      <w:r w:rsidR="00155E66">
        <w:t xml:space="preserve">also </w:t>
      </w:r>
      <w:r w:rsidRPr="00051930">
        <w:t>incorporates their professional judgement and expertise</w:t>
      </w:r>
      <w:r w:rsidR="00155E66">
        <w:t>.</w:t>
      </w:r>
      <w:r w:rsidRPr="00051930">
        <w:t xml:space="preserve"> </w:t>
      </w:r>
      <w:r w:rsidR="00155E66">
        <w:t>H</w:t>
      </w:r>
      <w:r w:rsidR="00155E66" w:rsidRPr="00051930">
        <w:t>ence</w:t>
      </w:r>
      <w:r w:rsidR="00155E66">
        <w:t>,</w:t>
      </w:r>
      <w:r w:rsidR="00155E66" w:rsidRPr="00051930">
        <w:t xml:space="preserve"> </w:t>
      </w:r>
      <w:r w:rsidRPr="00051930">
        <w:t xml:space="preserve">why the term is ‘evidence-informed’ rather than ‘evidence-based’ </w:t>
      </w:r>
      <w:r w:rsidRPr="00051930">
        <w:fldChar w:fldCharType="begin" w:fldLock="1"/>
      </w:r>
      <w:r w:rsidRPr="00051930">
        <w:instrText>ADDIN CSL_CITATION { "citationItems" : [ { "id" : "ITEM-1", "itemData" : { "author" : [ { "dropping-particle" : "", "family" : "Moore", "given" : "Tim", "non-dropping-particle" : "", "parse-names" : false, "suffix" : "" } ], "id" : "ITEM-1", "issued" : { "date-parts" : [ [ "2016" ] ] }, "number-of-pages" : "54", "publisher-place" : "Melbourne", "title" : "Towards a model of evidence-informed decision making and service delivery", "type" : "report" }, "uris" : [ "http://www.mendeley.com/documents/?uuid=8cdae526-aa05-430d-ad40-2d2f3350e18c" ] }, { "id" : "ITEM-2", "itemData" : { "DOI" : "10.1136/bmj.g3725", "ISBN" : "1756-1833 (Electronic)\\r0959-535X (Linking)", "ISSN" : "1756-1833", "PMID" : "24927763", "abstract" : "\u2022 The evidence based \u201cquality mark\u201d has been misappropriated by vested interests \u2022 The volume of evidence, especially clinical guidelines, has become unmanageable \u2022 Statistically significant benefits may be marginal in clinical practice \u2022 Inflexible rules and technology driven prompts may produce care that is management driven rather than patient centred \u2022 Evidence based guidelines often map poorly to complex multimorbidity", "author" : [ { "dropping-particle" : "", "family" : "Greenhalgh", "given" : "T.", "non-dropping-particle" : "", "parse-names" : false, "suffix" : "" }, { "dropping-particle" : "", "family" : "Howick", "given" : "J.", "non-dropping-particle" : "", "parse-names" : false, "suffix" : "" }, { "dropping-particle" : "", "family" : "Maskrey", "given" : "N.", "non-dropping-particle" : "", "parse-names" : false, "suffix" : "" } ], "container-title" : "BMJ", "id" : "ITEM-2", "issued" : { "date-parts" : [ [ "2014" ] ] }, "title" : "Evidence based medicine: a movement in crisis?", "type" : "article-journal" }, "uris" : [ "http://www.mendeley.com/documents/?uuid=5f34f78f-1fab-3df8-90eb-e73dc9a66d3f" ] } ], "mendeley" : { "formattedCitation" : "(Greenhalgh et al., 2014; Moore, 2016)", "plainTextFormattedCitation" : "(Greenhalgh et al., 2014; Moore, 2016)", "previouslyFormattedCitation" : "(Greenhalgh et al., 2014; Moore, 2016)" }, "properties" : {  }, "schema" : "https://github.com/citation-style-language/schema/raw/master/csl-citation.json" }</w:instrText>
      </w:r>
      <w:r w:rsidRPr="00051930">
        <w:fldChar w:fldCharType="separate"/>
      </w:r>
      <w:r w:rsidRPr="00051930">
        <w:rPr>
          <w:noProof/>
        </w:rPr>
        <w:t>(Greenhalgh et al., 2014; Moore, 2016)</w:t>
      </w:r>
      <w:r w:rsidRPr="00051930">
        <w:fldChar w:fldCharType="end"/>
      </w:r>
      <w:r w:rsidRPr="00051930">
        <w:t xml:space="preserve">. </w:t>
      </w:r>
      <w:r>
        <w:t>F</w:t>
      </w:r>
      <w:r w:rsidRPr="00051930">
        <w:t xml:space="preserve">or this </w:t>
      </w:r>
      <w:r w:rsidR="00207E69">
        <w:t>rapid synthesis</w:t>
      </w:r>
      <w:r w:rsidRPr="00051930">
        <w:t>, an evidence-informed perspective has been utilised</w:t>
      </w:r>
      <w:r w:rsidR="00155E66">
        <w:t xml:space="preserve"> to ensure findings are </w:t>
      </w:r>
      <w:r w:rsidRPr="00051930">
        <w:t xml:space="preserve">relevant for the Australian education context. </w:t>
      </w:r>
    </w:p>
    <w:p w14:paraId="5FC4F95C" w14:textId="45E25D7E" w:rsidR="00F43810" w:rsidRDefault="0093470E" w:rsidP="00E45653">
      <w:r w:rsidRPr="00C36BD8">
        <w:t xml:space="preserve">The tasks </w:t>
      </w:r>
      <w:r w:rsidR="00693E78">
        <w:t xml:space="preserve">of </w:t>
      </w:r>
      <w:r w:rsidRPr="00C36BD8">
        <w:t>generating, synthesising, translating, and disseminating the evidence</w:t>
      </w:r>
      <w:r w:rsidR="007130FB">
        <w:t xml:space="preserve"> </w:t>
      </w:r>
      <w:r w:rsidR="00693E78">
        <w:t xml:space="preserve">in education to enable evidence-informed practice is </w:t>
      </w:r>
      <w:r w:rsidRPr="00C36BD8">
        <w:t>often taken on by institutions and entities. To our knowledge, a systematic review of the effectiveness of such entities across sectors has yet to be published. Thus, little is known about the effectiveness of the characteristics of these institutions for supporting</w:t>
      </w:r>
      <w:r w:rsidR="007130FB">
        <w:t xml:space="preserve"> evidence-informed practice. This rapid synthesis</w:t>
      </w:r>
      <w:r w:rsidRPr="00C36BD8">
        <w:t xml:space="preserve"> aimed to examine evidence institutions across Australia, the US, the UK and the EU in the areas of education, health promotion, public health, mental health and tourism. Specifically, </w:t>
      </w:r>
      <w:r w:rsidR="00F43810">
        <w:t xml:space="preserve">the review focused on </w:t>
      </w:r>
      <w:r w:rsidRPr="00C36BD8">
        <w:t xml:space="preserve">the structures, funding, functions and impact of these institutions on supporting evidence-informed practice. To support the review, in-depth consultation interviews with strategic leaders </w:t>
      </w:r>
      <w:r w:rsidR="007130FB">
        <w:t xml:space="preserve">and representatives </w:t>
      </w:r>
      <w:r w:rsidRPr="00C36BD8">
        <w:t xml:space="preserve">of research and evidence institutions were also conducted. </w:t>
      </w:r>
    </w:p>
    <w:p w14:paraId="7AEB88DC" w14:textId="36C93362" w:rsidR="00207E69" w:rsidRDefault="0093470E" w:rsidP="00E45653">
      <w:r w:rsidRPr="00C36BD8">
        <w:lastRenderedPageBreak/>
        <w:t xml:space="preserve">The overarching purpose of the </w:t>
      </w:r>
      <w:r w:rsidR="007130FB">
        <w:t>rapid synthesis</w:t>
      </w:r>
      <w:r w:rsidRPr="00C36BD8">
        <w:t xml:space="preserve"> was to describe and illustrate the characteristics and practices of research and evidence institutions, to describe their effectiveness (defined for this purpose as documented evidence-informed practice), and to identify what characteristics and functions support their effectiveness. </w:t>
      </w:r>
    </w:p>
    <w:p w14:paraId="38EE6093" w14:textId="77777777" w:rsidR="0093470E" w:rsidRPr="00E16853" w:rsidRDefault="0014038A" w:rsidP="007674CF">
      <w:pPr>
        <w:pStyle w:val="NumberedHeading2"/>
      </w:pPr>
      <w:bookmarkStart w:id="18" w:name="_Toc508637947"/>
      <w:bookmarkStart w:id="19" w:name="_Toc509950618"/>
      <w:r>
        <w:t>Rapid synthesis</w:t>
      </w:r>
      <w:r w:rsidR="0093470E" w:rsidRPr="00E16853">
        <w:t xml:space="preserve"> methodology</w:t>
      </w:r>
      <w:bookmarkEnd w:id="18"/>
      <w:bookmarkEnd w:id="19"/>
      <w:r w:rsidR="0093470E" w:rsidRPr="00E16853">
        <w:t xml:space="preserve"> </w:t>
      </w:r>
    </w:p>
    <w:p w14:paraId="2BFBBC99" w14:textId="0156DB68" w:rsidR="00194F70" w:rsidRPr="00C36BD8" w:rsidRDefault="00194F70" w:rsidP="00194F70">
      <w:r w:rsidRPr="00C36BD8">
        <w:t xml:space="preserve">A multi-method approach was employed to conduct the rapid synthesis, which included </w:t>
      </w:r>
      <w:r w:rsidR="00F43810" w:rsidRPr="00C36BD8">
        <w:t xml:space="preserve">adapted systematic review techniques </w:t>
      </w:r>
      <w:r w:rsidR="00F43810">
        <w:t xml:space="preserve">and </w:t>
      </w:r>
      <w:r w:rsidRPr="00C36BD8">
        <w:t xml:space="preserve">consultation interviews. Information was gathered from website publications, annual reports and technical reports from research and evidence institutions, </w:t>
      </w:r>
      <w:r w:rsidRPr="00C36BD8">
        <w:rPr>
          <w:noProof/>
        </w:rPr>
        <w:t>peer-reviewed</w:t>
      </w:r>
      <w:r w:rsidRPr="00C36BD8">
        <w:t xml:space="preserve"> secondary research, and policy documents and relevant grey literature. This literature was synthesised, assessed for quality and relevance, and analysed to extract information based on the review questions. Extracted information was then thematically analysed</w:t>
      </w:r>
      <w:r w:rsidR="00F43810">
        <w:t xml:space="preserve">. The results </w:t>
      </w:r>
      <w:r w:rsidRPr="00C36BD8">
        <w:t xml:space="preserve">are presented in the following sections. </w:t>
      </w:r>
    </w:p>
    <w:p w14:paraId="737F0136" w14:textId="77777777" w:rsidR="0093470E" w:rsidRPr="00C36BD8" w:rsidRDefault="009C181F" w:rsidP="0093470E">
      <w:r>
        <w:t>The</w:t>
      </w:r>
      <w:r w:rsidR="0093470E" w:rsidRPr="00C36BD8">
        <w:t xml:space="preserve"> rapid synthesis </w:t>
      </w:r>
      <w:r>
        <w:t>was guided by</w:t>
      </w:r>
      <w:r w:rsidR="0093470E" w:rsidRPr="00C36BD8">
        <w:t xml:space="preserve"> the following questions: </w:t>
      </w:r>
    </w:p>
    <w:p w14:paraId="6A5E6755" w14:textId="77777777" w:rsidR="0093470E" w:rsidRPr="00C36BD8" w:rsidRDefault="0093470E" w:rsidP="00375CD8">
      <w:pPr>
        <w:pStyle w:val="ListParagraph"/>
        <w:numPr>
          <w:ilvl w:val="0"/>
          <w:numId w:val="18"/>
        </w:numPr>
        <w:spacing w:after="0" w:line="240" w:lineRule="auto"/>
        <w:contextualSpacing/>
        <w:rPr>
          <w:b/>
          <w:bCs/>
        </w:rPr>
      </w:pPr>
      <w:r w:rsidRPr="00C36BD8">
        <w:rPr>
          <w:b/>
          <w:bCs/>
        </w:rPr>
        <w:t>Impact, governance, functions and functionality</w:t>
      </w:r>
    </w:p>
    <w:p w14:paraId="42AF0551" w14:textId="77777777" w:rsidR="0093470E" w:rsidRPr="00C36BD8" w:rsidRDefault="0093470E" w:rsidP="00F43810">
      <w:pPr>
        <w:pStyle w:val="ListParagraph"/>
        <w:numPr>
          <w:ilvl w:val="1"/>
          <w:numId w:val="18"/>
        </w:numPr>
        <w:spacing w:after="160" w:line="259" w:lineRule="auto"/>
        <w:contextualSpacing/>
      </w:pPr>
      <w:r w:rsidRPr="00C36BD8">
        <w:t>What is the effectiveness of research and evidence institutions at achieving evidence-informed practice?</w:t>
      </w:r>
    </w:p>
    <w:p w14:paraId="4F6BBB4F" w14:textId="77777777" w:rsidR="0093470E" w:rsidRPr="00C36BD8" w:rsidRDefault="0093470E" w:rsidP="00916499">
      <w:pPr>
        <w:pStyle w:val="ListParagraph"/>
        <w:numPr>
          <w:ilvl w:val="1"/>
          <w:numId w:val="18"/>
        </w:numPr>
        <w:spacing w:after="160" w:line="259" w:lineRule="auto"/>
        <w:contextualSpacing/>
      </w:pPr>
      <w:r w:rsidRPr="00C36BD8">
        <w:t>What are the governance structures and characteristics of research and evidence institutions and how do they influence impact?</w:t>
      </w:r>
    </w:p>
    <w:p w14:paraId="72FD9917" w14:textId="732036E1" w:rsidR="0093470E" w:rsidRPr="00C36BD8" w:rsidRDefault="0093470E" w:rsidP="00EE533F">
      <w:pPr>
        <w:pStyle w:val="ListParagraph"/>
        <w:numPr>
          <w:ilvl w:val="1"/>
          <w:numId w:val="18"/>
        </w:numPr>
        <w:spacing w:after="160" w:line="259" w:lineRule="auto"/>
        <w:contextualSpacing/>
      </w:pPr>
      <w:r w:rsidRPr="00C36BD8">
        <w:t>What are the functions of research and evidence institutions aiming to achieve evidence-informed practice</w:t>
      </w:r>
      <w:r w:rsidR="00A05107">
        <w:t>,</w:t>
      </w:r>
      <w:r w:rsidRPr="00C36BD8">
        <w:t xml:space="preserve"> and how do they influence impact?</w:t>
      </w:r>
    </w:p>
    <w:p w14:paraId="05E70DEE" w14:textId="7434DAA2" w:rsidR="0093470E" w:rsidRPr="00C36BD8" w:rsidRDefault="0093470E" w:rsidP="00E73E7F">
      <w:pPr>
        <w:pStyle w:val="ListParagraph"/>
        <w:numPr>
          <w:ilvl w:val="1"/>
          <w:numId w:val="18"/>
        </w:numPr>
        <w:spacing w:after="160" w:line="259" w:lineRule="auto"/>
        <w:contextualSpacing/>
      </w:pPr>
      <w:r w:rsidRPr="00C36BD8">
        <w:t>What is the functionality of research and evidence institutions aiming to achieve evidence-informed practice</w:t>
      </w:r>
      <w:r w:rsidR="00A05107">
        <w:t>,</w:t>
      </w:r>
      <w:r w:rsidRPr="00C36BD8">
        <w:t xml:space="preserve"> and how does this influence impact?</w:t>
      </w:r>
    </w:p>
    <w:p w14:paraId="0C0E1FA2" w14:textId="77777777" w:rsidR="0093470E" w:rsidRPr="00C36BD8" w:rsidRDefault="0093470E" w:rsidP="00375CD8">
      <w:pPr>
        <w:pStyle w:val="ListParagraph"/>
        <w:numPr>
          <w:ilvl w:val="0"/>
          <w:numId w:val="18"/>
        </w:numPr>
        <w:spacing w:after="160" w:line="259" w:lineRule="auto"/>
        <w:contextualSpacing/>
        <w:rPr>
          <w:b/>
        </w:rPr>
      </w:pPr>
      <w:r w:rsidRPr="00C36BD8">
        <w:rPr>
          <w:b/>
        </w:rPr>
        <w:t xml:space="preserve">Grading and </w:t>
      </w:r>
      <w:r w:rsidRPr="00C36BD8">
        <w:rPr>
          <w:b/>
          <w:noProof/>
        </w:rPr>
        <w:t>synthesising</w:t>
      </w:r>
      <w:r w:rsidRPr="00C36BD8">
        <w:rPr>
          <w:b/>
        </w:rPr>
        <w:t xml:space="preserve"> evidence </w:t>
      </w:r>
    </w:p>
    <w:p w14:paraId="14E037DC" w14:textId="77777777" w:rsidR="0093470E" w:rsidRPr="00C36BD8" w:rsidRDefault="0093470E" w:rsidP="00375CD8">
      <w:pPr>
        <w:pStyle w:val="ListParagraph"/>
        <w:numPr>
          <w:ilvl w:val="1"/>
          <w:numId w:val="18"/>
        </w:numPr>
        <w:spacing w:after="160" w:line="259" w:lineRule="auto"/>
        <w:contextualSpacing/>
      </w:pPr>
      <w:r w:rsidRPr="00C36BD8">
        <w:t>What approaches/criteria/systems are used to grade evidence in research and evidence institutions aiming to achieve evidence-informed practice, and how do they influence impact?</w:t>
      </w:r>
    </w:p>
    <w:p w14:paraId="78CBBAA0" w14:textId="2B574688" w:rsidR="0093470E" w:rsidRPr="00C36BD8" w:rsidRDefault="0093470E" w:rsidP="00375CD8">
      <w:pPr>
        <w:pStyle w:val="ListParagraph"/>
        <w:numPr>
          <w:ilvl w:val="1"/>
          <w:numId w:val="18"/>
        </w:numPr>
        <w:spacing w:after="160" w:line="259" w:lineRule="auto"/>
        <w:contextualSpacing/>
      </w:pPr>
      <w:r w:rsidRPr="00C36BD8">
        <w:t xml:space="preserve">What techniques/methods are used to collate and </w:t>
      </w:r>
      <w:r w:rsidRPr="00C36BD8">
        <w:rPr>
          <w:noProof/>
        </w:rPr>
        <w:t>synthesise</w:t>
      </w:r>
      <w:r w:rsidRPr="00C36BD8">
        <w:t xml:space="preserve"> research by research and evidence institutions aiming to achieve evidence-informed practice</w:t>
      </w:r>
      <w:r w:rsidR="00A05107">
        <w:t>,</w:t>
      </w:r>
      <w:r w:rsidRPr="00C36BD8">
        <w:t xml:space="preserve"> and do they influence impact?</w:t>
      </w:r>
    </w:p>
    <w:p w14:paraId="3AC385CF" w14:textId="77777777" w:rsidR="0093470E" w:rsidRPr="00C36BD8" w:rsidRDefault="0093470E" w:rsidP="00375CD8">
      <w:pPr>
        <w:pStyle w:val="ListParagraph"/>
        <w:numPr>
          <w:ilvl w:val="0"/>
          <w:numId w:val="18"/>
        </w:numPr>
        <w:spacing w:after="160" w:line="259" w:lineRule="auto"/>
        <w:contextualSpacing/>
        <w:rPr>
          <w:b/>
        </w:rPr>
      </w:pPr>
      <w:r w:rsidRPr="00C36BD8">
        <w:rPr>
          <w:b/>
        </w:rPr>
        <w:t>Platforms for evidence synthesis, communication and user input</w:t>
      </w:r>
    </w:p>
    <w:p w14:paraId="79F12F70" w14:textId="5FA94510" w:rsidR="0093470E" w:rsidRPr="00C36BD8" w:rsidRDefault="0093470E" w:rsidP="00375CD8">
      <w:pPr>
        <w:pStyle w:val="ListParagraph"/>
        <w:numPr>
          <w:ilvl w:val="1"/>
          <w:numId w:val="18"/>
        </w:numPr>
        <w:spacing w:after="160" w:line="259" w:lineRule="auto"/>
        <w:contextualSpacing/>
      </w:pPr>
      <w:r w:rsidRPr="00C36BD8">
        <w:t>What platforms are used to share knowledge in research and evidence institutions aiming to achieve evidence-informed practice</w:t>
      </w:r>
      <w:r w:rsidR="00A05107">
        <w:t>,</w:t>
      </w:r>
      <w:r w:rsidRPr="00C36BD8">
        <w:t xml:space="preserve"> and how do these influence impact?</w:t>
      </w:r>
    </w:p>
    <w:p w14:paraId="34B5C257" w14:textId="340E469F" w:rsidR="0093470E" w:rsidRPr="00C36BD8" w:rsidRDefault="0093470E" w:rsidP="00375CD8">
      <w:pPr>
        <w:pStyle w:val="ListParagraph"/>
        <w:numPr>
          <w:ilvl w:val="1"/>
          <w:numId w:val="18"/>
        </w:numPr>
        <w:spacing w:after="160" w:line="259" w:lineRule="auto"/>
        <w:contextualSpacing/>
      </w:pPr>
      <w:r w:rsidRPr="00C36BD8">
        <w:t>To what extent does the user have an input into the platform and how does this influence impact? (e.g. by annotating or adding evidence)</w:t>
      </w:r>
    </w:p>
    <w:p w14:paraId="3BED57C0" w14:textId="77777777" w:rsidR="0093470E" w:rsidRPr="00C36BD8" w:rsidRDefault="0093470E" w:rsidP="00375CD8">
      <w:pPr>
        <w:pStyle w:val="ListParagraph"/>
        <w:numPr>
          <w:ilvl w:val="0"/>
          <w:numId w:val="18"/>
        </w:numPr>
        <w:spacing w:after="160" w:line="259" w:lineRule="auto"/>
        <w:contextualSpacing/>
        <w:rPr>
          <w:b/>
        </w:rPr>
      </w:pPr>
      <w:r w:rsidRPr="00C36BD8">
        <w:rPr>
          <w:b/>
        </w:rPr>
        <w:t xml:space="preserve">Knowledge translation and application strategies </w:t>
      </w:r>
    </w:p>
    <w:p w14:paraId="1B4C39EB" w14:textId="74A19CC6" w:rsidR="0093470E" w:rsidRDefault="0093470E" w:rsidP="00375CD8">
      <w:pPr>
        <w:pStyle w:val="ListParagraph"/>
        <w:numPr>
          <w:ilvl w:val="1"/>
          <w:numId w:val="18"/>
        </w:numPr>
        <w:spacing w:after="160" w:line="259" w:lineRule="auto"/>
        <w:contextualSpacing/>
      </w:pPr>
      <w:r w:rsidRPr="00C36BD8">
        <w:t xml:space="preserve">What </w:t>
      </w:r>
      <w:r w:rsidRPr="00C36BD8">
        <w:rPr>
          <w:noProof/>
        </w:rPr>
        <w:t>approaches/methods are</w:t>
      </w:r>
      <w:r w:rsidRPr="00C36BD8">
        <w:t xml:space="preserve"> being used to support knowledge translation in research and evidence institutions aiming to achieve evidence-informed practice</w:t>
      </w:r>
      <w:r w:rsidR="00A05107">
        <w:t>,</w:t>
      </w:r>
      <w:r w:rsidRPr="00C36BD8">
        <w:t xml:space="preserve"> and how do they influence impact?</w:t>
      </w:r>
    </w:p>
    <w:p w14:paraId="5656A5B1" w14:textId="77777777" w:rsidR="005878C9" w:rsidRPr="00C36BD8" w:rsidRDefault="005878C9" w:rsidP="005878C9">
      <w:pPr>
        <w:pStyle w:val="ListParagraph"/>
        <w:spacing w:after="160" w:line="259" w:lineRule="auto"/>
        <w:ind w:left="1440"/>
        <w:contextualSpacing/>
      </w:pPr>
    </w:p>
    <w:p w14:paraId="551F4F6A" w14:textId="77777777" w:rsidR="0093470E" w:rsidRPr="00E16853" w:rsidRDefault="0093470E" w:rsidP="007674CF">
      <w:pPr>
        <w:pStyle w:val="NumberedHeading2"/>
      </w:pPr>
      <w:bookmarkStart w:id="20" w:name="_Toc508637948"/>
      <w:bookmarkStart w:id="21" w:name="_Toc509950619"/>
      <w:r w:rsidRPr="00E16853">
        <w:t xml:space="preserve">Reviewed </w:t>
      </w:r>
      <w:bookmarkEnd w:id="20"/>
      <w:r>
        <w:t>l</w:t>
      </w:r>
      <w:r w:rsidRPr="00E16853">
        <w:t>iterature</w:t>
      </w:r>
      <w:bookmarkEnd w:id="21"/>
    </w:p>
    <w:p w14:paraId="2D3686BA" w14:textId="77777777" w:rsidR="0093470E" w:rsidRPr="00051930" w:rsidRDefault="0093470E" w:rsidP="00E45653">
      <w:r>
        <w:t xml:space="preserve">Literature was sourced </w:t>
      </w:r>
      <w:r w:rsidR="009C181F">
        <w:t xml:space="preserve">and subsequently synthesised </w:t>
      </w:r>
      <w:r>
        <w:t xml:space="preserve">from </w:t>
      </w:r>
      <w:r w:rsidRPr="00051930">
        <w:t>electronic databases, research registers and grey literature databases includ</w:t>
      </w:r>
      <w:r>
        <w:t>ing</w:t>
      </w:r>
      <w:r w:rsidRPr="00051930">
        <w:t xml:space="preserve">: </w:t>
      </w:r>
    </w:p>
    <w:p w14:paraId="1FDB52A8" w14:textId="77777777" w:rsidR="0093470E" w:rsidRPr="00E45653" w:rsidRDefault="0093470E" w:rsidP="00375CD8">
      <w:pPr>
        <w:pStyle w:val="ListParagraph"/>
        <w:numPr>
          <w:ilvl w:val="0"/>
          <w:numId w:val="27"/>
        </w:numPr>
        <w:spacing w:after="160" w:line="259" w:lineRule="auto"/>
        <w:contextualSpacing/>
      </w:pPr>
      <w:r w:rsidRPr="00E45653">
        <w:t xml:space="preserve">A+ </w:t>
      </w:r>
      <w:proofErr w:type="spellStart"/>
      <w:r w:rsidRPr="00E45653">
        <w:t>Informit</w:t>
      </w:r>
      <w:proofErr w:type="spellEnd"/>
    </w:p>
    <w:p w14:paraId="3BFEBCA4" w14:textId="77777777" w:rsidR="0093470E" w:rsidRPr="00E45653" w:rsidRDefault="0093470E" w:rsidP="00375CD8">
      <w:pPr>
        <w:pStyle w:val="ListParagraph"/>
        <w:numPr>
          <w:ilvl w:val="0"/>
          <w:numId w:val="27"/>
        </w:numPr>
        <w:spacing w:after="160" w:line="259" w:lineRule="auto"/>
        <w:contextualSpacing/>
      </w:pPr>
      <w:r w:rsidRPr="00E45653">
        <w:t xml:space="preserve">Academic Search Complete </w:t>
      </w:r>
    </w:p>
    <w:p w14:paraId="3697AF9A" w14:textId="77777777" w:rsidR="0093470E" w:rsidRPr="00E45653" w:rsidRDefault="0093470E" w:rsidP="00375CD8">
      <w:pPr>
        <w:pStyle w:val="ListParagraph"/>
        <w:numPr>
          <w:ilvl w:val="0"/>
          <w:numId w:val="27"/>
        </w:numPr>
        <w:spacing w:after="160" w:line="259" w:lineRule="auto"/>
        <w:contextualSpacing/>
      </w:pPr>
      <w:r w:rsidRPr="00E45653">
        <w:t>Business Source Complete</w:t>
      </w:r>
    </w:p>
    <w:p w14:paraId="7438807B" w14:textId="77777777" w:rsidR="0093470E" w:rsidRPr="00E45653" w:rsidRDefault="0093470E" w:rsidP="00375CD8">
      <w:pPr>
        <w:pStyle w:val="ListParagraph"/>
        <w:numPr>
          <w:ilvl w:val="0"/>
          <w:numId w:val="27"/>
        </w:numPr>
        <w:spacing w:after="160" w:line="259" w:lineRule="auto"/>
        <w:contextualSpacing/>
      </w:pPr>
      <w:r w:rsidRPr="00E45653">
        <w:t>Education Research Complete (ERC)</w:t>
      </w:r>
    </w:p>
    <w:p w14:paraId="36A5F136" w14:textId="77777777" w:rsidR="0093470E" w:rsidRPr="00E45653" w:rsidRDefault="0093470E" w:rsidP="00375CD8">
      <w:pPr>
        <w:pStyle w:val="ListParagraph"/>
        <w:numPr>
          <w:ilvl w:val="0"/>
          <w:numId w:val="27"/>
        </w:numPr>
        <w:spacing w:after="160" w:line="259" w:lineRule="auto"/>
        <w:contextualSpacing/>
      </w:pPr>
      <w:r w:rsidRPr="00E45653">
        <w:t xml:space="preserve">Education Resources Information </w:t>
      </w:r>
      <w:proofErr w:type="spellStart"/>
      <w:r w:rsidRPr="00E45653">
        <w:t>Center</w:t>
      </w:r>
      <w:proofErr w:type="spellEnd"/>
      <w:r w:rsidRPr="00E45653">
        <w:t xml:space="preserve"> (ERIC)</w:t>
      </w:r>
    </w:p>
    <w:p w14:paraId="17236848" w14:textId="77777777" w:rsidR="0093470E" w:rsidRPr="00E45653" w:rsidRDefault="0093470E" w:rsidP="00375CD8">
      <w:pPr>
        <w:pStyle w:val="ListParagraph"/>
        <w:numPr>
          <w:ilvl w:val="0"/>
          <w:numId w:val="27"/>
        </w:numPr>
        <w:spacing w:after="160" w:line="259" w:lineRule="auto"/>
        <w:contextualSpacing/>
      </w:pPr>
      <w:r w:rsidRPr="00E45653">
        <w:t>Medline</w:t>
      </w:r>
    </w:p>
    <w:p w14:paraId="44644675" w14:textId="77777777" w:rsidR="0093470E" w:rsidRPr="00E45653" w:rsidRDefault="0093470E" w:rsidP="00375CD8">
      <w:pPr>
        <w:pStyle w:val="ListParagraph"/>
        <w:numPr>
          <w:ilvl w:val="0"/>
          <w:numId w:val="27"/>
        </w:numPr>
        <w:spacing w:after="160" w:line="259" w:lineRule="auto"/>
        <w:contextualSpacing/>
      </w:pPr>
      <w:r w:rsidRPr="00E45653">
        <w:t>Mintel Academic</w:t>
      </w:r>
    </w:p>
    <w:p w14:paraId="55EFC81A" w14:textId="77777777" w:rsidR="0093470E" w:rsidRPr="00E45653" w:rsidRDefault="0093470E" w:rsidP="00375CD8">
      <w:pPr>
        <w:pStyle w:val="ListParagraph"/>
        <w:numPr>
          <w:ilvl w:val="0"/>
          <w:numId w:val="27"/>
        </w:numPr>
        <w:spacing w:after="160" w:line="259" w:lineRule="auto"/>
        <w:contextualSpacing/>
      </w:pPr>
      <w:proofErr w:type="spellStart"/>
      <w:r w:rsidRPr="00E45653">
        <w:t>ProQuest</w:t>
      </w:r>
      <w:proofErr w:type="spellEnd"/>
    </w:p>
    <w:p w14:paraId="6ADC5FDD" w14:textId="77777777" w:rsidR="0093470E" w:rsidRPr="00E45653" w:rsidRDefault="0093470E" w:rsidP="00375CD8">
      <w:pPr>
        <w:pStyle w:val="ListParagraph"/>
        <w:numPr>
          <w:ilvl w:val="0"/>
          <w:numId w:val="27"/>
        </w:numPr>
        <w:spacing w:after="160" w:line="259" w:lineRule="auto"/>
        <w:contextualSpacing/>
      </w:pPr>
      <w:proofErr w:type="spellStart"/>
      <w:r w:rsidRPr="00E45653">
        <w:t>PsycINFO</w:t>
      </w:r>
      <w:proofErr w:type="spellEnd"/>
    </w:p>
    <w:p w14:paraId="235699FF" w14:textId="77777777" w:rsidR="0093470E" w:rsidRPr="00E45653" w:rsidRDefault="0093470E" w:rsidP="00375CD8">
      <w:pPr>
        <w:pStyle w:val="ListParagraph"/>
        <w:numPr>
          <w:ilvl w:val="0"/>
          <w:numId w:val="27"/>
        </w:numPr>
        <w:spacing w:after="160" w:line="259" w:lineRule="auto"/>
        <w:contextualSpacing/>
      </w:pPr>
      <w:r w:rsidRPr="00E45653">
        <w:t>SCOPUS</w:t>
      </w:r>
    </w:p>
    <w:p w14:paraId="4C5E9717" w14:textId="77777777" w:rsidR="0093470E" w:rsidRPr="00E45653" w:rsidRDefault="0093470E" w:rsidP="00375CD8">
      <w:pPr>
        <w:pStyle w:val="ListParagraph"/>
        <w:numPr>
          <w:ilvl w:val="0"/>
          <w:numId w:val="27"/>
        </w:numPr>
        <w:spacing w:after="160" w:line="259" w:lineRule="auto"/>
        <w:contextualSpacing/>
      </w:pPr>
      <w:proofErr w:type="spellStart"/>
      <w:r w:rsidRPr="00E45653">
        <w:t>SOCIndex</w:t>
      </w:r>
      <w:proofErr w:type="spellEnd"/>
    </w:p>
    <w:p w14:paraId="63D723D2" w14:textId="77777777" w:rsidR="0093470E" w:rsidRPr="00E45653" w:rsidRDefault="0093470E" w:rsidP="00375CD8">
      <w:pPr>
        <w:pStyle w:val="ListParagraph"/>
        <w:numPr>
          <w:ilvl w:val="0"/>
          <w:numId w:val="27"/>
        </w:numPr>
        <w:spacing w:after="160" w:line="259" w:lineRule="auto"/>
        <w:contextualSpacing/>
      </w:pPr>
      <w:proofErr w:type="spellStart"/>
      <w:r w:rsidRPr="00E45653">
        <w:lastRenderedPageBreak/>
        <w:t>OpenGrey</w:t>
      </w:r>
      <w:proofErr w:type="spellEnd"/>
      <w:r w:rsidRPr="00E45653">
        <w:t xml:space="preserve"> (European grey literature)</w:t>
      </w:r>
    </w:p>
    <w:p w14:paraId="4F8620A8" w14:textId="77777777" w:rsidR="0093470E" w:rsidRPr="00E45653" w:rsidRDefault="0093470E" w:rsidP="00375CD8">
      <w:pPr>
        <w:pStyle w:val="ListParagraph"/>
        <w:numPr>
          <w:ilvl w:val="0"/>
          <w:numId w:val="27"/>
        </w:numPr>
        <w:spacing w:after="160" w:line="259" w:lineRule="auto"/>
        <w:contextualSpacing/>
      </w:pPr>
      <w:r w:rsidRPr="00E45653">
        <w:t xml:space="preserve">Grey Literature Report </w:t>
      </w:r>
    </w:p>
    <w:p w14:paraId="679FA00D" w14:textId="77777777" w:rsidR="0093470E" w:rsidRPr="00E45653" w:rsidRDefault="0093470E" w:rsidP="0093470E">
      <w:pPr>
        <w:rPr>
          <w:szCs w:val="20"/>
        </w:rPr>
      </w:pPr>
      <w:r w:rsidRPr="00E45653">
        <w:rPr>
          <w:szCs w:val="20"/>
        </w:rPr>
        <w:t>Research registers</w:t>
      </w:r>
    </w:p>
    <w:p w14:paraId="71CBF673"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Cochrane Collaboration Library</w:t>
      </w:r>
    </w:p>
    <w:p w14:paraId="38BA90EA"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Campbell Collaboration Library</w:t>
      </w:r>
    </w:p>
    <w:p w14:paraId="685633A7"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 xml:space="preserve">OECD </w:t>
      </w:r>
      <w:proofErr w:type="spellStart"/>
      <w:r w:rsidRPr="00E45653">
        <w:rPr>
          <w:szCs w:val="20"/>
        </w:rPr>
        <w:t>iLibrary</w:t>
      </w:r>
      <w:proofErr w:type="spellEnd"/>
    </w:p>
    <w:p w14:paraId="4E0874EB"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 xml:space="preserve">World Bank </w:t>
      </w:r>
      <w:proofErr w:type="spellStart"/>
      <w:r w:rsidRPr="00E45653">
        <w:rPr>
          <w:szCs w:val="20"/>
        </w:rPr>
        <w:t>eLibrary</w:t>
      </w:r>
      <w:proofErr w:type="spellEnd"/>
    </w:p>
    <w:p w14:paraId="357A40C0"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World Health Organization Institutional Repository for Information Sharing</w:t>
      </w:r>
    </w:p>
    <w:p w14:paraId="2E12D660" w14:textId="77777777" w:rsidR="0093470E" w:rsidRPr="00E45653" w:rsidRDefault="0093470E" w:rsidP="00375CD8">
      <w:pPr>
        <w:pStyle w:val="ListParagraph"/>
        <w:numPr>
          <w:ilvl w:val="0"/>
          <w:numId w:val="27"/>
        </w:numPr>
        <w:spacing w:after="160" w:line="259" w:lineRule="auto"/>
        <w:contextualSpacing/>
        <w:rPr>
          <w:szCs w:val="20"/>
        </w:rPr>
      </w:pPr>
      <w:r w:rsidRPr="00E45653">
        <w:rPr>
          <w:szCs w:val="20"/>
        </w:rPr>
        <w:t>UNESDOC (UNESCO Database)</w:t>
      </w:r>
    </w:p>
    <w:p w14:paraId="23B6E570" w14:textId="77777777" w:rsidR="0093470E" w:rsidRPr="00E45653" w:rsidRDefault="0093470E" w:rsidP="0093470E">
      <w:pPr>
        <w:rPr>
          <w:szCs w:val="20"/>
        </w:rPr>
      </w:pPr>
      <w:r w:rsidRPr="00E45653">
        <w:rPr>
          <w:szCs w:val="20"/>
        </w:rPr>
        <w:t xml:space="preserve">A systematic search strategy was used, the search strings are outlined in the table </w:t>
      </w:r>
      <w:r w:rsidR="00DD38D7">
        <w:rPr>
          <w:szCs w:val="20"/>
        </w:rPr>
        <w:t>below</w:t>
      </w:r>
      <w:r w:rsidRPr="00E45653">
        <w:rPr>
          <w:szCs w:val="20"/>
        </w:rPr>
        <w:t xml:space="preserve">. </w:t>
      </w:r>
    </w:p>
    <w:p w14:paraId="3A8CB4E2" w14:textId="78455D30" w:rsidR="0093470E" w:rsidRPr="00CF668F" w:rsidRDefault="0093470E" w:rsidP="00CF668F">
      <w:pPr>
        <w:pStyle w:val="Caption2"/>
      </w:pPr>
      <w:bookmarkStart w:id="22" w:name="_Toc509845971"/>
      <w:bookmarkStart w:id="23" w:name="_Toc509950620"/>
      <w:bookmarkStart w:id="24" w:name="_Toc509951287"/>
      <w:r w:rsidRPr="00CF668F">
        <w:t xml:space="preserve">Table </w:t>
      </w:r>
      <w:fldSimple w:instr=" SEQ Table \* ARABIC ">
        <w:r w:rsidR="004240AA" w:rsidRPr="00CF668F">
          <w:rPr>
            <w:noProof/>
          </w:rPr>
          <w:t>1</w:t>
        </w:r>
      </w:fldSimple>
      <w:r w:rsidRPr="00CF668F">
        <w:t>: Search strategy</w:t>
      </w:r>
      <w:bookmarkEnd w:id="22"/>
      <w:bookmarkEnd w:id="23"/>
      <w:bookmarkEnd w:id="24"/>
    </w:p>
    <w:tbl>
      <w:tblPr>
        <w:tblStyle w:val="TableGrid"/>
        <w:tblW w:w="0" w:type="auto"/>
        <w:tblLook w:val="04A0" w:firstRow="1" w:lastRow="0" w:firstColumn="1" w:lastColumn="0" w:noHBand="0" w:noVBand="1"/>
        <w:tblDescription w:val="Area of investigation: Effectiveness of institutions. Search string used (note * equals truncation). research OR evidence AND institution OR body OR entity AND evidence-bas* practice OR evidence-inform* practice AND outcome OR effect*AND.&#10;Area of investigation: Governance of institutions. Search string used. research OR evidence AND institution OR body OR entity AND evidence-bas* practice OR evidence-inform* practice AND govern* OR board OR lead* AND.&#10;Area of investigation: Functions and functionalities of institutions. Search string used. research OR evidence AND institution OR body OR entity AND evidence-bas* prac* OR evidence-inform* prac* AND function* OR service* AND.&#10;Area of investigation: Grading evidence in institutions. Search string used. research OR evidence AND institution OR body OR entity AND evidence-bas* prac* OR evidence-inform* prac* AND approach* OR criteria OR system* AND grad* OR rank OR assess* evidence AND&#10;Area of investigation: Synthesising evidence in institutions. Search string used. research OR evidence AND institution OR body OR entity AND evidence-bas* prac* OR evidence-inform* prac* AND synthes* method OR synthes* approach AND.&#10;&#10;Area of investigation: Platforms used in institutions. Search string used. research OR evidence AND institution OR body OR entity AND evidence-bas* prac* OR evidence-inform* prac* AND platform* OR infrastructur* OR communicat* AND use* input OR use* feedback OR use* communicat* AND pract* input OR pract* feedback OR pract* communicat* OR use* contrib* OR pract* contrib* AND.&#10;&#10;Area of investigation: Knowledge translation in institutions. Search string used. research OR evidence AND institution OR body OR entity AND evidence-bas* OR evidence-inform* prac* AND knowledge translat* OR knowledge mobilis* OR knowledge disseminat* OR knowledge use OR information translat* OR information mobilis* OR information disseminat* OR information use OR evidence translat* OR evidence translat* OR evidence disseminat* OR evidence use"/>
      </w:tblPr>
      <w:tblGrid>
        <w:gridCol w:w="3006"/>
        <w:gridCol w:w="6010"/>
      </w:tblGrid>
      <w:tr w:rsidR="0093470E" w:rsidRPr="00E16853" w14:paraId="6787B24E" w14:textId="77777777" w:rsidTr="00CF66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6" w:type="dxa"/>
          </w:tcPr>
          <w:p w14:paraId="4304089C" w14:textId="77777777" w:rsidR="0093470E" w:rsidRPr="00E16853" w:rsidRDefault="0093470E" w:rsidP="007674CF">
            <w:pPr>
              <w:pStyle w:val="NoSpacing"/>
            </w:pPr>
            <w:r w:rsidRPr="00E16853">
              <w:t>Area of investigat</w:t>
            </w:r>
            <w:r>
              <w:t>ion</w:t>
            </w:r>
          </w:p>
        </w:tc>
        <w:tc>
          <w:tcPr>
            <w:tcW w:w="6010" w:type="dxa"/>
          </w:tcPr>
          <w:p w14:paraId="0CCB1F98" w14:textId="77777777" w:rsidR="0093470E" w:rsidRPr="00E16853" w:rsidRDefault="0093470E" w:rsidP="007674CF">
            <w:pPr>
              <w:pStyle w:val="NoSpacing"/>
              <w:cnfStyle w:val="100000000000" w:firstRow="1" w:lastRow="0" w:firstColumn="0" w:lastColumn="0" w:oddVBand="0" w:evenVBand="0" w:oddHBand="0" w:evenHBand="0" w:firstRowFirstColumn="0" w:firstRowLastColumn="0" w:lastRowFirstColumn="0" w:lastRowLastColumn="0"/>
            </w:pPr>
            <w:r w:rsidRPr="00E16853">
              <w:t>Search string *= truncation</w:t>
            </w:r>
          </w:p>
        </w:tc>
      </w:tr>
      <w:tr w:rsidR="0093470E" w:rsidRPr="00E16853" w14:paraId="246D6142"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5BD03AFE" w14:textId="77777777" w:rsidR="0093470E" w:rsidRPr="00E16853" w:rsidRDefault="0093470E" w:rsidP="007674CF">
            <w:pPr>
              <w:pStyle w:val="NoSpacing"/>
            </w:pPr>
            <w:r w:rsidRPr="00E16853">
              <w:t>Effectiveness of institutions</w:t>
            </w:r>
          </w:p>
        </w:tc>
        <w:tc>
          <w:tcPr>
            <w:tcW w:w="6010" w:type="dxa"/>
          </w:tcPr>
          <w:p w14:paraId="5E740840" w14:textId="77777777" w:rsidR="0093470E" w:rsidRPr="00E16853" w:rsidRDefault="0093470E" w:rsidP="007674CF">
            <w:pPr>
              <w:pStyle w:val="NoSpacing"/>
              <w:cnfStyle w:val="000000100000" w:firstRow="0" w:lastRow="0" w:firstColumn="0" w:lastColumn="0" w:oddVBand="0" w:evenVBand="0" w:oddHBand="1" w:evenHBand="0" w:firstRowFirstColumn="0" w:firstRowLastColumn="0" w:lastRowFirstColumn="0" w:lastRowLastColumn="0"/>
            </w:pPr>
            <w:r w:rsidRPr="00E16853">
              <w:t>research OR evidence AND institution OR body OR entity AND evidence-</w:t>
            </w:r>
            <w:r w:rsidRPr="00E16853">
              <w:rPr>
                <w:noProof/>
              </w:rPr>
              <w:t>bas</w:t>
            </w:r>
            <w:r w:rsidRPr="00E16853">
              <w:t>* practice OR evidence-inform* practice AND outcome OR effect*AND</w:t>
            </w:r>
          </w:p>
        </w:tc>
      </w:tr>
      <w:tr w:rsidR="0093470E" w:rsidRPr="00E16853" w14:paraId="635D1726"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1338EAEF" w14:textId="77777777" w:rsidR="0093470E" w:rsidRPr="00E16853" w:rsidRDefault="0093470E" w:rsidP="007674CF">
            <w:pPr>
              <w:pStyle w:val="NoSpacing"/>
            </w:pPr>
            <w:r w:rsidRPr="00E16853">
              <w:t>Governance of institutions</w:t>
            </w:r>
          </w:p>
        </w:tc>
        <w:tc>
          <w:tcPr>
            <w:tcW w:w="6010" w:type="dxa"/>
          </w:tcPr>
          <w:p w14:paraId="09999105" w14:textId="77777777" w:rsidR="0093470E" w:rsidRPr="00E16853" w:rsidRDefault="0093470E" w:rsidP="007674CF">
            <w:pPr>
              <w:pStyle w:val="NoSpacing"/>
              <w:cnfStyle w:val="000000010000" w:firstRow="0" w:lastRow="0" w:firstColumn="0" w:lastColumn="0" w:oddVBand="0" w:evenVBand="0" w:oddHBand="0" w:evenHBand="1" w:firstRowFirstColumn="0" w:firstRowLastColumn="0" w:lastRowFirstColumn="0" w:lastRowLastColumn="0"/>
            </w:pPr>
            <w:r w:rsidRPr="00E16853">
              <w:t>research OR evidence AND institution OR body OR entity AND evidence-</w:t>
            </w:r>
            <w:r w:rsidRPr="00E16853">
              <w:rPr>
                <w:noProof/>
              </w:rPr>
              <w:t>bas</w:t>
            </w:r>
            <w:r w:rsidRPr="00E16853">
              <w:t>* practice OR evidence-inform* practice AND govern* OR board OR lead* AND</w:t>
            </w:r>
          </w:p>
        </w:tc>
      </w:tr>
      <w:tr w:rsidR="0093470E" w:rsidRPr="00E16853" w14:paraId="17AC3C55"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054DFEB3" w14:textId="77777777" w:rsidR="0093470E" w:rsidRPr="00E16853" w:rsidRDefault="0093470E" w:rsidP="007674CF">
            <w:pPr>
              <w:pStyle w:val="NoSpacing"/>
            </w:pPr>
            <w:r w:rsidRPr="00E16853">
              <w:t>Functions and functionalities of institutions</w:t>
            </w:r>
          </w:p>
        </w:tc>
        <w:tc>
          <w:tcPr>
            <w:tcW w:w="6010" w:type="dxa"/>
          </w:tcPr>
          <w:p w14:paraId="1C30D01A" w14:textId="77777777" w:rsidR="0093470E" w:rsidRPr="00E16853" w:rsidRDefault="0093470E" w:rsidP="007674CF">
            <w:pPr>
              <w:pStyle w:val="NoSpacing"/>
              <w:cnfStyle w:val="000000100000" w:firstRow="0" w:lastRow="0" w:firstColumn="0" w:lastColumn="0" w:oddVBand="0" w:evenVBand="0" w:oddHBand="1" w:evenHBand="0" w:firstRowFirstColumn="0" w:firstRowLastColumn="0" w:lastRowFirstColumn="0" w:lastRowLastColumn="0"/>
            </w:pPr>
            <w:r w:rsidRPr="00E16853">
              <w:t>research OR evidence AND institution OR body OR entity AND evidence-</w:t>
            </w:r>
            <w:r w:rsidRPr="00E16853">
              <w:rPr>
                <w:noProof/>
              </w:rPr>
              <w:t>bas</w:t>
            </w:r>
            <w:r w:rsidRPr="00E16853">
              <w:t xml:space="preserve">* </w:t>
            </w:r>
            <w:r w:rsidRPr="00E16853">
              <w:rPr>
                <w:noProof/>
              </w:rPr>
              <w:t>prac</w:t>
            </w:r>
            <w:r w:rsidRPr="00E16853">
              <w:t xml:space="preserve">* OR evidence-inform* </w:t>
            </w:r>
            <w:r w:rsidRPr="00E16853">
              <w:rPr>
                <w:noProof/>
              </w:rPr>
              <w:t>prac</w:t>
            </w:r>
            <w:r w:rsidRPr="00E16853">
              <w:t>* AND function* OR service* AND</w:t>
            </w:r>
          </w:p>
        </w:tc>
      </w:tr>
      <w:tr w:rsidR="0093470E" w:rsidRPr="00E16853" w14:paraId="6D3B8CB9"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459335E9" w14:textId="77777777" w:rsidR="0093470E" w:rsidRPr="00E16853" w:rsidRDefault="0093470E" w:rsidP="007674CF">
            <w:pPr>
              <w:pStyle w:val="NoSpacing"/>
            </w:pPr>
            <w:r w:rsidRPr="00E16853">
              <w:t>Grading evidence in institutions</w:t>
            </w:r>
          </w:p>
        </w:tc>
        <w:tc>
          <w:tcPr>
            <w:tcW w:w="6010" w:type="dxa"/>
          </w:tcPr>
          <w:p w14:paraId="3B880BDA" w14:textId="77777777" w:rsidR="0093470E" w:rsidRPr="00E16853" w:rsidRDefault="0093470E" w:rsidP="007674CF">
            <w:pPr>
              <w:pStyle w:val="NoSpacing"/>
              <w:cnfStyle w:val="000000010000" w:firstRow="0" w:lastRow="0" w:firstColumn="0" w:lastColumn="0" w:oddVBand="0" w:evenVBand="0" w:oddHBand="0" w:evenHBand="1" w:firstRowFirstColumn="0" w:firstRowLastColumn="0" w:lastRowFirstColumn="0" w:lastRowLastColumn="0"/>
            </w:pPr>
            <w:r w:rsidRPr="00E16853">
              <w:t>research OR evidence AND institution OR body OR entity AND evidence-</w:t>
            </w:r>
            <w:r w:rsidRPr="00E16853">
              <w:rPr>
                <w:noProof/>
              </w:rPr>
              <w:t>bas</w:t>
            </w:r>
            <w:r w:rsidRPr="00E16853">
              <w:t xml:space="preserve">* </w:t>
            </w:r>
            <w:r w:rsidRPr="00E16853">
              <w:rPr>
                <w:noProof/>
              </w:rPr>
              <w:t>prac</w:t>
            </w:r>
            <w:r w:rsidRPr="00E16853">
              <w:t xml:space="preserve">* OR evidence-inform* </w:t>
            </w:r>
            <w:r w:rsidRPr="00E16853">
              <w:rPr>
                <w:noProof/>
              </w:rPr>
              <w:t>prac</w:t>
            </w:r>
            <w:r w:rsidRPr="00E16853">
              <w:t>* AND approach* OR criteria OR system* AND grad* OR rank OR assess* evidence AND</w:t>
            </w:r>
          </w:p>
        </w:tc>
      </w:tr>
      <w:tr w:rsidR="0093470E" w:rsidRPr="00E16853" w14:paraId="3582EF0A"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20928FF1" w14:textId="77777777" w:rsidR="0093470E" w:rsidRPr="00E16853" w:rsidRDefault="0093470E" w:rsidP="007674CF">
            <w:pPr>
              <w:pStyle w:val="NoSpacing"/>
            </w:pPr>
            <w:r w:rsidRPr="00E16853">
              <w:t>Synthesising evidence in institutions</w:t>
            </w:r>
          </w:p>
        </w:tc>
        <w:tc>
          <w:tcPr>
            <w:tcW w:w="6010" w:type="dxa"/>
          </w:tcPr>
          <w:p w14:paraId="31A8D869" w14:textId="77777777" w:rsidR="0093470E" w:rsidRPr="00E16853" w:rsidRDefault="0093470E" w:rsidP="007674CF">
            <w:pPr>
              <w:pStyle w:val="NoSpacing"/>
              <w:cnfStyle w:val="000000100000" w:firstRow="0" w:lastRow="0" w:firstColumn="0" w:lastColumn="0" w:oddVBand="0" w:evenVBand="0" w:oddHBand="1" w:evenHBand="0" w:firstRowFirstColumn="0" w:firstRowLastColumn="0" w:lastRowFirstColumn="0" w:lastRowLastColumn="0"/>
            </w:pPr>
            <w:r w:rsidRPr="00E16853">
              <w:t>research OR evidence AND institution OR body OR entity AND evidence-</w:t>
            </w:r>
            <w:r w:rsidRPr="00E16853">
              <w:rPr>
                <w:noProof/>
              </w:rPr>
              <w:t>bas</w:t>
            </w:r>
            <w:r w:rsidRPr="00E16853">
              <w:t xml:space="preserve">* </w:t>
            </w:r>
            <w:r w:rsidRPr="00E16853">
              <w:rPr>
                <w:noProof/>
              </w:rPr>
              <w:t>prac</w:t>
            </w:r>
            <w:r w:rsidRPr="00E16853">
              <w:t xml:space="preserve">* OR evidence-inform* </w:t>
            </w:r>
            <w:r w:rsidRPr="00E16853">
              <w:rPr>
                <w:noProof/>
              </w:rPr>
              <w:t>prac</w:t>
            </w:r>
            <w:r w:rsidRPr="00E16853">
              <w:t xml:space="preserve">* AND </w:t>
            </w:r>
            <w:r w:rsidRPr="00E16853">
              <w:rPr>
                <w:noProof/>
              </w:rPr>
              <w:t>synthes</w:t>
            </w:r>
            <w:r w:rsidRPr="00E16853">
              <w:t xml:space="preserve">* method OR </w:t>
            </w:r>
            <w:r w:rsidRPr="00E16853">
              <w:rPr>
                <w:noProof/>
              </w:rPr>
              <w:t>synthes</w:t>
            </w:r>
            <w:r w:rsidRPr="00E16853">
              <w:t>* approach AND</w:t>
            </w:r>
          </w:p>
        </w:tc>
      </w:tr>
      <w:tr w:rsidR="0093470E" w:rsidRPr="00E16853" w14:paraId="493FFDC7"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7B1923A1" w14:textId="77777777" w:rsidR="0093470E" w:rsidRPr="00E16853" w:rsidRDefault="0093470E" w:rsidP="007674CF">
            <w:pPr>
              <w:pStyle w:val="NoSpacing"/>
            </w:pPr>
            <w:r w:rsidRPr="00E16853">
              <w:t>Platforms used in institutions</w:t>
            </w:r>
          </w:p>
        </w:tc>
        <w:tc>
          <w:tcPr>
            <w:tcW w:w="6010" w:type="dxa"/>
          </w:tcPr>
          <w:p w14:paraId="0E78BEE5" w14:textId="77777777" w:rsidR="0093470E" w:rsidRPr="00E16853" w:rsidRDefault="0093470E" w:rsidP="007674CF">
            <w:pPr>
              <w:pStyle w:val="NoSpacing"/>
              <w:cnfStyle w:val="000000010000" w:firstRow="0" w:lastRow="0" w:firstColumn="0" w:lastColumn="0" w:oddVBand="0" w:evenVBand="0" w:oddHBand="0" w:evenHBand="1" w:firstRowFirstColumn="0" w:firstRowLastColumn="0" w:lastRowFirstColumn="0" w:lastRowLastColumn="0"/>
            </w:pPr>
            <w:r w:rsidRPr="00E16853">
              <w:t>research OR evidence AND institution OR body OR entity AND evidence-</w:t>
            </w:r>
            <w:r w:rsidRPr="00E16853">
              <w:rPr>
                <w:noProof/>
              </w:rPr>
              <w:t>bas</w:t>
            </w:r>
            <w:r w:rsidRPr="00E16853">
              <w:t xml:space="preserve">* </w:t>
            </w:r>
            <w:r w:rsidRPr="00E16853">
              <w:rPr>
                <w:noProof/>
              </w:rPr>
              <w:t>prac</w:t>
            </w:r>
            <w:r w:rsidRPr="00E16853">
              <w:t xml:space="preserve">* OR evidence-inform* </w:t>
            </w:r>
            <w:r w:rsidRPr="00E16853">
              <w:rPr>
                <w:noProof/>
              </w:rPr>
              <w:t>prac</w:t>
            </w:r>
            <w:r w:rsidRPr="00E16853">
              <w:t xml:space="preserve">* AND platform* OR </w:t>
            </w:r>
            <w:r w:rsidRPr="00E16853">
              <w:rPr>
                <w:noProof/>
              </w:rPr>
              <w:t>infrastructur</w:t>
            </w:r>
            <w:r w:rsidRPr="00E16853">
              <w:t xml:space="preserve">* OR </w:t>
            </w:r>
            <w:r w:rsidRPr="00E16853">
              <w:rPr>
                <w:noProof/>
              </w:rPr>
              <w:t>communicat</w:t>
            </w:r>
            <w:r w:rsidRPr="00E16853">
              <w:t xml:space="preserve">* AND use* input OR use* feedback OR use* </w:t>
            </w:r>
            <w:r w:rsidRPr="00E16853">
              <w:rPr>
                <w:noProof/>
              </w:rPr>
              <w:t>communicat</w:t>
            </w:r>
            <w:r w:rsidRPr="00E16853">
              <w:t xml:space="preserve">* AND </w:t>
            </w:r>
            <w:r w:rsidRPr="00E16853">
              <w:rPr>
                <w:noProof/>
              </w:rPr>
              <w:t>pract</w:t>
            </w:r>
            <w:r w:rsidRPr="00E16853">
              <w:t xml:space="preserve">* input OR </w:t>
            </w:r>
            <w:r w:rsidRPr="00E16853">
              <w:rPr>
                <w:noProof/>
              </w:rPr>
              <w:t>pract</w:t>
            </w:r>
            <w:r w:rsidRPr="00E16853">
              <w:t xml:space="preserve">* feedback OR </w:t>
            </w:r>
            <w:r w:rsidRPr="00E16853">
              <w:rPr>
                <w:noProof/>
              </w:rPr>
              <w:t>pract</w:t>
            </w:r>
            <w:r w:rsidRPr="00E16853">
              <w:t xml:space="preserve">* </w:t>
            </w:r>
            <w:r w:rsidRPr="00E16853">
              <w:rPr>
                <w:noProof/>
              </w:rPr>
              <w:t>communicat</w:t>
            </w:r>
            <w:r w:rsidRPr="00E16853">
              <w:t xml:space="preserve">* OR use* </w:t>
            </w:r>
            <w:r w:rsidRPr="00E16853">
              <w:rPr>
                <w:noProof/>
              </w:rPr>
              <w:t>contrib</w:t>
            </w:r>
            <w:r w:rsidRPr="00E16853">
              <w:t xml:space="preserve">* OR </w:t>
            </w:r>
            <w:r w:rsidRPr="00E16853">
              <w:rPr>
                <w:noProof/>
              </w:rPr>
              <w:t>pract</w:t>
            </w:r>
            <w:r w:rsidRPr="00E16853">
              <w:t xml:space="preserve">* </w:t>
            </w:r>
            <w:r w:rsidRPr="00E16853">
              <w:rPr>
                <w:noProof/>
              </w:rPr>
              <w:t>contrib</w:t>
            </w:r>
            <w:r w:rsidRPr="00E16853">
              <w:t>* AND</w:t>
            </w:r>
          </w:p>
        </w:tc>
      </w:tr>
      <w:tr w:rsidR="0093470E" w:rsidRPr="00E16853" w14:paraId="646E2610"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36F7AA0A" w14:textId="77777777" w:rsidR="0093470E" w:rsidRPr="00E16853" w:rsidRDefault="0093470E" w:rsidP="007674CF">
            <w:pPr>
              <w:pStyle w:val="NoSpacing"/>
            </w:pPr>
            <w:r w:rsidRPr="00E16853">
              <w:t>Knowledge translation in institutions</w:t>
            </w:r>
          </w:p>
        </w:tc>
        <w:tc>
          <w:tcPr>
            <w:tcW w:w="6010" w:type="dxa"/>
          </w:tcPr>
          <w:p w14:paraId="564306F1" w14:textId="77777777" w:rsidR="0093470E" w:rsidRPr="00E16853" w:rsidRDefault="0093470E" w:rsidP="007674CF">
            <w:pPr>
              <w:pStyle w:val="NoSpacing"/>
              <w:cnfStyle w:val="000000100000" w:firstRow="0" w:lastRow="0" w:firstColumn="0" w:lastColumn="0" w:oddVBand="0" w:evenVBand="0" w:oddHBand="1" w:evenHBand="0" w:firstRowFirstColumn="0" w:firstRowLastColumn="0" w:lastRowFirstColumn="0" w:lastRowLastColumn="0"/>
            </w:pPr>
            <w:r w:rsidRPr="00E16853">
              <w:t>research OR evidence AND institution OR body OR entity AND evidence-</w:t>
            </w:r>
            <w:r w:rsidRPr="00E16853">
              <w:rPr>
                <w:noProof/>
              </w:rPr>
              <w:t>bas</w:t>
            </w:r>
            <w:r w:rsidRPr="00E16853">
              <w:t xml:space="preserve">* OR evidence-inform* </w:t>
            </w:r>
            <w:r w:rsidRPr="00E16853">
              <w:rPr>
                <w:noProof/>
              </w:rPr>
              <w:t>prac</w:t>
            </w:r>
            <w:r w:rsidRPr="00E16853">
              <w:t xml:space="preserve">* AND knowledge </w:t>
            </w:r>
            <w:r w:rsidRPr="00E16853">
              <w:rPr>
                <w:noProof/>
              </w:rPr>
              <w:t>translat</w:t>
            </w:r>
            <w:r w:rsidRPr="00E16853">
              <w:t xml:space="preserve">* OR knowledge </w:t>
            </w:r>
            <w:r w:rsidRPr="00E16853">
              <w:rPr>
                <w:noProof/>
              </w:rPr>
              <w:t>mobilis</w:t>
            </w:r>
            <w:r w:rsidRPr="00E16853">
              <w:t xml:space="preserve">* OR knowledge </w:t>
            </w:r>
            <w:r w:rsidRPr="00E16853">
              <w:rPr>
                <w:noProof/>
              </w:rPr>
              <w:t>disseminat</w:t>
            </w:r>
            <w:r w:rsidRPr="00E16853">
              <w:t xml:space="preserve">* OR knowledge use OR information </w:t>
            </w:r>
            <w:r w:rsidRPr="00E16853">
              <w:rPr>
                <w:noProof/>
              </w:rPr>
              <w:t>translat</w:t>
            </w:r>
            <w:r w:rsidRPr="00E16853">
              <w:t xml:space="preserve">* OR information </w:t>
            </w:r>
            <w:r w:rsidRPr="00E16853">
              <w:rPr>
                <w:noProof/>
              </w:rPr>
              <w:t>mobilis</w:t>
            </w:r>
            <w:r w:rsidRPr="00E16853">
              <w:t xml:space="preserve">* OR information </w:t>
            </w:r>
            <w:r w:rsidRPr="00E16853">
              <w:rPr>
                <w:noProof/>
              </w:rPr>
              <w:t>disseminat</w:t>
            </w:r>
            <w:r w:rsidRPr="00E16853">
              <w:t xml:space="preserve">* OR information use OR evidence </w:t>
            </w:r>
            <w:r w:rsidRPr="00E16853">
              <w:rPr>
                <w:noProof/>
              </w:rPr>
              <w:t>translat</w:t>
            </w:r>
            <w:r w:rsidRPr="00E16853">
              <w:t xml:space="preserve">* OR evidence </w:t>
            </w:r>
            <w:r w:rsidRPr="00E16853">
              <w:rPr>
                <w:noProof/>
              </w:rPr>
              <w:t>translat</w:t>
            </w:r>
            <w:r w:rsidRPr="00E16853">
              <w:t xml:space="preserve">* OR evidence </w:t>
            </w:r>
            <w:r w:rsidRPr="00E16853">
              <w:rPr>
                <w:noProof/>
              </w:rPr>
              <w:t>disseminat</w:t>
            </w:r>
            <w:r w:rsidRPr="00E16853">
              <w:t>* OR evidence use</w:t>
            </w:r>
          </w:p>
        </w:tc>
      </w:tr>
    </w:tbl>
    <w:p w14:paraId="3C007568" w14:textId="3BADF16B" w:rsidR="00DD38D7" w:rsidRPr="00E16853" w:rsidRDefault="00DD38D7" w:rsidP="0093470E"/>
    <w:p w14:paraId="78A4E886" w14:textId="59D21325" w:rsidR="0093470E" w:rsidRPr="00051930" w:rsidRDefault="00DB5EA2" w:rsidP="00E45653">
      <w:r>
        <w:t>Using</w:t>
      </w:r>
      <w:r w:rsidR="0093470E" w:rsidRPr="00051930">
        <w:t xml:space="preserve"> the search strategy</w:t>
      </w:r>
      <w:r w:rsidR="00F43810">
        <w:t>,</w:t>
      </w:r>
      <w:r>
        <w:t xml:space="preserve"> a total of 6838 studies</w:t>
      </w:r>
      <w:r w:rsidR="00F43810">
        <w:t xml:space="preserve"> were identified</w:t>
      </w:r>
      <w:r>
        <w:t xml:space="preserve">. </w:t>
      </w:r>
      <w:r w:rsidR="0093470E" w:rsidRPr="00051930">
        <w:t xml:space="preserve">The PRISMA statement below </w:t>
      </w:r>
      <w:r w:rsidR="0093470E">
        <w:t xml:space="preserve">shows that </w:t>
      </w:r>
      <w:r w:rsidR="0093470E" w:rsidRPr="00051930">
        <w:t xml:space="preserve">6746 unique sources were screened by title and abstract, and </w:t>
      </w:r>
      <w:r w:rsidR="00F43810">
        <w:t xml:space="preserve">the full-text was reviewed for </w:t>
      </w:r>
      <w:r w:rsidR="0093470E" w:rsidRPr="00051930">
        <w:t>596 articles, with 88 sources meeting the criteria for inclusion</w:t>
      </w:r>
      <w:r w:rsidR="00F43810">
        <w:t>. T</w:t>
      </w:r>
      <w:r w:rsidR="0093470E">
        <w:t>hese are</w:t>
      </w:r>
      <w:r w:rsidR="0093470E" w:rsidRPr="00051930">
        <w:t xml:space="preserve"> outlined</w:t>
      </w:r>
      <w:r w:rsidR="0093470E">
        <w:t xml:space="preserve"> further</w:t>
      </w:r>
      <w:r w:rsidR="0093470E" w:rsidRPr="00051930">
        <w:t xml:space="preserve"> in </w:t>
      </w:r>
      <w:r w:rsidR="00985AF6">
        <w:fldChar w:fldCharType="begin"/>
      </w:r>
      <w:r w:rsidR="00985AF6">
        <w:instrText xml:space="preserve"> PAGEREF _Ref510791837 \h </w:instrText>
      </w:r>
      <w:r w:rsidR="00985AF6">
        <w:fldChar w:fldCharType="separate"/>
      </w:r>
      <w:r w:rsidR="004240AA">
        <w:rPr>
          <w:noProof/>
        </w:rPr>
        <w:t>71</w:t>
      </w:r>
      <w:r w:rsidR="00985AF6">
        <w:fldChar w:fldCharType="end"/>
      </w:r>
      <w:r w:rsidR="0093470E" w:rsidRPr="00051930">
        <w:t xml:space="preserve">. </w:t>
      </w:r>
    </w:p>
    <w:p w14:paraId="69796366" w14:textId="204016B8" w:rsidR="0093470E" w:rsidRDefault="0093470E" w:rsidP="0093470E"/>
    <w:p w14:paraId="5754D5A1" w14:textId="76E29132" w:rsidR="00EC3DE6" w:rsidRPr="00E16853" w:rsidRDefault="00EC3DE6" w:rsidP="0093470E">
      <w:r w:rsidRPr="00EC3DE6">
        <w:rPr>
          <w:noProof/>
          <w:lang w:val="en-US" w:eastAsia="en-US"/>
        </w:rPr>
        <w:lastRenderedPageBreak/>
        <w:drawing>
          <wp:inline distT="0" distB="0" distL="0" distR="0" wp14:anchorId="542E8B61" wp14:editId="3619ED71">
            <wp:extent cx="5731510" cy="5709300"/>
            <wp:effectExtent l="0" t="0" r="0" b="0"/>
            <wp:docPr id="16" name="Picture 16" descr="This figure shows that 6746 unique sources were screened by title and abstract, and the full-text was reviewed for 596 articles, with 88 sources meeting the criteria for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709300"/>
                    </a:xfrm>
                    <a:prstGeom prst="rect">
                      <a:avLst/>
                    </a:prstGeom>
                    <a:noFill/>
                    <a:ln>
                      <a:noFill/>
                    </a:ln>
                  </pic:spPr>
                </pic:pic>
              </a:graphicData>
            </a:graphic>
          </wp:inline>
        </w:drawing>
      </w:r>
    </w:p>
    <w:p w14:paraId="70E730AB" w14:textId="50FCC06B" w:rsidR="0093470E" w:rsidRPr="00E16853" w:rsidRDefault="0093470E" w:rsidP="00813AA6">
      <w:pPr>
        <w:pStyle w:val="CaptionFig"/>
      </w:pPr>
      <w:bookmarkStart w:id="25" w:name="_Toc509848439"/>
      <w:bookmarkStart w:id="26" w:name="_Toc509950621"/>
      <w:bookmarkStart w:id="27" w:name="_Toc509951275"/>
      <w:r w:rsidRPr="00E16853">
        <w:t xml:space="preserve">Figure </w:t>
      </w:r>
      <w:fldSimple w:instr=" SEQ Figure \* ARABIC ">
        <w:r w:rsidR="004240AA">
          <w:rPr>
            <w:noProof/>
          </w:rPr>
          <w:t>2</w:t>
        </w:r>
      </w:fldSimple>
      <w:r w:rsidRPr="00E16853">
        <w:t>: PRISMA Statement</w:t>
      </w:r>
      <w:bookmarkEnd w:id="25"/>
      <w:bookmarkEnd w:id="26"/>
      <w:bookmarkEnd w:id="27"/>
    </w:p>
    <w:p w14:paraId="7043108C" w14:textId="42C73418" w:rsidR="0093470E" w:rsidRDefault="0093470E" w:rsidP="001137D9">
      <w:r w:rsidRPr="00051930">
        <w:t xml:space="preserve">A quality assessment </w:t>
      </w:r>
      <w:r w:rsidR="003846D8">
        <w:t>was conducted for</w:t>
      </w:r>
      <w:r w:rsidRPr="00051930">
        <w:t xml:space="preserve"> all full-text articles </w:t>
      </w:r>
      <w:r w:rsidR="003846D8">
        <w:t>reviewed</w:t>
      </w:r>
      <w:r w:rsidRPr="00051930">
        <w:t xml:space="preserve">, using the </w:t>
      </w:r>
      <w:r>
        <w:t>Authority-Accuracy-Coverage-Objectivity-Date-Significance</w:t>
      </w:r>
      <w:r w:rsidR="00F43810">
        <w:t xml:space="preserve"> (AACODS</w:t>
      </w:r>
      <w:r>
        <w:t>)</w:t>
      </w:r>
      <w:r w:rsidRPr="00051930">
        <w:t xml:space="preserve"> checklist designed for grey literature, evaluation studies and other sources using non-randomised study designs</w:t>
      </w:r>
      <w:r w:rsidR="00A823BF">
        <w:t xml:space="preserve"> </w:t>
      </w:r>
      <w:r w:rsidR="00A823BF">
        <w:fldChar w:fldCharType="begin" w:fldLock="1"/>
      </w:r>
      <w:r w:rsidR="00A823BF">
        <w:instrText>ADDIN CSL_CITATION { "citationItems" : [ { "id" : "ITEM-1", "itemData" : { "author" : [ { "dropping-particle" : "", "family" : "Tyndall", "given" : "J.", "non-dropping-particle" : "", "parse-names" : false, "suffix" : "" } ], "id" : "ITEM-1", "issue" : "October 1999", "issued" : { "date-parts" : [ [ "2009" ] ] }, "title" : "The AACODS checklist", "type" : "report" }, "uris" : [ "http://www.mendeley.com/documents/?uuid=b6f4c3a4-591a-4cb9-a2e9-e7d5688fcbd8" ] } ], "mendeley" : { "formattedCitation" : "(Tyndall, 2009)", "plainTextFormattedCitation" : "(Tyndall, 2009)", "previouslyFormattedCitation" : "(Tyndall, 2009)" }, "properties" : {  }, "schema" : "https://github.com/citation-style-language/schema/raw/master/csl-citation.json" }</w:instrText>
      </w:r>
      <w:r w:rsidR="00A823BF">
        <w:fldChar w:fldCharType="separate"/>
      </w:r>
      <w:r w:rsidR="00A823BF" w:rsidRPr="00A823BF">
        <w:rPr>
          <w:noProof/>
        </w:rPr>
        <w:t>(Tyndall, 2009)</w:t>
      </w:r>
      <w:r w:rsidR="00A823BF">
        <w:fldChar w:fldCharType="end"/>
      </w:r>
      <w:r w:rsidRPr="00051930">
        <w:t>. The quality assessment</w:t>
      </w:r>
      <w:r w:rsidR="004A0047">
        <w:t xml:space="preserve"> results</w:t>
      </w:r>
      <w:r w:rsidRPr="00051930">
        <w:t xml:space="preserve"> for </w:t>
      </w:r>
      <w:r>
        <w:t>the</w:t>
      </w:r>
      <w:r w:rsidRPr="00051930">
        <w:t xml:space="preserve"> 88 included articles is </w:t>
      </w:r>
      <w:r w:rsidR="00F43810">
        <w:t>presented</w:t>
      </w:r>
      <w:r w:rsidRPr="00051930">
        <w:t xml:space="preserve"> in Appendix A</w:t>
      </w:r>
      <w:r>
        <w:t>. Of</w:t>
      </w:r>
      <w:r w:rsidRPr="00051930">
        <w:t xml:space="preserve"> the 88 sources included in the review, </w:t>
      </w:r>
      <w:r w:rsidR="00F43810">
        <w:t>all were</w:t>
      </w:r>
      <w:r w:rsidRPr="00051930">
        <w:t xml:space="preserve"> considered recent enough to be relevant to evidence-informed practice in education </w:t>
      </w:r>
      <w:r>
        <w:t>in</w:t>
      </w:r>
      <w:r w:rsidRPr="00051930">
        <w:t xml:space="preserve"> Australia. </w:t>
      </w:r>
      <w:r>
        <w:t xml:space="preserve">Seventy-eight per cent </w:t>
      </w:r>
      <w:r w:rsidRPr="00051930">
        <w:t>of reviewed studies include</w:t>
      </w:r>
      <w:r w:rsidR="004A0047">
        <w:t xml:space="preserve">d accurate information that was significant for the Review. All reviewed sources were authored by an </w:t>
      </w:r>
      <w:r w:rsidR="002B496E">
        <w:t>authority on the subject matter and</w:t>
      </w:r>
      <w:r w:rsidR="004A0047">
        <w:t xml:space="preserve"> selective reporting was suspected in 28 per cent of reviewed studies. </w:t>
      </w:r>
      <w:r w:rsidRPr="00051930">
        <w:t>Overall, the reviewed studies were of relatively high quality</w:t>
      </w:r>
      <w:r w:rsidR="00C92094" w:rsidRPr="00C92094">
        <w:t xml:space="preserve"> </w:t>
      </w:r>
      <w:r w:rsidR="00C92094" w:rsidRPr="00051930">
        <w:t>according to the AACODS checklist</w:t>
      </w:r>
      <w:r w:rsidR="00C92094">
        <w:t>.</w:t>
      </w:r>
      <w:r w:rsidR="00C92094" w:rsidRPr="00051930">
        <w:t xml:space="preserve"> </w:t>
      </w:r>
      <w:r w:rsidR="00C92094">
        <w:t>H</w:t>
      </w:r>
      <w:r w:rsidR="00C92094" w:rsidRPr="00051930">
        <w:t>owever</w:t>
      </w:r>
      <w:r w:rsidRPr="00051930">
        <w:t xml:space="preserve">, </w:t>
      </w:r>
      <w:r>
        <w:t xml:space="preserve">it </w:t>
      </w:r>
      <w:r w:rsidRPr="00051930">
        <w:t xml:space="preserve">should be noted </w:t>
      </w:r>
      <w:r>
        <w:t>t</w:t>
      </w:r>
      <w:r w:rsidRPr="00051930">
        <w:t>hat among a large sample of sources (6746), only 1.3</w:t>
      </w:r>
      <w:r>
        <w:t xml:space="preserve"> per cent </w:t>
      </w:r>
      <w:r w:rsidRPr="00051930">
        <w:t xml:space="preserve">reported on evidence-informed practice, and on institutions that support evidence-informed practice. This </w:t>
      </w:r>
      <w:r w:rsidR="001137D9">
        <w:t>highlights how limited the</w:t>
      </w:r>
      <w:r w:rsidRPr="00051930">
        <w:t xml:space="preserve"> research</w:t>
      </w:r>
      <w:r w:rsidR="001137D9">
        <w:t xml:space="preserve"> in this area.</w:t>
      </w:r>
      <w:r w:rsidRPr="00051930">
        <w:t xml:space="preserve"> </w:t>
      </w:r>
    </w:p>
    <w:p w14:paraId="57DEB196" w14:textId="10F0B74A" w:rsidR="0093470E" w:rsidRPr="00051930" w:rsidRDefault="001B5A8D" w:rsidP="00E45653">
      <w:r>
        <w:t>Most</w:t>
      </w:r>
      <w:r w:rsidR="0093470E" w:rsidRPr="00051930">
        <w:t xml:space="preserve"> included studies were in the public health sector, focussing on sanitation and hygiene, preventive health interventions and disease prevalence</w:t>
      </w:r>
      <w:r w:rsidR="006C19BB" w:rsidRPr="006C19BB">
        <w:t xml:space="preserve"> </w:t>
      </w:r>
      <w:r w:rsidR="006C19BB" w:rsidRPr="00051930">
        <w:t>monitoring</w:t>
      </w:r>
      <w:r w:rsidR="0093470E" w:rsidRPr="00051930">
        <w:t xml:space="preserve"> and </w:t>
      </w:r>
      <w:r w:rsidR="006C19BB">
        <w:t>the development of</w:t>
      </w:r>
      <w:r w:rsidR="0093470E" w:rsidRPr="00051930">
        <w:t xml:space="preserve"> practice and policy guidelines to support healthy lifestyles. </w:t>
      </w:r>
      <w:r w:rsidR="00C92094">
        <w:t>About a quarter</w:t>
      </w:r>
      <w:r w:rsidR="0093470E">
        <w:t xml:space="preserve"> </w:t>
      </w:r>
      <w:r w:rsidR="0093470E" w:rsidRPr="00051930">
        <w:t>of included studies were based in education, many of these examin</w:t>
      </w:r>
      <w:r w:rsidR="0093470E">
        <w:t>ed</w:t>
      </w:r>
      <w:r w:rsidR="0093470E" w:rsidRPr="00051930">
        <w:t xml:space="preserve"> the use of evidence in schools and in the teaching process. Only 3 of the 88 sources were based in </w:t>
      </w:r>
      <w:r w:rsidR="0093470E" w:rsidRPr="00051930">
        <w:lastRenderedPageBreak/>
        <w:t>tourism</w:t>
      </w:r>
      <w:r w:rsidR="00C92094">
        <w:t>. T</w:t>
      </w:r>
      <w:r w:rsidR="0093470E" w:rsidRPr="00051930">
        <w:t>his is likely to be because</w:t>
      </w:r>
      <w:r w:rsidR="002B496E">
        <w:t>,</w:t>
      </w:r>
      <w:r w:rsidR="0093470E" w:rsidRPr="00051930">
        <w:t xml:space="preserve"> while evidence-informed practice is an important part of the tourism industry</w:t>
      </w:r>
      <w:r w:rsidR="006C19BB">
        <w:t>,</w:t>
      </w:r>
      <w:r w:rsidR="0093470E" w:rsidRPr="00051930">
        <w:t xml:space="preserve"> it is often used t</w:t>
      </w:r>
      <w:r w:rsidR="002B496E">
        <w:t>o drive revenue and is therefore</w:t>
      </w:r>
      <w:r w:rsidR="0093470E">
        <w:t xml:space="preserve"> often</w:t>
      </w:r>
      <w:r w:rsidR="0093470E" w:rsidRPr="00051930">
        <w:t xml:space="preserve"> considered proprietary</w:t>
      </w:r>
      <w:r w:rsidR="0093470E">
        <w:t>.</w:t>
      </w:r>
      <w:r w:rsidR="0093470E" w:rsidRPr="00051930">
        <w:t xml:space="preserve"> </w:t>
      </w:r>
    </w:p>
    <w:p w14:paraId="154FA288" w14:textId="7FCD5773" w:rsidR="0093470E" w:rsidRPr="00051930" w:rsidRDefault="0093470E" w:rsidP="00E45653">
      <w:r w:rsidRPr="00051930">
        <w:t xml:space="preserve">While the </w:t>
      </w:r>
      <w:r w:rsidR="006C19BB">
        <w:t>rapid synthesis</w:t>
      </w:r>
      <w:r w:rsidRPr="00051930">
        <w:t xml:space="preserve"> included studies published in the last ten years as well as seminal sources published earlier, 32</w:t>
      </w:r>
      <w:r>
        <w:t xml:space="preserve"> per cent</w:t>
      </w:r>
      <w:r w:rsidRPr="00051930">
        <w:t xml:space="preserve"> of the included sources were published in the last two years</w:t>
      </w:r>
      <w:r w:rsidR="00C92094">
        <w:t xml:space="preserve">. </w:t>
      </w:r>
      <w:r w:rsidR="00044936">
        <w:t xml:space="preserve">Most </w:t>
      </w:r>
      <w:r w:rsidRPr="00051930">
        <w:t>studies were conducted in</w:t>
      </w:r>
      <w:r>
        <w:t xml:space="preserve"> the</w:t>
      </w:r>
      <w:r w:rsidRPr="00051930">
        <w:t xml:space="preserve"> </w:t>
      </w:r>
      <w:r w:rsidR="00044936" w:rsidRPr="00051930">
        <w:t>USA</w:t>
      </w:r>
      <w:r w:rsidR="00C92094">
        <w:t xml:space="preserve">, with 15% </w:t>
      </w:r>
      <w:r w:rsidRPr="00051930">
        <w:t xml:space="preserve">based in Australia. Finally, with respect to study type, most of the included studies used a case study design and meta-syntheses, reviews or systematic reviews. </w:t>
      </w:r>
    </w:p>
    <w:p w14:paraId="2B1B097C" w14:textId="4EC3DA1C" w:rsidR="00D65E66" w:rsidRDefault="0093470E" w:rsidP="00E45653">
      <w:r w:rsidRPr="00051930">
        <w:t>Overall, the peer-reviewed literature on evidence-informed practice and on institutions that support evidence-informed practice is scarce</w:t>
      </w:r>
      <w:r w:rsidR="00C92094">
        <w:t>. However</w:t>
      </w:r>
      <w:r>
        <w:t>,</w:t>
      </w:r>
      <w:r w:rsidR="002B496E">
        <w:t xml:space="preserve"> the included sources have</w:t>
      </w:r>
      <w:r w:rsidRPr="00051930">
        <w:t xml:space="preserve"> identified practices, structures and characteristics of institutions that can support the pursuit of evidence-informed practice. Some of these</w:t>
      </w:r>
      <w:r>
        <w:t xml:space="preserve"> sources</w:t>
      </w:r>
      <w:r w:rsidRPr="00051930">
        <w:t xml:space="preserve"> have well-developed empirical evidence, and others have conflicting evidence</w:t>
      </w:r>
      <w:r w:rsidR="00C92094">
        <w:t>.</w:t>
      </w:r>
      <w:r w:rsidR="004C510F">
        <w:t xml:space="preserve"> </w:t>
      </w:r>
      <w:r w:rsidR="00C92094">
        <w:t xml:space="preserve">To </w:t>
      </w:r>
      <w:r w:rsidR="004C510F">
        <w:t xml:space="preserve">illustrate these differences, a strength of </w:t>
      </w:r>
      <w:r w:rsidR="00EE533F">
        <w:t xml:space="preserve">the </w:t>
      </w:r>
      <w:r w:rsidR="004C510F">
        <w:t xml:space="preserve">evidence assessment has been provided for each of the review findings, which are detailed in section 3.0. </w:t>
      </w:r>
    </w:p>
    <w:p w14:paraId="474797DD" w14:textId="182411E4" w:rsidR="00481E03" w:rsidRDefault="00481E03" w:rsidP="00481E03">
      <w:r>
        <w:t xml:space="preserve">Finally, some limitations to the rapid synthesis methodology should be considered. </w:t>
      </w:r>
      <w:r w:rsidR="005878C9" w:rsidRPr="00C36BD8">
        <w:t xml:space="preserve">The rapid synthesis was based on a set of exclusion criteria guided by the purposes and questions for the </w:t>
      </w:r>
      <w:r>
        <w:t>rapid synthesis</w:t>
      </w:r>
      <w:r w:rsidR="005878C9" w:rsidRPr="00C36BD8">
        <w:t>. However, it is possible that some</w:t>
      </w:r>
      <w:r>
        <w:t xml:space="preserve"> relevant</w:t>
      </w:r>
      <w:r w:rsidR="005878C9" w:rsidRPr="00C36BD8">
        <w:t xml:space="preserve"> literature </w:t>
      </w:r>
      <w:r>
        <w:t>may not have been</w:t>
      </w:r>
      <w:r w:rsidR="005878C9" w:rsidRPr="00C36BD8">
        <w:t xml:space="preserve"> included as it may have been unpublished, or outside the scope of the </w:t>
      </w:r>
      <w:r>
        <w:t>rapid synthesis</w:t>
      </w:r>
      <w:r w:rsidR="005878C9" w:rsidRPr="00C36BD8">
        <w:t>.</w:t>
      </w:r>
      <w:r>
        <w:t xml:space="preserve"> In addition, the synthesis findings </w:t>
      </w:r>
      <w:r w:rsidR="00C92094">
        <w:t>include</w:t>
      </w:r>
      <w:r w:rsidR="00731DBC">
        <w:t xml:space="preserve"> </w:t>
      </w:r>
      <w:r>
        <w:t xml:space="preserve">an overview of some approaches and strategies that </w:t>
      </w:r>
      <w:r w:rsidR="005878C9" w:rsidRPr="00C36BD8">
        <w:t>have not been widely trialled in education</w:t>
      </w:r>
      <w:r w:rsidR="00C92094">
        <w:t>,</w:t>
      </w:r>
      <w:r w:rsidR="005878C9" w:rsidRPr="00C36BD8">
        <w:t xml:space="preserve"> given the paucity of research on evidence-informed practice within education. </w:t>
      </w:r>
      <w:r w:rsidR="00554283">
        <w:t>Thus,</w:t>
      </w:r>
      <w:r>
        <w:t xml:space="preserve"> it is important to </w:t>
      </w:r>
      <w:r w:rsidR="00554283">
        <w:t xml:space="preserve">carefully evaluate the appropriateness of using these approaches and strategies within the Australian education context. Considerations for </w:t>
      </w:r>
      <w:proofErr w:type="spellStart"/>
      <w:r w:rsidR="00554283">
        <w:t>operationalising</w:t>
      </w:r>
      <w:proofErr w:type="spellEnd"/>
      <w:r w:rsidR="00554283">
        <w:t xml:space="preserve"> the</w:t>
      </w:r>
      <w:r w:rsidR="00C92094">
        <w:t>se</w:t>
      </w:r>
      <w:r w:rsidR="00554283">
        <w:t xml:space="preserve"> findings are provided in section 6.0 of this report. </w:t>
      </w:r>
    </w:p>
    <w:p w14:paraId="2099CD82" w14:textId="77777777" w:rsidR="0093470E" w:rsidRPr="00E16853" w:rsidRDefault="0093470E" w:rsidP="00E833DA">
      <w:pPr>
        <w:pStyle w:val="NumberedHeading2"/>
        <w:outlineLvl w:val="0"/>
      </w:pPr>
      <w:bookmarkStart w:id="28" w:name="_Toc508637949"/>
      <w:r w:rsidRPr="00E16853">
        <w:tab/>
      </w:r>
      <w:bookmarkStart w:id="29" w:name="_Toc509950622"/>
      <w:r w:rsidRPr="00E16853">
        <w:t xml:space="preserve">Stakeholder </w:t>
      </w:r>
      <w:r>
        <w:t>c</w:t>
      </w:r>
      <w:r w:rsidRPr="00E16853">
        <w:t>onsultations</w:t>
      </w:r>
      <w:bookmarkEnd w:id="29"/>
      <w:r w:rsidRPr="00E16853">
        <w:t xml:space="preserve"> </w:t>
      </w:r>
      <w:bookmarkEnd w:id="28"/>
    </w:p>
    <w:p w14:paraId="55B8EB33" w14:textId="2A81BF85" w:rsidR="0093470E" w:rsidRPr="00051930" w:rsidRDefault="00FD3A7E" w:rsidP="00E45653">
      <w:r>
        <w:t>Between December 2017 and February 2018, s</w:t>
      </w:r>
      <w:r w:rsidRPr="00051930">
        <w:t>emi</w:t>
      </w:r>
      <w:r w:rsidR="0093470E" w:rsidRPr="00051930">
        <w:t>-structured interviews were conducted with senior leaders and representatives of research and evidence institutions in education, health and tourism</w:t>
      </w:r>
      <w:r w:rsidR="00FD53F6">
        <w:t xml:space="preserve"> as part of the rapid synthesis</w:t>
      </w:r>
      <w:r w:rsidR="0093470E" w:rsidRPr="00051930">
        <w:t xml:space="preserve">. In collaboration with the Education Excellence Review Secretariat, a total of six </w:t>
      </w:r>
      <w:r>
        <w:t xml:space="preserve">non-government </w:t>
      </w:r>
      <w:r w:rsidR="0093470E" w:rsidRPr="00051930">
        <w:t xml:space="preserve">organisations were approached. </w:t>
      </w:r>
      <w:r>
        <w:t>The organisations are listed in Table 2.</w:t>
      </w:r>
      <w:r w:rsidR="00731DBC">
        <w:t xml:space="preserve"> </w:t>
      </w:r>
      <w:r>
        <w:t>R</w:t>
      </w:r>
      <w:r w:rsidRPr="00051930">
        <w:t xml:space="preserve">epresentatives </w:t>
      </w:r>
      <w:r w:rsidR="0093470E" w:rsidRPr="00051930">
        <w:t xml:space="preserve">from the six organisations were invited to participate in a 40-minute interview focussed on gathering insights and understanding the perspectives of the representatives on the collation, synthesis and dissemination of evidence to practitioners in their sector. </w:t>
      </w:r>
      <w:r>
        <w:t>R</w:t>
      </w:r>
      <w:r w:rsidR="0093470E" w:rsidRPr="00051930">
        <w:t xml:space="preserve">epresentatives from Tourism Australia and the Education Endowment Foundation (EEF) were invited to take part but were not able to. </w:t>
      </w:r>
    </w:p>
    <w:p w14:paraId="3223DC05" w14:textId="2F852D9C" w:rsidR="0093470E" w:rsidRPr="00E16853" w:rsidRDefault="0093470E" w:rsidP="00813AA6">
      <w:pPr>
        <w:pStyle w:val="Caption2"/>
      </w:pPr>
      <w:bookmarkStart w:id="30" w:name="_Toc509845972"/>
      <w:bookmarkStart w:id="31" w:name="_Toc509950623"/>
      <w:bookmarkStart w:id="32" w:name="_Toc509951288"/>
      <w:r w:rsidRPr="00E16853">
        <w:t xml:space="preserve">Table </w:t>
      </w:r>
      <w:fldSimple w:instr=" SEQ Table \* ARABIC ">
        <w:r w:rsidR="004240AA">
          <w:rPr>
            <w:noProof/>
          </w:rPr>
          <w:t>2</w:t>
        </w:r>
      </w:fldSimple>
      <w:r w:rsidRPr="00E16853">
        <w:t>: Organisations represented in stakeholder interviews</w:t>
      </w:r>
      <w:bookmarkEnd w:id="30"/>
      <w:bookmarkEnd w:id="31"/>
      <w:bookmarkEnd w:id="32"/>
    </w:p>
    <w:tbl>
      <w:tblPr>
        <w:tblStyle w:val="TableGrid"/>
        <w:tblW w:w="0" w:type="auto"/>
        <w:tblLook w:val="04A0" w:firstRow="1" w:lastRow="0" w:firstColumn="1" w:lastColumn="0" w:noHBand="0" w:noVBand="1"/>
        <w:tblDescription w:val="Australian Institute for Teaching and School Leadership; Murdoch Children’s Research Institute; Centre for Positive Psychology, University of Melbourne; Social Ventures Australia; Paul Ramsay Foundation; Organisation for Economic Cooperation &amp; Development."/>
      </w:tblPr>
      <w:tblGrid>
        <w:gridCol w:w="8906"/>
      </w:tblGrid>
      <w:tr w:rsidR="0093470E" w:rsidRPr="00E16853" w14:paraId="6C9A4FA5" w14:textId="77777777" w:rsidTr="00CF668F">
        <w:trPr>
          <w:cnfStyle w:val="100000000000" w:firstRow="1" w:lastRow="0" w:firstColumn="0" w:lastColumn="0" w:oddVBand="0" w:evenVBand="0" w:oddHBand="0" w:evenHBand="0" w:firstRowFirstColumn="0" w:firstRowLastColumn="0" w:lastRowFirstColumn="0" w:lastRowLastColumn="0"/>
          <w:trHeight w:val="271"/>
          <w:tblHeader/>
        </w:trPr>
        <w:tc>
          <w:tcPr>
            <w:cnfStyle w:val="001000000000" w:firstRow="0" w:lastRow="0" w:firstColumn="1" w:lastColumn="0" w:oddVBand="0" w:evenVBand="0" w:oddHBand="0" w:evenHBand="0" w:firstRowFirstColumn="0" w:firstRowLastColumn="0" w:lastRowFirstColumn="0" w:lastRowLastColumn="0"/>
            <w:tcW w:w="8906" w:type="dxa"/>
          </w:tcPr>
          <w:p w14:paraId="24BC7326" w14:textId="77777777" w:rsidR="0093470E" w:rsidRPr="00E16853" w:rsidRDefault="0093470E" w:rsidP="007674CF">
            <w:pPr>
              <w:pStyle w:val="NoSpacing"/>
              <w:rPr>
                <w:b w:val="0"/>
                <w:bCs/>
              </w:rPr>
            </w:pPr>
            <w:r w:rsidRPr="00E16853">
              <w:rPr>
                <w:bCs/>
              </w:rPr>
              <w:t>Organisation representative interviewed</w:t>
            </w:r>
          </w:p>
        </w:tc>
      </w:tr>
      <w:tr w:rsidR="0093470E" w:rsidRPr="00E16853" w14:paraId="311DB5F3" w14:textId="77777777" w:rsidTr="00DB07D0">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906" w:type="dxa"/>
          </w:tcPr>
          <w:p w14:paraId="76EE5AC9" w14:textId="77777777" w:rsidR="0093470E" w:rsidRPr="00E16853" w:rsidRDefault="0093470E" w:rsidP="007674CF">
            <w:pPr>
              <w:pStyle w:val="NoSpacing"/>
            </w:pPr>
            <w:r w:rsidRPr="00E16853">
              <w:t>Australian Institute for Teaching and School Leadership (AITSL)</w:t>
            </w:r>
          </w:p>
        </w:tc>
      </w:tr>
      <w:tr w:rsidR="0093470E" w:rsidRPr="00E16853" w14:paraId="5420374C" w14:textId="77777777" w:rsidTr="00DB07D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06" w:type="dxa"/>
          </w:tcPr>
          <w:p w14:paraId="5BD9F887" w14:textId="26A0DA1F" w:rsidR="0093470E" w:rsidRPr="00E16853" w:rsidRDefault="0093470E" w:rsidP="007674CF">
            <w:pPr>
              <w:pStyle w:val="NoSpacing"/>
            </w:pPr>
            <w:r w:rsidRPr="00E16853">
              <w:t xml:space="preserve">Murdoch </w:t>
            </w:r>
            <w:r w:rsidR="003D3716" w:rsidRPr="00E16853">
              <w:t>Children’s</w:t>
            </w:r>
            <w:r w:rsidRPr="00E16853">
              <w:t xml:space="preserve"> Research Institute</w:t>
            </w:r>
          </w:p>
        </w:tc>
      </w:tr>
      <w:tr w:rsidR="0093470E" w:rsidRPr="00E16853" w14:paraId="6B14231E" w14:textId="77777777" w:rsidTr="00DB07D0">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906" w:type="dxa"/>
          </w:tcPr>
          <w:p w14:paraId="72F639CB" w14:textId="77777777" w:rsidR="0093470E" w:rsidRPr="00E16853" w:rsidRDefault="0093470E" w:rsidP="007674CF">
            <w:pPr>
              <w:pStyle w:val="NoSpacing"/>
            </w:pPr>
            <w:r w:rsidRPr="00E16853">
              <w:t>Centre for Positive Psychology, University of Melbourne</w:t>
            </w:r>
          </w:p>
        </w:tc>
      </w:tr>
      <w:tr w:rsidR="0093470E" w:rsidRPr="00E16853" w14:paraId="173CD193" w14:textId="77777777" w:rsidTr="00DB07D0">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906" w:type="dxa"/>
          </w:tcPr>
          <w:p w14:paraId="7E943832" w14:textId="77777777" w:rsidR="0093470E" w:rsidRPr="00E16853" w:rsidRDefault="0093470E" w:rsidP="007674CF">
            <w:pPr>
              <w:pStyle w:val="NoSpacing"/>
            </w:pPr>
            <w:r w:rsidRPr="00E16853">
              <w:t>Social Ventures Australia</w:t>
            </w:r>
          </w:p>
        </w:tc>
      </w:tr>
      <w:tr w:rsidR="0093470E" w:rsidRPr="00E16853" w14:paraId="3366A98C" w14:textId="77777777" w:rsidTr="00DB07D0">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8906" w:type="dxa"/>
          </w:tcPr>
          <w:p w14:paraId="1340AE2D" w14:textId="77777777" w:rsidR="0093470E" w:rsidRPr="00E16853" w:rsidRDefault="0093470E" w:rsidP="007674CF">
            <w:pPr>
              <w:pStyle w:val="NoSpacing"/>
            </w:pPr>
            <w:r w:rsidRPr="00E16853">
              <w:t>Paul Ramsay Foundation</w:t>
            </w:r>
          </w:p>
        </w:tc>
      </w:tr>
      <w:tr w:rsidR="0093470E" w:rsidRPr="00E16853" w14:paraId="39159C07" w14:textId="77777777" w:rsidTr="00DB07D0">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906" w:type="dxa"/>
          </w:tcPr>
          <w:p w14:paraId="0483385B" w14:textId="77777777" w:rsidR="0093470E" w:rsidRPr="00E16853" w:rsidRDefault="0093470E" w:rsidP="007674CF">
            <w:pPr>
              <w:pStyle w:val="NoSpacing"/>
            </w:pPr>
            <w:r w:rsidRPr="00E16853">
              <w:t>Organisation for Economic Cooperation &amp; Development (OECD)</w:t>
            </w:r>
          </w:p>
        </w:tc>
      </w:tr>
    </w:tbl>
    <w:p w14:paraId="0D0F8F63" w14:textId="77777777" w:rsidR="0093470E" w:rsidRPr="00E16853" w:rsidRDefault="0093470E" w:rsidP="0093470E"/>
    <w:p w14:paraId="28FC9073" w14:textId="4294B4F3" w:rsidR="00BA43AC" w:rsidRDefault="00FD3A7E" w:rsidP="00E45653">
      <w:r>
        <w:t>S</w:t>
      </w:r>
      <w:r w:rsidRPr="00051930">
        <w:t xml:space="preserve">even </w:t>
      </w:r>
      <w:r w:rsidR="0093470E" w:rsidRPr="00051930">
        <w:t>representatives consented to participate in an interview</w:t>
      </w:r>
      <w:r>
        <w:t xml:space="preserve">. They </w:t>
      </w:r>
      <w:r w:rsidR="00BA43AC">
        <w:t>were asked to comment on the following in relation to the research and evidence institution they work in:</w:t>
      </w:r>
    </w:p>
    <w:p w14:paraId="7C3E4A30" w14:textId="7C2BC97E" w:rsidR="00BA43AC" w:rsidRPr="00985AF6" w:rsidRDefault="00663919" w:rsidP="00985AF6">
      <w:pPr>
        <w:pStyle w:val="NoSpacing"/>
        <w:numPr>
          <w:ilvl w:val="0"/>
          <w:numId w:val="49"/>
        </w:numPr>
        <w:rPr>
          <w:lang w:val="en-US"/>
        </w:rPr>
      </w:pPr>
      <w:r>
        <w:rPr>
          <w:lang w:val="en-US"/>
        </w:rPr>
        <w:t>M</w:t>
      </w:r>
      <w:r w:rsidR="00BA43AC" w:rsidRPr="00985AF6">
        <w:rPr>
          <w:lang w:val="en-US"/>
        </w:rPr>
        <w:t>ission and purpose;</w:t>
      </w:r>
    </w:p>
    <w:p w14:paraId="7CB11F66" w14:textId="36DDE721" w:rsidR="00BA43AC" w:rsidRPr="00985AF6" w:rsidRDefault="00663919" w:rsidP="00985AF6">
      <w:pPr>
        <w:pStyle w:val="NoSpacing"/>
        <w:numPr>
          <w:ilvl w:val="0"/>
          <w:numId w:val="49"/>
        </w:numPr>
        <w:rPr>
          <w:lang w:val="en-US"/>
        </w:rPr>
      </w:pPr>
      <w:r>
        <w:rPr>
          <w:lang w:val="en-US"/>
        </w:rPr>
        <w:t>G</w:t>
      </w:r>
      <w:r w:rsidR="0093470E" w:rsidRPr="00985AF6">
        <w:rPr>
          <w:lang w:val="en-US"/>
        </w:rPr>
        <w:t>overnanc</w:t>
      </w:r>
      <w:r w:rsidR="00BA43AC" w:rsidRPr="00985AF6">
        <w:rPr>
          <w:lang w:val="en-US"/>
        </w:rPr>
        <w:t>e, functions, and functionality;</w:t>
      </w:r>
    </w:p>
    <w:p w14:paraId="320E97F2" w14:textId="79F8A1D8" w:rsidR="00BA43AC" w:rsidRPr="00985AF6" w:rsidRDefault="00663919" w:rsidP="00985AF6">
      <w:pPr>
        <w:pStyle w:val="NoSpacing"/>
        <w:numPr>
          <w:ilvl w:val="0"/>
          <w:numId w:val="49"/>
        </w:numPr>
        <w:rPr>
          <w:lang w:val="en-US"/>
        </w:rPr>
      </w:pPr>
      <w:r>
        <w:rPr>
          <w:lang w:val="en-US"/>
        </w:rPr>
        <w:t>A</w:t>
      </w:r>
      <w:r w:rsidR="0093470E" w:rsidRPr="00985AF6">
        <w:rPr>
          <w:lang w:val="en-US"/>
        </w:rPr>
        <w:t xml:space="preserve">pproach to grading evidence and </w:t>
      </w:r>
      <w:r w:rsidR="00BA43AC" w:rsidRPr="00985AF6">
        <w:rPr>
          <w:lang w:val="en-US"/>
        </w:rPr>
        <w:t>evidence synthesis;</w:t>
      </w:r>
    </w:p>
    <w:p w14:paraId="74E7FD8C" w14:textId="5265D8E6" w:rsidR="00BA43AC" w:rsidRPr="00985AF6" w:rsidRDefault="00663919" w:rsidP="00985AF6">
      <w:pPr>
        <w:pStyle w:val="NoSpacing"/>
        <w:numPr>
          <w:ilvl w:val="0"/>
          <w:numId w:val="49"/>
        </w:numPr>
        <w:rPr>
          <w:lang w:val="en-US"/>
        </w:rPr>
      </w:pPr>
      <w:r>
        <w:rPr>
          <w:lang w:val="en-US"/>
        </w:rPr>
        <w:t>P</w:t>
      </w:r>
      <w:r w:rsidR="0093470E" w:rsidRPr="00985AF6">
        <w:rPr>
          <w:lang w:val="en-US"/>
        </w:rPr>
        <w:t xml:space="preserve">latforms </w:t>
      </w:r>
      <w:r w:rsidR="00BA43AC" w:rsidRPr="00985AF6">
        <w:rPr>
          <w:lang w:val="en-US"/>
        </w:rPr>
        <w:t>for knowledge dissemination; and</w:t>
      </w:r>
    </w:p>
    <w:p w14:paraId="02F6CD83" w14:textId="283ECC18" w:rsidR="00BA43AC" w:rsidRPr="00985AF6" w:rsidRDefault="00663919" w:rsidP="00985AF6">
      <w:pPr>
        <w:pStyle w:val="NoSpacing"/>
        <w:numPr>
          <w:ilvl w:val="0"/>
          <w:numId w:val="49"/>
        </w:numPr>
        <w:spacing w:after="240"/>
        <w:rPr>
          <w:lang w:val="en-US"/>
        </w:rPr>
      </w:pPr>
      <w:r>
        <w:rPr>
          <w:lang w:val="en-US"/>
        </w:rPr>
        <w:t>O</w:t>
      </w:r>
      <w:r w:rsidR="0093470E" w:rsidRPr="00985AF6">
        <w:rPr>
          <w:lang w:val="en-US"/>
        </w:rPr>
        <w:t xml:space="preserve">ther approaches used to support knowledge translation and </w:t>
      </w:r>
      <w:proofErr w:type="spellStart"/>
      <w:r w:rsidR="0093470E" w:rsidRPr="00985AF6">
        <w:rPr>
          <w:lang w:val="en-US"/>
        </w:rPr>
        <w:t>mobilisation</w:t>
      </w:r>
      <w:proofErr w:type="spellEnd"/>
      <w:r w:rsidR="0093470E" w:rsidRPr="00985AF6">
        <w:rPr>
          <w:lang w:val="en-US"/>
        </w:rPr>
        <w:t xml:space="preserve">. </w:t>
      </w:r>
    </w:p>
    <w:p w14:paraId="5136D290" w14:textId="31D69756" w:rsidR="0093470E" w:rsidRDefault="0093470E" w:rsidP="00E45653">
      <w:r w:rsidRPr="00051930">
        <w:lastRenderedPageBreak/>
        <w:t>Participants were also asked to reflect broadly on their perspectives of how EIP has progressed in their sector and on whether their expectation</w:t>
      </w:r>
      <w:r w:rsidR="00FD3A7E">
        <w:t>s</w:t>
      </w:r>
      <w:r w:rsidRPr="00051930">
        <w:t xml:space="preserve"> of an evidence</w:t>
      </w:r>
      <w:r>
        <w:t>-</w:t>
      </w:r>
      <w:r w:rsidRPr="00051930">
        <w:t>based approach to education practice and policy development has changed over time. The data gathered from the audio-recorded interviews was collated and the interview notes were analysed to identify common themes using the general inductive approach</w:t>
      </w:r>
      <w:r w:rsidR="00BA532C">
        <w:t xml:space="preserve"> </w:t>
      </w:r>
      <w:r w:rsidR="00BA532C">
        <w:fldChar w:fldCharType="begin" w:fldLock="1"/>
      </w:r>
      <w:r w:rsidR="00BA532C">
        <w:instrText>ADDIN CSL_CITATION { "citationItems" : [ { "id" : "ITEM-1", "itemData" : { "author" : [ { "dropping-particle" : "", "family" : "Thomas", "given" : "D.", "non-dropping-particle" : "", "parse-names" : false, "suffix" : "" } ], "container-title" : "American Journal of Evaluation", "id" : "ITEM-1", "issue" : "2", "issued" : { "date-parts" : [ [ "2006" ] ] }, "title" : "A General Inductive Approach for Analyzing Qualitative Data", "type" : "article-journal", "volume" : "27" }, "uris" : [ "http://www.mendeley.com/documents/?uuid=3094b963-a5a5-4a57-9d78-bb761fb4e801" ] } ], "mendeley" : { "formattedCitation" : "(Thomas, 2006)", "plainTextFormattedCitation" : "(Thomas, 2006)", "previouslyFormattedCitation" : "(Thomas, 2006)" }, "properties" : {  }, "schema" : "https://github.com/citation-style-language/schema/raw/master/csl-citation.json" }</w:instrText>
      </w:r>
      <w:r w:rsidR="00BA532C">
        <w:fldChar w:fldCharType="separate"/>
      </w:r>
      <w:r w:rsidR="00BA532C" w:rsidRPr="00BA532C">
        <w:rPr>
          <w:noProof/>
        </w:rPr>
        <w:t>(Thomas, 2006)</w:t>
      </w:r>
      <w:r w:rsidR="00BA532C">
        <w:fldChar w:fldCharType="end"/>
      </w:r>
      <w:r w:rsidRPr="00051930">
        <w:t xml:space="preserve">. This required multiple re-readings of interview notes to identify common perspectives across the interviewees. </w:t>
      </w:r>
    </w:p>
    <w:p w14:paraId="3F38AC17" w14:textId="7D57B7E6" w:rsidR="00086A92" w:rsidRDefault="00BD543B" w:rsidP="00EC3DE6">
      <w:r>
        <w:t>This document presents a model for an evidenc</w:t>
      </w:r>
      <w:r w:rsidR="00731DBC">
        <w:t>e informed policy and practice. I</w:t>
      </w:r>
      <w:r>
        <w:t>n the spirit of a backward design</w:t>
      </w:r>
      <w:r w:rsidR="00731DBC">
        <w:t>,</w:t>
      </w:r>
      <w:r>
        <w:t xml:space="preserve"> the literature su</w:t>
      </w:r>
      <w:r w:rsidR="00731DBC">
        <w:t>pporting the recommendations is</w:t>
      </w:r>
      <w:r>
        <w:t xml:space="preserve"> presented in a structure tha</w:t>
      </w:r>
      <w:r w:rsidR="00927F16">
        <w:t>t follows the functions of the</w:t>
      </w:r>
      <w:r>
        <w:t xml:space="preserve"> evidence into action model.</w:t>
      </w:r>
    </w:p>
    <w:p w14:paraId="7C2ECDA9" w14:textId="77777777" w:rsidR="00DA7D2D" w:rsidRPr="00DA7D2D" w:rsidRDefault="00C02F5E" w:rsidP="00EC3DE6">
      <w:pPr>
        <w:pStyle w:val="NumberedHeading1"/>
        <w:ind w:left="700" w:hanging="700"/>
      </w:pPr>
      <w:bookmarkStart w:id="33" w:name="_Toc509950624"/>
      <w:r>
        <w:t>The m</w:t>
      </w:r>
      <w:r w:rsidR="00DA7D2D">
        <w:t xml:space="preserve">odel </w:t>
      </w:r>
      <w:r>
        <w:t>i</w:t>
      </w:r>
      <w:r w:rsidR="00DA7D2D">
        <w:t>nstitution that supports</w:t>
      </w:r>
      <w:r>
        <w:t xml:space="preserve"> evidence-informed policy and p</w:t>
      </w:r>
      <w:r w:rsidR="00DA7D2D" w:rsidRPr="00DA7D2D">
        <w:t>ractice</w:t>
      </w:r>
      <w:bookmarkEnd w:id="33"/>
    </w:p>
    <w:p w14:paraId="2A94CE66" w14:textId="71CDE849" w:rsidR="00DA7D2D" w:rsidRDefault="00DF7B1D" w:rsidP="00DA7D2D">
      <w:pPr>
        <w:rPr>
          <w:szCs w:val="20"/>
        </w:rPr>
      </w:pPr>
      <w:r>
        <w:rPr>
          <w:szCs w:val="20"/>
        </w:rPr>
        <w:t>A</w:t>
      </w:r>
      <w:r w:rsidRPr="00DA7D2D">
        <w:rPr>
          <w:szCs w:val="20"/>
        </w:rPr>
        <w:t xml:space="preserve"> model of an institution that supports evidence-informed policy and practice in education has been developed and is illustrated in this section</w:t>
      </w:r>
      <w:r w:rsidR="009C06EA">
        <w:rPr>
          <w:szCs w:val="20"/>
        </w:rPr>
        <w:t>.</w:t>
      </w:r>
      <w:r>
        <w:rPr>
          <w:szCs w:val="20"/>
        </w:rPr>
        <w:t xml:space="preserve"> </w:t>
      </w:r>
      <w:r w:rsidR="00DA7D2D" w:rsidRPr="00DA7D2D">
        <w:rPr>
          <w:szCs w:val="20"/>
        </w:rPr>
        <w:t xml:space="preserve">While education is the focus of the </w:t>
      </w:r>
      <w:r w:rsidR="00922707">
        <w:rPr>
          <w:szCs w:val="20"/>
        </w:rPr>
        <w:t>rapid synthesis</w:t>
      </w:r>
      <w:r w:rsidR="00DA7D2D" w:rsidRPr="00DA7D2D">
        <w:rPr>
          <w:szCs w:val="20"/>
        </w:rPr>
        <w:t>, there is much to be learned from the development and operations of institutions that support evidence-informed policy and practice in other sectors</w:t>
      </w:r>
      <w:r w:rsidR="009C06EA">
        <w:rPr>
          <w:szCs w:val="20"/>
        </w:rPr>
        <w:t>,</w:t>
      </w:r>
      <w:r w:rsidR="00DA7D2D" w:rsidRPr="00DA7D2D">
        <w:rPr>
          <w:szCs w:val="20"/>
        </w:rPr>
        <w:t xml:space="preserve"> including health. </w:t>
      </w:r>
      <w:r w:rsidR="00922707">
        <w:rPr>
          <w:szCs w:val="20"/>
        </w:rPr>
        <w:t xml:space="preserve">A series of accompanying recommendations have also been developed based on the findings of the rapid synthesis, outlined in the next section, and a consideration of the </w:t>
      </w:r>
      <w:r w:rsidR="00DA7D2D" w:rsidRPr="00DA7D2D">
        <w:rPr>
          <w:szCs w:val="20"/>
        </w:rPr>
        <w:t xml:space="preserve">Australian education policy context. </w:t>
      </w:r>
      <w:r>
        <w:rPr>
          <w:szCs w:val="20"/>
        </w:rPr>
        <w:t>This section begins with a</w:t>
      </w:r>
      <w:r w:rsidR="005A0C9B">
        <w:rPr>
          <w:szCs w:val="20"/>
        </w:rPr>
        <w:t>n overview of a</w:t>
      </w:r>
      <w:r>
        <w:rPr>
          <w:szCs w:val="20"/>
        </w:rPr>
        <w:t xml:space="preserve"> proposed model to </w:t>
      </w:r>
      <w:r w:rsidRPr="00DF7B1D">
        <w:rPr>
          <w:szCs w:val="20"/>
        </w:rPr>
        <w:t>foster</w:t>
      </w:r>
      <w:r w:rsidR="00731DBC">
        <w:rPr>
          <w:szCs w:val="20"/>
        </w:rPr>
        <w:t xml:space="preserve"> evidence into action and</w:t>
      </w:r>
      <w:r>
        <w:rPr>
          <w:szCs w:val="20"/>
        </w:rPr>
        <w:t xml:space="preserve"> a summary of information gathered in the process </w:t>
      </w:r>
      <w:r w:rsidR="005A0C9B">
        <w:rPr>
          <w:szCs w:val="20"/>
        </w:rPr>
        <w:t xml:space="preserve">of </w:t>
      </w:r>
      <w:r>
        <w:rPr>
          <w:szCs w:val="20"/>
        </w:rPr>
        <w:t>conducting the rapid synthesis</w:t>
      </w:r>
      <w:r w:rsidR="005A0C9B">
        <w:rPr>
          <w:szCs w:val="20"/>
        </w:rPr>
        <w:t xml:space="preserve"> follows</w:t>
      </w:r>
      <w:r>
        <w:rPr>
          <w:szCs w:val="20"/>
        </w:rPr>
        <w:t xml:space="preserve">. Information is </w:t>
      </w:r>
      <w:r w:rsidR="009C06EA">
        <w:rPr>
          <w:szCs w:val="20"/>
        </w:rPr>
        <w:t>presented in</w:t>
      </w:r>
      <w:r w:rsidR="00731DBC">
        <w:rPr>
          <w:szCs w:val="20"/>
        </w:rPr>
        <w:t xml:space="preserve"> alignment with</w:t>
      </w:r>
      <w:r w:rsidR="005A0C9B">
        <w:rPr>
          <w:szCs w:val="20"/>
        </w:rPr>
        <w:t xml:space="preserve"> the model.</w:t>
      </w:r>
    </w:p>
    <w:p w14:paraId="29BED83A" w14:textId="0A5FF32F" w:rsidR="00922707" w:rsidRPr="00DA7D2D" w:rsidRDefault="00C02F5E" w:rsidP="00922707">
      <w:pPr>
        <w:pStyle w:val="NumberedHeading2"/>
        <w:rPr>
          <w:sz w:val="20"/>
        </w:rPr>
      </w:pPr>
      <w:bookmarkStart w:id="34" w:name="_Toc509950625"/>
      <w:r>
        <w:t>The Evidence into Act</w:t>
      </w:r>
      <w:r w:rsidR="00731DBC">
        <w:t>ion M</w:t>
      </w:r>
      <w:r w:rsidR="00922707">
        <w:t>odel</w:t>
      </w:r>
      <w:bookmarkEnd w:id="34"/>
    </w:p>
    <w:p w14:paraId="1979F341" w14:textId="4A784823" w:rsidR="00922707" w:rsidRPr="00DA7D2D" w:rsidRDefault="00922707" w:rsidP="00A14700">
      <w:pPr>
        <w:spacing w:after="0"/>
        <w:rPr>
          <w:szCs w:val="20"/>
        </w:rPr>
      </w:pPr>
      <w:r w:rsidRPr="00DA7D2D">
        <w:rPr>
          <w:szCs w:val="20"/>
        </w:rPr>
        <w:t xml:space="preserve">The rapid </w:t>
      </w:r>
      <w:r>
        <w:rPr>
          <w:szCs w:val="20"/>
        </w:rPr>
        <w:t>synthesis</w:t>
      </w:r>
      <w:r w:rsidRPr="00DA7D2D">
        <w:rPr>
          <w:szCs w:val="20"/>
        </w:rPr>
        <w:t xml:space="preserve"> of the evidence points to several dimensions that appear to enable the successful establishment of an evidence-based organisation. The following mod</w:t>
      </w:r>
      <w:r>
        <w:rPr>
          <w:szCs w:val="20"/>
        </w:rPr>
        <w:t>el represents a collation of the</w:t>
      </w:r>
      <w:r w:rsidRPr="00DA7D2D">
        <w:rPr>
          <w:szCs w:val="20"/>
        </w:rPr>
        <w:t>se dimensions.</w:t>
      </w:r>
      <w:r w:rsidR="00D33F37">
        <w:rPr>
          <w:szCs w:val="20"/>
        </w:rPr>
        <w:t xml:space="preserve"> Further, it demonstrates the establishment of a utilisation focussed institution.</w:t>
      </w:r>
    </w:p>
    <w:p w14:paraId="7675B158" w14:textId="24EFA2B9" w:rsidR="00922707" w:rsidRPr="00DA7D2D" w:rsidRDefault="00922707" w:rsidP="00922707">
      <w:pPr>
        <w:rPr>
          <w:szCs w:val="20"/>
        </w:rPr>
      </w:pPr>
    </w:p>
    <w:p w14:paraId="7835E9C9" w14:textId="4E5CB749" w:rsidR="00A266DD" w:rsidRDefault="00A266DD" w:rsidP="00813AA6">
      <w:pPr>
        <w:pStyle w:val="Normal0"/>
      </w:pPr>
      <w:bookmarkStart w:id="35" w:name="_Toc509848440"/>
      <w:bookmarkStart w:id="36" w:name="_Toc509950626"/>
      <w:bookmarkStart w:id="37" w:name="_Toc509951276"/>
      <w:r>
        <w:rPr>
          <w:noProof/>
          <w:lang w:val="en-US"/>
        </w:rPr>
        <w:drawing>
          <wp:inline distT="0" distB="0" distL="0" distR="0" wp14:anchorId="755315C4" wp14:editId="4FB8302E">
            <wp:extent cx="5715000" cy="2807402"/>
            <wp:effectExtent l="0" t="0" r="0" b="0"/>
            <wp:docPr id="4" name="Picture 4" descr="This figure provides an overview of the Evidence into Action model. It shows the four functions of the institute: generate and source; synthesis; knowledge management; and utilisation. It also identifies a set of proposed key research areas, being theory, practice, implementation and scale; and the beneficiaries of its work, being researchers, practitioners, policy makers and comment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571" cy="2813577"/>
                    </a:xfrm>
                    <a:prstGeom prst="rect">
                      <a:avLst/>
                    </a:prstGeom>
                    <a:noFill/>
                  </pic:spPr>
                </pic:pic>
              </a:graphicData>
            </a:graphic>
          </wp:inline>
        </w:drawing>
      </w:r>
    </w:p>
    <w:p w14:paraId="1C2167AB" w14:textId="0C2874B6" w:rsidR="00922707" w:rsidRDefault="00922707" w:rsidP="00813AA6">
      <w:pPr>
        <w:pStyle w:val="CaptionFig"/>
        <w:rPr>
          <w:i/>
          <w:szCs w:val="20"/>
        </w:rPr>
      </w:pPr>
      <w:r>
        <w:t xml:space="preserve">Figure </w:t>
      </w:r>
      <w:fldSimple w:instr=" SEQ Figure \* ARABIC ">
        <w:r w:rsidR="004240AA">
          <w:rPr>
            <w:noProof/>
          </w:rPr>
          <w:t>3</w:t>
        </w:r>
      </w:fldSimple>
      <w:r>
        <w:t xml:space="preserve">: Evidence into Action </w:t>
      </w:r>
      <w:r w:rsidR="00663919">
        <w:t>M</w:t>
      </w:r>
      <w:r>
        <w:t>odel</w:t>
      </w:r>
      <w:bookmarkEnd w:id="35"/>
      <w:bookmarkEnd w:id="36"/>
      <w:bookmarkEnd w:id="37"/>
    </w:p>
    <w:p w14:paraId="51A07E62" w14:textId="1B7BE4EF" w:rsidR="00725D4E" w:rsidRPr="00550723" w:rsidRDefault="00922707" w:rsidP="00725D4E">
      <w:pPr>
        <w:rPr>
          <w:rFonts w:eastAsia="Times New Roman" w:cs="Times New Roman"/>
          <w:color w:val="000000"/>
          <w:szCs w:val="20"/>
          <w:lang w:eastAsia="en-US"/>
        </w:rPr>
      </w:pPr>
      <w:r w:rsidRPr="00DA7D2D">
        <w:rPr>
          <w:szCs w:val="20"/>
        </w:rPr>
        <w:t xml:space="preserve">There are </w:t>
      </w:r>
      <w:r w:rsidR="005F186A" w:rsidRPr="00DA7D2D">
        <w:rPr>
          <w:szCs w:val="20"/>
        </w:rPr>
        <w:t>several</w:t>
      </w:r>
      <w:r w:rsidRPr="00DA7D2D">
        <w:rPr>
          <w:szCs w:val="20"/>
        </w:rPr>
        <w:t xml:space="preserve"> assumptions </w:t>
      </w:r>
      <w:r w:rsidR="00731DBC">
        <w:rPr>
          <w:szCs w:val="20"/>
        </w:rPr>
        <w:t>underpinning the suggested model and it utilises</w:t>
      </w:r>
      <w:r w:rsidRPr="00DA7D2D">
        <w:rPr>
          <w:szCs w:val="20"/>
        </w:rPr>
        <w:t xml:space="preserve"> a collation of the proposed success criteria for the establishment of an evidence-based institution. </w:t>
      </w:r>
      <w:r w:rsidR="005A0C9B">
        <w:rPr>
          <w:szCs w:val="20"/>
        </w:rPr>
        <w:t>At its core</w:t>
      </w:r>
      <w:r w:rsidR="00663919">
        <w:rPr>
          <w:szCs w:val="20"/>
        </w:rPr>
        <w:t>,</w:t>
      </w:r>
      <w:r w:rsidR="005A0C9B">
        <w:rPr>
          <w:szCs w:val="20"/>
        </w:rPr>
        <w:t xml:space="preserve"> </w:t>
      </w:r>
      <w:r w:rsidRPr="00DA7D2D">
        <w:rPr>
          <w:szCs w:val="20"/>
        </w:rPr>
        <w:t>the institution needs to be a principl</w:t>
      </w:r>
      <w:r w:rsidR="00E46BFE">
        <w:rPr>
          <w:szCs w:val="20"/>
        </w:rPr>
        <w:t>e</w:t>
      </w:r>
      <w:r w:rsidRPr="00DA7D2D">
        <w:rPr>
          <w:szCs w:val="20"/>
        </w:rPr>
        <w:t>-based organisation, transparent in its agenda</w:t>
      </w:r>
      <w:r w:rsidR="005A0C9B">
        <w:rPr>
          <w:szCs w:val="20"/>
        </w:rPr>
        <w:t xml:space="preserve"> while </w:t>
      </w:r>
      <w:r w:rsidRPr="00DA7D2D">
        <w:rPr>
          <w:szCs w:val="20"/>
        </w:rPr>
        <w:t xml:space="preserve">communication with all stakeholders is viewed as essential. The institution needs to have clearly delineated goals (vision) as well as plans for implementation and sustainability that </w:t>
      </w:r>
      <w:r w:rsidR="00E46BFE">
        <w:rPr>
          <w:szCs w:val="20"/>
        </w:rPr>
        <w:t>are</w:t>
      </w:r>
      <w:r w:rsidRPr="00DA7D2D">
        <w:rPr>
          <w:szCs w:val="20"/>
        </w:rPr>
        <w:t xml:space="preserve"> solely focused on the education sector. Furthermore, the institution must be relevant to the culture, context and </w:t>
      </w:r>
      <w:r w:rsidR="00E46BFE">
        <w:rPr>
          <w:szCs w:val="20"/>
        </w:rPr>
        <w:t>the</w:t>
      </w:r>
      <w:r w:rsidRPr="00DA7D2D">
        <w:rPr>
          <w:szCs w:val="20"/>
        </w:rPr>
        <w:t xml:space="preserve"> Australian worldview.</w:t>
      </w:r>
      <w:r w:rsidR="00BD543B">
        <w:rPr>
          <w:szCs w:val="20"/>
        </w:rPr>
        <w:t xml:space="preserve"> With this vision in mind</w:t>
      </w:r>
      <w:r w:rsidR="009C06EA">
        <w:rPr>
          <w:szCs w:val="20"/>
        </w:rPr>
        <w:t>,</w:t>
      </w:r>
      <w:r w:rsidR="00BD543B">
        <w:rPr>
          <w:szCs w:val="20"/>
        </w:rPr>
        <w:t xml:space="preserve"> the mod</w:t>
      </w:r>
      <w:r w:rsidR="00037283">
        <w:rPr>
          <w:szCs w:val="20"/>
        </w:rPr>
        <w:t xml:space="preserve">el is </w:t>
      </w:r>
      <w:r w:rsidR="00037283" w:rsidRPr="009C06EA">
        <w:rPr>
          <w:szCs w:val="20"/>
        </w:rPr>
        <w:t>also highlighted as utilis</w:t>
      </w:r>
      <w:r w:rsidR="00BD543B" w:rsidRPr="009C06EA">
        <w:rPr>
          <w:szCs w:val="20"/>
        </w:rPr>
        <w:t xml:space="preserve">ation focused and specifically </w:t>
      </w:r>
      <w:r w:rsidR="00037283" w:rsidRPr="009C06EA">
        <w:rPr>
          <w:szCs w:val="20"/>
        </w:rPr>
        <w:t>concentrates</w:t>
      </w:r>
      <w:r w:rsidR="00BD543B" w:rsidRPr="009C06EA">
        <w:rPr>
          <w:szCs w:val="20"/>
        </w:rPr>
        <w:t xml:space="preserve"> on the needs of the</w:t>
      </w:r>
      <w:r w:rsidR="00037283" w:rsidRPr="009C06EA">
        <w:rPr>
          <w:szCs w:val="20"/>
        </w:rPr>
        <w:t xml:space="preserve"> end users or the </w:t>
      </w:r>
      <w:r w:rsidR="00037283" w:rsidRPr="009C06EA">
        <w:rPr>
          <w:szCs w:val="20"/>
        </w:rPr>
        <w:lastRenderedPageBreak/>
        <w:t>beneficiaries.</w:t>
      </w:r>
      <w:r w:rsidR="00BD543B" w:rsidRPr="009C06EA">
        <w:rPr>
          <w:szCs w:val="20"/>
        </w:rPr>
        <w:t xml:space="preserve"> </w:t>
      </w:r>
      <w:r w:rsidR="00725D4E" w:rsidRPr="00550723">
        <w:rPr>
          <w:rFonts w:eastAsia="Times New Roman" w:cs="Times New Roman"/>
          <w:color w:val="000000"/>
          <w:szCs w:val="20"/>
          <w:lang w:eastAsia="en-US"/>
        </w:rPr>
        <w:t>It is apparent from the review</w:t>
      </w:r>
      <w:r w:rsidR="00731DBC">
        <w:rPr>
          <w:rFonts w:eastAsia="Times New Roman" w:cs="Times New Roman"/>
          <w:color w:val="000000"/>
          <w:szCs w:val="20"/>
          <w:lang w:eastAsia="en-US"/>
        </w:rPr>
        <w:t xml:space="preserve"> that</w:t>
      </w:r>
      <w:r w:rsidR="00BA4BF1" w:rsidRPr="00550723">
        <w:rPr>
          <w:rFonts w:eastAsia="Times New Roman" w:cs="Times New Roman"/>
          <w:color w:val="000000"/>
          <w:szCs w:val="20"/>
          <w:lang w:eastAsia="en-US"/>
        </w:rPr>
        <w:t xml:space="preserve"> ensuring evidence informed practice is a complex order and </w:t>
      </w:r>
      <w:r w:rsidR="00725D4E" w:rsidRPr="00550723">
        <w:rPr>
          <w:rFonts w:eastAsia="Times New Roman" w:cs="Times New Roman"/>
          <w:color w:val="000000"/>
          <w:szCs w:val="20"/>
          <w:lang w:eastAsia="en-US"/>
        </w:rPr>
        <w:t>there is a tendency to conflate information and knowledge</w:t>
      </w:r>
      <w:r w:rsidR="00BA4BF1" w:rsidRPr="00550723">
        <w:rPr>
          <w:rFonts w:eastAsia="Times New Roman" w:cs="Times New Roman"/>
          <w:color w:val="000000"/>
          <w:szCs w:val="20"/>
          <w:lang w:eastAsia="en-US"/>
        </w:rPr>
        <w:t>.</w:t>
      </w:r>
      <w:r w:rsidR="00725D4E" w:rsidRPr="00550723">
        <w:rPr>
          <w:rFonts w:eastAsia="Times New Roman" w:cs="Times New Roman"/>
          <w:color w:val="000000"/>
          <w:szCs w:val="20"/>
          <w:lang w:eastAsia="en-US"/>
        </w:rPr>
        <w:t xml:space="preserve"> </w:t>
      </w:r>
      <w:r w:rsidR="00BA4BF1" w:rsidRPr="00550723">
        <w:rPr>
          <w:rFonts w:eastAsia="Times New Roman" w:cs="Times New Roman"/>
          <w:color w:val="000000"/>
          <w:szCs w:val="20"/>
          <w:lang w:eastAsia="en-US"/>
        </w:rPr>
        <w:t>Consequently,</w:t>
      </w:r>
      <w:r w:rsidR="00725D4E" w:rsidRPr="00550723">
        <w:rPr>
          <w:rFonts w:eastAsia="Times New Roman" w:cs="Times New Roman"/>
          <w:color w:val="000000"/>
          <w:szCs w:val="20"/>
          <w:lang w:eastAsia="en-US"/>
        </w:rPr>
        <w:t xml:space="preserve"> </w:t>
      </w:r>
      <w:r w:rsidR="00BA4BF1" w:rsidRPr="00550723">
        <w:rPr>
          <w:rFonts w:eastAsia="Times New Roman" w:cs="Times New Roman"/>
          <w:color w:val="000000"/>
          <w:szCs w:val="20"/>
          <w:lang w:eastAsia="en-US"/>
        </w:rPr>
        <w:t>we have come to understand that there is a part of this proce</w:t>
      </w:r>
      <w:r w:rsidR="00B5448F">
        <w:rPr>
          <w:rFonts w:eastAsia="Times New Roman" w:cs="Times New Roman"/>
          <w:color w:val="000000"/>
          <w:szCs w:val="20"/>
          <w:lang w:eastAsia="en-US"/>
        </w:rPr>
        <w:t>ss that needs further attention. P</w:t>
      </w:r>
      <w:r w:rsidR="00BA4BF1" w:rsidRPr="00550723">
        <w:rPr>
          <w:rFonts w:eastAsia="Times New Roman" w:cs="Times New Roman"/>
          <w:color w:val="000000"/>
          <w:szCs w:val="20"/>
          <w:lang w:eastAsia="en-US"/>
        </w:rPr>
        <w:t xml:space="preserve">ut simply, </w:t>
      </w:r>
      <w:r w:rsidR="00725D4E" w:rsidRPr="00550723">
        <w:rPr>
          <w:rFonts w:eastAsia="Times New Roman" w:cs="Times New Roman"/>
          <w:color w:val="000000"/>
          <w:szCs w:val="20"/>
          <w:lang w:eastAsia="en-US"/>
        </w:rPr>
        <w:t xml:space="preserve">information </w:t>
      </w:r>
      <w:r w:rsidR="00BA4BF1" w:rsidRPr="00550723">
        <w:rPr>
          <w:rFonts w:eastAsia="Times New Roman" w:cs="Times New Roman"/>
          <w:color w:val="000000"/>
          <w:szCs w:val="20"/>
          <w:lang w:eastAsia="en-US"/>
        </w:rPr>
        <w:t>that is received by</w:t>
      </w:r>
      <w:r w:rsidR="00725D4E" w:rsidRPr="00550723">
        <w:rPr>
          <w:rFonts w:eastAsia="Times New Roman" w:cs="Times New Roman"/>
          <w:color w:val="000000"/>
          <w:szCs w:val="20"/>
          <w:lang w:eastAsia="en-US"/>
        </w:rPr>
        <w:t xml:space="preserve"> </w:t>
      </w:r>
      <w:r w:rsidR="00BA4BF1" w:rsidRPr="00550723">
        <w:rPr>
          <w:rFonts w:eastAsia="Times New Roman" w:cs="Times New Roman"/>
          <w:color w:val="000000"/>
          <w:szCs w:val="20"/>
          <w:lang w:eastAsia="en-US"/>
        </w:rPr>
        <w:t xml:space="preserve">a </w:t>
      </w:r>
      <w:r w:rsidR="00725D4E" w:rsidRPr="00550723">
        <w:rPr>
          <w:rFonts w:eastAsia="Times New Roman" w:cs="Times New Roman"/>
          <w:color w:val="000000"/>
          <w:szCs w:val="20"/>
          <w:lang w:eastAsia="en-US"/>
        </w:rPr>
        <w:t xml:space="preserve">recipient </w:t>
      </w:r>
      <w:r w:rsidR="00BA4BF1" w:rsidRPr="00550723">
        <w:rPr>
          <w:rFonts w:eastAsia="Times New Roman" w:cs="Times New Roman"/>
          <w:color w:val="000000"/>
          <w:szCs w:val="20"/>
          <w:lang w:eastAsia="en-US"/>
        </w:rPr>
        <w:t>must</w:t>
      </w:r>
      <w:r w:rsidR="00725D4E" w:rsidRPr="00550723">
        <w:rPr>
          <w:rFonts w:eastAsia="Times New Roman" w:cs="Times New Roman"/>
          <w:color w:val="000000"/>
          <w:szCs w:val="20"/>
          <w:lang w:eastAsia="en-US"/>
        </w:rPr>
        <w:t xml:space="preserve"> become known</w:t>
      </w:r>
      <w:r w:rsidR="00BA4BF1" w:rsidRPr="00550723">
        <w:rPr>
          <w:rFonts w:eastAsia="Times New Roman" w:cs="Times New Roman"/>
          <w:color w:val="000000"/>
          <w:szCs w:val="20"/>
          <w:lang w:eastAsia="en-US"/>
        </w:rPr>
        <w:t xml:space="preserve"> to ensure use.</w:t>
      </w:r>
      <w:r w:rsidR="00725D4E" w:rsidRPr="00550723">
        <w:rPr>
          <w:rFonts w:eastAsia="Times New Roman" w:cs="Times New Roman"/>
          <w:color w:val="000000"/>
          <w:szCs w:val="20"/>
          <w:lang w:eastAsia="en-US"/>
        </w:rPr>
        <w:t xml:space="preserve"> </w:t>
      </w:r>
    </w:p>
    <w:p w14:paraId="151D4C12" w14:textId="33F35BA4" w:rsidR="00725D4E" w:rsidRPr="00550723" w:rsidRDefault="00B5448F" w:rsidP="00725D4E">
      <w:pPr>
        <w:spacing w:after="0" w:line="240" w:lineRule="auto"/>
        <w:rPr>
          <w:rFonts w:eastAsia="Times New Roman" w:cs="Times New Roman"/>
          <w:color w:val="000000"/>
          <w:szCs w:val="20"/>
          <w:lang w:eastAsia="en-US"/>
        </w:rPr>
      </w:pPr>
      <w:r>
        <w:rPr>
          <w:rFonts w:eastAsia="Times New Roman" w:cs="Times New Roman"/>
          <w:color w:val="000000"/>
          <w:szCs w:val="20"/>
          <w:lang w:eastAsia="en-US"/>
        </w:rPr>
        <w:t>According to Dobbins</w:t>
      </w:r>
      <w:r w:rsidR="00BA4BF1" w:rsidRPr="00550723">
        <w:rPr>
          <w:rFonts w:eastAsia="Times New Roman" w:cs="Times New Roman"/>
          <w:color w:val="000000"/>
          <w:szCs w:val="20"/>
          <w:lang w:eastAsia="en-US"/>
        </w:rPr>
        <w:t xml:space="preserve"> (2010), </w:t>
      </w:r>
      <w:r w:rsidR="00725D4E" w:rsidRPr="00550723">
        <w:rPr>
          <w:rFonts w:eastAsia="Times New Roman" w:cs="Times New Roman"/>
          <w:color w:val="000000"/>
          <w:szCs w:val="20"/>
          <w:lang w:eastAsia="en-US"/>
        </w:rPr>
        <w:t>‘it is increasingly recognised that developing explicit knowledge technologies and systems to codify and share information is not enough, and more attention must be paid to the starring of tacit knowledge and to incorporate particular forms of knowledge from multiple sources.’</w:t>
      </w:r>
    </w:p>
    <w:p w14:paraId="29737BEC" w14:textId="77777777" w:rsidR="00BA4BF1" w:rsidRPr="00725D4E" w:rsidRDefault="00BA4BF1" w:rsidP="00725D4E">
      <w:pPr>
        <w:spacing w:after="0" w:line="240" w:lineRule="auto"/>
        <w:rPr>
          <w:rFonts w:ascii="Times New Roman" w:eastAsia="Times New Roman" w:hAnsi="Times New Roman" w:cs="Times New Roman"/>
          <w:color w:val="000000"/>
          <w:sz w:val="24"/>
          <w:szCs w:val="24"/>
          <w:lang w:eastAsia="en-US"/>
        </w:rPr>
      </w:pPr>
    </w:p>
    <w:p w14:paraId="1E425E6E" w14:textId="45A0CDFF" w:rsidR="00537AF4" w:rsidRPr="00537AF4" w:rsidRDefault="00037283" w:rsidP="00537AF4">
      <w:pPr>
        <w:rPr>
          <w:szCs w:val="20"/>
          <w:lang w:val="en-US"/>
        </w:rPr>
      </w:pPr>
      <w:r>
        <w:rPr>
          <w:szCs w:val="20"/>
        </w:rPr>
        <w:t xml:space="preserve">To facilitate this </w:t>
      </w:r>
      <w:r w:rsidR="00537AF4">
        <w:rPr>
          <w:szCs w:val="20"/>
        </w:rPr>
        <w:t>process,</w:t>
      </w:r>
      <w:r>
        <w:rPr>
          <w:szCs w:val="20"/>
        </w:rPr>
        <w:t xml:space="preserve"> the authors adopted a backward</w:t>
      </w:r>
      <w:r w:rsidR="00663919">
        <w:rPr>
          <w:szCs w:val="20"/>
        </w:rPr>
        <w:t xml:space="preserve"> </w:t>
      </w:r>
      <w:r>
        <w:rPr>
          <w:szCs w:val="20"/>
        </w:rPr>
        <w:t xml:space="preserve">design </w:t>
      </w:r>
      <w:r w:rsidRPr="00037283">
        <w:rPr>
          <w:szCs w:val="20"/>
        </w:rPr>
        <w:t>arch</w:t>
      </w:r>
      <w:r w:rsidR="00663919">
        <w:rPr>
          <w:szCs w:val="20"/>
        </w:rPr>
        <w:t>e</w:t>
      </w:r>
      <w:r w:rsidRPr="00037283">
        <w:rPr>
          <w:szCs w:val="20"/>
        </w:rPr>
        <w:t>type</w:t>
      </w:r>
      <w:r>
        <w:rPr>
          <w:szCs w:val="20"/>
        </w:rPr>
        <w:t>.</w:t>
      </w:r>
      <w:r w:rsidR="00537AF4" w:rsidRPr="00537AF4">
        <w:rPr>
          <w:rFonts w:ascii="Verdana" w:eastAsiaTheme="minorHAnsi" w:hAnsi="Verdana" w:cs="Verdana"/>
          <w:color w:val="000000"/>
          <w:sz w:val="22"/>
          <w:lang w:val="en-US" w:eastAsia="en-US"/>
        </w:rPr>
        <w:t xml:space="preserve"> </w:t>
      </w:r>
      <w:r w:rsidR="00537AF4" w:rsidRPr="00537AF4">
        <w:rPr>
          <w:szCs w:val="20"/>
          <w:lang w:val="en-US"/>
        </w:rPr>
        <w:t xml:space="preserve">‘Like other design professions, such as architecture, engineering, or graphic arts, designers in education must be mindful of </w:t>
      </w:r>
      <w:r w:rsidR="00C45C55">
        <w:rPr>
          <w:szCs w:val="20"/>
          <w:lang w:val="en-US"/>
        </w:rPr>
        <w:t xml:space="preserve">their audiences,’ (Wiggins &amp; </w:t>
      </w:r>
      <w:proofErr w:type="spellStart"/>
      <w:r w:rsidR="00C45C55">
        <w:rPr>
          <w:szCs w:val="20"/>
          <w:lang w:val="en-US"/>
        </w:rPr>
        <w:t>McTighe</w:t>
      </w:r>
      <w:proofErr w:type="spellEnd"/>
      <w:r w:rsidR="00B5448F">
        <w:rPr>
          <w:szCs w:val="20"/>
          <w:lang w:val="en-US"/>
        </w:rPr>
        <w:t xml:space="preserve"> </w:t>
      </w:r>
      <w:r w:rsidR="00C45C55">
        <w:rPr>
          <w:szCs w:val="20"/>
          <w:lang w:val="en-US"/>
        </w:rPr>
        <w:t xml:space="preserve">2011). </w:t>
      </w:r>
      <w:r w:rsidR="00C45C55" w:rsidRPr="00537AF4">
        <w:rPr>
          <w:szCs w:val="20"/>
          <w:lang w:val="en-US"/>
        </w:rPr>
        <w:t>Educators are</w:t>
      </w:r>
      <w:r w:rsidR="00537AF4" w:rsidRPr="00537AF4">
        <w:rPr>
          <w:szCs w:val="20"/>
          <w:lang w:val="en-US"/>
        </w:rPr>
        <w:t xml:space="preserve"> in essence designers, they consider the needs of their students and develop curriculum and learning experiences to meet specified purposes. Similarly, assessment</w:t>
      </w:r>
      <w:r w:rsidR="00C45C55">
        <w:rPr>
          <w:szCs w:val="20"/>
          <w:lang w:val="en-US"/>
        </w:rPr>
        <w:t>s</w:t>
      </w:r>
      <w:r w:rsidR="00537AF4" w:rsidRPr="00537AF4">
        <w:rPr>
          <w:szCs w:val="20"/>
          <w:lang w:val="en-US"/>
        </w:rPr>
        <w:t xml:space="preserve"> are put in place to determine whether these goals are met. Curriculum </w:t>
      </w:r>
      <w:r w:rsidR="00E81B42" w:rsidRPr="00537AF4">
        <w:rPr>
          <w:szCs w:val="20"/>
          <w:lang w:val="en-US"/>
        </w:rPr>
        <w:t xml:space="preserve">development </w:t>
      </w:r>
      <w:r w:rsidR="009C06EA">
        <w:rPr>
          <w:szCs w:val="20"/>
          <w:lang w:val="en-US"/>
        </w:rPr>
        <w:t>has often</w:t>
      </w:r>
      <w:r w:rsidR="00305D3C">
        <w:rPr>
          <w:szCs w:val="20"/>
          <w:lang w:val="en-US"/>
        </w:rPr>
        <w:t xml:space="preserve"> u</w:t>
      </w:r>
      <w:r w:rsidR="009C06EA">
        <w:rPr>
          <w:szCs w:val="20"/>
          <w:lang w:val="en-US"/>
        </w:rPr>
        <w:t>sed</w:t>
      </w:r>
      <w:r w:rsidR="00305D3C">
        <w:rPr>
          <w:szCs w:val="20"/>
          <w:lang w:val="en-US"/>
        </w:rPr>
        <w:t xml:space="preserve"> this approach and hence </w:t>
      </w:r>
      <w:r w:rsidR="00537AF4" w:rsidRPr="00537AF4">
        <w:rPr>
          <w:szCs w:val="20"/>
          <w:lang w:val="en-US"/>
        </w:rPr>
        <w:t>provides a useful example.</w:t>
      </w:r>
    </w:p>
    <w:p w14:paraId="133B9130" w14:textId="306CA42B" w:rsidR="009C06EA" w:rsidRDefault="00927F16" w:rsidP="00927F16">
      <w:pPr>
        <w:rPr>
          <w:szCs w:val="20"/>
          <w:lang w:val="en-US"/>
        </w:rPr>
      </w:pPr>
      <w:r w:rsidRPr="00537AF4">
        <w:rPr>
          <w:szCs w:val="20"/>
          <w:lang w:val="en-US"/>
        </w:rPr>
        <w:t>Backward design may be thought of as purposeful task analysis, i.e., given a specific desired goal to be accomplished</w:t>
      </w:r>
      <w:r w:rsidR="009C06EA">
        <w:rPr>
          <w:szCs w:val="20"/>
          <w:lang w:val="en-US"/>
        </w:rPr>
        <w:t>,</w:t>
      </w:r>
      <w:r w:rsidRPr="00537AF4">
        <w:rPr>
          <w:szCs w:val="20"/>
          <w:lang w:val="en-US"/>
        </w:rPr>
        <w:t xml:space="preserve"> an architecture needs to be developed. Wiggins</w:t>
      </w:r>
      <w:r>
        <w:rPr>
          <w:szCs w:val="20"/>
          <w:lang w:val="en-US"/>
        </w:rPr>
        <w:t xml:space="preserve"> &amp; </w:t>
      </w:r>
      <w:proofErr w:type="spellStart"/>
      <w:r>
        <w:rPr>
          <w:szCs w:val="20"/>
          <w:lang w:val="en-US"/>
        </w:rPr>
        <w:t>McTighe</w:t>
      </w:r>
      <w:proofErr w:type="spellEnd"/>
      <w:r w:rsidRPr="00537AF4">
        <w:rPr>
          <w:szCs w:val="20"/>
          <w:lang w:val="en-US"/>
        </w:rPr>
        <w:t xml:space="preserve"> (2011) suggest four filters to design curriculum that provide some useful insight. </w:t>
      </w:r>
    </w:p>
    <w:p w14:paraId="798DAA9B" w14:textId="374FB20F" w:rsidR="009C06EA" w:rsidRPr="00550723" w:rsidRDefault="009C06EA" w:rsidP="00550723">
      <w:pPr>
        <w:pStyle w:val="ListParagraph"/>
        <w:numPr>
          <w:ilvl w:val="0"/>
          <w:numId w:val="54"/>
        </w:numPr>
        <w:rPr>
          <w:szCs w:val="20"/>
        </w:rPr>
      </w:pPr>
      <w:r>
        <w:rPr>
          <w:szCs w:val="20"/>
        </w:rPr>
        <w:t>T</w:t>
      </w:r>
      <w:r w:rsidRPr="009C06EA">
        <w:rPr>
          <w:szCs w:val="20"/>
        </w:rPr>
        <w:t xml:space="preserve">o </w:t>
      </w:r>
      <w:r w:rsidR="00927F16" w:rsidRPr="009C06EA">
        <w:rPr>
          <w:szCs w:val="20"/>
        </w:rPr>
        <w:t>what extent does the idea have enduring value beyond the classroom?</w:t>
      </w:r>
    </w:p>
    <w:p w14:paraId="2B590EA7" w14:textId="2A3BE32E" w:rsidR="009C06EA" w:rsidRDefault="009C06EA" w:rsidP="00550723">
      <w:pPr>
        <w:pStyle w:val="ListParagraph"/>
        <w:numPr>
          <w:ilvl w:val="0"/>
          <w:numId w:val="54"/>
        </w:numPr>
        <w:rPr>
          <w:szCs w:val="20"/>
        </w:rPr>
      </w:pPr>
      <w:r>
        <w:rPr>
          <w:szCs w:val="20"/>
        </w:rPr>
        <w:t>H</w:t>
      </w:r>
      <w:proofErr w:type="spellStart"/>
      <w:r w:rsidR="00927F16" w:rsidRPr="009C06EA">
        <w:rPr>
          <w:szCs w:val="20"/>
          <w:lang w:val="en-US"/>
        </w:rPr>
        <w:t>ow</w:t>
      </w:r>
      <w:proofErr w:type="spellEnd"/>
      <w:r w:rsidR="00927F16" w:rsidRPr="009C06EA">
        <w:rPr>
          <w:szCs w:val="20"/>
          <w:lang w:val="en-US"/>
        </w:rPr>
        <w:t xml:space="preserve"> connected is </w:t>
      </w:r>
      <w:r w:rsidR="00927F16" w:rsidRPr="009C06EA">
        <w:rPr>
          <w:szCs w:val="20"/>
        </w:rPr>
        <w:t>the idea to the heart of the discipline?</w:t>
      </w:r>
    </w:p>
    <w:p w14:paraId="370E3519" w14:textId="5FBBE83B" w:rsidR="009C06EA" w:rsidRDefault="009C06EA" w:rsidP="00550723">
      <w:pPr>
        <w:pStyle w:val="ListParagraph"/>
        <w:numPr>
          <w:ilvl w:val="0"/>
          <w:numId w:val="54"/>
        </w:numPr>
        <w:rPr>
          <w:szCs w:val="20"/>
        </w:rPr>
      </w:pPr>
      <w:r>
        <w:rPr>
          <w:szCs w:val="20"/>
        </w:rPr>
        <w:t>H</w:t>
      </w:r>
      <w:r w:rsidR="00927F16" w:rsidRPr="009C06EA">
        <w:rPr>
          <w:szCs w:val="20"/>
        </w:rPr>
        <w:t>ow much restructuring of thou</w:t>
      </w:r>
      <w:r w:rsidR="00B5448F">
        <w:rPr>
          <w:szCs w:val="20"/>
        </w:rPr>
        <w:t>ght or knowledge is required?</w:t>
      </w:r>
      <w:r w:rsidR="00927F16" w:rsidRPr="009C06EA">
        <w:rPr>
          <w:szCs w:val="20"/>
        </w:rPr>
        <w:t xml:space="preserve"> </w:t>
      </w:r>
    </w:p>
    <w:p w14:paraId="20B647F8" w14:textId="5EEB40A6" w:rsidR="00916499" w:rsidRDefault="009C06EA" w:rsidP="00550723">
      <w:pPr>
        <w:pStyle w:val="ListParagraph"/>
        <w:numPr>
          <w:ilvl w:val="0"/>
          <w:numId w:val="54"/>
        </w:numPr>
        <w:rPr>
          <w:szCs w:val="20"/>
        </w:rPr>
      </w:pPr>
      <w:r>
        <w:rPr>
          <w:szCs w:val="20"/>
        </w:rPr>
        <w:t>W</w:t>
      </w:r>
      <w:r w:rsidR="00927F16" w:rsidRPr="009C06EA">
        <w:rPr>
          <w:szCs w:val="20"/>
        </w:rPr>
        <w:t>hat is the potential that it will facilitate engagemen</w:t>
      </w:r>
      <w:r w:rsidR="00B5448F">
        <w:rPr>
          <w:szCs w:val="20"/>
        </w:rPr>
        <w:t>t?</w:t>
      </w:r>
      <w:r w:rsidR="00927F16" w:rsidRPr="009C06EA">
        <w:rPr>
          <w:szCs w:val="20"/>
        </w:rPr>
        <w:t xml:space="preserve"> </w:t>
      </w:r>
    </w:p>
    <w:p w14:paraId="72853AAC" w14:textId="50EDE527" w:rsidR="00A14700" w:rsidRDefault="005A0C9B" w:rsidP="00537AF4">
      <w:pPr>
        <w:rPr>
          <w:szCs w:val="20"/>
        </w:rPr>
      </w:pPr>
      <w:r w:rsidRPr="00916499">
        <w:rPr>
          <w:szCs w:val="20"/>
        </w:rPr>
        <w:t>T</w:t>
      </w:r>
      <w:r w:rsidR="00927F16" w:rsidRPr="00916499">
        <w:rPr>
          <w:szCs w:val="20"/>
        </w:rPr>
        <w:t>he following figure suggests a backward design process</w:t>
      </w:r>
      <w:r w:rsidR="00A14700">
        <w:rPr>
          <w:szCs w:val="20"/>
        </w:rPr>
        <w:t>.</w:t>
      </w:r>
    </w:p>
    <w:p w14:paraId="4C180021" w14:textId="77777777" w:rsidR="00A14700" w:rsidRDefault="00A14700" w:rsidP="00537AF4">
      <w:pPr>
        <w:rPr>
          <w:szCs w:val="20"/>
        </w:rPr>
      </w:pPr>
    </w:p>
    <w:p w14:paraId="42B9E5CC" w14:textId="165A1588" w:rsidR="00537AF4" w:rsidRPr="00537AF4" w:rsidRDefault="00537AF4" w:rsidP="00537AF4">
      <w:pPr>
        <w:rPr>
          <w:szCs w:val="20"/>
        </w:rPr>
      </w:pPr>
      <w:r w:rsidRPr="00537AF4">
        <w:rPr>
          <w:noProof/>
          <w:szCs w:val="20"/>
          <w:lang w:val="en-US" w:eastAsia="en-US"/>
        </w:rPr>
        <w:drawing>
          <wp:inline distT="0" distB="0" distL="0" distR="0" wp14:anchorId="4CFF35B1" wp14:editId="7ED0A889">
            <wp:extent cx="5194935" cy="1463040"/>
            <wp:effectExtent l="0" t="19050" r="0" b="0"/>
            <wp:docPr id="2" name="Diagram 2" descr="This figure sets out a process of backward design consisting of three steps: identify desired results; determine acceptable evidence; and plan learning experienc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37CDC04" w14:textId="25360660" w:rsidR="008368D7" w:rsidRDefault="008368D7" w:rsidP="00813AA6">
      <w:pPr>
        <w:pStyle w:val="CaptionFig"/>
      </w:pPr>
      <w:bookmarkStart w:id="38" w:name="_Toc509950627"/>
      <w:bookmarkStart w:id="39" w:name="_Toc509951277"/>
      <w:r>
        <w:t xml:space="preserve">Figure </w:t>
      </w:r>
      <w:fldSimple w:instr=" SEQ Figure \* ARABIC ">
        <w:r w:rsidR="004240AA">
          <w:rPr>
            <w:noProof/>
          </w:rPr>
          <w:t>4</w:t>
        </w:r>
      </w:fldSimple>
      <w:r>
        <w:t>:</w:t>
      </w:r>
      <w:r w:rsidRPr="008368D7">
        <w:rPr>
          <w:iCs/>
          <w:sz w:val="20"/>
        </w:rPr>
        <w:t xml:space="preserve"> </w:t>
      </w:r>
      <w:r w:rsidRPr="008368D7">
        <w:t>A process of backward design</w:t>
      </w:r>
      <w:bookmarkEnd w:id="38"/>
      <w:bookmarkEnd w:id="39"/>
    </w:p>
    <w:p w14:paraId="39857660" w14:textId="26282BE6" w:rsidR="00725D4E" w:rsidRDefault="00927F16" w:rsidP="005A0C9B">
      <w:pPr>
        <w:rPr>
          <w:szCs w:val="20"/>
        </w:rPr>
      </w:pPr>
      <w:r w:rsidRPr="00537AF4">
        <w:rPr>
          <w:szCs w:val="20"/>
        </w:rPr>
        <w:t xml:space="preserve">This thinking allows us to consider how we engage the profession in evidence informed practice </w:t>
      </w:r>
      <w:r>
        <w:rPr>
          <w:szCs w:val="20"/>
        </w:rPr>
        <w:t>in such a way</w:t>
      </w:r>
      <w:r w:rsidRPr="00537AF4">
        <w:rPr>
          <w:szCs w:val="20"/>
        </w:rPr>
        <w:t xml:space="preserve"> that it has an impact on teaching and learning. </w:t>
      </w:r>
      <w:r w:rsidRPr="00550723">
        <w:rPr>
          <w:szCs w:val="20"/>
        </w:rPr>
        <w:t xml:space="preserve">This review has not only taken a similar tactic </w:t>
      </w:r>
      <w:r w:rsidR="000B7916" w:rsidRPr="00550723">
        <w:rPr>
          <w:szCs w:val="20"/>
        </w:rPr>
        <w:t xml:space="preserve">as </w:t>
      </w:r>
      <w:r w:rsidRPr="00550723">
        <w:rPr>
          <w:szCs w:val="20"/>
        </w:rPr>
        <w:t>backward design in</w:t>
      </w:r>
      <w:r w:rsidRPr="000B7916">
        <w:rPr>
          <w:szCs w:val="20"/>
        </w:rPr>
        <w:t xml:space="preserve"> purporting this model but it has also c</w:t>
      </w:r>
      <w:r w:rsidRPr="00537AF4">
        <w:rPr>
          <w:szCs w:val="20"/>
        </w:rPr>
        <w:t>oncentrated the essence of the model on impact o</w:t>
      </w:r>
      <w:r>
        <w:rPr>
          <w:szCs w:val="20"/>
        </w:rPr>
        <w:t>n</w:t>
      </w:r>
      <w:r w:rsidRPr="00537AF4">
        <w:rPr>
          <w:szCs w:val="20"/>
        </w:rPr>
        <w:t xml:space="preserve"> the end</w:t>
      </w:r>
      <w:r w:rsidR="005A0C9B">
        <w:rPr>
          <w:szCs w:val="20"/>
        </w:rPr>
        <w:t>-</w:t>
      </w:r>
      <w:r w:rsidRPr="00537AF4">
        <w:rPr>
          <w:szCs w:val="20"/>
        </w:rPr>
        <w:t>users.  This focus ensures that the model is not only driven</w:t>
      </w:r>
      <w:r w:rsidR="00B5448F">
        <w:rPr>
          <w:szCs w:val="20"/>
        </w:rPr>
        <w:t xml:space="preserve"> by the users but</w:t>
      </w:r>
      <w:r w:rsidRPr="00537AF4">
        <w:rPr>
          <w:szCs w:val="20"/>
        </w:rPr>
        <w:t xml:space="preserve"> also promises a utilisation focus.</w:t>
      </w:r>
      <w:r>
        <w:rPr>
          <w:szCs w:val="20"/>
        </w:rPr>
        <w:t xml:space="preserve"> </w:t>
      </w:r>
    </w:p>
    <w:p w14:paraId="5EF8389D" w14:textId="48FE53AB" w:rsidR="005A0C9B" w:rsidRPr="00550723" w:rsidRDefault="00927F16" w:rsidP="00550723">
      <w:pPr>
        <w:spacing w:after="0" w:line="240" w:lineRule="auto"/>
        <w:rPr>
          <w:rFonts w:eastAsia="Times New Roman" w:cs="Times New Roman"/>
          <w:color w:val="000000"/>
          <w:szCs w:val="20"/>
          <w:lang w:eastAsia="en-US"/>
        </w:rPr>
      </w:pPr>
      <w:r>
        <w:rPr>
          <w:szCs w:val="20"/>
        </w:rPr>
        <w:t>To achieve full utilisation</w:t>
      </w:r>
      <w:r w:rsidR="00B5448F">
        <w:rPr>
          <w:szCs w:val="20"/>
        </w:rPr>
        <w:t>, not just the generation</w:t>
      </w:r>
      <w:r>
        <w:rPr>
          <w:szCs w:val="20"/>
        </w:rPr>
        <w:t xml:space="preserve"> and translation of evidence</w:t>
      </w:r>
      <w:r w:rsidR="00B5448F">
        <w:rPr>
          <w:szCs w:val="20"/>
        </w:rPr>
        <w:t>,</w:t>
      </w:r>
      <w:r>
        <w:rPr>
          <w:szCs w:val="20"/>
        </w:rPr>
        <w:t xml:space="preserve"> the institut</w:t>
      </w:r>
      <w:r w:rsidR="00B5448F">
        <w:rPr>
          <w:szCs w:val="20"/>
        </w:rPr>
        <w:t>ion will need to be a principle-based</w:t>
      </w:r>
      <w:r w:rsidRPr="00916499">
        <w:rPr>
          <w:szCs w:val="20"/>
        </w:rPr>
        <w:t>.</w:t>
      </w:r>
      <w:r w:rsidR="005A0C9B" w:rsidRPr="00916499">
        <w:rPr>
          <w:szCs w:val="20"/>
        </w:rPr>
        <w:t xml:space="preserve"> </w:t>
      </w:r>
      <w:r w:rsidR="005A0C9B" w:rsidRPr="00550723">
        <w:rPr>
          <w:rFonts w:eastAsia="Times New Roman" w:cs="Times New Roman"/>
          <w:color w:val="000000"/>
          <w:szCs w:val="20"/>
          <w:lang w:eastAsia="en-US"/>
        </w:rPr>
        <w:t xml:space="preserve">Several studies have demonstrated that the need for clarity of principles is essential and </w:t>
      </w:r>
      <w:r w:rsidR="00725D4E" w:rsidRPr="00550723">
        <w:rPr>
          <w:rFonts w:eastAsia="Times New Roman" w:cs="Times New Roman"/>
          <w:color w:val="000000"/>
          <w:szCs w:val="20"/>
          <w:lang w:eastAsia="en-US"/>
        </w:rPr>
        <w:t>additionally the</w:t>
      </w:r>
      <w:r w:rsidR="005A0C9B" w:rsidRPr="00550723">
        <w:rPr>
          <w:rFonts w:eastAsia="Times New Roman" w:cs="Times New Roman"/>
          <w:color w:val="000000"/>
          <w:szCs w:val="20"/>
          <w:lang w:eastAsia="en-US"/>
        </w:rPr>
        <w:t xml:space="preserve"> </w:t>
      </w:r>
      <w:r w:rsidR="00725D4E" w:rsidRPr="00550723">
        <w:rPr>
          <w:rFonts w:eastAsia="Times New Roman" w:cs="Times New Roman"/>
          <w:color w:val="000000"/>
          <w:szCs w:val="20"/>
          <w:lang w:eastAsia="en-US"/>
        </w:rPr>
        <w:t>institution will</w:t>
      </w:r>
      <w:r w:rsidR="005A0C9B" w:rsidRPr="00550723">
        <w:rPr>
          <w:rFonts w:eastAsia="Times New Roman" w:cs="Times New Roman"/>
          <w:color w:val="000000"/>
          <w:szCs w:val="20"/>
          <w:lang w:eastAsia="en-US"/>
        </w:rPr>
        <w:t xml:space="preserve"> need to engage the sector </w:t>
      </w:r>
      <w:r w:rsidR="00D05834" w:rsidRPr="00550723">
        <w:rPr>
          <w:rFonts w:eastAsia="Times New Roman" w:cs="Times New Roman"/>
          <w:color w:val="000000"/>
          <w:szCs w:val="20"/>
          <w:lang w:eastAsia="en-US"/>
        </w:rPr>
        <w:t>so as to guarantee the</w:t>
      </w:r>
      <w:r w:rsidR="00725D4E" w:rsidRPr="00550723">
        <w:rPr>
          <w:rFonts w:eastAsia="Times New Roman" w:cs="Times New Roman"/>
          <w:color w:val="000000"/>
          <w:szCs w:val="20"/>
          <w:lang w:eastAsia="en-US"/>
        </w:rPr>
        <w:t xml:space="preserve"> nature and </w:t>
      </w:r>
      <w:r w:rsidR="005A0C9B" w:rsidRPr="00550723">
        <w:rPr>
          <w:rFonts w:eastAsia="Times New Roman" w:cs="Times New Roman"/>
          <w:color w:val="000000"/>
          <w:szCs w:val="20"/>
          <w:lang w:eastAsia="en-US"/>
        </w:rPr>
        <w:t xml:space="preserve">clarity </w:t>
      </w:r>
      <w:r w:rsidR="00D05834" w:rsidRPr="00550723">
        <w:rPr>
          <w:rFonts w:eastAsia="Times New Roman" w:cs="Times New Roman"/>
          <w:color w:val="000000"/>
          <w:szCs w:val="20"/>
          <w:lang w:eastAsia="en-US"/>
        </w:rPr>
        <w:t>of</w:t>
      </w:r>
      <w:r w:rsidR="005A0C9B" w:rsidRPr="00550723">
        <w:rPr>
          <w:rFonts w:eastAsia="Times New Roman" w:cs="Times New Roman"/>
          <w:color w:val="000000"/>
          <w:szCs w:val="20"/>
          <w:lang w:eastAsia="en-US"/>
        </w:rPr>
        <w:t xml:space="preserve"> its</w:t>
      </w:r>
      <w:r w:rsidR="00725D4E" w:rsidRPr="00550723">
        <w:rPr>
          <w:rFonts w:eastAsia="Times New Roman" w:cs="Times New Roman"/>
          <w:color w:val="000000"/>
          <w:szCs w:val="20"/>
          <w:lang w:eastAsia="en-US"/>
        </w:rPr>
        <w:t>’</w:t>
      </w:r>
      <w:r w:rsidR="005A0C9B" w:rsidRPr="00550723">
        <w:rPr>
          <w:rFonts w:eastAsia="Times New Roman" w:cs="Times New Roman"/>
          <w:color w:val="000000"/>
          <w:szCs w:val="20"/>
          <w:lang w:eastAsia="en-US"/>
        </w:rPr>
        <w:t xml:space="preserve"> purpose and principles (Holmes, 2012)</w:t>
      </w:r>
      <w:r w:rsidR="00EE2DE7" w:rsidRPr="00550723">
        <w:rPr>
          <w:rFonts w:eastAsia="Times New Roman" w:cs="Times New Roman"/>
          <w:color w:val="000000"/>
          <w:szCs w:val="20"/>
          <w:lang w:eastAsia="en-US"/>
        </w:rPr>
        <w:t>. Similarly, it was demonstrated that active collaboration in the form of co-funding and co-implementation will lead to an increase of use of information.</w:t>
      </w:r>
    </w:p>
    <w:p w14:paraId="1B24BB21" w14:textId="0DB349C0" w:rsidR="00927F16" w:rsidRPr="00EC3DE6" w:rsidRDefault="00EE2DE7" w:rsidP="00EC3DE6">
      <w:pPr>
        <w:spacing w:line="240" w:lineRule="auto"/>
        <w:rPr>
          <w:rFonts w:eastAsia="Times New Roman" w:cs="Times New Roman"/>
          <w:color w:val="000000"/>
          <w:szCs w:val="20"/>
          <w:lang w:eastAsia="en-US"/>
        </w:rPr>
      </w:pPr>
      <w:r w:rsidRPr="00550723">
        <w:rPr>
          <w:rFonts w:eastAsia="Times New Roman" w:cs="Times New Roman"/>
          <w:color w:val="000000"/>
          <w:szCs w:val="20"/>
          <w:lang w:eastAsia="en-US"/>
        </w:rPr>
        <w:t>S</w:t>
      </w:r>
      <w:r w:rsidR="005A0C9B" w:rsidRPr="00550723">
        <w:rPr>
          <w:rFonts w:eastAsia="Times New Roman" w:cs="Times New Roman"/>
          <w:color w:val="000000"/>
          <w:szCs w:val="20"/>
          <w:lang w:eastAsia="en-US"/>
        </w:rPr>
        <w:t xml:space="preserve">everal principles emerge throughout the literature that </w:t>
      </w:r>
      <w:r w:rsidR="00725D4E" w:rsidRPr="00550723">
        <w:rPr>
          <w:rFonts w:eastAsia="Times New Roman" w:cs="Times New Roman"/>
          <w:color w:val="000000"/>
          <w:szCs w:val="20"/>
          <w:lang w:eastAsia="en-US"/>
        </w:rPr>
        <w:t>relate</w:t>
      </w:r>
      <w:r w:rsidR="005A0C9B" w:rsidRPr="00550723">
        <w:rPr>
          <w:rFonts w:eastAsia="Times New Roman" w:cs="Times New Roman"/>
          <w:color w:val="000000"/>
          <w:szCs w:val="20"/>
          <w:lang w:eastAsia="en-US"/>
        </w:rPr>
        <w:t xml:space="preserve"> to increasing evidence informed practice</w:t>
      </w:r>
      <w:r w:rsidR="00725D4E" w:rsidRPr="00550723">
        <w:rPr>
          <w:rFonts w:eastAsia="Times New Roman" w:cs="Times New Roman"/>
          <w:color w:val="000000"/>
          <w:szCs w:val="20"/>
          <w:lang w:eastAsia="en-US"/>
        </w:rPr>
        <w:t xml:space="preserve"> such as the need for collaboration, capacity building and maintaining relevance to practice</w:t>
      </w:r>
      <w:r w:rsidRPr="00550723">
        <w:rPr>
          <w:rFonts w:eastAsia="Times New Roman" w:cs="Times New Roman"/>
          <w:color w:val="000000"/>
          <w:szCs w:val="20"/>
          <w:lang w:eastAsia="en-US"/>
        </w:rPr>
        <w:t xml:space="preserve">. The </w:t>
      </w:r>
      <w:r w:rsidR="00F07E87" w:rsidRPr="00550723">
        <w:rPr>
          <w:rFonts w:eastAsia="Times New Roman" w:cs="Times New Roman"/>
          <w:color w:val="000000"/>
          <w:szCs w:val="20"/>
          <w:lang w:eastAsia="en-US"/>
        </w:rPr>
        <w:t xml:space="preserve">specific weighting </w:t>
      </w:r>
      <w:r w:rsidR="00766885">
        <w:rPr>
          <w:rFonts w:eastAsia="Times New Roman" w:cs="Times New Roman"/>
          <w:color w:val="000000"/>
          <w:szCs w:val="20"/>
          <w:lang w:eastAsia="en-US"/>
        </w:rPr>
        <w:t xml:space="preserve">or order </w:t>
      </w:r>
      <w:r w:rsidR="00F07E87" w:rsidRPr="00550723">
        <w:rPr>
          <w:rFonts w:eastAsia="Times New Roman" w:cs="Times New Roman"/>
          <w:color w:val="000000"/>
          <w:szCs w:val="20"/>
          <w:lang w:eastAsia="en-US"/>
        </w:rPr>
        <w:t>o</w:t>
      </w:r>
      <w:r w:rsidRPr="00550723">
        <w:rPr>
          <w:rFonts w:eastAsia="Times New Roman" w:cs="Times New Roman"/>
          <w:color w:val="000000"/>
          <w:szCs w:val="20"/>
          <w:lang w:eastAsia="en-US"/>
        </w:rPr>
        <w:t xml:space="preserve">f these </w:t>
      </w:r>
      <w:r w:rsidR="00F07E87" w:rsidRPr="00550723">
        <w:rPr>
          <w:rFonts w:eastAsia="Times New Roman" w:cs="Times New Roman"/>
          <w:color w:val="000000"/>
          <w:szCs w:val="20"/>
          <w:lang w:eastAsia="en-US"/>
        </w:rPr>
        <w:t>principles</w:t>
      </w:r>
      <w:r w:rsidR="00D33F37">
        <w:rPr>
          <w:rFonts w:eastAsia="Times New Roman" w:cs="Times New Roman"/>
          <w:color w:val="000000"/>
          <w:szCs w:val="20"/>
          <w:lang w:eastAsia="en-US"/>
        </w:rPr>
        <w:t xml:space="preserve"> has not been determined,</w:t>
      </w:r>
      <w:r w:rsidRPr="00550723">
        <w:rPr>
          <w:rFonts w:eastAsia="Times New Roman" w:cs="Times New Roman"/>
          <w:color w:val="000000"/>
          <w:szCs w:val="20"/>
          <w:lang w:eastAsia="en-US"/>
        </w:rPr>
        <w:t xml:space="preserve"> </w:t>
      </w:r>
      <w:r w:rsidR="00D33F37">
        <w:rPr>
          <w:rFonts w:eastAsia="Times New Roman" w:cs="Times New Roman"/>
          <w:color w:val="000000"/>
          <w:szCs w:val="20"/>
          <w:lang w:eastAsia="en-US"/>
        </w:rPr>
        <w:t>h</w:t>
      </w:r>
      <w:r w:rsidR="00F07E87" w:rsidRPr="00550723">
        <w:rPr>
          <w:rFonts w:eastAsia="Times New Roman" w:cs="Times New Roman"/>
          <w:color w:val="000000"/>
          <w:szCs w:val="20"/>
          <w:lang w:eastAsia="en-US"/>
        </w:rPr>
        <w:t>owever, s</w:t>
      </w:r>
      <w:r w:rsidRPr="00550723">
        <w:rPr>
          <w:rFonts w:eastAsia="Times New Roman" w:cs="Times New Roman"/>
          <w:color w:val="000000"/>
          <w:szCs w:val="20"/>
          <w:lang w:eastAsia="en-US"/>
        </w:rPr>
        <w:t xml:space="preserve">ome </w:t>
      </w:r>
      <w:r w:rsidR="00766885">
        <w:rPr>
          <w:rFonts w:eastAsia="Times New Roman" w:cs="Times New Roman"/>
          <w:color w:val="000000"/>
          <w:szCs w:val="20"/>
          <w:lang w:eastAsia="en-US"/>
        </w:rPr>
        <w:t>principles</w:t>
      </w:r>
      <w:r w:rsidR="00D33F37">
        <w:rPr>
          <w:rFonts w:eastAsia="Times New Roman" w:cs="Times New Roman"/>
          <w:color w:val="000000"/>
          <w:szCs w:val="20"/>
          <w:lang w:eastAsia="en-US"/>
        </w:rPr>
        <w:t xml:space="preserve"> are</w:t>
      </w:r>
      <w:r w:rsidR="00F07E87" w:rsidRPr="00550723">
        <w:rPr>
          <w:rFonts w:eastAsia="Times New Roman" w:cs="Times New Roman"/>
          <w:color w:val="000000"/>
          <w:szCs w:val="20"/>
          <w:lang w:eastAsia="en-US"/>
        </w:rPr>
        <w:t xml:space="preserve"> essential, because they </w:t>
      </w:r>
      <w:r w:rsidR="00766885">
        <w:rPr>
          <w:rFonts w:eastAsia="Times New Roman" w:cs="Times New Roman"/>
          <w:color w:val="000000"/>
          <w:szCs w:val="20"/>
          <w:lang w:eastAsia="en-US"/>
        </w:rPr>
        <w:t xml:space="preserve"> have the power to facilitate</w:t>
      </w:r>
      <w:r w:rsidR="00F07E87" w:rsidRPr="00550723">
        <w:rPr>
          <w:rFonts w:eastAsia="Times New Roman" w:cs="Times New Roman"/>
          <w:color w:val="000000"/>
          <w:szCs w:val="20"/>
          <w:lang w:eastAsia="en-US"/>
        </w:rPr>
        <w:t xml:space="preserve"> a ‘block-chain’ system e.g., collaboration and its relationship to environ</w:t>
      </w:r>
      <w:r w:rsidR="00D33F37">
        <w:rPr>
          <w:rFonts w:eastAsia="Times New Roman" w:cs="Times New Roman"/>
          <w:color w:val="000000"/>
          <w:szCs w:val="20"/>
          <w:lang w:eastAsia="en-US"/>
        </w:rPr>
        <w:t xml:space="preserve">mental scanning and forecasting while others </w:t>
      </w:r>
      <w:r w:rsidR="00766885">
        <w:rPr>
          <w:rFonts w:eastAsia="Times New Roman" w:cs="Times New Roman"/>
          <w:color w:val="000000"/>
          <w:szCs w:val="20"/>
          <w:lang w:eastAsia="en-US"/>
        </w:rPr>
        <w:t>could be considered as mediators</w:t>
      </w:r>
      <w:r w:rsidR="00D33F37">
        <w:rPr>
          <w:rFonts w:eastAsia="Times New Roman" w:cs="Times New Roman"/>
          <w:color w:val="000000"/>
          <w:szCs w:val="20"/>
          <w:lang w:eastAsia="en-US"/>
        </w:rPr>
        <w:t>.</w:t>
      </w:r>
    </w:p>
    <w:p w14:paraId="446C99CD" w14:textId="5716EE4A" w:rsidR="003C65D6" w:rsidRPr="00DA7D2D" w:rsidRDefault="003C65D6" w:rsidP="003C65D6">
      <w:pPr>
        <w:rPr>
          <w:szCs w:val="20"/>
        </w:rPr>
      </w:pPr>
      <w:r w:rsidRPr="00DA7D2D">
        <w:rPr>
          <w:szCs w:val="20"/>
        </w:rPr>
        <w:lastRenderedPageBreak/>
        <w:t>There are</w:t>
      </w:r>
      <w:r w:rsidR="00B5448F">
        <w:rPr>
          <w:szCs w:val="20"/>
        </w:rPr>
        <w:t xml:space="preserve"> a</w:t>
      </w:r>
      <w:r w:rsidRPr="00DA7D2D">
        <w:rPr>
          <w:szCs w:val="20"/>
        </w:rPr>
        <w:t xml:space="preserve"> set of principles that </w:t>
      </w:r>
      <w:r w:rsidR="00BE1DDF">
        <w:rPr>
          <w:szCs w:val="20"/>
        </w:rPr>
        <w:t>underpin the foundati</w:t>
      </w:r>
      <w:r w:rsidR="00B5448F">
        <w:rPr>
          <w:szCs w:val="20"/>
        </w:rPr>
        <w:t>on of the Evidence into Action M</w:t>
      </w:r>
      <w:r w:rsidR="00BE1DDF">
        <w:rPr>
          <w:szCs w:val="20"/>
        </w:rPr>
        <w:t>odel</w:t>
      </w:r>
      <w:r w:rsidR="00B5448F">
        <w:rPr>
          <w:szCs w:val="20"/>
        </w:rPr>
        <w:t xml:space="preserve"> and it’s functioning, including</w:t>
      </w:r>
      <w:r w:rsidR="00BE1DDF">
        <w:rPr>
          <w:szCs w:val="20"/>
        </w:rPr>
        <w:t xml:space="preserve">: </w:t>
      </w:r>
    </w:p>
    <w:p w14:paraId="15552345" w14:textId="77777777" w:rsidR="003C65D6" w:rsidRPr="00985AF6" w:rsidRDefault="003C65D6" w:rsidP="00985AF6">
      <w:pPr>
        <w:pStyle w:val="ListParagraph"/>
        <w:numPr>
          <w:ilvl w:val="0"/>
          <w:numId w:val="12"/>
        </w:numPr>
        <w:spacing w:after="0" w:line="240" w:lineRule="auto"/>
        <w:contextualSpacing/>
      </w:pPr>
      <w:r w:rsidRPr="00985AF6">
        <w:rPr>
          <w:b/>
        </w:rPr>
        <w:t>Independen</w:t>
      </w:r>
      <w:r w:rsidR="00BE1DDF" w:rsidRPr="00985AF6">
        <w:rPr>
          <w:b/>
        </w:rPr>
        <w:t>ce</w:t>
      </w:r>
      <w:r w:rsidRPr="00985AF6">
        <w:rPr>
          <w:b/>
        </w:rPr>
        <w:t xml:space="preserve">: </w:t>
      </w:r>
      <w:r w:rsidRPr="00985AF6">
        <w:t>Maintains a sense of self-determination or autonomy to ensure buy-in from all beneficiaries.</w:t>
      </w:r>
    </w:p>
    <w:p w14:paraId="7E36C0B7" w14:textId="14D65C81" w:rsidR="003C65D6" w:rsidRPr="00985AF6" w:rsidRDefault="003C65D6" w:rsidP="00985AF6">
      <w:pPr>
        <w:pStyle w:val="ListParagraph"/>
        <w:numPr>
          <w:ilvl w:val="0"/>
          <w:numId w:val="12"/>
        </w:numPr>
        <w:spacing w:after="0" w:line="240" w:lineRule="auto"/>
        <w:contextualSpacing/>
        <w:rPr>
          <w:b/>
        </w:rPr>
      </w:pPr>
      <w:r w:rsidRPr="00985AF6">
        <w:rPr>
          <w:b/>
        </w:rPr>
        <w:t xml:space="preserve">Collaborative: </w:t>
      </w:r>
      <w:r w:rsidRPr="00985AF6">
        <w:t>Promotes connection and active engagement with and between the beneficiaries and the institution.</w:t>
      </w:r>
    </w:p>
    <w:p w14:paraId="158C2498" w14:textId="77777777" w:rsidR="003C65D6" w:rsidRPr="00985AF6" w:rsidRDefault="003C65D6" w:rsidP="00985AF6">
      <w:pPr>
        <w:pStyle w:val="ListParagraph"/>
        <w:numPr>
          <w:ilvl w:val="0"/>
          <w:numId w:val="12"/>
        </w:numPr>
        <w:spacing w:after="0" w:line="240" w:lineRule="auto"/>
        <w:contextualSpacing/>
      </w:pPr>
      <w:r w:rsidRPr="00985AF6">
        <w:rPr>
          <w:b/>
        </w:rPr>
        <w:t xml:space="preserve">Evaluative: </w:t>
      </w:r>
      <w:r w:rsidRPr="00985AF6">
        <w:t>Builds a culture of evaluative thinking across the education sector while exemplifying an approach to monitoring and evaluation practice that ensures quality assurance.</w:t>
      </w:r>
    </w:p>
    <w:p w14:paraId="3C64954A" w14:textId="77777777" w:rsidR="003C65D6" w:rsidRPr="00985AF6" w:rsidRDefault="003C65D6" w:rsidP="00985AF6">
      <w:pPr>
        <w:pStyle w:val="ListParagraph"/>
        <w:numPr>
          <w:ilvl w:val="0"/>
          <w:numId w:val="12"/>
        </w:numPr>
        <w:spacing w:after="0" w:line="240" w:lineRule="auto"/>
        <w:contextualSpacing/>
      </w:pPr>
      <w:r w:rsidRPr="00985AF6">
        <w:rPr>
          <w:b/>
        </w:rPr>
        <w:t xml:space="preserve">Promoter: </w:t>
      </w:r>
      <w:r w:rsidRPr="00985AF6">
        <w:t>Advocates for research agendas and findings with and for beneficiaries.</w:t>
      </w:r>
    </w:p>
    <w:p w14:paraId="79C008F4" w14:textId="77777777" w:rsidR="003C65D6" w:rsidRPr="00985AF6" w:rsidRDefault="003C65D6" w:rsidP="00985AF6">
      <w:pPr>
        <w:pStyle w:val="ListParagraph"/>
        <w:numPr>
          <w:ilvl w:val="0"/>
          <w:numId w:val="12"/>
        </w:numPr>
        <w:spacing w:after="0" w:line="240" w:lineRule="auto"/>
        <w:contextualSpacing/>
        <w:rPr>
          <w:b/>
        </w:rPr>
      </w:pPr>
      <w:r w:rsidRPr="00985AF6">
        <w:rPr>
          <w:b/>
        </w:rPr>
        <w:t xml:space="preserve">Capacity builder: </w:t>
      </w:r>
      <w:r w:rsidRPr="00985AF6">
        <w:t>Develops and strengthens skills across all beneficiaries to use evidence in some form.</w:t>
      </w:r>
    </w:p>
    <w:p w14:paraId="57246702" w14:textId="77777777" w:rsidR="003C65D6" w:rsidRPr="00985AF6" w:rsidRDefault="003C65D6" w:rsidP="00985AF6">
      <w:pPr>
        <w:pStyle w:val="ListParagraph"/>
        <w:numPr>
          <w:ilvl w:val="0"/>
          <w:numId w:val="12"/>
        </w:numPr>
        <w:spacing w:after="0" w:line="240" w:lineRule="auto"/>
        <w:contextualSpacing/>
      </w:pPr>
      <w:r w:rsidRPr="00985AF6">
        <w:rPr>
          <w:b/>
        </w:rPr>
        <w:t xml:space="preserve">Dynamic: </w:t>
      </w:r>
      <w:r w:rsidRPr="00985AF6">
        <w:t xml:space="preserve">Respond to and actively seek to thrive in a fast-changing educational environment. </w:t>
      </w:r>
    </w:p>
    <w:p w14:paraId="2A90A6FF" w14:textId="60EA762E" w:rsidR="003C65D6" w:rsidRPr="00985AF6" w:rsidRDefault="003C65D6" w:rsidP="00985AF6">
      <w:pPr>
        <w:pStyle w:val="ListParagraph"/>
        <w:numPr>
          <w:ilvl w:val="0"/>
          <w:numId w:val="12"/>
        </w:numPr>
        <w:spacing w:after="0" w:line="240" w:lineRule="auto"/>
        <w:contextualSpacing/>
      </w:pPr>
      <w:r w:rsidRPr="00985AF6">
        <w:t xml:space="preserve">Environmental forecaster: Understand the education environment </w:t>
      </w:r>
      <w:r w:rsidR="00F07E87" w:rsidRPr="00985AF6">
        <w:t xml:space="preserve">through scanning </w:t>
      </w:r>
      <w:r w:rsidR="00B5448F" w:rsidRPr="00985AF6">
        <w:t>and is</w:t>
      </w:r>
      <w:r w:rsidRPr="00985AF6">
        <w:t xml:space="preserve"> predictive of contemporary trends, problems and events.</w:t>
      </w:r>
    </w:p>
    <w:p w14:paraId="0A63545D" w14:textId="77777777" w:rsidR="003C65D6" w:rsidRPr="00985AF6" w:rsidRDefault="003C65D6" w:rsidP="00985AF6">
      <w:pPr>
        <w:pStyle w:val="ListParagraph"/>
        <w:numPr>
          <w:ilvl w:val="0"/>
          <w:numId w:val="12"/>
        </w:numPr>
        <w:spacing w:after="0" w:line="240" w:lineRule="auto"/>
        <w:contextualSpacing/>
      </w:pPr>
      <w:r w:rsidRPr="00985AF6">
        <w:rPr>
          <w:b/>
        </w:rPr>
        <w:t xml:space="preserve">Responsive: </w:t>
      </w:r>
      <w:r w:rsidRPr="00985AF6">
        <w:t>Ensure research generated is relevant and responsive to the needs of the beneficiaries.</w:t>
      </w:r>
    </w:p>
    <w:p w14:paraId="715C0F46" w14:textId="7E1629AE" w:rsidR="00305D3C" w:rsidRPr="00985AF6" w:rsidRDefault="003C65D6" w:rsidP="00985AF6">
      <w:pPr>
        <w:pStyle w:val="ListParagraph"/>
        <w:numPr>
          <w:ilvl w:val="0"/>
          <w:numId w:val="12"/>
        </w:numPr>
        <w:spacing w:line="240" w:lineRule="auto"/>
        <w:contextualSpacing/>
      </w:pPr>
      <w:r w:rsidRPr="00985AF6">
        <w:t>Innovative: The application of novel solutions that meet a current or unarticulated educational need</w:t>
      </w:r>
      <w:r w:rsidR="00066B91" w:rsidRPr="00985AF6">
        <w:t xml:space="preserve">. </w:t>
      </w:r>
      <w:r w:rsidR="00305D3C" w:rsidRPr="00985AF6">
        <w:t>The evidence for the inclusion of these principles is integrated throughout the summary of the literature gathered for the synthesis</w:t>
      </w:r>
      <w:r w:rsidR="008168E9" w:rsidRPr="00985AF6">
        <w:t>.  H</w:t>
      </w:r>
      <w:r w:rsidR="008C2176" w:rsidRPr="00985AF6">
        <w:t>owever</w:t>
      </w:r>
      <w:r w:rsidR="008168E9" w:rsidRPr="00985AF6">
        <w:t>,</w:t>
      </w:r>
      <w:r w:rsidR="008C2176" w:rsidRPr="00985AF6">
        <w:t xml:space="preserve"> it must be emphasized that the vision and principles for the model of a way of working for the institution must be determine</w:t>
      </w:r>
      <w:r w:rsidR="00B5035D" w:rsidRPr="00985AF6">
        <w:t>d</w:t>
      </w:r>
      <w:r w:rsidR="008C2176" w:rsidRPr="00985AF6">
        <w:t xml:space="preserve"> or</w:t>
      </w:r>
      <w:r w:rsidR="00066B91" w:rsidRPr="00985AF6">
        <w:t>,</w:t>
      </w:r>
      <w:r w:rsidR="008C2176" w:rsidRPr="00985AF6">
        <w:t xml:space="preserve"> at the very least</w:t>
      </w:r>
      <w:r w:rsidR="00066B91" w:rsidRPr="00985AF6">
        <w:t>,</w:t>
      </w:r>
      <w:r w:rsidR="008C2176" w:rsidRPr="00985AF6">
        <w:t xml:space="preserve"> ratified by the</w:t>
      </w:r>
      <w:r w:rsidR="00C659C8" w:rsidRPr="00985AF6">
        <w:t xml:space="preserve"> key stakeholders</w:t>
      </w:r>
      <w:r w:rsidR="00305D3C" w:rsidRPr="00985AF6">
        <w:t xml:space="preserve">. </w:t>
      </w:r>
    </w:p>
    <w:p w14:paraId="127DF56D" w14:textId="79CC1458" w:rsidR="00C55383" w:rsidRDefault="00C90A97" w:rsidP="00922707">
      <w:pPr>
        <w:rPr>
          <w:szCs w:val="20"/>
        </w:rPr>
      </w:pPr>
      <w:r>
        <w:rPr>
          <w:szCs w:val="20"/>
        </w:rPr>
        <w:t>Based on these principles, the</w:t>
      </w:r>
      <w:r w:rsidR="00922707" w:rsidRPr="00DA7D2D">
        <w:rPr>
          <w:szCs w:val="20"/>
        </w:rPr>
        <w:t xml:space="preserve"> model suggests a cyclical approach to </w:t>
      </w:r>
      <w:r w:rsidR="00E46BFE">
        <w:rPr>
          <w:szCs w:val="20"/>
        </w:rPr>
        <w:t xml:space="preserve">the task </w:t>
      </w:r>
      <w:r w:rsidR="00922707" w:rsidRPr="00DA7D2D">
        <w:rPr>
          <w:szCs w:val="20"/>
        </w:rPr>
        <w:t>of ensuring educational evidence is proffered into action so that educational practice is evidence-informed.</w:t>
      </w:r>
      <w:r w:rsidR="00F07E87">
        <w:rPr>
          <w:szCs w:val="20"/>
        </w:rPr>
        <w:t xml:space="preserve"> Systematic and scaffolded action is essential to ensure impact on the end-users.</w:t>
      </w:r>
      <w:r w:rsidR="00922707" w:rsidRPr="00DA7D2D">
        <w:rPr>
          <w:szCs w:val="20"/>
        </w:rPr>
        <w:t xml:space="preserve"> There are four components to supporting an action-based approach to the establishment of an educatio</w:t>
      </w:r>
      <w:r w:rsidR="00C13AA4">
        <w:rPr>
          <w:szCs w:val="20"/>
        </w:rPr>
        <w:t>nal evidence institution and</w:t>
      </w:r>
      <w:r w:rsidR="00922707" w:rsidRPr="00DA7D2D">
        <w:rPr>
          <w:szCs w:val="20"/>
        </w:rPr>
        <w:t xml:space="preserve"> it is assumed that all components must align to ensure all bene</w:t>
      </w:r>
      <w:r w:rsidR="00E46BFE">
        <w:rPr>
          <w:szCs w:val="20"/>
        </w:rPr>
        <w:t xml:space="preserve">ficiaries can utilise evidence (as highlighted in the </w:t>
      </w:r>
      <w:r w:rsidR="00766885">
        <w:rPr>
          <w:szCs w:val="20"/>
        </w:rPr>
        <w:t>evidence into action model</w:t>
      </w:r>
      <w:r w:rsidR="00E46BFE">
        <w:rPr>
          <w:szCs w:val="20"/>
        </w:rPr>
        <w:t>). The four areas of operation</w:t>
      </w:r>
      <w:r w:rsidR="00C13AA4">
        <w:rPr>
          <w:szCs w:val="20"/>
        </w:rPr>
        <w:t>:</w:t>
      </w:r>
      <w:r w:rsidR="00E46BFE">
        <w:rPr>
          <w:szCs w:val="20"/>
        </w:rPr>
        <w:t xml:space="preserve"> evidence </w:t>
      </w:r>
      <w:r w:rsidR="00922707" w:rsidRPr="00DA7D2D">
        <w:rPr>
          <w:szCs w:val="20"/>
        </w:rPr>
        <w:t>g</w:t>
      </w:r>
      <w:r w:rsidR="00C55383">
        <w:rPr>
          <w:szCs w:val="20"/>
        </w:rPr>
        <w:t>eneration</w:t>
      </w:r>
      <w:r w:rsidR="00C13AA4">
        <w:rPr>
          <w:szCs w:val="20"/>
        </w:rPr>
        <w:t>; synthesis; knowledge management;</w:t>
      </w:r>
      <w:r w:rsidR="00922707" w:rsidRPr="00DA7D2D">
        <w:rPr>
          <w:szCs w:val="20"/>
        </w:rPr>
        <w:t xml:space="preserve"> and utilisation are key to successful implementation—they are all intrinsically related</w:t>
      </w:r>
      <w:r w:rsidR="00C55383">
        <w:rPr>
          <w:szCs w:val="20"/>
        </w:rPr>
        <w:t xml:space="preserve"> where the success and operations of each are influenced by the others. Each operational area is accompanied by a set of </w:t>
      </w:r>
      <w:r w:rsidR="00525796" w:rsidRPr="00525796">
        <w:rPr>
          <w:szCs w:val="20"/>
        </w:rPr>
        <w:t>activities</w:t>
      </w:r>
      <w:r w:rsidR="00C55383">
        <w:rPr>
          <w:szCs w:val="20"/>
        </w:rPr>
        <w:t xml:space="preserve"> </w:t>
      </w:r>
      <w:r w:rsidR="00525796">
        <w:rPr>
          <w:szCs w:val="20"/>
        </w:rPr>
        <w:t xml:space="preserve">or precepts </w:t>
      </w:r>
      <w:r w:rsidR="00C55383">
        <w:rPr>
          <w:szCs w:val="20"/>
        </w:rPr>
        <w:t xml:space="preserve">that determine implementation and/or strategy. </w:t>
      </w:r>
      <w:r w:rsidR="00C659C8">
        <w:rPr>
          <w:szCs w:val="20"/>
        </w:rPr>
        <w:t xml:space="preserve"> These related actions are suggested as a m</w:t>
      </w:r>
      <w:r w:rsidR="00525796">
        <w:rPr>
          <w:szCs w:val="20"/>
        </w:rPr>
        <w:t>eans of structuring and define</w:t>
      </w:r>
      <w:r w:rsidR="00C659C8">
        <w:rPr>
          <w:szCs w:val="20"/>
        </w:rPr>
        <w:t xml:space="preserve"> the specific areas. They are of course </w:t>
      </w:r>
      <w:r w:rsidR="00525796" w:rsidRPr="00525796">
        <w:rPr>
          <w:szCs w:val="20"/>
        </w:rPr>
        <w:t>inherently</w:t>
      </w:r>
      <w:r w:rsidR="00C659C8">
        <w:rPr>
          <w:szCs w:val="20"/>
        </w:rPr>
        <w:t xml:space="preserve"> related to the principles. The overlap of the</w:t>
      </w:r>
      <w:r w:rsidR="00B5035D">
        <w:rPr>
          <w:szCs w:val="20"/>
        </w:rPr>
        <w:t>se of these</w:t>
      </w:r>
      <w:r w:rsidR="00C659C8">
        <w:rPr>
          <w:szCs w:val="20"/>
        </w:rPr>
        <w:t xml:space="preserve"> governing principles </w:t>
      </w:r>
      <w:r w:rsidR="00B5035D">
        <w:rPr>
          <w:szCs w:val="20"/>
        </w:rPr>
        <w:t xml:space="preserve">are </w:t>
      </w:r>
      <w:r w:rsidR="00525796" w:rsidRPr="00525796">
        <w:rPr>
          <w:szCs w:val="20"/>
        </w:rPr>
        <w:t>apparent</w:t>
      </w:r>
      <w:r w:rsidR="00B5035D">
        <w:rPr>
          <w:szCs w:val="20"/>
        </w:rPr>
        <w:t xml:space="preserve"> throughout the development of the model.</w:t>
      </w:r>
    </w:p>
    <w:p w14:paraId="46A9D2C2" w14:textId="42415DC7" w:rsidR="00C659C8" w:rsidRDefault="00525796" w:rsidP="00CB6312">
      <w:pPr>
        <w:spacing w:after="0" w:line="240" w:lineRule="auto"/>
        <w:rPr>
          <w:rFonts w:eastAsia="Times New Roman" w:cstheme="minorHAnsi"/>
          <w:color w:val="000000"/>
          <w:szCs w:val="20"/>
          <w:lang w:eastAsia="en-US"/>
        </w:rPr>
      </w:pPr>
      <w:r>
        <w:t xml:space="preserve">The scope of work of institution must </w:t>
      </w:r>
      <w:r w:rsidR="00C13AA4">
        <w:t>be defined and transparent, which</w:t>
      </w:r>
      <w:r>
        <w:t xml:space="preserve"> raises concerns for education as a complex and complicated discipline. </w:t>
      </w:r>
      <w:r w:rsidR="00C55383">
        <w:t xml:space="preserve">While research topics </w:t>
      </w:r>
      <w:r>
        <w:t xml:space="preserve">in education </w:t>
      </w:r>
      <w:r w:rsidR="00C55383">
        <w:t xml:space="preserve">are numerous, there are key research areas that should underpin the work of the institution that can be pursued within topical research, and </w:t>
      </w:r>
      <w:r w:rsidR="00C55383" w:rsidRPr="00916499">
        <w:rPr>
          <w:szCs w:val="20"/>
        </w:rPr>
        <w:t>concern theory and content, practice, implementation and scale.</w:t>
      </w:r>
      <w:r w:rsidR="00CB6312" w:rsidRPr="00916499">
        <w:rPr>
          <w:szCs w:val="20"/>
        </w:rPr>
        <w:t xml:space="preserve"> </w:t>
      </w:r>
      <w:r w:rsidRPr="00916499">
        <w:rPr>
          <w:szCs w:val="20"/>
        </w:rPr>
        <w:t xml:space="preserve">While it could be argued that these encompass all that is education, these key </w:t>
      </w:r>
      <w:r w:rsidRPr="00EE533F">
        <w:rPr>
          <w:szCs w:val="20"/>
        </w:rPr>
        <w:t xml:space="preserve">zones provide a scope of </w:t>
      </w:r>
      <w:r w:rsidR="00A32DE8" w:rsidRPr="00EE533F">
        <w:rPr>
          <w:szCs w:val="20"/>
        </w:rPr>
        <w:t>the</w:t>
      </w:r>
      <w:r w:rsidRPr="00EE533F">
        <w:rPr>
          <w:szCs w:val="20"/>
        </w:rPr>
        <w:t xml:space="preserve"> </w:t>
      </w:r>
      <w:r w:rsidR="00A32DE8" w:rsidRPr="00EE533F">
        <w:rPr>
          <w:szCs w:val="20"/>
        </w:rPr>
        <w:t>high-level</w:t>
      </w:r>
      <w:r w:rsidRPr="00EE533F">
        <w:rPr>
          <w:szCs w:val="20"/>
        </w:rPr>
        <w:t xml:space="preserve"> field in which </w:t>
      </w:r>
      <w:r w:rsidR="00A32DE8" w:rsidRPr="00EE533F">
        <w:rPr>
          <w:szCs w:val="20"/>
        </w:rPr>
        <w:t>t</w:t>
      </w:r>
      <w:r w:rsidRPr="00EE533F">
        <w:rPr>
          <w:szCs w:val="20"/>
        </w:rPr>
        <w:t xml:space="preserve">o ground </w:t>
      </w:r>
      <w:r w:rsidR="00A32DE8" w:rsidRPr="00EE533F">
        <w:rPr>
          <w:szCs w:val="20"/>
        </w:rPr>
        <w:t xml:space="preserve">the </w:t>
      </w:r>
      <w:r w:rsidRPr="001836DA">
        <w:rPr>
          <w:szCs w:val="20"/>
        </w:rPr>
        <w:t>research</w:t>
      </w:r>
      <w:r w:rsidR="00A32DE8" w:rsidRPr="00E73E7F">
        <w:rPr>
          <w:szCs w:val="20"/>
        </w:rPr>
        <w:t>.</w:t>
      </w:r>
      <w:r w:rsidR="00CB6312" w:rsidRPr="00E73E7F">
        <w:rPr>
          <w:rFonts w:cstheme="minorHAnsi"/>
          <w:szCs w:val="20"/>
        </w:rPr>
        <w:t xml:space="preserve"> In </w:t>
      </w:r>
      <w:r w:rsidR="00A32DE8" w:rsidRPr="00550723">
        <w:rPr>
          <w:rFonts w:cstheme="minorHAnsi"/>
          <w:szCs w:val="20"/>
        </w:rPr>
        <w:t xml:space="preserve">particular, an </w:t>
      </w:r>
      <w:r w:rsidR="00CB6312" w:rsidRPr="00550723">
        <w:rPr>
          <w:rFonts w:eastAsia="Times New Roman" w:cstheme="minorHAnsi"/>
          <w:color w:val="000000"/>
          <w:szCs w:val="20"/>
          <w:lang w:eastAsia="en-US"/>
        </w:rPr>
        <w:t xml:space="preserve">understanding of implementation and scale have notably been neglected </w:t>
      </w:r>
      <w:r w:rsidR="00A32DE8" w:rsidRPr="00550723">
        <w:rPr>
          <w:rFonts w:eastAsia="Times New Roman" w:cstheme="minorHAnsi"/>
          <w:color w:val="000000"/>
          <w:szCs w:val="20"/>
          <w:lang w:eastAsia="en-US"/>
        </w:rPr>
        <w:t xml:space="preserve">in past education research, yet </w:t>
      </w:r>
      <w:r w:rsidR="00CB6312" w:rsidRPr="00550723">
        <w:rPr>
          <w:rFonts w:eastAsia="Times New Roman" w:cstheme="minorHAnsi"/>
          <w:color w:val="000000"/>
          <w:szCs w:val="20"/>
          <w:lang w:eastAsia="en-US"/>
        </w:rPr>
        <w:t xml:space="preserve">these </w:t>
      </w:r>
      <w:r w:rsidR="00A32DE8" w:rsidRPr="00550723">
        <w:rPr>
          <w:rFonts w:eastAsia="Times New Roman" w:cstheme="minorHAnsi"/>
          <w:color w:val="000000"/>
          <w:szCs w:val="20"/>
          <w:lang w:eastAsia="en-US"/>
        </w:rPr>
        <w:t xml:space="preserve">constructs </w:t>
      </w:r>
      <w:r w:rsidR="00CB6312" w:rsidRPr="00550723">
        <w:rPr>
          <w:rFonts w:eastAsia="Times New Roman" w:cstheme="minorHAnsi"/>
          <w:color w:val="000000"/>
          <w:szCs w:val="20"/>
          <w:lang w:eastAsia="en-US"/>
        </w:rPr>
        <w:t>are key to understanding impact.</w:t>
      </w:r>
      <w:r w:rsidR="00A32DE8" w:rsidRPr="00550723">
        <w:rPr>
          <w:rFonts w:eastAsia="Times New Roman" w:cstheme="minorHAnsi"/>
          <w:color w:val="000000"/>
          <w:szCs w:val="20"/>
          <w:lang w:eastAsia="en-US"/>
        </w:rPr>
        <w:t xml:space="preserve"> Recently, many evidence b</w:t>
      </w:r>
      <w:r w:rsidR="00C13AA4">
        <w:rPr>
          <w:rFonts w:eastAsia="Times New Roman" w:cstheme="minorHAnsi"/>
          <w:color w:val="000000"/>
          <w:szCs w:val="20"/>
          <w:lang w:eastAsia="en-US"/>
        </w:rPr>
        <w:t>ased institutions across health and</w:t>
      </w:r>
      <w:r w:rsidR="00A32DE8" w:rsidRPr="00550723">
        <w:rPr>
          <w:rFonts w:eastAsia="Times New Roman" w:cstheme="minorHAnsi"/>
          <w:color w:val="000000"/>
          <w:szCs w:val="20"/>
          <w:lang w:eastAsia="en-US"/>
        </w:rPr>
        <w:t xml:space="preserve"> tourism have turned some of their focus to implementation, for example the EEF. The idea of scale in education still seems elusive and there is little evidence of </w:t>
      </w:r>
      <w:r w:rsidR="00724E43" w:rsidRPr="00550723">
        <w:rPr>
          <w:rFonts w:eastAsia="Times New Roman" w:cstheme="minorHAnsi"/>
          <w:color w:val="000000"/>
          <w:szCs w:val="20"/>
          <w:lang w:eastAsia="en-US"/>
        </w:rPr>
        <w:t>‘</w:t>
      </w:r>
      <w:r w:rsidR="00A32DE8" w:rsidRPr="00550723">
        <w:rPr>
          <w:rFonts w:eastAsia="Times New Roman" w:cstheme="minorHAnsi"/>
          <w:color w:val="000000"/>
          <w:szCs w:val="20"/>
          <w:lang w:eastAsia="en-US"/>
        </w:rPr>
        <w:t>how</w:t>
      </w:r>
      <w:r w:rsidR="00724E43" w:rsidRPr="00550723">
        <w:rPr>
          <w:rFonts w:eastAsia="Times New Roman" w:cstheme="minorHAnsi"/>
          <w:color w:val="000000"/>
          <w:szCs w:val="20"/>
          <w:lang w:eastAsia="en-US"/>
        </w:rPr>
        <w:t>’</w:t>
      </w:r>
      <w:r w:rsidR="00A32DE8" w:rsidRPr="00550723">
        <w:rPr>
          <w:rFonts w:eastAsia="Times New Roman" w:cstheme="minorHAnsi"/>
          <w:color w:val="000000"/>
          <w:szCs w:val="20"/>
          <w:lang w:eastAsia="en-US"/>
        </w:rPr>
        <w:t xml:space="preserve"> to scale, despite many gove</w:t>
      </w:r>
      <w:r w:rsidR="00C13AA4">
        <w:rPr>
          <w:rFonts w:eastAsia="Times New Roman" w:cstheme="minorHAnsi"/>
          <w:color w:val="000000"/>
          <w:szCs w:val="20"/>
          <w:lang w:eastAsia="en-US"/>
        </w:rPr>
        <w:t>rnment and policy initiatives that</w:t>
      </w:r>
      <w:r w:rsidR="00A32DE8" w:rsidRPr="00550723">
        <w:rPr>
          <w:rFonts w:eastAsia="Times New Roman" w:cstheme="minorHAnsi"/>
          <w:color w:val="000000"/>
          <w:szCs w:val="20"/>
          <w:lang w:eastAsia="en-US"/>
        </w:rPr>
        <w:t xml:space="preserve"> </w:t>
      </w:r>
      <w:r w:rsidR="00724E43" w:rsidRPr="00550723">
        <w:rPr>
          <w:rFonts w:eastAsia="Times New Roman" w:cstheme="minorHAnsi"/>
          <w:color w:val="000000"/>
          <w:szCs w:val="20"/>
          <w:lang w:eastAsia="en-US"/>
        </w:rPr>
        <w:t xml:space="preserve">test for scale. </w:t>
      </w:r>
      <w:r w:rsidR="00766885">
        <w:rPr>
          <w:rFonts w:eastAsia="Times New Roman" w:cstheme="minorHAnsi"/>
          <w:color w:val="000000"/>
          <w:szCs w:val="20"/>
          <w:lang w:eastAsia="en-US"/>
        </w:rPr>
        <w:t>It is our belief that any the</w:t>
      </w:r>
      <w:r w:rsidR="00724E43" w:rsidRPr="00550723">
        <w:rPr>
          <w:rFonts w:eastAsia="Times New Roman" w:cstheme="minorHAnsi"/>
          <w:color w:val="000000"/>
          <w:szCs w:val="20"/>
          <w:lang w:eastAsia="en-US"/>
        </w:rPr>
        <w:t xml:space="preserve"> work </w:t>
      </w:r>
      <w:r w:rsidR="00766885">
        <w:rPr>
          <w:rFonts w:eastAsia="Times New Roman" w:cstheme="minorHAnsi"/>
          <w:color w:val="000000"/>
          <w:szCs w:val="20"/>
          <w:lang w:eastAsia="en-US"/>
        </w:rPr>
        <w:t xml:space="preserve">of </w:t>
      </w:r>
      <w:r w:rsidR="00724E43" w:rsidRPr="00550723">
        <w:rPr>
          <w:rFonts w:eastAsia="Times New Roman" w:cstheme="minorHAnsi"/>
          <w:color w:val="000000"/>
          <w:szCs w:val="20"/>
          <w:lang w:eastAsia="en-US"/>
        </w:rPr>
        <w:t>the institution should contribute to either educational practice, theory, implementation or scale</w:t>
      </w:r>
      <w:r w:rsidR="00766885">
        <w:rPr>
          <w:rFonts w:eastAsia="Times New Roman" w:cstheme="minorHAnsi"/>
          <w:color w:val="000000"/>
          <w:szCs w:val="20"/>
          <w:lang w:eastAsia="en-US"/>
        </w:rPr>
        <w:t>.</w:t>
      </w:r>
    </w:p>
    <w:p w14:paraId="7577AF6B" w14:textId="77777777" w:rsidR="00766885" w:rsidRPr="005A0C9B" w:rsidRDefault="00766885" w:rsidP="00CB6312">
      <w:pPr>
        <w:spacing w:after="0" w:line="240" w:lineRule="auto"/>
        <w:rPr>
          <w:rFonts w:ascii="Times New Roman" w:eastAsia="Times New Roman" w:hAnsi="Times New Roman" w:cs="Times New Roman"/>
          <w:color w:val="000000"/>
          <w:sz w:val="24"/>
          <w:szCs w:val="24"/>
          <w:lang w:eastAsia="en-US"/>
        </w:rPr>
      </w:pPr>
    </w:p>
    <w:p w14:paraId="053D189D" w14:textId="1A3A6621" w:rsidR="003C65D6" w:rsidRDefault="00C55383" w:rsidP="002C3D8F">
      <w:r>
        <w:t xml:space="preserve">It is useful to structure research in these areas as opposed to topic or even specific educational practice areas such as curriculum, because it allows for educational research topics to be targeted according to need and voice of the beneficiaries as opposed to being driven by fixed targets or agendas. </w:t>
      </w:r>
      <w:r w:rsidR="00724E43">
        <w:t xml:space="preserve">The institution should not only be driven by the end users but also impact on the end-user.  We believe that the institution </w:t>
      </w:r>
      <w:r w:rsidR="000B7916">
        <w:t>should impact</w:t>
      </w:r>
      <w:r w:rsidR="00724E43">
        <w:t xml:space="preserve"> on teachers but also those who are specifically engaged in generating or utilising education research</w:t>
      </w:r>
      <w:r w:rsidR="00C13AA4">
        <w:t>,</w:t>
      </w:r>
      <w:r w:rsidR="0058548F">
        <w:t xml:space="preserve"> particular</w:t>
      </w:r>
      <w:r w:rsidR="00C13AA4">
        <w:t>ly</w:t>
      </w:r>
      <w:r w:rsidR="0058548F">
        <w:t xml:space="preserve"> policymakers</w:t>
      </w:r>
      <w:r w:rsidR="00724E43">
        <w:t xml:space="preserve">. </w:t>
      </w:r>
      <w:r>
        <w:t>T</w:t>
      </w:r>
      <w:r w:rsidR="00922707" w:rsidRPr="00DA7D2D">
        <w:t>he beneficiaries of the impact of the institution are researchers, practitioners, policymakers and social commentators on education, it is argued that the institution</w:t>
      </w:r>
      <w:r w:rsidR="00724E43">
        <w:t xml:space="preserve"> as a matter of </w:t>
      </w:r>
      <w:r w:rsidR="0058548F">
        <w:t xml:space="preserve">principle </w:t>
      </w:r>
      <w:r w:rsidR="0058548F" w:rsidRPr="00DA7D2D">
        <w:t>forge</w:t>
      </w:r>
      <w:r w:rsidR="00922707" w:rsidRPr="00DA7D2D">
        <w:t xml:space="preserve"> relationships within and between the beneficiaries and the institution.</w:t>
      </w:r>
      <w:r w:rsidR="0058548F">
        <w:t xml:space="preserve"> This relationship between the </w:t>
      </w:r>
      <w:r w:rsidR="000B7916">
        <w:t>beneficiaries will ultimately have a knock-on effect on evidence informed practice.</w:t>
      </w:r>
    </w:p>
    <w:p w14:paraId="77BABB94" w14:textId="2C752495" w:rsidR="00C3129F" w:rsidRDefault="008368D7" w:rsidP="00DB07D0">
      <w:pPr>
        <w:spacing w:after="0"/>
      </w:pPr>
      <w:r>
        <w:lastRenderedPageBreak/>
        <w:t>As suggested</w:t>
      </w:r>
      <w:r w:rsidR="00C13AA4">
        <w:t>,</w:t>
      </w:r>
      <w:r>
        <w:t xml:space="preserve"> this utilisation focussed approach will </w:t>
      </w:r>
      <w:r w:rsidR="000B7916">
        <w:t xml:space="preserve">facilitate the development of </w:t>
      </w:r>
      <w:r w:rsidR="00724E43">
        <w:t>a system</w:t>
      </w:r>
      <w:r w:rsidR="000B7916">
        <w:t xml:space="preserve"> to </w:t>
      </w:r>
      <w:r w:rsidRPr="008368D7">
        <w:t>form</w:t>
      </w:r>
      <w:r>
        <w:t xml:space="preserve"> the </w:t>
      </w:r>
      <w:r w:rsidR="008E0A1C">
        <w:t>institution</w:t>
      </w:r>
      <w:r w:rsidR="000B7916">
        <w:t>.  T</w:t>
      </w:r>
      <w:r>
        <w:t xml:space="preserve">he needs of the end users or beneficiaries will determine targets, resources </w:t>
      </w:r>
      <w:r w:rsidR="008E0A1C">
        <w:t>and scope</w:t>
      </w:r>
      <w:r>
        <w:t xml:space="preserve"> of the work of the institute. As such along with the key principles collaboration and partnerships will be essential.</w:t>
      </w:r>
    </w:p>
    <w:p w14:paraId="51BB0D4F" w14:textId="77777777" w:rsidR="00C3129F" w:rsidRDefault="00C3129F" w:rsidP="002C3D8F"/>
    <w:p w14:paraId="0FFA62F3" w14:textId="77777777" w:rsidR="00810AE7" w:rsidRDefault="003C65D6" w:rsidP="00810AE7">
      <w:pPr>
        <w:pStyle w:val="NumberedHeading3"/>
      </w:pPr>
      <w:bookmarkStart w:id="40" w:name="_Toc509950628"/>
      <w:bookmarkStart w:id="41" w:name="_Toc508637959"/>
      <w:r>
        <w:t>T</w:t>
      </w:r>
      <w:r w:rsidR="00810AE7">
        <w:t>asks for implementing the Evidence into Action model</w:t>
      </w:r>
      <w:bookmarkEnd w:id="40"/>
    </w:p>
    <w:bookmarkEnd w:id="41"/>
    <w:p w14:paraId="13B2B030" w14:textId="72360846" w:rsidR="00C02F5E" w:rsidRPr="00DA7D2D" w:rsidRDefault="00810AE7" w:rsidP="00810AE7">
      <w:pPr>
        <w:rPr>
          <w:szCs w:val="20"/>
        </w:rPr>
      </w:pPr>
      <w:r>
        <w:rPr>
          <w:szCs w:val="20"/>
        </w:rPr>
        <w:t>As outlined in Figure 3, the following list and descriptions define each dimension</w:t>
      </w:r>
      <w:r w:rsidR="00C13AA4">
        <w:rPr>
          <w:szCs w:val="20"/>
        </w:rPr>
        <w:t xml:space="preserve"> within the model. T</w:t>
      </w:r>
      <w:r>
        <w:rPr>
          <w:szCs w:val="20"/>
        </w:rPr>
        <w:t xml:space="preserve">he descriptions are organised based on the four functions, the research areas and the suggested beneficiaries. </w:t>
      </w:r>
    </w:p>
    <w:p w14:paraId="491DE5D9" w14:textId="77777777" w:rsidR="00922707" w:rsidRPr="00DA7D2D" w:rsidRDefault="00922707" w:rsidP="00E833DA">
      <w:pPr>
        <w:pStyle w:val="Heading4"/>
      </w:pPr>
      <w:r w:rsidRPr="00DA7D2D">
        <w:t>G</w:t>
      </w:r>
      <w:r w:rsidR="00810AE7">
        <w:t>enerate and source evidence</w:t>
      </w:r>
    </w:p>
    <w:p w14:paraId="1B078974" w14:textId="5EAC2E0D" w:rsidR="00922707" w:rsidRPr="00DA7D2D" w:rsidRDefault="00FC7FD6" w:rsidP="00FC7FD6">
      <w:pPr>
        <w:rPr>
          <w:szCs w:val="20"/>
        </w:rPr>
      </w:pPr>
      <w:r>
        <w:rPr>
          <w:szCs w:val="20"/>
        </w:rPr>
        <w:t xml:space="preserve">The initial step in the cyclical process relates </w:t>
      </w:r>
      <w:r w:rsidR="00922707" w:rsidRPr="00DA7D2D">
        <w:rPr>
          <w:szCs w:val="20"/>
        </w:rPr>
        <w:t xml:space="preserve">to the creation, identification and/or collation of evidence in </w:t>
      </w:r>
      <w:r w:rsidR="005F186A" w:rsidRPr="00DA7D2D">
        <w:rPr>
          <w:szCs w:val="20"/>
        </w:rPr>
        <w:t>an</w:t>
      </w:r>
      <w:r w:rsidR="00922707" w:rsidRPr="00DA7D2D">
        <w:rPr>
          <w:szCs w:val="20"/>
        </w:rPr>
        <w:t xml:space="preserve"> </w:t>
      </w:r>
      <w:r w:rsidR="005F186A" w:rsidRPr="00DA7D2D">
        <w:rPr>
          <w:szCs w:val="20"/>
        </w:rPr>
        <w:t>area</w:t>
      </w:r>
      <w:r w:rsidR="00922707" w:rsidRPr="00DA7D2D">
        <w:rPr>
          <w:szCs w:val="20"/>
        </w:rPr>
        <w:t xml:space="preserve"> or theme </w:t>
      </w:r>
      <w:r>
        <w:rPr>
          <w:szCs w:val="20"/>
        </w:rPr>
        <w:t>within the key research areas (</w:t>
      </w:r>
      <w:r w:rsidR="00922707" w:rsidRPr="00DA7D2D">
        <w:rPr>
          <w:szCs w:val="20"/>
        </w:rPr>
        <w:t>policy, theory, practice implementation and scale</w:t>
      </w:r>
      <w:r>
        <w:rPr>
          <w:szCs w:val="20"/>
        </w:rPr>
        <w:t>)</w:t>
      </w:r>
      <w:r w:rsidR="00922707" w:rsidRPr="00DA7D2D">
        <w:rPr>
          <w:szCs w:val="20"/>
        </w:rPr>
        <w:t xml:space="preserve">. The following </w:t>
      </w:r>
      <w:r>
        <w:rPr>
          <w:szCs w:val="20"/>
        </w:rPr>
        <w:t>dimensions</w:t>
      </w:r>
      <w:r w:rsidR="00922707" w:rsidRPr="00DA7D2D">
        <w:rPr>
          <w:szCs w:val="20"/>
        </w:rPr>
        <w:t xml:space="preserve"> </w:t>
      </w:r>
      <w:r w:rsidR="00916499">
        <w:rPr>
          <w:szCs w:val="20"/>
        </w:rPr>
        <w:t>in</w:t>
      </w:r>
      <w:r w:rsidR="00916499" w:rsidRPr="00DA7D2D">
        <w:rPr>
          <w:szCs w:val="20"/>
        </w:rPr>
        <w:t xml:space="preserve"> </w:t>
      </w:r>
      <w:r w:rsidR="00922707" w:rsidRPr="00DA7D2D">
        <w:rPr>
          <w:szCs w:val="20"/>
        </w:rPr>
        <w:t>this st</w:t>
      </w:r>
      <w:r>
        <w:rPr>
          <w:szCs w:val="20"/>
        </w:rPr>
        <w:t xml:space="preserve">ep depict the </w:t>
      </w:r>
      <w:r w:rsidR="00922707" w:rsidRPr="00DA7D2D">
        <w:rPr>
          <w:szCs w:val="20"/>
        </w:rPr>
        <w:t xml:space="preserve">high-level characteristics </w:t>
      </w:r>
      <w:r>
        <w:rPr>
          <w:szCs w:val="20"/>
        </w:rPr>
        <w:t>upon</w:t>
      </w:r>
      <w:r w:rsidR="00922707" w:rsidRPr="00DA7D2D">
        <w:rPr>
          <w:szCs w:val="20"/>
        </w:rPr>
        <w:t xml:space="preserve"> which the research will ultimately be judged:</w:t>
      </w:r>
    </w:p>
    <w:p w14:paraId="0B30F5E5" w14:textId="77777777" w:rsidR="00922707" w:rsidRPr="00DB07D0" w:rsidRDefault="00922707" w:rsidP="00DB07D0">
      <w:pPr>
        <w:pStyle w:val="ListParagraph"/>
        <w:numPr>
          <w:ilvl w:val="0"/>
          <w:numId w:val="12"/>
        </w:numPr>
        <w:spacing w:after="0" w:line="240" w:lineRule="auto"/>
        <w:contextualSpacing/>
      </w:pPr>
      <w:r w:rsidRPr="00DB07D0">
        <w:t>Feasibility: The research can be implemented or achieved in a reasonable manner such that it is non-burdensome, effective, efficient, and considers value for investment of resources.</w:t>
      </w:r>
    </w:p>
    <w:p w14:paraId="705601FE" w14:textId="77777777" w:rsidR="00922707" w:rsidRPr="00DB07D0" w:rsidRDefault="00922707" w:rsidP="00DB07D0">
      <w:pPr>
        <w:pStyle w:val="ListParagraph"/>
        <w:numPr>
          <w:ilvl w:val="0"/>
          <w:numId w:val="12"/>
        </w:numPr>
        <w:spacing w:after="0" w:line="240" w:lineRule="auto"/>
        <w:contextualSpacing/>
      </w:pPr>
      <w:r w:rsidRPr="00DB07D0">
        <w:t>Appropriate: The research is suitable or proper for the issue, target group or context.</w:t>
      </w:r>
    </w:p>
    <w:p w14:paraId="2E976922" w14:textId="77777777" w:rsidR="00922707" w:rsidRPr="00DB07D0" w:rsidRDefault="00922707" w:rsidP="00DB07D0">
      <w:pPr>
        <w:pStyle w:val="ListParagraph"/>
        <w:numPr>
          <w:ilvl w:val="0"/>
          <w:numId w:val="12"/>
        </w:numPr>
        <w:spacing w:after="0" w:line="240" w:lineRule="auto"/>
        <w:contextualSpacing/>
      </w:pPr>
      <w:r w:rsidRPr="00DB07D0">
        <w:t>Adaptive: The findings of the research demonstrate adaptability such that the research findings could be implemented in the context of the various regions and population groups within Australia.</w:t>
      </w:r>
    </w:p>
    <w:p w14:paraId="01A8FA92" w14:textId="77777777" w:rsidR="00922707" w:rsidRPr="00DB07D0" w:rsidRDefault="00922707" w:rsidP="00DB07D0">
      <w:pPr>
        <w:pStyle w:val="ListParagraph"/>
        <w:numPr>
          <w:ilvl w:val="0"/>
          <w:numId w:val="12"/>
        </w:numPr>
        <w:spacing w:after="0" w:line="240" w:lineRule="auto"/>
        <w:contextualSpacing/>
      </w:pPr>
      <w:r w:rsidRPr="00DB07D0">
        <w:t xml:space="preserve">Effective: The research </w:t>
      </w:r>
      <w:r w:rsidR="00EC4258" w:rsidRPr="00DB07D0">
        <w:t>investigates</w:t>
      </w:r>
      <w:r w:rsidRPr="00DB07D0">
        <w:t xml:space="preserve"> the desired level outcomes.  </w:t>
      </w:r>
    </w:p>
    <w:p w14:paraId="4AA175E0" w14:textId="77777777" w:rsidR="00922707" w:rsidRPr="00DB07D0" w:rsidRDefault="00922707" w:rsidP="00DB07D0">
      <w:pPr>
        <w:pStyle w:val="ListParagraph"/>
        <w:numPr>
          <w:ilvl w:val="0"/>
          <w:numId w:val="12"/>
        </w:numPr>
        <w:spacing w:after="0" w:line="240" w:lineRule="auto"/>
        <w:contextualSpacing/>
      </w:pPr>
      <w:r w:rsidRPr="00DB07D0">
        <w:t xml:space="preserve">Relevant: The research is </w:t>
      </w:r>
      <w:r w:rsidR="00C41A02" w:rsidRPr="00DB07D0">
        <w:t>considered</w:t>
      </w:r>
      <w:r w:rsidRPr="00DB07D0">
        <w:t xml:space="preserve"> pertinent to a current educational issue and </w:t>
      </w:r>
      <w:r w:rsidR="005F186A" w:rsidRPr="00DB07D0">
        <w:t>to</w:t>
      </w:r>
      <w:r w:rsidRPr="00DB07D0">
        <w:t xml:space="preserve"> educational practice—furthermore, it is </w:t>
      </w:r>
      <w:r w:rsidR="00EC4258" w:rsidRPr="00DB07D0">
        <w:t>relevant to</w:t>
      </w:r>
      <w:r w:rsidRPr="00DB07D0">
        <w:t xml:space="preserve"> the beneficiaries. </w:t>
      </w:r>
    </w:p>
    <w:p w14:paraId="2F33ED1E" w14:textId="77777777" w:rsidR="00922707" w:rsidRPr="00DB07D0" w:rsidRDefault="00922707" w:rsidP="00DB07D0">
      <w:pPr>
        <w:pStyle w:val="ListParagraph"/>
        <w:numPr>
          <w:ilvl w:val="0"/>
          <w:numId w:val="12"/>
        </w:numPr>
        <w:spacing w:line="240" w:lineRule="auto"/>
        <w:contextualSpacing/>
      </w:pPr>
      <w:r w:rsidRPr="00DB07D0">
        <w:t>Quality: This standard and rigour of the research as measured against designated criteria for quality.</w:t>
      </w:r>
    </w:p>
    <w:p w14:paraId="761C5590" w14:textId="77777777" w:rsidR="00922707" w:rsidRPr="00DA7D2D" w:rsidRDefault="00810AE7" w:rsidP="00E833DA">
      <w:pPr>
        <w:pStyle w:val="Heading4"/>
        <w:rPr>
          <w:lang w:val="en-GB"/>
        </w:rPr>
      </w:pPr>
      <w:r>
        <w:t>Evidence synthesis</w:t>
      </w:r>
    </w:p>
    <w:p w14:paraId="380B61F6" w14:textId="77777777" w:rsidR="00922707" w:rsidRPr="00DA7D2D" w:rsidRDefault="00922707" w:rsidP="00922707">
      <w:pPr>
        <w:rPr>
          <w:szCs w:val="20"/>
          <w:lang w:val="en-GB"/>
        </w:rPr>
      </w:pPr>
      <w:r w:rsidRPr="00DA7D2D">
        <w:rPr>
          <w:szCs w:val="20"/>
        </w:rPr>
        <w:t xml:space="preserve">This </w:t>
      </w:r>
      <w:r w:rsidR="00EC4258">
        <w:rPr>
          <w:szCs w:val="20"/>
        </w:rPr>
        <w:t xml:space="preserve">second stage is focussed on the process of combining various components or </w:t>
      </w:r>
      <w:r w:rsidRPr="00DA7D2D">
        <w:rPr>
          <w:szCs w:val="20"/>
          <w:lang w:val="en-GB"/>
        </w:rPr>
        <w:t xml:space="preserve">elements of the research to form a connected whole. </w:t>
      </w:r>
      <w:r w:rsidR="000978F3">
        <w:rPr>
          <w:szCs w:val="20"/>
          <w:lang w:val="en-GB"/>
        </w:rPr>
        <w:t xml:space="preserve">The synthesis process requires a systematic approach to combining facts with criteria and standards to enable an evaluative judgement to be made about the topic under investigation. </w:t>
      </w:r>
      <w:r w:rsidRPr="00DA7D2D">
        <w:rPr>
          <w:szCs w:val="20"/>
          <w:lang w:val="en-GB"/>
        </w:rPr>
        <w:t xml:space="preserve">The following </w:t>
      </w:r>
      <w:r w:rsidR="004756E8">
        <w:rPr>
          <w:szCs w:val="20"/>
          <w:lang w:val="en-GB"/>
        </w:rPr>
        <w:t>dimensions</w:t>
      </w:r>
      <w:r w:rsidRPr="00DA7D2D">
        <w:rPr>
          <w:szCs w:val="20"/>
          <w:lang w:val="en-GB"/>
        </w:rPr>
        <w:t xml:space="preserve"> describe the strategy and tasks for </w:t>
      </w:r>
      <w:r w:rsidR="000978F3">
        <w:rPr>
          <w:szCs w:val="20"/>
          <w:lang w:val="en-GB"/>
        </w:rPr>
        <w:t>conducting evidence</w:t>
      </w:r>
      <w:r w:rsidRPr="00DA7D2D">
        <w:rPr>
          <w:szCs w:val="20"/>
          <w:lang w:val="en-GB"/>
        </w:rPr>
        <w:t xml:space="preserve"> synthesis: </w:t>
      </w:r>
    </w:p>
    <w:p w14:paraId="27B9DC88" w14:textId="0E6F88A2" w:rsidR="00922707" w:rsidRPr="00DB07D0" w:rsidRDefault="00922707" w:rsidP="00DB07D0">
      <w:pPr>
        <w:pStyle w:val="ListParagraph"/>
        <w:numPr>
          <w:ilvl w:val="0"/>
          <w:numId w:val="12"/>
        </w:numPr>
        <w:spacing w:after="0" w:line="240" w:lineRule="auto"/>
        <w:contextualSpacing/>
      </w:pPr>
      <w:r w:rsidRPr="00DB07D0">
        <w:t xml:space="preserve">Eclectic methodology: </w:t>
      </w:r>
      <w:r w:rsidR="00916499" w:rsidRPr="00DB07D0">
        <w:t>All research methods</w:t>
      </w:r>
      <w:r w:rsidRPr="00DB07D0">
        <w:t xml:space="preserve"> are accepted for use</w:t>
      </w:r>
      <w:r w:rsidR="00916499" w:rsidRPr="00DB07D0">
        <w:t>, with a clear understanding of the value and limitations of each approach as opposed to only accepting particular study types</w:t>
      </w:r>
      <w:r w:rsidRPr="00DB07D0">
        <w:t>.</w:t>
      </w:r>
    </w:p>
    <w:p w14:paraId="6DC0B609" w14:textId="68ED64BD" w:rsidR="00922707" w:rsidRPr="00DB07D0" w:rsidRDefault="00922707" w:rsidP="00DB07D0">
      <w:pPr>
        <w:pStyle w:val="ListParagraph"/>
        <w:numPr>
          <w:ilvl w:val="0"/>
          <w:numId w:val="12"/>
        </w:numPr>
        <w:spacing w:after="0" w:line="240" w:lineRule="auto"/>
        <w:contextualSpacing/>
      </w:pPr>
      <w:r w:rsidRPr="00DB07D0">
        <w:t xml:space="preserve">Quality: A set of standards is adopted </w:t>
      </w:r>
      <w:r w:rsidR="0072694C" w:rsidRPr="00DB07D0">
        <w:t>against</w:t>
      </w:r>
      <w:r w:rsidRPr="00DB07D0">
        <w:t xml:space="preserve"> which any research could be judged. </w:t>
      </w:r>
    </w:p>
    <w:p w14:paraId="15146890" w14:textId="10D72C90" w:rsidR="00922707" w:rsidRPr="00DB07D0" w:rsidRDefault="00922707" w:rsidP="00DB07D0">
      <w:pPr>
        <w:pStyle w:val="ListParagraph"/>
        <w:numPr>
          <w:ilvl w:val="0"/>
          <w:numId w:val="12"/>
        </w:numPr>
        <w:spacing w:after="0" w:line="240" w:lineRule="auto"/>
        <w:contextualSpacing/>
      </w:pPr>
      <w:r w:rsidRPr="00DB07D0">
        <w:t xml:space="preserve">Fit for purpose: Any chosen method must align with a key objective of the </w:t>
      </w:r>
      <w:r w:rsidR="000978F3" w:rsidRPr="00DB07D0">
        <w:t>research</w:t>
      </w:r>
      <w:r w:rsidR="0072694C" w:rsidRPr="00DB07D0">
        <w:t>,</w:t>
      </w:r>
      <w:r w:rsidRPr="00DB07D0">
        <w:t xml:space="preserve"> </w:t>
      </w:r>
      <w:r w:rsidR="005F186A" w:rsidRPr="00DB07D0">
        <w:t>whether</w:t>
      </w:r>
      <w:r w:rsidRPr="00DB07D0">
        <w:t xml:space="preserve"> the research relates to implementation</w:t>
      </w:r>
      <w:r w:rsidR="000978F3" w:rsidRPr="00DB07D0">
        <w:t>, theory, practice or scaling</w:t>
      </w:r>
      <w:r w:rsidRPr="00DB07D0">
        <w:t xml:space="preserve">. </w:t>
      </w:r>
    </w:p>
    <w:p w14:paraId="4AFC285D" w14:textId="77777777" w:rsidR="00922707" w:rsidRPr="00DB07D0" w:rsidRDefault="00922707" w:rsidP="00DB07D0">
      <w:pPr>
        <w:pStyle w:val="ListParagraph"/>
        <w:numPr>
          <w:ilvl w:val="0"/>
          <w:numId w:val="12"/>
        </w:numPr>
        <w:spacing w:line="240" w:lineRule="auto"/>
        <w:contextualSpacing/>
      </w:pPr>
      <w:r w:rsidRPr="00DB07D0">
        <w:t xml:space="preserve">Evaluative judgement: The institution will determine the merit and worth of </w:t>
      </w:r>
      <w:r w:rsidR="000978F3" w:rsidRPr="00DB07D0">
        <w:t>the evidence accessed in the synthesis process</w:t>
      </w:r>
      <w:r w:rsidRPr="00DB07D0">
        <w:t xml:space="preserve">. </w:t>
      </w:r>
    </w:p>
    <w:p w14:paraId="2EF2FA78" w14:textId="77777777" w:rsidR="00E73E7F" w:rsidRPr="00DA7D2D" w:rsidRDefault="00E73E7F" w:rsidP="00E73E7F">
      <w:pPr>
        <w:pStyle w:val="Heading4"/>
      </w:pPr>
      <w:r w:rsidRPr="00DA7D2D">
        <w:t>Utilisation</w:t>
      </w:r>
    </w:p>
    <w:p w14:paraId="3A7F9DC5" w14:textId="77777777" w:rsidR="00E73E7F" w:rsidRPr="00DA7D2D" w:rsidRDefault="00E73E7F" w:rsidP="00E73E7F">
      <w:pPr>
        <w:rPr>
          <w:szCs w:val="20"/>
        </w:rPr>
      </w:pPr>
      <w:r w:rsidRPr="00DA7D2D">
        <w:rPr>
          <w:szCs w:val="20"/>
        </w:rPr>
        <w:t>This is the process by which information is used in some form e.g., put to some practical use, hence it solidifies knowledge. The following</w:t>
      </w:r>
      <w:r>
        <w:rPr>
          <w:szCs w:val="20"/>
        </w:rPr>
        <w:t xml:space="preserve"> dimensions</w:t>
      </w:r>
      <w:r w:rsidRPr="00DA7D2D">
        <w:rPr>
          <w:szCs w:val="20"/>
        </w:rPr>
        <w:t xml:space="preserve"> describe the high-level strategies for </w:t>
      </w:r>
      <w:r>
        <w:rPr>
          <w:szCs w:val="20"/>
        </w:rPr>
        <w:t xml:space="preserve">maximising </w:t>
      </w:r>
      <w:r w:rsidRPr="00DA7D2D">
        <w:rPr>
          <w:szCs w:val="20"/>
        </w:rPr>
        <w:t xml:space="preserve">evidence use: </w:t>
      </w:r>
    </w:p>
    <w:p w14:paraId="4CD44FAE" w14:textId="77777777" w:rsidR="00E73E7F" w:rsidRPr="00DB07D0" w:rsidRDefault="00E73E7F" w:rsidP="00DB07D0">
      <w:pPr>
        <w:pStyle w:val="ListParagraph"/>
        <w:numPr>
          <w:ilvl w:val="0"/>
          <w:numId w:val="12"/>
        </w:numPr>
        <w:spacing w:after="0" w:line="240" w:lineRule="auto"/>
        <w:contextualSpacing/>
      </w:pPr>
      <w:r w:rsidRPr="00DB07D0">
        <w:t>Framework: Articulating a process for maximising evidence utilisation.</w:t>
      </w:r>
    </w:p>
    <w:p w14:paraId="08019A22" w14:textId="763E8777" w:rsidR="00E73E7F" w:rsidRPr="00DB07D0" w:rsidRDefault="00E73E7F" w:rsidP="00DB07D0">
      <w:pPr>
        <w:pStyle w:val="ListParagraph"/>
        <w:numPr>
          <w:ilvl w:val="0"/>
          <w:numId w:val="12"/>
        </w:numPr>
        <w:spacing w:after="0" w:line="240" w:lineRule="auto"/>
        <w:contextualSpacing/>
      </w:pPr>
      <w:r w:rsidRPr="00DB07D0">
        <w:t>Beneficiary engagement plan: Determining who and how much engagement is needed to ensure knowledge is translated</w:t>
      </w:r>
      <w:r w:rsidR="0072694C" w:rsidRPr="00DB07D0">
        <w:t xml:space="preserve"> and</w:t>
      </w:r>
      <w:r w:rsidRPr="00DB07D0">
        <w:t xml:space="preserve"> disseminated</w:t>
      </w:r>
      <w:r w:rsidR="0072694C" w:rsidRPr="00DB07D0">
        <w:t>,</w:t>
      </w:r>
      <w:r w:rsidRPr="00DB07D0">
        <w:t xml:space="preserve"> and</w:t>
      </w:r>
      <w:r w:rsidR="0072694C" w:rsidRPr="00DB07D0">
        <w:t xml:space="preserve"> that</w:t>
      </w:r>
      <w:r w:rsidRPr="00DB07D0">
        <w:t xml:space="preserve"> use is supported in practice and policy contexts.</w:t>
      </w:r>
    </w:p>
    <w:p w14:paraId="4082CE9D" w14:textId="77777777" w:rsidR="00E73E7F" w:rsidRPr="00DB07D0" w:rsidRDefault="00E73E7F" w:rsidP="00DB07D0">
      <w:pPr>
        <w:pStyle w:val="ListParagraph"/>
        <w:numPr>
          <w:ilvl w:val="0"/>
          <w:numId w:val="12"/>
        </w:numPr>
        <w:spacing w:after="0" w:line="240" w:lineRule="auto"/>
        <w:contextualSpacing/>
      </w:pPr>
      <w:r w:rsidRPr="00DB07D0">
        <w:t>Feedback loop: The process of ensuring that the receivers of information can voice their perception, assessment and priorities for future research.</w:t>
      </w:r>
    </w:p>
    <w:p w14:paraId="753D22B7" w14:textId="77777777" w:rsidR="00E73E7F" w:rsidRPr="00DB07D0" w:rsidRDefault="00E73E7F" w:rsidP="00DB07D0">
      <w:pPr>
        <w:pStyle w:val="ListParagraph"/>
        <w:numPr>
          <w:ilvl w:val="0"/>
          <w:numId w:val="12"/>
        </w:numPr>
        <w:spacing w:after="0" w:line="240" w:lineRule="auto"/>
        <w:contextualSpacing/>
      </w:pPr>
      <w:r w:rsidRPr="00DB07D0">
        <w:t>Connections created: Collaborative relationships are formed across researchers, practitioners, policymakers and social commentators.</w:t>
      </w:r>
    </w:p>
    <w:p w14:paraId="4569C3D6" w14:textId="77777777" w:rsidR="00E73E7F" w:rsidRPr="00DB07D0" w:rsidRDefault="00E73E7F" w:rsidP="00DB07D0">
      <w:pPr>
        <w:pStyle w:val="ListParagraph"/>
        <w:numPr>
          <w:ilvl w:val="0"/>
          <w:numId w:val="12"/>
        </w:numPr>
        <w:spacing w:after="0" w:line="240" w:lineRule="auto"/>
        <w:contextualSpacing/>
      </w:pPr>
      <w:r w:rsidRPr="00DB07D0">
        <w:t xml:space="preserve">Shared responsibility encouraged: All players within the institution take some responsibility to generate the direction and work of the institution. </w:t>
      </w:r>
    </w:p>
    <w:p w14:paraId="2B0885B2" w14:textId="77777777" w:rsidR="00E73E7F" w:rsidRDefault="00E73E7F" w:rsidP="00CD4FB0"/>
    <w:p w14:paraId="46A55FA3" w14:textId="56B9A555" w:rsidR="00922707" w:rsidRPr="00DA7D2D" w:rsidRDefault="00922707" w:rsidP="00E833DA">
      <w:pPr>
        <w:pStyle w:val="Heading4"/>
        <w:rPr>
          <w:bCs/>
          <w:lang w:val="en-GB"/>
        </w:rPr>
      </w:pPr>
      <w:r w:rsidRPr="00DA7D2D">
        <w:t>Knowledge management</w:t>
      </w:r>
    </w:p>
    <w:p w14:paraId="5152C09D" w14:textId="77777777" w:rsidR="00922707" w:rsidRPr="00DA7D2D" w:rsidRDefault="00922707" w:rsidP="00922707">
      <w:pPr>
        <w:rPr>
          <w:szCs w:val="20"/>
          <w:lang w:val="en-GB"/>
        </w:rPr>
      </w:pPr>
      <w:r w:rsidRPr="00DA7D2D">
        <w:rPr>
          <w:bCs/>
          <w:szCs w:val="20"/>
          <w:lang w:val="en-GB"/>
        </w:rPr>
        <w:t>Knowledge management</w:t>
      </w:r>
      <w:r w:rsidR="000978F3">
        <w:rPr>
          <w:szCs w:val="20"/>
          <w:lang w:val="en-GB"/>
        </w:rPr>
        <w:t xml:space="preserve"> </w:t>
      </w:r>
      <w:r w:rsidRPr="00DA7D2D">
        <w:rPr>
          <w:szCs w:val="20"/>
          <w:lang w:val="en-GB"/>
        </w:rPr>
        <w:t xml:space="preserve">is the process of collating, translating, and </w:t>
      </w:r>
      <w:r w:rsidR="004756E8">
        <w:rPr>
          <w:szCs w:val="20"/>
          <w:lang w:val="en-GB"/>
        </w:rPr>
        <w:t xml:space="preserve">effectively </w:t>
      </w:r>
      <w:r w:rsidRPr="00DA7D2D">
        <w:rPr>
          <w:szCs w:val="20"/>
          <w:lang w:val="en-GB"/>
        </w:rPr>
        <w:t xml:space="preserve">distributing </w:t>
      </w:r>
      <w:r w:rsidRPr="00DA7D2D">
        <w:rPr>
          <w:bCs/>
          <w:szCs w:val="20"/>
          <w:lang w:val="en-GB"/>
        </w:rPr>
        <w:t xml:space="preserve">the </w:t>
      </w:r>
      <w:r w:rsidR="004756E8">
        <w:rPr>
          <w:bCs/>
          <w:szCs w:val="20"/>
          <w:lang w:val="en-GB"/>
        </w:rPr>
        <w:t xml:space="preserve">synthesised </w:t>
      </w:r>
      <w:r w:rsidRPr="00DA7D2D">
        <w:rPr>
          <w:bCs/>
          <w:szCs w:val="20"/>
          <w:lang w:val="en-GB"/>
        </w:rPr>
        <w:t>research information</w:t>
      </w:r>
      <w:r w:rsidRPr="00DA7D2D">
        <w:rPr>
          <w:szCs w:val="20"/>
          <w:lang w:val="en-GB"/>
        </w:rPr>
        <w:t xml:space="preserve">. The following </w:t>
      </w:r>
      <w:r w:rsidR="004756E8">
        <w:rPr>
          <w:szCs w:val="20"/>
          <w:lang w:val="en-GB"/>
        </w:rPr>
        <w:t>dimensions describe the strategy and tasks for</w:t>
      </w:r>
      <w:r w:rsidR="00467225">
        <w:rPr>
          <w:szCs w:val="20"/>
          <w:lang w:val="en-GB"/>
        </w:rPr>
        <w:t xml:space="preserve"> knowledge management</w:t>
      </w:r>
      <w:r w:rsidRPr="00DA7D2D">
        <w:rPr>
          <w:szCs w:val="20"/>
          <w:lang w:val="en-GB"/>
        </w:rPr>
        <w:t>:</w:t>
      </w:r>
    </w:p>
    <w:p w14:paraId="6EB41D0D" w14:textId="77777777" w:rsidR="00922707" w:rsidRPr="00DB07D0" w:rsidRDefault="00922707" w:rsidP="00DB07D0">
      <w:pPr>
        <w:pStyle w:val="ListParagraph"/>
        <w:numPr>
          <w:ilvl w:val="0"/>
          <w:numId w:val="12"/>
        </w:numPr>
        <w:spacing w:after="0" w:line="240" w:lineRule="auto"/>
        <w:contextualSpacing/>
      </w:pPr>
      <w:r w:rsidRPr="00DB07D0">
        <w:t>Housing: All data captured is stored such that it is clean, secure and easily accessible.</w:t>
      </w:r>
    </w:p>
    <w:p w14:paraId="0ECB69A5" w14:textId="77777777" w:rsidR="00922707" w:rsidRPr="00DB07D0" w:rsidRDefault="00922707" w:rsidP="00DB07D0">
      <w:pPr>
        <w:pStyle w:val="ListParagraph"/>
        <w:numPr>
          <w:ilvl w:val="0"/>
          <w:numId w:val="12"/>
        </w:numPr>
        <w:spacing w:after="0" w:line="240" w:lineRule="auto"/>
        <w:contextualSpacing/>
      </w:pPr>
      <w:r w:rsidRPr="00DB07D0">
        <w:lastRenderedPageBreak/>
        <w:t>Data linkage: Various sets of information from varying sources can be acc</w:t>
      </w:r>
      <w:r w:rsidR="00467225" w:rsidRPr="00DB07D0">
        <w:t>essed and connected.</w:t>
      </w:r>
    </w:p>
    <w:p w14:paraId="2CA0A467" w14:textId="40DA6948" w:rsidR="00922707" w:rsidRPr="00DB07D0" w:rsidRDefault="0072694C" w:rsidP="00DB07D0">
      <w:pPr>
        <w:pStyle w:val="ListParagraph"/>
        <w:numPr>
          <w:ilvl w:val="0"/>
          <w:numId w:val="12"/>
        </w:numPr>
        <w:spacing w:after="0" w:line="240" w:lineRule="auto"/>
        <w:contextualSpacing/>
      </w:pPr>
      <w:r w:rsidRPr="00DB07D0">
        <w:t>Translation</w:t>
      </w:r>
      <w:r w:rsidR="00922707" w:rsidRPr="00DB07D0">
        <w:t>: Information collected needs to be interpreted and expressed in an appropriate form, language and style to ensure knowledge creation.</w:t>
      </w:r>
    </w:p>
    <w:p w14:paraId="29CFC582" w14:textId="21AD7035" w:rsidR="00922707" w:rsidRPr="00DB07D0" w:rsidRDefault="00922707" w:rsidP="00DB07D0">
      <w:pPr>
        <w:pStyle w:val="ListParagraph"/>
        <w:numPr>
          <w:ilvl w:val="0"/>
          <w:numId w:val="12"/>
        </w:numPr>
        <w:spacing w:line="240" w:lineRule="auto"/>
        <w:contextualSpacing/>
      </w:pPr>
      <w:r w:rsidRPr="00DB07D0">
        <w:t xml:space="preserve">Brokering: This process creates a conduit so the beneficiaries </w:t>
      </w:r>
      <w:r w:rsidR="00467225" w:rsidRPr="00DB07D0">
        <w:t>can</w:t>
      </w:r>
      <w:r w:rsidRPr="00DB07D0">
        <w:t xml:space="preserve"> better utilise</w:t>
      </w:r>
      <w:r w:rsidR="00467225" w:rsidRPr="00DB07D0">
        <w:t xml:space="preserve"> and share</w:t>
      </w:r>
      <w:r w:rsidRPr="00DB07D0">
        <w:t xml:space="preserve"> the evidence in some form</w:t>
      </w:r>
      <w:r w:rsidR="0072694C" w:rsidRPr="00DB07D0">
        <w:t>,</w:t>
      </w:r>
      <w:r w:rsidRPr="00DB07D0">
        <w:t xml:space="preserve"> and</w:t>
      </w:r>
      <w:r w:rsidR="0072694C" w:rsidRPr="00DB07D0">
        <w:t>,</w:t>
      </w:r>
      <w:r w:rsidRPr="00DB07D0">
        <w:t xml:space="preserve"> importantly</w:t>
      </w:r>
      <w:r w:rsidR="0072694C" w:rsidRPr="00DB07D0">
        <w:t>,</w:t>
      </w:r>
      <w:r w:rsidRPr="00DB07D0">
        <w:t xml:space="preserve"> influence each other's work. </w:t>
      </w:r>
    </w:p>
    <w:p w14:paraId="1F6E4B4B" w14:textId="77777777" w:rsidR="00922707" w:rsidRPr="00DA7D2D" w:rsidRDefault="00922707" w:rsidP="00E833DA">
      <w:pPr>
        <w:pStyle w:val="Heading4"/>
      </w:pPr>
      <w:bookmarkStart w:id="42" w:name="_Toc508637961"/>
      <w:r w:rsidRPr="00DA7D2D">
        <w:t>Key research areas</w:t>
      </w:r>
      <w:bookmarkEnd w:id="42"/>
    </w:p>
    <w:p w14:paraId="654B3497" w14:textId="6C6EDFD7" w:rsidR="00922707" w:rsidRPr="00DA7D2D" w:rsidRDefault="00922707" w:rsidP="00922707">
      <w:pPr>
        <w:rPr>
          <w:szCs w:val="20"/>
        </w:rPr>
      </w:pPr>
      <w:r w:rsidRPr="00DA7D2D">
        <w:rPr>
          <w:szCs w:val="20"/>
        </w:rPr>
        <w:t>These specific research areas are common across the institution</w:t>
      </w:r>
      <w:r w:rsidR="0072694C">
        <w:rPr>
          <w:szCs w:val="20"/>
        </w:rPr>
        <w:t>,</w:t>
      </w:r>
      <w:r w:rsidRPr="00DA7D2D">
        <w:rPr>
          <w:szCs w:val="20"/>
        </w:rPr>
        <w:t xml:space="preserve"> regardless of the targeted research agenda. The following describes the specific areas of focus:</w:t>
      </w:r>
    </w:p>
    <w:p w14:paraId="112D757A" w14:textId="77777777" w:rsidR="00922707" w:rsidRPr="00DB07D0" w:rsidRDefault="00DA2BEE" w:rsidP="00DB07D0">
      <w:pPr>
        <w:pStyle w:val="ListParagraph"/>
        <w:numPr>
          <w:ilvl w:val="0"/>
          <w:numId w:val="12"/>
        </w:numPr>
        <w:spacing w:line="240" w:lineRule="auto"/>
        <w:contextualSpacing/>
      </w:pPr>
      <w:r w:rsidRPr="00DB07D0">
        <w:t>Theory: Content and programs,</w:t>
      </w:r>
    </w:p>
    <w:p w14:paraId="18007D06" w14:textId="77777777" w:rsidR="00922707" w:rsidRPr="00DB07D0" w:rsidRDefault="00922707" w:rsidP="00DB07D0">
      <w:pPr>
        <w:pStyle w:val="ListParagraph"/>
        <w:numPr>
          <w:ilvl w:val="0"/>
          <w:numId w:val="12"/>
        </w:numPr>
        <w:spacing w:line="240" w:lineRule="auto"/>
        <w:contextualSpacing/>
      </w:pPr>
      <w:r w:rsidRPr="00DB07D0">
        <w:t>Practice: The tasks required for the fidelit</w:t>
      </w:r>
      <w:r w:rsidR="00DA2BEE" w:rsidRPr="00DB07D0">
        <w:t xml:space="preserve">y of the theory or programs </w:t>
      </w:r>
      <w:r w:rsidR="005F186A" w:rsidRPr="00DB07D0">
        <w:t>etc.</w:t>
      </w:r>
      <w:r w:rsidR="00DA2BEE" w:rsidRPr="00DB07D0">
        <w:t>,</w:t>
      </w:r>
    </w:p>
    <w:p w14:paraId="65C90F64" w14:textId="3E581619" w:rsidR="00922707" w:rsidRPr="00DB07D0" w:rsidRDefault="00922707" w:rsidP="00DB07D0">
      <w:pPr>
        <w:pStyle w:val="ListParagraph"/>
        <w:numPr>
          <w:ilvl w:val="0"/>
          <w:numId w:val="12"/>
        </w:numPr>
        <w:spacing w:line="240" w:lineRule="auto"/>
        <w:contextualSpacing/>
      </w:pPr>
      <w:r w:rsidRPr="00DB07D0">
        <w:t xml:space="preserve">Implementation: The degree and quality of tasks needed to put evidence </w:t>
      </w:r>
      <w:r w:rsidR="00DA2BEE" w:rsidRPr="00DB07D0">
        <w:t>into effect to achieve fidelity</w:t>
      </w:r>
      <w:r w:rsidR="00916499" w:rsidRPr="00DB07D0">
        <w:t>, including the required costs and resources</w:t>
      </w:r>
      <w:r w:rsidR="00DA2BEE" w:rsidRPr="00DB07D0">
        <w:t xml:space="preserve"> </w:t>
      </w:r>
    </w:p>
    <w:p w14:paraId="6D6062B7" w14:textId="0FC14DB9" w:rsidR="00922707" w:rsidRPr="00DB07D0" w:rsidRDefault="00922707" w:rsidP="00DB07D0">
      <w:pPr>
        <w:pStyle w:val="ListParagraph"/>
        <w:numPr>
          <w:ilvl w:val="0"/>
          <w:numId w:val="12"/>
        </w:numPr>
        <w:spacing w:line="240" w:lineRule="auto"/>
        <w:contextualSpacing/>
      </w:pPr>
      <w:r w:rsidRPr="00DB07D0">
        <w:t>Scale: The act of taking the evidence to a broad range or general population.</w:t>
      </w:r>
    </w:p>
    <w:p w14:paraId="25B7FC32" w14:textId="77777777" w:rsidR="00922707" w:rsidRPr="00DA7D2D" w:rsidRDefault="00922707" w:rsidP="00E833DA">
      <w:pPr>
        <w:pStyle w:val="Heading4"/>
      </w:pPr>
      <w:bookmarkStart w:id="43" w:name="_Toc508637962"/>
      <w:r w:rsidRPr="00DA7D2D">
        <w:t>Beneficiaries</w:t>
      </w:r>
      <w:bookmarkEnd w:id="43"/>
    </w:p>
    <w:p w14:paraId="1E52CB6E" w14:textId="08499E02" w:rsidR="00DA2BEE" w:rsidRDefault="00A41A59" w:rsidP="00DA2BEE">
      <w:pPr>
        <w:rPr>
          <w:szCs w:val="20"/>
        </w:rPr>
      </w:pPr>
      <w:r>
        <w:rPr>
          <w:szCs w:val="20"/>
        </w:rPr>
        <w:t>Finally,</w:t>
      </w:r>
      <w:r w:rsidR="00DA2BEE">
        <w:rPr>
          <w:szCs w:val="20"/>
        </w:rPr>
        <w:t xml:space="preserve"> this aspect of the Evidence into Action </w:t>
      </w:r>
      <w:r w:rsidR="0072694C">
        <w:rPr>
          <w:szCs w:val="20"/>
        </w:rPr>
        <w:t>m</w:t>
      </w:r>
      <w:r w:rsidR="00DA2BEE">
        <w:rPr>
          <w:szCs w:val="20"/>
        </w:rPr>
        <w:t xml:space="preserve">odel describes those groups and agents that will benefit from the institution and its activities: </w:t>
      </w:r>
    </w:p>
    <w:p w14:paraId="6952F674" w14:textId="77777777" w:rsidR="00922707" w:rsidRPr="00DB07D0" w:rsidRDefault="00922707" w:rsidP="00DB07D0">
      <w:pPr>
        <w:pStyle w:val="ListParagraph"/>
        <w:numPr>
          <w:ilvl w:val="0"/>
          <w:numId w:val="12"/>
        </w:numPr>
        <w:spacing w:line="240" w:lineRule="auto"/>
        <w:contextualSpacing/>
      </w:pPr>
      <w:r w:rsidRPr="00DB07D0">
        <w:t>Researchers: Those engaged in the completion of educational research.</w:t>
      </w:r>
    </w:p>
    <w:p w14:paraId="2EC5A286" w14:textId="1CB06E80" w:rsidR="00922707" w:rsidRPr="00DB07D0" w:rsidRDefault="00922707" w:rsidP="00DB07D0">
      <w:pPr>
        <w:pStyle w:val="ListParagraph"/>
        <w:numPr>
          <w:ilvl w:val="0"/>
          <w:numId w:val="12"/>
        </w:numPr>
        <w:spacing w:line="240" w:lineRule="auto"/>
        <w:contextualSpacing/>
      </w:pPr>
      <w:r w:rsidRPr="00DB07D0">
        <w:t>Practitioners: Those enacting or using evidence/research in educational communities.</w:t>
      </w:r>
    </w:p>
    <w:p w14:paraId="6EF8B51C" w14:textId="77777777" w:rsidR="00922707" w:rsidRPr="00DB07D0" w:rsidRDefault="00922707" w:rsidP="00DB07D0">
      <w:pPr>
        <w:pStyle w:val="ListParagraph"/>
        <w:numPr>
          <w:ilvl w:val="0"/>
          <w:numId w:val="12"/>
        </w:numPr>
        <w:spacing w:line="240" w:lineRule="auto"/>
        <w:contextualSpacing/>
      </w:pPr>
      <w:r w:rsidRPr="00DB07D0">
        <w:t>Policymakers: Those who creates ideas and plans, especially those carried out by government. </w:t>
      </w:r>
    </w:p>
    <w:p w14:paraId="5648E97C" w14:textId="46EB66F2" w:rsidR="00922707" w:rsidRPr="00DB07D0" w:rsidRDefault="00922707" w:rsidP="00DB07D0">
      <w:pPr>
        <w:pStyle w:val="ListParagraph"/>
        <w:numPr>
          <w:ilvl w:val="0"/>
          <w:numId w:val="12"/>
        </w:numPr>
        <w:spacing w:line="240" w:lineRule="auto"/>
        <w:contextualSpacing/>
      </w:pPr>
      <w:r w:rsidRPr="00DB07D0">
        <w:t>Social commentators: Those who have a voice in the process of education within community</w:t>
      </w:r>
      <w:r w:rsidR="0072694C" w:rsidRPr="00DB07D0">
        <w:t>,</w:t>
      </w:r>
      <w:r w:rsidRPr="00DB07D0">
        <w:t xml:space="preserve"> e.g. parents, not for profit groups, students etc.</w:t>
      </w:r>
    </w:p>
    <w:p w14:paraId="091DC98E" w14:textId="6453E7C5" w:rsidR="00273C6D" w:rsidRPr="00E8131A" w:rsidRDefault="00E8131A" w:rsidP="001D14EA">
      <w:pPr>
        <w:rPr>
          <w:rFonts w:ascii="Calibri" w:eastAsia="MS Mincho" w:hAnsi="Calibri" w:cs="Times New Roman"/>
        </w:rPr>
      </w:pPr>
      <w:r>
        <w:rPr>
          <w:rFonts w:ascii="Calibri" w:eastAsia="MS Mincho" w:hAnsi="Calibri" w:cs="Times New Roman"/>
        </w:rPr>
        <w:t>Organising these efforts is a significant undertaking</w:t>
      </w:r>
      <w:r w:rsidR="000A6972">
        <w:rPr>
          <w:rFonts w:ascii="Calibri" w:eastAsia="MS Mincho" w:hAnsi="Calibri" w:cs="Times New Roman"/>
        </w:rPr>
        <w:t xml:space="preserve"> and</w:t>
      </w:r>
      <w:r w:rsidR="0072694C">
        <w:rPr>
          <w:rFonts w:ascii="Calibri" w:eastAsia="MS Mincho" w:hAnsi="Calibri" w:cs="Times New Roman"/>
        </w:rPr>
        <w:t>,</w:t>
      </w:r>
      <w:r w:rsidR="000A6972">
        <w:rPr>
          <w:rFonts w:ascii="Calibri" w:eastAsia="MS Mincho" w:hAnsi="Calibri" w:cs="Times New Roman"/>
        </w:rPr>
        <w:t xml:space="preserve"> as described</w:t>
      </w:r>
      <w:r w:rsidR="0072694C">
        <w:rPr>
          <w:rFonts w:ascii="Calibri" w:eastAsia="MS Mincho" w:hAnsi="Calibri" w:cs="Times New Roman"/>
        </w:rPr>
        <w:t>,</w:t>
      </w:r>
      <w:r w:rsidR="000A6972">
        <w:rPr>
          <w:rFonts w:ascii="Calibri" w:eastAsia="MS Mincho" w:hAnsi="Calibri" w:cs="Times New Roman"/>
        </w:rPr>
        <w:t xml:space="preserve"> a collaborative partnership may be necessary. One stakeholder suggested that ‘this can’t </w:t>
      </w:r>
      <w:r w:rsidR="008E0A1C">
        <w:rPr>
          <w:rFonts w:ascii="Calibri" w:eastAsia="MS Mincho" w:hAnsi="Calibri" w:cs="Times New Roman"/>
        </w:rPr>
        <w:t xml:space="preserve">be seen </w:t>
      </w:r>
      <w:r w:rsidR="000A6972">
        <w:rPr>
          <w:rFonts w:ascii="Calibri" w:eastAsia="MS Mincho" w:hAnsi="Calibri" w:cs="Times New Roman"/>
        </w:rPr>
        <w:t>a</w:t>
      </w:r>
      <w:r w:rsidR="008E0A1C">
        <w:rPr>
          <w:rFonts w:ascii="Calibri" w:eastAsia="MS Mincho" w:hAnsi="Calibri" w:cs="Times New Roman"/>
        </w:rPr>
        <w:t>s</w:t>
      </w:r>
      <w:r w:rsidR="000A6972">
        <w:rPr>
          <w:rFonts w:ascii="Calibri" w:eastAsia="MS Mincho" w:hAnsi="Calibri" w:cs="Times New Roman"/>
        </w:rPr>
        <w:t xml:space="preserve"> the </w:t>
      </w:r>
      <w:r w:rsidR="008E0A1C">
        <w:rPr>
          <w:rFonts w:ascii="Calibri" w:eastAsia="MS Mincho" w:hAnsi="Calibri" w:cs="Times New Roman"/>
        </w:rPr>
        <w:t>silver</w:t>
      </w:r>
      <w:r w:rsidR="000A6972">
        <w:rPr>
          <w:rFonts w:ascii="Calibri" w:eastAsia="MS Mincho" w:hAnsi="Calibri" w:cs="Times New Roman"/>
        </w:rPr>
        <w:t xml:space="preserve"> bullet, it will requ</w:t>
      </w:r>
      <w:r w:rsidR="008E0A1C">
        <w:rPr>
          <w:rFonts w:ascii="Calibri" w:eastAsia="MS Mincho" w:hAnsi="Calibri" w:cs="Times New Roman"/>
        </w:rPr>
        <w:t>ire support from many areas’, hence, considering a</w:t>
      </w:r>
      <w:r w:rsidR="000A6972">
        <w:rPr>
          <w:rFonts w:ascii="Calibri" w:eastAsia="MS Mincho" w:hAnsi="Calibri" w:cs="Times New Roman"/>
        </w:rPr>
        <w:t xml:space="preserve"> </w:t>
      </w:r>
      <w:r w:rsidRPr="00E8131A">
        <w:rPr>
          <w:rFonts w:ascii="Calibri" w:eastAsia="MS Mincho" w:hAnsi="Calibri" w:cs="Times New Roman"/>
        </w:rPr>
        <w:t xml:space="preserve">structure </w:t>
      </w:r>
      <w:r w:rsidR="008E0A1C" w:rsidRPr="00E8131A">
        <w:rPr>
          <w:rFonts w:ascii="Calibri" w:eastAsia="MS Mincho" w:hAnsi="Calibri" w:cs="Times New Roman"/>
        </w:rPr>
        <w:t xml:space="preserve">for </w:t>
      </w:r>
      <w:r w:rsidR="008E0A1C">
        <w:rPr>
          <w:rFonts w:ascii="Calibri" w:eastAsia="MS Mincho" w:hAnsi="Calibri" w:cs="Times New Roman"/>
        </w:rPr>
        <w:t>establishing</w:t>
      </w:r>
      <w:r w:rsidR="000A6972">
        <w:rPr>
          <w:rFonts w:ascii="Calibri" w:eastAsia="MS Mincho" w:hAnsi="Calibri" w:cs="Times New Roman"/>
        </w:rPr>
        <w:t xml:space="preserve"> partnerships </w:t>
      </w:r>
      <w:r w:rsidR="008E0A1C">
        <w:rPr>
          <w:rFonts w:ascii="Calibri" w:eastAsia="MS Mincho" w:hAnsi="Calibri" w:cs="Times New Roman"/>
        </w:rPr>
        <w:t>around some</w:t>
      </w:r>
      <w:r w:rsidR="000A6972">
        <w:rPr>
          <w:rFonts w:ascii="Calibri" w:eastAsia="MS Mincho" w:hAnsi="Calibri" w:cs="Times New Roman"/>
        </w:rPr>
        <w:t xml:space="preserve"> level </w:t>
      </w:r>
      <w:r w:rsidRPr="00E8131A">
        <w:rPr>
          <w:rFonts w:ascii="Calibri" w:eastAsia="MS Mincho" w:hAnsi="Calibri" w:cs="Times New Roman"/>
        </w:rPr>
        <w:t>collective action</w:t>
      </w:r>
      <w:r w:rsidR="000A6972">
        <w:rPr>
          <w:rFonts w:ascii="Calibri" w:eastAsia="MS Mincho" w:hAnsi="Calibri" w:cs="Times New Roman"/>
        </w:rPr>
        <w:t xml:space="preserve"> will be helpful. </w:t>
      </w:r>
      <w:r w:rsidRPr="00E8131A">
        <w:rPr>
          <w:rFonts w:ascii="Calibri" w:eastAsia="MS Mincho" w:hAnsi="Calibri" w:cs="Times New Roman"/>
        </w:rPr>
        <w:t xml:space="preserve">Collaboration </w:t>
      </w:r>
      <w:r w:rsidR="000A6972">
        <w:rPr>
          <w:rFonts w:ascii="Calibri" w:eastAsia="MS Mincho" w:hAnsi="Calibri" w:cs="Times New Roman"/>
        </w:rPr>
        <w:t xml:space="preserve">will </w:t>
      </w:r>
      <w:r w:rsidR="00C45C55">
        <w:rPr>
          <w:rFonts w:ascii="Calibri" w:eastAsia="MS Mincho" w:hAnsi="Calibri" w:cs="Times New Roman"/>
        </w:rPr>
        <w:t xml:space="preserve">be </w:t>
      </w:r>
      <w:r w:rsidR="00C45C55" w:rsidRPr="00E8131A">
        <w:rPr>
          <w:rFonts w:ascii="Calibri" w:eastAsia="MS Mincho" w:hAnsi="Calibri" w:cs="Times New Roman"/>
        </w:rPr>
        <w:t>fundamental</w:t>
      </w:r>
      <w:r w:rsidRPr="00E8131A">
        <w:rPr>
          <w:rFonts w:ascii="Calibri" w:eastAsia="MS Mincho" w:hAnsi="Calibri" w:cs="Times New Roman"/>
        </w:rPr>
        <w:t xml:space="preserve"> to this process and mobilising the community around a common agenda that is underpinned by a strong educational theory will increase success. </w:t>
      </w:r>
      <w:r w:rsidR="008E0A1C">
        <w:t xml:space="preserve">Targeting needs that are relevant to the </w:t>
      </w:r>
      <w:r w:rsidR="00C45C55">
        <w:t>beneficiaries while</w:t>
      </w:r>
      <w:r w:rsidR="008E0A1C">
        <w:t xml:space="preserve"> at the same time developing strong understanding through the system will be important. </w:t>
      </w:r>
    </w:p>
    <w:p w14:paraId="56CA0B99" w14:textId="77777777" w:rsidR="00DA7D2D" w:rsidRPr="00DA7D2D" w:rsidRDefault="00DA7D2D" w:rsidP="00DA7D2D">
      <w:pPr>
        <w:pStyle w:val="NumberedHeading2"/>
      </w:pPr>
      <w:bookmarkStart w:id="44" w:name="_Toc503264960"/>
      <w:bookmarkStart w:id="45" w:name="_Toc508637951"/>
      <w:r w:rsidRPr="00DA7D2D">
        <w:tab/>
      </w:r>
      <w:bookmarkStart w:id="46" w:name="_Toc509950629"/>
      <w:r w:rsidRPr="00DA7D2D">
        <w:t>Recommendations</w:t>
      </w:r>
      <w:bookmarkEnd w:id="44"/>
      <w:bookmarkEnd w:id="45"/>
      <w:bookmarkEnd w:id="46"/>
      <w:r w:rsidRPr="00DA7D2D">
        <w:t xml:space="preserve"> </w:t>
      </w:r>
    </w:p>
    <w:p w14:paraId="202BE392" w14:textId="378BF1FA" w:rsidR="00DA7D2D" w:rsidRPr="00DA7D2D" w:rsidRDefault="008E0A1C" w:rsidP="00DA2BEE">
      <w:pPr>
        <w:rPr>
          <w:szCs w:val="20"/>
          <w:lang w:val="en-US"/>
        </w:rPr>
      </w:pPr>
      <w:r>
        <w:rPr>
          <w:szCs w:val="20"/>
          <w:lang w:val="en-US"/>
        </w:rPr>
        <w:t>I</w:t>
      </w:r>
      <w:r w:rsidR="000A6972">
        <w:rPr>
          <w:szCs w:val="20"/>
          <w:lang w:val="en-US"/>
        </w:rPr>
        <w:t xml:space="preserve">t is recommended that an </w:t>
      </w:r>
      <w:r w:rsidR="00C45C55" w:rsidRPr="00DA7D2D">
        <w:rPr>
          <w:szCs w:val="20"/>
          <w:lang w:val="en-US"/>
        </w:rPr>
        <w:t xml:space="preserve">independent </w:t>
      </w:r>
      <w:r w:rsidR="00C45C55">
        <w:rPr>
          <w:szCs w:val="20"/>
          <w:lang w:val="en-US"/>
        </w:rPr>
        <w:t>and</w:t>
      </w:r>
      <w:r w:rsidR="000A6972">
        <w:rPr>
          <w:szCs w:val="20"/>
          <w:lang w:val="en-US"/>
        </w:rPr>
        <w:t xml:space="preserve"> strategic </w:t>
      </w:r>
      <w:r w:rsidR="00DA7D2D" w:rsidRPr="00DA7D2D">
        <w:rPr>
          <w:szCs w:val="20"/>
          <w:lang w:val="en-US"/>
        </w:rPr>
        <w:t xml:space="preserve">institution with the aim of supporting, sourcing, generating, </w:t>
      </w:r>
      <w:proofErr w:type="spellStart"/>
      <w:r w:rsidR="00DA7D2D" w:rsidRPr="00DA7D2D">
        <w:rPr>
          <w:szCs w:val="20"/>
          <w:lang w:val="en-US"/>
        </w:rPr>
        <w:t>synthesising</w:t>
      </w:r>
      <w:proofErr w:type="spellEnd"/>
      <w:r w:rsidR="00DA7D2D" w:rsidRPr="00DA7D2D">
        <w:rPr>
          <w:szCs w:val="20"/>
          <w:lang w:val="en-US"/>
        </w:rPr>
        <w:t xml:space="preserve"> and promoting the use of educational evidence of all forms</w:t>
      </w:r>
      <w:r w:rsidR="00086A92">
        <w:rPr>
          <w:szCs w:val="20"/>
          <w:lang w:val="en-US"/>
        </w:rPr>
        <w:t xml:space="preserve"> be established</w:t>
      </w:r>
      <w:r w:rsidR="00DA7D2D" w:rsidRPr="00DA7D2D">
        <w:rPr>
          <w:szCs w:val="20"/>
          <w:lang w:val="en-US"/>
        </w:rPr>
        <w:t>.</w:t>
      </w:r>
      <w:r w:rsidR="00086A92">
        <w:rPr>
          <w:szCs w:val="20"/>
          <w:lang w:val="en-US"/>
        </w:rPr>
        <w:t xml:space="preserve"> Specifically, it is recommended </w:t>
      </w:r>
      <w:r w:rsidR="004064EE">
        <w:rPr>
          <w:szCs w:val="20"/>
          <w:lang w:val="en-US"/>
        </w:rPr>
        <w:t>that while</w:t>
      </w:r>
      <w:r w:rsidR="00362474">
        <w:rPr>
          <w:szCs w:val="20"/>
          <w:lang w:val="en-US"/>
        </w:rPr>
        <w:t xml:space="preserve"> </w:t>
      </w:r>
      <w:r w:rsidR="00086A92">
        <w:rPr>
          <w:szCs w:val="20"/>
          <w:lang w:val="en-US"/>
        </w:rPr>
        <w:t>the institution</w:t>
      </w:r>
      <w:r w:rsidR="000A6972">
        <w:rPr>
          <w:szCs w:val="20"/>
          <w:lang w:val="en-US"/>
        </w:rPr>
        <w:t xml:space="preserve"> </w:t>
      </w:r>
      <w:r>
        <w:rPr>
          <w:szCs w:val="20"/>
          <w:lang w:val="en-US"/>
        </w:rPr>
        <w:t>adopts a way of working</w:t>
      </w:r>
      <w:r w:rsidR="000A6972">
        <w:rPr>
          <w:szCs w:val="20"/>
          <w:lang w:val="en-US"/>
        </w:rPr>
        <w:t xml:space="preserve"> that is similar </w:t>
      </w:r>
      <w:r w:rsidR="004064EE">
        <w:rPr>
          <w:szCs w:val="20"/>
          <w:lang w:val="en-US"/>
        </w:rPr>
        <w:t>to a</w:t>
      </w:r>
      <w:r>
        <w:rPr>
          <w:szCs w:val="20"/>
          <w:lang w:val="en-US"/>
        </w:rPr>
        <w:t xml:space="preserve"> </w:t>
      </w:r>
      <w:r w:rsidR="00E8131A">
        <w:rPr>
          <w:szCs w:val="20"/>
          <w:lang w:val="en-US"/>
        </w:rPr>
        <w:t>Collective Impact approach</w:t>
      </w:r>
      <w:r w:rsidR="00DA2BAD">
        <w:rPr>
          <w:szCs w:val="20"/>
          <w:lang w:val="en-US"/>
        </w:rPr>
        <w:t>,</w:t>
      </w:r>
      <w:r w:rsidR="00E8131A">
        <w:rPr>
          <w:szCs w:val="20"/>
          <w:lang w:val="en-US"/>
        </w:rPr>
        <w:t xml:space="preserve"> </w:t>
      </w:r>
      <w:r w:rsidR="00362474">
        <w:rPr>
          <w:szCs w:val="20"/>
          <w:lang w:val="en-US"/>
        </w:rPr>
        <w:t xml:space="preserve">it must not syphon off responsibility </w:t>
      </w:r>
      <w:r w:rsidR="00C45C55">
        <w:rPr>
          <w:szCs w:val="20"/>
          <w:lang w:val="en-US"/>
        </w:rPr>
        <w:t>for the</w:t>
      </w:r>
      <w:r w:rsidR="00362474">
        <w:rPr>
          <w:szCs w:val="20"/>
          <w:lang w:val="en-US"/>
        </w:rPr>
        <w:t xml:space="preserve"> </w:t>
      </w:r>
      <w:r w:rsidR="00362474" w:rsidRPr="004064EE">
        <w:rPr>
          <w:szCs w:val="20"/>
          <w:lang w:val="en-US"/>
        </w:rPr>
        <w:t>strategic</w:t>
      </w:r>
      <w:r w:rsidR="00362474">
        <w:rPr>
          <w:szCs w:val="20"/>
          <w:lang w:val="en-US"/>
        </w:rPr>
        <w:t xml:space="preserve"> </w:t>
      </w:r>
      <w:r>
        <w:rPr>
          <w:szCs w:val="20"/>
          <w:lang w:val="en-US"/>
        </w:rPr>
        <w:t xml:space="preserve">aspects or </w:t>
      </w:r>
      <w:r w:rsidR="00362474">
        <w:rPr>
          <w:szCs w:val="20"/>
          <w:lang w:val="en-US"/>
        </w:rPr>
        <w:t xml:space="preserve">targets for brokering and connecting knowledge. </w:t>
      </w:r>
      <w:r w:rsidR="004064EE">
        <w:rPr>
          <w:szCs w:val="20"/>
          <w:lang w:val="en-US"/>
        </w:rPr>
        <w:t>Furthermore,</w:t>
      </w:r>
      <w:r w:rsidR="00362474">
        <w:rPr>
          <w:szCs w:val="20"/>
          <w:lang w:val="en-US"/>
        </w:rPr>
        <w:t xml:space="preserve"> the </w:t>
      </w:r>
      <w:proofErr w:type="spellStart"/>
      <w:r w:rsidR="00362474">
        <w:rPr>
          <w:szCs w:val="20"/>
          <w:lang w:val="en-US"/>
        </w:rPr>
        <w:t>organisation</w:t>
      </w:r>
      <w:proofErr w:type="spellEnd"/>
      <w:r w:rsidR="00362474">
        <w:rPr>
          <w:szCs w:val="20"/>
          <w:lang w:val="en-US"/>
        </w:rPr>
        <w:t xml:space="preserve"> should:</w:t>
      </w:r>
    </w:p>
    <w:p w14:paraId="4EC61C99" w14:textId="0ECED69F" w:rsidR="00DA7D2D" w:rsidRPr="00985AF6" w:rsidRDefault="003D4040" w:rsidP="00985AF6">
      <w:pPr>
        <w:pStyle w:val="ListParagraph"/>
        <w:numPr>
          <w:ilvl w:val="0"/>
          <w:numId w:val="12"/>
        </w:numPr>
        <w:spacing w:line="240" w:lineRule="auto"/>
        <w:contextualSpacing/>
      </w:pPr>
      <w:r w:rsidRPr="00985AF6">
        <w:t>D</w:t>
      </w:r>
      <w:r w:rsidR="00362474" w:rsidRPr="00985AF6">
        <w:t>evelop</w:t>
      </w:r>
      <w:r w:rsidR="00DA7D2D" w:rsidRPr="00985AF6">
        <w:t xml:space="preserve"> a set of guiding principles for practice that are acceptable to the education community.</w:t>
      </w:r>
    </w:p>
    <w:p w14:paraId="0A043679" w14:textId="300C3A39" w:rsidR="003C0871" w:rsidRPr="00985AF6" w:rsidRDefault="003D4040" w:rsidP="00985AF6">
      <w:pPr>
        <w:pStyle w:val="ListParagraph"/>
        <w:numPr>
          <w:ilvl w:val="0"/>
          <w:numId w:val="12"/>
        </w:numPr>
        <w:spacing w:line="240" w:lineRule="auto"/>
        <w:contextualSpacing/>
      </w:pPr>
      <w:r w:rsidRPr="00985AF6">
        <w:t>B</w:t>
      </w:r>
      <w:r w:rsidR="003C0871" w:rsidRPr="00985AF6">
        <w:t xml:space="preserve">e established and implemented in such a way that it mirrors the philosophy of Australia's inclusive, diverse, culture and contexts and acts as a conduit for groups to access and share knowledge. </w:t>
      </w:r>
    </w:p>
    <w:p w14:paraId="48065A96" w14:textId="25A924D8" w:rsidR="00DA7D2D" w:rsidRPr="00985AF6" w:rsidRDefault="003D4040" w:rsidP="00985AF6">
      <w:pPr>
        <w:pStyle w:val="ListParagraph"/>
        <w:numPr>
          <w:ilvl w:val="0"/>
          <w:numId w:val="12"/>
        </w:numPr>
        <w:spacing w:line="240" w:lineRule="auto"/>
        <w:contextualSpacing/>
      </w:pPr>
      <w:r w:rsidRPr="00985AF6">
        <w:t>E</w:t>
      </w:r>
      <w:r w:rsidR="00DA7D2D" w:rsidRPr="00985AF6">
        <w:t xml:space="preserve">xplore the merit and worth of the following guiding principles described in the </w:t>
      </w:r>
      <w:r w:rsidR="00086A92" w:rsidRPr="00985AF6">
        <w:t>Evidence into Action model</w:t>
      </w:r>
      <w:r w:rsidR="00DA7D2D" w:rsidRPr="00985AF6">
        <w:t xml:space="preserve"> and determine the acceptability of the principles by stakeholders. The following principles are recommended as key to the success of any evidence-based organisation:</w:t>
      </w:r>
    </w:p>
    <w:p w14:paraId="36CE0369" w14:textId="77777777" w:rsidR="00DA7D2D" w:rsidRPr="00DA7D2D" w:rsidRDefault="00DA7D2D" w:rsidP="00985AF6">
      <w:pPr>
        <w:pStyle w:val="NoSpacing"/>
        <w:numPr>
          <w:ilvl w:val="2"/>
          <w:numId w:val="56"/>
        </w:numPr>
        <w:ind w:left="1400" w:hanging="300"/>
      </w:pPr>
      <w:r w:rsidRPr="00DA7D2D">
        <w:t>Independence</w:t>
      </w:r>
    </w:p>
    <w:p w14:paraId="1865A199" w14:textId="77777777" w:rsidR="00DA7D2D" w:rsidRPr="00DA7D2D" w:rsidRDefault="00DA7D2D" w:rsidP="00985AF6">
      <w:pPr>
        <w:pStyle w:val="NoSpacing"/>
        <w:numPr>
          <w:ilvl w:val="2"/>
          <w:numId w:val="56"/>
        </w:numPr>
        <w:ind w:left="1400" w:hanging="300"/>
      </w:pPr>
      <w:r w:rsidRPr="00DA7D2D">
        <w:t xml:space="preserve">Collaboration </w:t>
      </w:r>
    </w:p>
    <w:p w14:paraId="0DF524E1" w14:textId="77777777" w:rsidR="00DA7D2D" w:rsidRPr="00DA7D2D" w:rsidRDefault="00DA7D2D" w:rsidP="00985AF6">
      <w:pPr>
        <w:pStyle w:val="NoSpacing"/>
        <w:numPr>
          <w:ilvl w:val="2"/>
          <w:numId w:val="56"/>
        </w:numPr>
        <w:ind w:left="1400" w:hanging="300"/>
      </w:pPr>
      <w:r w:rsidRPr="00DA7D2D">
        <w:t>Evaluation</w:t>
      </w:r>
    </w:p>
    <w:p w14:paraId="10948B5B" w14:textId="77777777" w:rsidR="00DA7D2D" w:rsidRPr="00DA7D2D" w:rsidRDefault="00DA7D2D" w:rsidP="00985AF6">
      <w:pPr>
        <w:pStyle w:val="NoSpacing"/>
        <w:numPr>
          <w:ilvl w:val="2"/>
          <w:numId w:val="56"/>
        </w:numPr>
        <w:ind w:left="1400" w:hanging="300"/>
      </w:pPr>
      <w:r w:rsidRPr="00DA7D2D">
        <w:t>Promotion and advocacy</w:t>
      </w:r>
    </w:p>
    <w:p w14:paraId="2DB2DDB4" w14:textId="77777777" w:rsidR="00DA7D2D" w:rsidRPr="00DA7D2D" w:rsidRDefault="00DA7D2D" w:rsidP="00985AF6">
      <w:pPr>
        <w:pStyle w:val="NoSpacing"/>
        <w:numPr>
          <w:ilvl w:val="2"/>
          <w:numId w:val="56"/>
        </w:numPr>
        <w:ind w:left="1400" w:hanging="300"/>
      </w:pPr>
      <w:r w:rsidRPr="00DA7D2D">
        <w:t>Capacity building</w:t>
      </w:r>
    </w:p>
    <w:p w14:paraId="41F00C58" w14:textId="77777777" w:rsidR="00DA7D2D" w:rsidRPr="00DA7D2D" w:rsidRDefault="00DA7D2D" w:rsidP="00985AF6">
      <w:pPr>
        <w:pStyle w:val="NoSpacing"/>
        <w:numPr>
          <w:ilvl w:val="2"/>
          <w:numId w:val="56"/>
        </w:numPr>
        <w:ind w:left="1400" w:hanging="300"/>
      </w:pPr>
      <w:r w:rsidRPr="00DA7D2D">
        <w:t>Environmental forecasting</w:t>
      </w:r>
    </w:p>
    <w:p w14:paraId="31167086" w14:textId="77777777" w:rsidR="00DA7D2D" w:rsidRPr="00DA7D2D" w:rsidRDefault="00DA7D2D" w:rsidP="00985AF6">
      <w:pPr>
        <w:pStyle w:val="NoSpacing"/>
        <w:numPr>
          <w:ilvl w:val="2"/>
          <w:numId w:val="56"/>
        </w:numPr>
        <w:ind w:left="1400" w:hanging="300"/>
      </w:pPr>
      <w:r w:rsidRPr="00DA7D2D">
        <w:t>Responsiveness to the educational community</w:t>
      </w:r>
    </w:p>
    <w:p w14:paraId="44E79561" w14:textId="77777777" w:rsidR="00DA7D2D" w:rsidRPr="00DA7D2D" w:rsidRDefault="00DA7D2D" w:rsidP="00985AF6">
      <w:pPr>
        <w:pStyle w:val="NoSpacing"/>
        <w:numPr>
          <w:ilvl w:val="2"/>
          <w:numId w:val="56"/>
        </w:numPr>
        <w:ind w:left="1400" w:hanging="300"/>
      </w:pPr>
      <w:r w:rsidRPr="00DA7D2D">
        <w:t>Innovation</w:t>
      </w:r>
    </w:p>
    <w:p w14:paraId="035A75C5" w14:textId="77777777" w:rsidR="00DA7D2D" w:rsidRPr="00DA7D2D" w:rsidRDefault="00DA7D2D" w:rsidP="00985AF6">
      <w:pPr>
        <w:pStyle w:val="NoSpacing"/>
        <w:numPr>
          <w:ilvl w:val="2"/>
          <w:numId w:val="56"/>
        </w:numPr>
        <w:ind w:left="1400" w:hanging="300"/>
      </w:pPr>
      <w:r w:rsidRPr="00DA7D2D">
        <w:t>Dynamic</w:t>
      </w:r>
    </w:p>
    <w:p w14:paraId="4064BDA4" w14:textId="64F72FFC" w:rsidR="00DA7D2D" w:rsidRPr="00985AF6" w:rsidRDefault="003D4040" w:rsidP="00985AF6">
      <w:pPr>
        <w:pStyle w:val="ListParagraph"/>
        <w:numPr>
          <w:ilvl w:val="0"/>
          <w:numId w:val="12"/>
        </w:numPr>
        <w:spacing w:line="240" w:lineRule="auto"/>
        <w:contextualSpacing/>
      </w:pPr>
      <w:r w:rsidRPr="00985AF6">
        <w:lastRenderedPageBreak/>
        <w:t>B</w:t>
      </w:r>
      <w:r w:rsidR="00DA7D2D" w:rsidRPr="00985AF6">
        <w:t>e designed to source evidence and be responsive to requests for evidence from policymakers, practitioners, researchers and social commentators.</w:t>
      </w:r>
    </w:p>
    <w:p w14:paraId="73CC0375" w14:textId="79F8B541" w:rsidR="00DA7D2D" w:rsidRPr="00985AF6" w:rsidRDefault="003D4040" w:rsidP="00985AF6">
      <w:pPr>
        <w:pStyle w:val="ListParagraph"/>
        <w:numPr>
          <w:ilvl w:val="0"/>
          <w:numId w:val="12"/>
        </w:numPr>
        <w:spacing w:line="240" w:lineRule="auto"/>
        <w:contextualSpacing/>
      </w:pPr>
      <w:r w:rsidRPr="00985AF6">
        <w:t>E</w:t>
      </w:r>
      <w:r w:rsidR="00DA7D2D" w:rsidRPr="00985AF6">
        <w:t xml:space="preserve">nsure that outcomes relating to uptake, scale of high-impact evidence based research and </w:t>
      </w:r>
      <w:r w:rsidR="00086A92" w:rsidRPr="00985AF6">
        <w:t>creation of</w:t>
      </w:r>
      <w:r w:rsidR="00DA7D2D" w:rsidRPr="00985AF6">
        <w:t xml:space="preserve"> successful dialogue about implementation processes for school leaders and hence through the structures of schools.</w:t>
      </w:r>
    </w:p>
    <w:p w14:paraId="74AD9942" w14:textId="554E6F3B" w:rsidR="00DA7D2D" w:rsidRPr="00985AF6" w:rsidRDefault="003D4040" w:rsidP="00985AF6">
      <w:pPr>
        <w:pStyle w:val="ListParagraph"/>
        <w:numPr>
          <w:ilvl w:val="0"/>
          <w:numId w:val="12"/>
        </w:numPr>
        <w:spacing w:line="240" w:lineRule="auto"/>
        <w:contextualSpacing/>
      </w:pPr>
      <w:r w:rsidRPr="00985AF6">
        <w:t>B</w:t>
      </w:r>
      <w:r w:rsidR="00362474" w:rsidRPr="00985AF6">
        <w:t xml:space="preserve">e </w:t>
      </w:r>
      <w:r w:rsidR="00DA7D2D" w:rsidRPr="00985AF6">
        <w:t xml:space="preserve">independent or autonomous of government with the provision to be contracted (funded) by government(s) or other institutions. </w:t>
      </w:r>
    </w:p>
    <w:p w14:paraId="42DD7F9F" w14:textId="3D0E0493" w:rsidR="00DA7D2D" w:rsidRPr="00985AF6" w:rsidRDefault="003D4040" w:rsidP="00985AF6">
      <w:pPr>
        <w:pStyle w:val="ListParagraph"/>
        <w:numPr>
          <w:ilvl w:val="0"/>
          <w:numId w:val="12"/>
        </w:numPr>
        <w:spacing w:line="240" w:lineRule="auto"/>
        <w:contextualSpacing/>
      </w:pPr>
      <w:r w:rsidRPr="00985AF6">
        <w:t>A</w:t>
      </w:r>
      <w:r w:rsidR="00DA7D2D" w:rsidRPr="00985AF6">
        <w:t>ccess multiple funding sources and be established as a funder of research.</w:t>
      </w:r>
    </w:p>
    <w:p w14:paraId="4675E056" w14:textId="5DD24295" w:rsidR="00DA7D2D" w:rsidRPr="00985AF6" w:rsidRDefault="003D4040" w:rsidP="00985AF6">
      <w:pPr>
        <w:pStyle w:val="ListParagraph"/>
        <w:numPr>
          <w:ilvl w:val="0"/>
          <w:numId w:val="12"/>
        </w:numPr>
        <w:spacing w:line="240" w:lineRule="auto"/>
        <w:contextualSpacing/>
      </w:pPr>
      <w:r w:rsidRPr="00985AF6">
        <w:t>D</w:t>
      </w:r>
      <w:r w:rsidR="00DA7D2D" w:rsidRPr="00985AF6">
        <w:t>evelop buy-in at a national level</w:t>
      </w:r>
      <w:r w:rsidR="00086A92" w:rsidRPr="00985AF6">
        <w:t xml:space="preserve">, </w:t>
      </w:r>
      <w:r w:rsidR="00DA7D2D" w:rsidRPr="00985AF6">
        <w:t>such that</w:t>
      </w:r>
      <w:r w:rsidR="00086A92" w:rsidRPr="00985AF6">
        <w:t xml:space="preserve"> buy-in is established across</w:t>
      </w:r>
      <w:r w:rsidR="00DA7D2D" w:rsidRPr="00985AF6">
        <w:t xml:space="preserve"> state and territory borders, political divides and jurisdictions.</w:t>
      </w:r>
    </w:p>
    <w:p w14:paraId="332C1A76" w14:textId="22DF00B4" w:rsidR="00DA7D2D" w:rsidRPr="00985AF6" w:rsidRDefault="003D4040" w:rsidP="00985AF6">
      <w:pPr>
        <w:pStyle w:val="ListParagraph"/>
        <w:numPr>
          <w:ilvl w:val="0"/>
          <w:numId w:val="12"/>
        </w:numPr>
        <w:spacing w:line="240" w:lineRule="auto"/>
        <w:contextualSpacing/>
      </w:pPr>
      <w:r w:rsidRPr="00985AF6">
        <w:t>C</w:t>
      </w:r>
      <w:r w:rsidR="00DA7D2D" w:rsidRPr="00985AF6">
        <w:t xml:space="preserve">onsider the notion of collective impact and forge connections across governments communities, industry, </w:t>
      </w:r>
      <w:r w:rsidR="00086A92" w:rsidRPr="00985AF6">
        <w:t>not-for-profit</w:t>
      </w:r>
      <w:r w:rsidR="00DA7D2D" w:rsidRPr="00985AF6">
        <w:t xml:space="preserve"> and philanthropic groups to </w:t>
      </w:r>
      <w:r w:rsidR="003D3716">
        <w:t>facilitate</w:t>
      </w:r>
      <w:r w:rsidR="00DA7D2D" w:rsidRPr="00985AF6">
        <w:t xml:space="preserve"> </w:t>
      </w:r>
      <w:r w:rsidR="00766885">
        <w:t>maximum</w:t>
      </w:r>
      <w:r w:rsidR="00DA7D2D" w:rsidRPr="00985AF6">
        <w:t xml:space="preserve"> evidence </w:t>
      </w:r>
      <w:r w:rsidR="00086A92" w:rsidRPr="00985AF6">
        <w:t>use</w:t>
      </w:r>
      <w:r w:rsidR="00DA7D2D" w:rsidRPr="00985AF6">
        <w:t xml:space="preserve">. </w:t>
      </w:r>
    </w:p>
    <w:p w14:paraId="3DFFE4D4" w14:textId="72C15352" w:rsidR="00DA7D2D" w:rsidRPr="00985AF6" w:rsidRDefault="003D4040" w:rsidP="00985AF6">
      <w:pPr>
        <w:pStyle w:val="ListParagraph"/>
        <w:numPr>
          <w:ilvl w:val="0"/>
          <w:numId w:val="12"/>
        </w:numPr>
        <w:spacing w:line="240" w:lineRule="auto"/>
        <w:contextualSpacing/>
      </w:pPr>
      <w:r w:rsidRPr="00985AF6">
        <w:t>E</w:t>
      </w:r>
      <w:r w:rsidR="00C45C55" w:rsidRPr="00985AF6">
        <w:t>stablish</w:t>
      </w:r>
      <w:r w:rsidR="00362474" w:rsidRPr="00985AF6">
        <w:t xml:space="preserve"> </w:t>
      </w:r>
      <w:r w:rsidR="00DA7D2D" w:rsidRPr="00985AF6">
        <w:t>a sustainable infrastructure that is based on a dynamic</w:t>
      </w:r>
      <w:r w:rsidR="00086A92" w:rsidRPr="00985AF6">
        <w:t>,</w:t>
      </w:r>
      <w:r w:rsidR="00DA7D2D" w:rsidRPr="00985AF6">
        <w:t xml:space="preserve"> yet user-friendly technological platform.</w:t>
      </w:r>
    </w:p>
    <w:p w14:paraId="1CFA6931" w14:textId="725B53D9" w:rsidR="00DA7D2D" w:rsidRPr="00985AF6" w:rsidRDefault="003D4040" w:rsidP="00985AF6">
      <w:pPr>
        <w:pStyle w:val="ListParagraph"/>
        <w:numPr>
          <w:ilvl w:val="0"/>
          <w:numId w:val="12"/>
        </w:numPr>
        <w:spacing w:line="240" w:lineRule="auto"/>
        <w:contextualSpacing/>
      </w:pPr>
      <w:r w:rsidRPr="00985AF6">
        <w:t>E</w:t>
      </w:r>
      <w:r w:rsidR="00DA7D2D" w:rsidRPr="00985AF6">
        <w:t>stablish a functional governance board that is representative of the beneficiaries and funders to ensure the independence and sustainability of the institution.</w:t>
      </w:r>
    </w:p>
    <w:p w14:paraId="4DA23DEA" w14:textId="77777777" w:rsidR="00E8131A" w:rsidRPr="00E8131A" w:rsidRDefault="00E8131A" w:rsidP="00E8131A">
      <w:pPr>
        <w:rPr>
          <w:szCs w:val="20"/>
        </w:rPr>
      </w:pPr>
      <w:r w:rsidRPr="00E8131A">
        <w:rPr>
          <w:szCs w:val="20"/>
        </w:rPr>
        <w:t>Finally, the interviewed stakeholders reiterated that one of the core features of a national evidence-based institution is to address inequity in the education system.</w:t>
      </w:r>
    </w:p>
    <w:p w14:paraId="642E0DED" w14:textId="77777777" w:rsidR="00E8131A" w:rsidRPr="00E8131A" w:rsidRDefault="00E8131A" w:rsidP="00F30115">
      <w:pPr>
        <w:pStyle w:val="ListParagraph"/>
        <w:ind w:left="800"/>
        <w:rPr>
          <w:i/>
          <w:szCs w:val="20"/>
        </w:rPr>
      </w:pPr>
      <w:r w:rsidRPr="00E8131A">
        <w:rPr>
          <w:i/>
          <w:szCs w:val="20"/>
        </w:rPr>
        <w:t>To reduce inequality means that you must increase access, then monitor and make decisions based on evidence. (Interviewee, health organisation)</w:t>
      </w:r>
    </w:p>
    <w:p w14:paraId="55D927B8" w14:textId="77777777" w:rsidR="00E8131A" w:rsidRPr="00C02F5E" w:rsidRDefault="00E8131A" w:rsidP="00F30115">
      <w:pPr>
        <w:pStyle w:val="ListParagraph"/>
        <w:ind w:left="800"/>
        <w:rPr>
          <w:szCs w:val="20"/>
        </w:rPr>
      </w:pPr>
      <w:r w:rsidRPr="00C02F5E">
        <w:rPr>
          <w:i/>
          <w:szCs w:val="20"/>
        </w:rPr>
        <w:t>We need to do more on inequity and quality – not NAPLAN which says a lot about reach, but nothing on whether the intervention was effective. We must also help poorer areas or rural areas which usually get poorer services</w:t>
      </w:r>
      <w:r w:rsidRPr="00C02F5E">
        <w:rPr>
          <w:szCs w:val="20"/>
        </w:rPr>
        <w:t>.</w:t>
      </w:r>
      <w:r>
        <w:rPr>
          <w:szCs w:val="20"/>
        </w:rPr>
        <w:t xml:space="preserve"> (Interviewee, education institution)</w:t>
      </w:r>
    </w:p>
    <w:p w14:paraId="134E7FD3" w14:textId="5BCFCF5D" w:rsidR="00EC3DE6" w:rsidRPr="00E8131A" w:rsidRDefault="00E8131A" w:rsidP="001D14EA">
      <w:pPr>
        <w:rPr>
          <w:iCs/>
          <w:szCs w:val="20"/>
        </w:rPr>
      </w:pPr>
      <w:r w:rsidRPr="00E8131A">
        <w:rPr>
          <w:iCs/>
          <w:szCs w:val="20"/>
        </w:rPr>
        <w:t xml:space="preserve">These reflections have been incorporated </w:t>
      </w:r>
      <w:r w:rsidR="003D4040">
        <w:rPr>
          <w:iCs/>
          <w:szCs w:val="20"/>
        </w:rPr>
        <w:t>into</w:t>
      </w:r>
      <w:r w:rsidRPr="00E8131A">
        <w:rPr>
          <w:iCs/>
          <w:szCs w:val="20"/>
        </w:rPr>
        <w:t xml:space="preserve"> the rapid synthesis findings to discuss the tasks that are necessary for implement</w:t>
      </w:r>
      <w:r w:rsidR="003D4040">
        <w:rPr>
          <w:iCs/>
          <w:szCs w:val="20"/>
        </w:rPr>
        <w:t>ation,</w:t>
      </w:r>
      <w:r w:rsidRPr="00E8131A">
        <w:rPr>
          <w:iCs/>
          <w:szCs w:val="20"/>
        </w:rPr>
        <w:t xml:space="preserve"> and for a functioning </w:t>
      </w:r>
      <w:r w:rsidR="001D14EA" w:rsidRPr="00E8131A">
        <w:rPr>
          <w:iCs/>
          <w:szCs w:val="20"/>
        </w:rPr>
        <w:t xml:space="preserve">national evidence </w:t>
      </w:r>
      <w:r w:rsidR="00DA2BAD">
        <w:rPr>
          <w:iCs/>
          <w:szCs w:val="20"/>
        </w:rPr>
        <w:t>institute</w:t>
      </w:r>
      <w:r w:rsidR="001D14EA" w:rsidRPr="00E8131A">
        <w:rPr>
          <w:iCs/>
          <w:szCs w:val="20"/>
        </w:rPr>
        <w:t xml:space="preserve"> </w:t>
      </w:r>
      <w:r w:rsidRPr="00E8131A">
        <w:rPr>
          <w:iCs/>
          <w:szCs w:val="20"/>
        </w:rPr>
        <w:t xml:space="preserve">in Australia. </w:t>
      </w:r>
    </w:p>
    <w:p w14:paraId="4DE366D2" w14:textId="77777777" w:rsidR="0093470E" w:rsidRPr="007674CF" w:rsidRDefault="00922707" w:rsidP="00EC3DE6">
      <w:pPr>
        <w:pStyle w:val="NumberedHeading1"/>
        <w:spacing w:after="0"/>
        <w:ind w:left="700" w:hanging="700"/>
      </w:pPr>
      <w:bookmarkStart w:id="47" w:name="_Toc509950630"/>
      <w:r>
        <w:t>Rapid synthesis</w:t>
      </w:r>
      <w:r w:rsidR="00273C6D">
        <w:t>: Support for a utilisation model</w:t>
      </w:r>
      <w:bookmarkEnd w:id="47"/>
    </w:p>
    <w:p w14:paraId="0932B661" w14:textId="64A34A67" w:rsidR="00DA2BAD" w:rsidRDefault="00EC3DE6" w:rsidP="00DA2BAD">
      <w:pPr>
        <w:rPr>
          <w:szCs w:val="20"/>
        </w:rPr>
      </w:pPr>
      <w:r>
        <w:rPr>
          <w:szCs w:val="20"/>
        </w:rPr>
        <w:br/>
      </w:r>
      <w:r w:rsidR="00994F4E">
        <w:rPr>
          <w:szCs w:val="20"/>
        </w:rPr>
        <w:t>The findings of the synthesis of literature sourced</w:t>
      </w:r>
      <w:r w:rsidR="00273C6D">
        <w:rPr>
          <w:szCs w:val="20"/>
        </w:rPr>
        <w:t xml:space="preserve"> </w:t>
      </w:r>
      <w:r w:rsidR="00994F4E">
        <w:rPr>
          <w:szCs w:val="20"/>
        </w:rPr>
        <w:t xml:space="preserve">and the analysis of interviews with key stakeholders from research and evidence institutions are presented in this section of the report. </w:t>
      </w:r>
      <w:r w:rsidR="003C1E0D">
        <w:rPr>
          <w:szCs w:val="20"/>
        </w:rPr>
        <w:t xml:space="preserve">The </w:t>
      </w:r>
      <w:r w:rsidR="00E43592">
        <w:rPr>
          <w:szCs w:val="20"/>
        </w:rPr>
        <w:t xml:space="preserve">findings have been organised into four functions that emerged as necessary for institutions that support evidence-informed practice. </w:t>
      </w:r>
      <w:r w:rsidR="00DA2BAD">
        <w:rPr>
          <w:szCs w:val="20"/>
        </w:rPr>
        <w:t xml:space="preserve">The four functions identified as necessary for institutions to support evidence-informed practice are: </w:t>
      </w:r>
    </w:p>
    <w:p w14:paraId="798B58C3" w14:textId="77777777" w:rsidR="00DA2BAD" w:rsidRDefault="00DA2BAD" w:rsidP="00DB07D0">
      <w:pPr>
        <w:pStyle w:val="ListParagraph"/>
        <w:numPr>
          <w:ilvl w:val="3"/>
          <w:numId w:val="47"/>
        </w:numPr>
        <w:spacing w:line="240" w:lineRule="auto"/>
        <w:ind w:left="800" w:hanging="400"/>
      </w:pPr>
      <w:r>
        <w:t>Generating relevant evidence</w:t>
      </w:r>
    </w:p>
    <w:p w14:paraId="71D93383" w14:textId="77777777" w:rsidR="00DA2BAD" w:rsidRDefault="00DA2BAD" w:rsidP="00DB07D0">
      <w:pPr>
        <w:pStyle w:val="ListParagraph"/>
        <w:numPr>
          <w:ilvl w:val="3"/>
          <w:numId w:val="47"/>
        </w:numPr>
        <w:spacing w:line="240" w:lineRule="auto"/>
        <w:ind w:left="800" w:hanging="400"/>
      </w:pPr>
      <w:r>
        <w:t>Synthesising evidence</w:t>
      </w:r>
    </w:p>
    <w:p w14:paraId="349A2067" w14:textId="77777777" w:rsidR="00DA2BAD" w:rsidRDefault="00DA2BAD" w:rsidP="00DB07D0">
      <w:pPr>
        <w:pStyle w:val="ListParagraph"/>
        <w:numPr>
          <w:ilvl w:val="3"/>
          <w:numId w:val="47"/>
        </w:numPr>
        <w:spacing w:line="240" w:lineRule="auto"/>
        <w:ind w:left="800" w:hanging="400"/>
      </w:pPr>
      <w:r>
        <w:t>Knowledge transfer, brokering and management</w:t>
      </w:r>
    </w:p>
    <w:p w14:paraId="17D9D3FB" w14:textId="77777777" w:rsidR="00DA2BAD" w:rsidRPr="003B6F7B" w:rsidRDefault="00DA2BAD" w:rsidP="00DB07D0">
      <w:pPr>
        <w:pStyle w:val="ListParagraph"/>
        <w:numPr>
          <w:ilvl w:val="3"/>
          <w:numId w:val="47"/>
        </w:numPr>
        <w:spacing w:line="240" w:lineRule="auto"/>
        <w:ind w:left="800" w:hanging="400"/>
        <w:rPr>
          <w:szCs w:val="20"/>
        </w:rPr>
      </w:pPr>
      <w:r>
        <w:t xml:space="preserve">Supporting utilisation of knowledge </w:t>
      </w:r>
    </w:p>
    <w:p w14:paraId="27EC5BB6" w14:textId="676A361F" w:rsidR="00375CD8" w:rsidRDefault="00E43592" w:rsidP="0093470E">
      <w:pPr>
        <w:rPr>
          <w:szCs w:val="20"/>
        </w:rPr>
      </w:pPr>
      <w:r>
        <w:rPr>
          <w:szCs w:val="20"/>
        </w:rPr>
        <w:t>Each function is first described, and the themes relevant to that function are discussed with examples from literature reviewed througho</w:t>
      </w:r>
      <w:r w:rsidR="001D14EA">
        <w:rPr>
          <w:szCs w:val="20"/>
        </w:rPr>
        <w:t>ut. To further aide in structuring</w:t>
      </w:r>
      <w:r>
        <w:rPr>
          <w:szCs w:val="20"/>
        </w:rPr>
        <w:t xml:space="preserve"> the presentation of findings, a thematic concept map is provided for each of the four functions to illustrate the relationship between the themes. </w:t>
      </w:r>
      <w:r w:rsidR="001E25B7">
        <w:rPr>
          <w:szCs w:val="20"/>
        </w:rPr>
        <w:t xml:space="preserve"> While synthesis is organised around these functions</w:t>
      </w:r>
      <w:r w:rsidR="00DA2BAD">
        <w:rPr>
          <w:szCs w:val="20"/>
        </w:rPr>
        <w:t>,</w:t>
      </w:r>
      <w:r w:rsidR="001E25B7">
        <w:rPr>
          <w:szCs w:val="20"/>
        </w:rPr>
        <w:t xml:space="preserve"> the argument for a principles-based organisation, the nature of beneficiaries and the scope of such an organisation emerge</w:t>
      </w:r>
      <w:r w:rsidR="00DA2BAD">
        <w:rPr>
          <w:szCs w:val="20"/>
        </w:rPr>
        <w:t>d</w:t>
      </w:r>
      <w:r w:rsidR="00273C6D">
        <w:rPr>
          <w:szCs w:val="20"/>
        </w:rPr>
        <w:t xml:space="preserve"> from </w:t>
      </w:r>
      <w:r w:rsidR="001E25B7">
        <w:rPr>
          <w:szCs w:val="20"/>
        </w:rPr>
        <w:t>this synthesis.</w:t>
      </w:r>
    </w:p>
    <w:p w14:paraId="7F5FF26D" w14:textId="1B3132DE" w:rsidR="003B6F7B" w:rsidRPr="003B6F7B" w:rsidRDefault="003B6F7B" w:rsidP="003B6F7B">
      <w:r>
        <w:t xml:space="preserve">The thematic map overleaf </w:t>
      </w:r>
      <w:r w:rsidR="001A67B8">
        <w:t>outlines the functions and functi</w:t>
      </w:r>
      <w:r w:rsidR="003D3716">
        <w:t xml:space="preserve">onality in reviewed research and </w:t>
      </w:r>
      <w:r w:rsidR="001A67B8">
        <w:t xml:space="preserve"> evidence institutions, and distinguishes the relationship between functions (what institutions do), functionality (what they aim to do and can do</w:t>
      </w:r>
      <w:r w:rsidR="0022301D">
        <w:t xml:space="preserve">) and actions (how they perform their functions). The themes outlined in this model will be discussed later in this section. </w:t>
      </w:r>
    </w:p>
    <w:p w14:paraId="1EE44499" w14:textId="59049725" w:rsidR="00810CB6" w:rsidRPr="00E45653" w:rsidRDefault="00810CB6" w:rsidP="0093470E">
      <w:pPr>
        <w:rPr>
          <w:szCs w:val="20"/>
        </w:rPr>
        <w:sectPr w:rsidR="00810CB6" w:rsidRPr="00E45653" w:rsidSect="00766885">
          <w:pgSz w:w="11906" w:h="16838"/>
          <w:pgMar w:top="1230" w:right="1440" w:bottom="1440" w:left="1440" w:header="708" w:footer="708" w:gutter="0"/>
          <w:pgNumType w:start="1"/>
          <w:cols w:space="708"/>
          <w:titlePg/>
          <w:docGrid w:linePitch="360"/>
        </w:sectPr>
      </w:pPr>
    </w:p>
    <w:p w14:paraId="362864F2" w14:textId="77777777" w:rsidR="00810CB6" w:rsidRDefault="00810CB6" w:rsidP="0093470E">
      <w:pPr>
        <w:rPr>
          <w:sz w:val="22"/>
        </w:rPr>
      </w:pPr>
      <w:r>
        <w:rPr>
          <w:noProof/>
          <w:lang w:val="en-US" w:eastAsia="en-US"/>
        </w:rPr>
        <w:lastRenderedPageBreak/>
        <w:drawing>
          <wp:inline distT="0" distB="0" distL="0" distR="0" wp14:anchorId="6423D7EF" wp14:editId="10C7A3C5">
            <wp:extent cx="6838950" cy="5072944"/>
            <wp:effectExtent l="0" t="0" r="0" b="0"/>
            <wp:docPr id="1" name="Picture 1" descr="This figure provides a thematic map of the functions and functionality of evidence institutions, and distinguishes the relationship between functions (what institutions do), functionality (what they aim to do and can do) and actions (how they perform their fun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2162" t="29364" r="12872" b="13404"/>
                    <a:stretch/>
                  </pic:blipFill>
                  <pic:spPr bwMode="auto">
                    <a:xfrm>
                      <a:off x="0" y="0"/>
                      <a:ext cx="6903370" cy="5120729"/>
                    </a:xfrm>
                    <a:prstGeom prst="rect">
                      <a:avLst/>
                    </a:prstGeom>
                    <a:ln>
                      <a:noFill/>
                    </a:ln>
                    <a:extLst>
                      <a:ext uri="{53640926-AAD7-44D8-BBD7-CCE9431645EC}">
                        <a14:shadowObscured xmlns:a14="http://schemas.microsoft.com/office/drawing/2010/main"/>
                      </a:ext>
                    </a:extLst>
                  </pic:spPr>
                </pic:pic>
              </a:graphicData>
            </a:graphic>
          </wp:inline>
        </w:drawing>
      </w:r>
    </w:p>
    <w:p w14:paraId="46B556B4" w14:textId="72ECE657" w:rsidR="00810CB6" w:rsidRDefault="0022301D" w:rsidP="00813AA6">
      <w:pPr>
        <w:pStyle w:val="CaptionFig"/>
        <w:rPr>
          <w:sz w:val="22"/>
        </w:rPr>
      </w:pPr>
      <w:bookmarkStart w:id="48" w:name="_Toc509848442"/>
      <w:bookmarkStart w:id="49" w:name="_Toc509950631"/>
      <w:bookmarkStart w:id="50" w:name="_Toc509951278"/>
      <w:r>
        <w:t xml:space="preserve">Figure </w:t>
      </w:r>
      <w:fldSimple w:instr=" SEQ Figure \* ARABIC ">
        <w:r w:rsidR="004240AA">
          <w:rPr>
            <w:noProof/>
          </w:rPr>
          <w:t>5</w:t>
        </w:r>
      </w:fldSimple>
      <w:r>
        <w:t>: Functions, functionality and actions of reviewed evidence and research institutions</w:t>
      </w:r>
      <w:bookmarkEnd w:id="48"/>
      <w:bookmarkEnd w:id="49"/>
      <w:bookmarkEnd w:id="50"/>
    </w:p>
    <w:p w14:paraId="35CC1979" w14:textId="77777777" w:rsidR="0022301D" w:rsidRDefault="0022301D" w:rsidP="0093470E">
      <w:pPr>
        <w:rPr>
          <w:sz w:val="22"/>
        </w:rPr>
      </w:pPr>
    </w:p>
    <w:p w14:paraId="71FA07E0" w14:textId="77777777" w:rsidR="0022301D" w:rsidRDefault="0022301D" w:rsidP="0093470E">
      <w:pPr>
        <w:rPr>
          <w:sz w:val="22"/>
        </w:rPr>
        <w:sectPr w:rsidR="0022301D" w:rsidSect="008C52B2">
          <w:pgSz w:w="16838" w:h="11906" w:orient="landscape"/>
          <w:pgMar w:top="1440" w:right="1440" w:bottom="1440" w:left="1440" w:header="708" w:footer="708" w:gutter="0"/>
          <w:cols w:space="708"/>
          <w:titlePg/>
          <w:docGrid w:linePitch="360"/>
        </w:sectPr>
      </w:pPr>
    </w:p>
    <w:p w14:paraId="200D232C" w14:textId="2AB53B2B" w:rsidR="00E43592" w:rsidRPr="00E45653" w:rsidRDefault="000E606A" w:rsidP="000E606A">
      <w:pPr>
        <w:rPr>
          <w:szCs w:val="20"/>
        </w:rPr>
      </w:pPr>
      <w:r>
        <w:lastRenderedPageBreak/>
        <w:t xml:space="preserve">The stakeholders interviewed reported they </w:t>
      </w:r>
      <w:r w:rsidR="00E43592" w:rsidRPr="00E45653">
        <w:rPr>
          <w:szCs w:val="20"/>
        </w:rPr>
        <w:t xml:space="preserve">relied heavily on evidence to support practice and policy development. Most of them referred to their workplaces as evidence-based institutions. As practitioners, they </w:t>
      </w:r>
      <w:r>
        <w:rPr>
          <w:szCs w:val="20"/>
        </w:rPr>
        <w:t xml:space="preserve">explained their role was to </w:t>
      </w:r>
      <w:r w:rsidR="00E43592" w:rsidRPr="00E45653">
        <w:rPr>
          <w:szCs w:val="20"/>
        </w:rPr>
        <w:t xml:space="preserve">gather data from </w:t>
      </w:r>
      <w:r w:rsidRPr="00E45653">
        <w:rPr>
          <w:szCs w:val="20"/>
        </w:rPr>
        <w:t>m</w:t>
      </w:r>
      <w:r w:rsidR="00DA2BAD">
        <w:rPr>
          <w:szCs w:val="20"/>
        </w:rPr>
        <w:t>ultiple</w:t>
      </w:r>
      <w:r w:rsidR="00E43592" w:rsidRPr="00E45653">
        <w:rPr>
          <w:szCs w:val="20"/>
        </w:rPr>
        <w:t xml:space="preserve"> sources and then translate the evidence into terms that will be useful for policy makers</w:t>
      </w:r>
      <w:r w:rsidR="00DA2BAD">
        <w:rPr>
          <w:szCs w:val="20"/>
        </w:rPr>
        <w:t>,</w:t>
      </w:r>
      <w:r>
        <w:rPr>
          <w:szCs w:val="20"/>
        </w:rPr>
        <w:t xml:space="preserve"> practitioners and the wider public. </w:t>
      </w:r>
    </w:p>
    <w:p w14:paraId="330B2022" w14:textId="77777777" w:rsidR="00E43592" w:rsidRPr="00E45653" w:rsidRDefault="00E43592" w:rsidP="00F30115">
      <w:pPr>
        <w:ind w:left="800"/>
        <w:rPr>
          <w:i/>
          <w:szCs w:val="20"/>
        </w:rPr>
      </w:pPr>
      <w:r w:rsidRPr="00E45653">
        <w:rPr>
          <w:i/>
          <w:szCs w:val="20"/>
        </w:rPr>
        <w:t>In our Master’s course which is offered to teachers, one of my team members developed a course on evidence-based practice to help in-service teachers understand what evidence-based practice is.</w:t>
      </w:r>
      <w:r w:rsidR="000E606A">
        <w:rPr>
          <w:i/>
          <w:szCs w:val="20"/>
        </w:rPr>
        <w:t xml:space="preserve"> (Interviewee, education organisation) </w:t>
      </w:r>
    </w:p>
    <w:p w14:paraId="4CDC8753" w14:textId="77777777" w:rsidR="00E43592" w:rsidRPr="00E45653" w:rsidRDefault="000E606A" w:rsidP="00F30115">
      <w:pPr>
        <w:ind w:left="800"/>
        <w:rPr>
          <w:i/>
          <w:szCs w:val="20"/>
        </w:rPr>
      </w:pPr>
      <w:r>
        <w:rPr>
          <w:i/>
          <w:szCs w:val="20"/>
        </w:rPr>
        <w:t>[Organisation name]</w:t>
      </w:r>
      <w:r w:rsidR="00E43592" w:rsidRPr="00E45653">
        <w:rPr>
          <w:i/>
          <w:szCs w:val="20"/>
        </w:rPr>
        <w:t xml:space="preserve"> is well-placed to create a market place for institutions that synthesise evidence, and can ensure open-access publishing and financial independence from particular funders.</w:t>
      </w:r>
      <w:r>
        <w:rPr>
          <w:i/>
          <w:szCs w:val="20"/>
        </w:rPr>
        <w:t xml:space="preserve"> (Interviewee, education organisation)</w:t>
      </w:r>
    </w:p>
    <w:p w14:paraId="4340663A" w14:textId="27AFD775" w:rsidR="00E43592" w:rsidRPr="00E45653" w:rsidRDefault="008C0897" w:rsidP="00E43592">
      <w:pPr>
        <w:rPr>
          <w:szCs w:val="20"/>
        </w:rPr>
      </w:pPr>
      <w:r>
        <w:rPr>
          <w:szCs w:val="20"/>
        </w:rPr>
        <w:t>Further</w:t>
      </w:r>
      <w:r w:rsidR="00DA2BAD">
        <w:rPr>
          <w:szCs w:val="20"/>
        </w:rPr>
        <w:t>more, the interviewees</w:t>
      </w:r>
      <w:r>
        <w:rPr>
          <w:szCs w:val="20"/>
        </w:rPr>
        <w:t xml:space="preserve"> also validated the appropriateness of evidence-informed rather than evidence-based practice in an education organisation</w:t>
      </w:r>
      <w:r w:rsidR="00DA2BAD">
        <w:rPr>
          <w:szCs w:val="20"/>
        </w:rPr>
        <w:t>. T</w:t>
      </w:r>
      <w:r>
        <w:rPr>
          <w:szCs w:val="20"/>
        </w:rPr>
        <w:t xml:space="preserve">he former was described as more dynamic and more appropriate for </w:t>
      </w:r>
      <w:r w:rsidR="00E43592" w:rsidRPr="00E45653">
        <w:rPr>
          <w:szCs w:val="20"/>
        </w:rPr>
        <w:t>the Australian educational context.</w:t>
      </w:r>
    </w:p>
    <w:p w14:paraId="189E8834" w14:textId="77777777" w:rsidR="00E43592" w:rsidRPr="00E45653" w:rsidRDefault="00E43592" w:rsidP="00F30115">
      <w:pPr>
        <w:ind w:left="800"/>
        <w:rPr>
          <w:i/>
          <w:szCs w:val="20"/>
        </w:rPr>
      </w:pPr>
      <w:r w:rsidRPr="00E45653">
        <w:rPr>
          <w:i/>
          <w:szCs w:val="20"/>
        </w:rPr>
        <w:t>Evidence-based is more static – where evidence informed suggests that learning is happening in a systematic way.</w:t>
      </w:r>
      <w:r w:rsidR="008C0897">
        <w:rPr>
          <w:i/>
          <w:szCs w:val="20"/>
        </w:rPr>
        <w:t xml:space="preserve"> (Interviewee, health organisation) </w:t>
      </w:r>
    </w:p>
    <w:p w14:paraId="14DBF129" w14:textId="2D97FF91" w:rsidR="00DA7D2D" w:rsidRDefault="00E43592" w:rsidP="00DA7D2D">
      <w:pPr>
        <w:rPr>
          <w:szCs w:val="20"/>
        </w:rPr>
      </w:pPr>
      <w:r w:rsidRPr="00E45653">
        <w:rPr>
          <w:szCs w:val="20"/>
        </w:rPr>
        <w:t xml:space="preserve">Stakeholders </w:t>
      </w:r>
      <w:r w:rsidR="00315DDC">
        <w:rPr>
          <w:szCs w:val="20"/>
        </w:rPr>
        <w:t>defined</w:t>
      </w:r>
      <w:r w:rsidRPr="00E45653">
        <w:rPr>
          <w:szCs w:val="20"/>
        </w:rPr>
        <w:t xml:space="preserve"> </w:t>
      </w:r>
      <w:r w:rsidR="00315DDC">
        <w:rPr>
          <w:szCs w:val="20"/>
        </w:rPr>
        <w:t>effective functioning for institutions that support evidence-informed practice as engaging in a process of refining, continually building on and refining the knowledge gained</w:t>
      </w:r>
      <w:r w:rsidR="00544C5B">
        <w:rPr>
          <w:szCs w:val="20"/>
        </w:rPr>
        <w:t>,</w:t>
      </w:r>
      <w:r w:rsidR="00315DDC">
        <w:rPr>
          <w:szCs w:val="20"/>
        </w:rPr>
        <w:t xml:space="preserve"> and disseminating this to all those who can benefit from this knowledge</w:t>
      </w:r>
      <w:r w:rsidR="00544C5B">
        <w:rPr>
          <w:szCs w:val="20"/>
        </w:rPr>
        <w:t>,</w:t>
      </w:r>
      <w:r w:rsidR="00315DDC">
        <w:rPr>
          <w:szCs w:val="20"/>
        </w:rPr>
        <w:t xml:space="preserve"> including practitioner</w:t>
      </w:r>
      <w:r w:rsidR="006935B6">
        <w:rPr>
          <w:szCs w:val="20"/>
        </w:rPr>
        <w:t>s</w:t>
      </w:r>
      <w:r w:rsidR="00DA7D2D">
        <w:rPr>
          <w:szCs w:val="20"/>
        </w:rPr>
        <w:t xml:space="preserve">. </w:t>
      </w:r>
      <w:bookmarkStart w:id="51" w:name="_Toc508637950"/>
      <w:bookmarkStart w:id="52" w:name="_Toc508637958"/>
    </w:p>
    <w:p w14:paraId="54BF6332" w14:textId="77777777" w:rsidR="0093470E" w:rsidRPr="00E16853" w:rsidRDefault="0093470E" w:rsidP="007674CF">
      <w:pPr>
        <w:pStyle w:val="NumberedHeading2"/>
      </w:pPr>
      <w:bookmarkStart w:id="53" w:name="_Toc508637954"/>
      <w:bookmarkStart w:id="54" w:name="_Toc509950632"/>
      <w:bookmarkEnd w:id="51"/>
      <w:bookmarkEnd w:id="52"/>
      <w:r w:rsidRPr="00E16853">
        <w:t xml:space="preserve">Function 1: Generating </w:t>
      </w:r>
      <w:r w:rsidR="009E2351">
        <w:t>relevant e</w:t>
      </w:r>
      <w:r w:rsidRPr="00E16853">
        <w:t>vidence</w:t>
      </w:r>
      <w:bookmarkEnd w:id="53"/>
      <w:bookmarkEnd w:id="54"/>
      <w:r w:rsidRPr="00E16853">
        <w:t xml:space="preserve"> </w:t>
      </w:r>
    </w:p>
    <w:p w14:paraId="4D4D62EF" w14:textId="77777777" w:rsidR="0093470E" w:rsidRDefault="0093470E" w:rsidP="00E45653">
      <w:r w:rsidRPr="00051930">
        <w:t xml:space="preserve">A critical function of research and evidence institutions is to gather and produce research. The generation of research should be feasible, appropriate, meaningful, effective and relevant. </w:t>
      </w:r>
    </w:p>
    <w:p w14:paraId="2CD948A3" w14:textId="77777777" w:rsidR="0093470E" w:rsidRDefault="0093470E" w:rsidP="00E45653">
      <w:r w:rsidRPr="00051930">
        <w:t xml:space="preserve">The rapid synthesis revealed the complexity associated with generating relevant evidence that enables evidence-informed practice and policy. Much of this is associated with the need to traverse beyond the realms of scientific knowledge claims, to knowledge that is relevant and applicable to policy and practice </w:t>
      </w:r>
      <w:r w:rsidRPr="00051930">
        <w:fldChar w:fldCharType="begin" w:fldLock="1"/>
      </w:r>
      <w:r w:rsidRPr="00051930">
        <w:instrText>ADDIN CSL_CITATION { "citationItems" : [ { "id" : "ITEM-1",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"ITEM-1",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"mendeley" : { "formattedCitation" : "(Burns &amp; Schuller, 2007)", "plainTextFormattedCitation" : "(Burns &amp; Schuller, 2007)", "previouslyFormattedCitation" : "(Burns &amp; Schuller, 2007)" }, "properties" : {  }, "schema" : "https://github.com/citation-style-language/schema/raw/master/csl-citation.json" }</w:instrText>
      </w:r>
      <w:r w:rsidRPr="00051930">
        <w:fldChar w:fldCharType="separate"/>
      </w:r>
      <w:r w:rsidRPr="00051930">
        <w:rPr>
          <w:noProof/>
        </w:rPr>
        <w:t>(Burns &amp; Schuller, 2007)</w:t>
      </w:r>
      <w:r w:rsidRPr="00051930">
        <w:fldChar w:fldCharType="end"/>
      </w:r>
      <w:r w:rsidRPr="00051930">
        <w:t xml:space="preserve">. </w:t>
      </w:r>
    </w:p>
    <w:p w14:paraId="667F3FF6" w14:textId="62C803D1" w:rsidR="00813AA6" w:rsidRDefault="0093470E" w:rsidP="00E45653">
      <w:r w:rsidRPr="00051930">
        <w:t>Despite the diversity of literature and institutions examined</w:t>
      </w:r>
      <w:r w:rsidR="00DA2BAD">
        <w:t>,</w:t>
      </w:r>
      <w:r w:rsidRPr="00051930">
        <w:t xml:space="preserve"> which included research institutions and international </w:t>
      </w:r>
      <w:r w:rsidRPr="00051930">
        <w:rPr>
          <w:noProof/>
        </w:rPr>
        <w:t xml:space="preserve">organisations (such as </w:t>
      </w:r>
      <w:r w:rsidRPr="00051930">
        <w:t xml:space="preserve">the Cochrane Collaboration, the OECD, the WHO) as well as </w:t>
      </w:r>
      <w:r w:rsidRPr="00051930">
        <w:rPr>
          <w:noProof/>
        </w:rPr>
        <w:t>sector-specific</w:t>
      </w:r>
      <w:r w:rsidRPr="00051930">
        <w:t xml:space="preserve"> institutions (such as healthevidence.ca and the Education Endowment Foundation), several common themes </w:t>
      </w:r>
      <w:r>
        <w:t xml:space="preserve">emerged </w:t>
      </w:r>
      <w:r w:rsidRPr="00051930">
        <w:t>relating to the generation of evidence that supports evidence</w:t>
      </w:r>
      <w:r>
        <w:t>-</w:t>
      </w:r>
      <w:r w:rsidRPr="00051930">
        <w:t>informed practice. However, the evidence did vary with respect to the level of consistency and strength for each theme. The table overleaf details an assessment of the strength of evidence associated with the findings in relation to evidence generation that can support evidence-informed practice. As noted in the table, the evidence is most consistent and strong for the importance of collaboration in the evidence generation process</w:t>
      </w:r>
      <w:r w:rsidR="006B4BD4">
        <w:t>.</w:t>
      </w:r>
      <w:r w:rsidRPr="00051930">
        <w:t xml:space="preserve"> </w:t>
      </w:r>
      <w:r w:rsidR="006B4BD4">
        <w:t>T</w:t>
      </w:r>
      <w:r w:rsidRPr="00051930">
        <w:t>herefore</w:t>
      </w:r>
      <w:r>
        <w:t>,</w:t>
      </w:r>
      <w:r w:rsidRPr="00051930">
        <w:t xml:space="preserve"> across the reviewed sources, there was in-depth detail about the implications of collaboration on evidence-informed practice.</w:t>
      </w:r>
    </w:p>
    <w:p w14:paraId="2E4742B2" w14:textId="77777777" w:rsidR="00813AA6" w:rsidRDefault="00813AA6">
      <w:pPr>
        <w:spacing w:after="160" w:line="259" w:lineRule="auto"/>
      </w:pPr>
      <w:r>
        <w:br w:type="page"/>
      </w:r>
    </w:p>
    <w:p w14:paraId="3AC5B39C" w14:textId="3C8475EC" w:rsidR="0093470E" w:rsidRDefault="0093470E" w:rsidP="00813AA6">
      <w:pPr>
        <w:pStyle w:val="Caption2"/>
      </w:pPr>
      <w:bookmarkStart w:id="55" w:name="_Toc509845973"/>
      <w:bookmarkStart w:id="56" w:name="_Toc509950633"/>
      <w:bookmarkStart w:id="57" w:name="_Toc509951289"/>
      <w:r w:rsidRPr="00E16853">
        <w:lastRenderedPageBreak/>
        <w:t xml:space="preserve">Table </w:t>
      </w:r>
      <w:fldSimple w:instr=" SEQ Table \* ARABIC ">
        <w:r w:rsidR="004240AA">
          <w:rPr>
            <w:noProof/>
          </w:rPr>
          <w:t>3</w:t>
        </w:r>
      </w:fldSimple>
      <w:r w:rsidRPr="00E16853">
        <w:t>: Strength of evidence for findings associated with evidence generation</w:t>
      </w:r>
      <w:bookmarkEnd w:id="55"/>
      <w:bookmarkEnd w:id="56"/>
      <w:bookmarkEnd w:id="57"/>
    </w:p>
    <w:tbl>
      <w:tblPr>
        <w:tblStyle w:val="TableGrid"/>
        <w:tblW w:w="9049" w:type="dxa"/>
        <w:jc w:val="center"/>
        <w:tblBorders>
          <w:insideH w:val="single" w:sz="4" w:space="0" w:color="auto"/>
          <w:insideV w:val="single" w:sz="4" w:space="0" w:color="auto"/>
        </w:tblBorders>
        <w:tblLayout w:type="fixed"/>
        <w:tblLook w:val="04A0" w:firstRow="1" w:lastRow="0" w:firstColumn="1" w:lastColumn="0" w:noHBand="0" w:noVBand="1"/>
        <w:tblDescription w:val="For the theme of evidence-based practice informed research, the strength was moderate. The key components of this theme were: Research Methodology, Effect sizes or Statistical Significance, Quality of Evidence, Consideration of an entire body of work, Quantity of Evidence, Funding research for evidence-based practices, Selection of evidence-base practice for uptake, Inclusion of a-typical sources of evidence, Hands-on implementing evidence-base practices, Primary Research, Determining need for research/development, Developing research topics,&#10;For the theme of practicality and usability of evidence, the strength was moderate. The key components of this theme were: Usability of evidence, Practical knowledge/ready to implement, Responsive to policy and practice needs in the synthesis, translation and dissemination process, Adapting language – user-friendly outputs, Accessibility (language, navigation, ease-of-use) is paramount, Staff skilled in evidence synthesis and knowledge translation.&#10;For the theme of collaboration, the strength was comprehensive. The key components of this theme were: Representation: consulting/liaising with policymakers or funding agencies, Contextualising knowledge to practitioners' needs, Advisory/expert groups are important for providing technical expertise to the board/organisation, Collaboration with Evidence-based practice users and stakeholders, Ability to liaise with decision makers, Evidence-based practice implementation, Collaboration with beneficiaries in knowledge translation, Collaboration between Research and Evidence Institutions and practitioners, Disconnect between funder goals and end-user needs, Partnerships can be useful for research."/>
      </w:tblPr>
      <w:tblGrid>
        <w:gridCol w:w="1300"/>
        <w:gridCol w:w="4300"/>
        <w:gridCol w:w="1000"/>
        <w:gridCol w:w="1000"/>
        <w:gridCol w:w="1449"/>
      </w:tblGrid>
      <w:tr w:rsidR="00B85109" w:rsidRPr="00B85109" w14:paraId="3AB405AC" w14:textId="77777777" w:rsidTr="00CF668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4D882915" w14:textId="77777777" w:rsidR="0093470E" w:rsidRPr="00B85109" w:rsidRDefault="0093470E" w:rsidP="007674CF">
            <w:pPr>
              <w:pStyle w:val="NoSpacing"/>
            </w:pPr>
            <w:r w:rsidRPr="00B85109">
              <w:t>Theme</w:t>
            </w:r>
          </w:p>
        </w:tc>
        <w:tc>
          <w:tcPr>
            <w:tcW w:w="4300" w:type="dxa"/>
            <w:noWrap/>
          </w:tcPr>
          <w:p w14:paraId="7B9CFA6B" w14:textId="77777777" w:rsidR="0093470E" w:rsidRPr="00B85109" w:rsidRDefault="0093470E" w:rsidP="007674CF">
            <w:pPr>
              <w:pStyle w:val="NoSpacing"/>
              <w:cnfStyle w:val="100000000000" w:firstRow="1" w:lastRow="0" w:firstColumn="0" w:lastColumn="0" w:oddVBand="0" w:evenVBand="0" w:oddHBand="0" w:evenHBand="0" w:firstRowFirstColumn="0" w:firstRowLastColumn="0" w:lastRowFirstColumn="0" w:lastRowLastColumn="0"/>
            </w:pPr>
            <w:r w:rsidRPr="00B85109">
              <w:t>Key components</w:t>
            </w:r>
          </w:p>
        </w:tc>
        <w:tc>
          <w:tcPr>
            <w:tcW w:w="1000" w:type="dxa"/>
            <w:noWrap/>
          </w:tcPr>
          <w:p w14:paraId="503FDB5F" w14:textId="77777777" w:rsidR="0093470E" w:rsidRPr="00B85109" w:rsidRDefault="0093470E" w:rsidP="00DA2BAD">
            <w:pPr>
              <w:pStyle w:val="NoSpacing"/>
              <w:jc w:val="center"/>
              <w:cnfStyle w:val="100000000000" w:firstRow="1" w:lastRow="0" w:firstColumn="0" w:lastColumn="0" w:oddVBand="0" w:evenVBand="0" w:oddHBand="0" w:evenHBand="0" w:firstRowFirstColumn="0" w:firstRowLastColumn="0" w:lastRowFirstColumn="0" w:lastRowLastColumn="0"/>
            </w:pPr>
            <w:r w:rsidRPr="00B85109">
              <w:t>Emerging</w:t>
            </w:r>
          </w:p>
        </w:tc>
        <w:tc>
          <w:tcPr>
            <w:tcW w:w="1000" w:type="dxa"/>
            <w:noWrap/>
          </w:tcPr>
          <w:p w14:paraId="3CCFB922" w14:textId="77777777" w:rsidR="0093470E" w:rsidRPr="00B85109" w:rsidRDefault="0093470E" w:rsidP="00DA2BAD">
            <w:pPr>
              <w:pStyle w:val="NoSpacing"/>
              <w:jc w:val="center"/>
              <w:cnfStyle w:val="100000000000" w:firstRow="1" w:lastRow="0" w:firstColumn="0" w:lastColumn="0" w:oddVBand="0" w:evenVBand="0" w:oddHBand="0" w:evenHBand="0" w:firstRowFirstColumn="0" w:firstRowLastColumn="0" w:lastRowFirstColumn="0" w:lastRowLastColumn="0"/>
            </w:pPr>
            <w:r w:rsidRPr="00B85109">
              <w:t>Moderate</w:t>
            </w:r>
          </w:p>
        </w:tc>
        <w:tc>
          <w:tcPr>
            <w:tcW w:w="1449" w:type="dxa"/>
            <w:noWrap/>
          </w:tcPr>
          <w:p w14:paraId="07FE1D3B" w14:textId="77777777" w:rsidR="0093470E" w:rsidRPr="00B85109" w:rsidRDefault="0093470E" w:rsidP="00DA2BAD">
            <w:pPr>
              <w:pStyle w:val="NoSpacing"/>
              <w:jc w:val="center"/>
              <w:cnfStyle w:val="100000000000" w:firstRow="1" w:lastRow="0" w:firstColumn="0" w:lastColumn="0" w:oddVBand="0" w:evenVBand="0" w:oddHBand="0" w:evenHBand="0" w:firstRowFirstColumn="0" w:firstRowLastColumn="0" w:lastRowFirstColumn="0" w:lastRowLastColumn="0"/>
            </w:pPr>
            <w:r w:rsidRPr="00B85109">
              <w:t>Comprehensive</w:t>
            </w:r>
          </w:p>
        </w:tc>
      </w:tr>
      <w:tr w:rsidR="00DB07D0" w:rsidRPr="00051930" w14:paraId="11CE12B6" w14:textId="77777777" w:rsidTr="00DB07D0">
        <w:trPr>
          <w:cnfStyle w:val="000000100000" w:firstRow="0" w:lastRow="0" w:firstColumn="0" w:lastColumn="0" w:oddVBand="0" w:evenVBand="0" w:oddHBand="1" w:evenHBand="0" w:firstRowFirstColumn="0" w:firstRowLastColumn="0" w:lastRowFirstColumn="0" w:lastRowLastColumn="0"/>
          <w:trHeight w:val="363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74A7BE4" w14:textId="212DB984" w:rsidR="00A56DF9" w:rsidRPr="00051930" w:rsidRDefault="001D14EA" w:rsidP="007674CF">
            <w:pPr>
              <w:pStyle w:val="NoSpacing"/>
              <w:rPr>
                <w:color w:val="000000"/>
              </w:rPr>
            </w:pPr>
            <w:r>
              <w:rPr>
                <w:color w:val="000000"/>
              </w:rPr>
              <w:t>Evidence-based practice</w:t>
            </w:r>
            <w:r w:rsidR="00A56DF9" w:rsidRPr="00051930">
              <w:rPr>
                <w:color w:val="000000"/>
              </w:rPr>
              <w:t xml:space="preserve"> informed research</w:t>
            </w:r>
          </w:p>
        </w:tc>
        <w:tc>
          <w:tcPr>
            <w:tcW w:w="4300" w:type="dxa"/>
            <w:noWrap/>
            <w:hideMark/>
          </w:tcPr>
          <w:p w14:paraId="6F7F9C96"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Research Methodology</w:t>
            </w:r>
          </w:p>
          <w:p w14:paraId="0DA720A1"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Effect sizes or Statistical Significance</w:t>
            </w:r>
          </w:p>
          <w:p w14:paraId="5F9B76F6"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Quality of Evidence</w:t>
            </w:r>
          </w:p>
          <w:p w14:paraId="6A2F973A"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Consideration of an entire body of work</w:t>
            </w:r>
          </w:p>
          <w:p w14:paraId="3EC9806F"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Quantity of Evidence</w:t>
            </w:r>
          </w:p>
          <w:p w14:paraId="5350FF89"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xml:space="preserve">Funding research for </w:t>
            </w:r>
            <w:r w:rsidR="00E826E4">
              <w:rPr>
                <w:color w:val="000000"/>
              </w:rPr>
              <w:t>evidence-based practices</w:t>
            </w:r>
          </w:p>
          <w:p w14:paraId="6568031C"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xml:space="preserve">Selection of </w:t>
            </w:r>
            <w:r w:rsidR="00E826E4">
              <w:rPr>
                <w:color w:val="000000"/>
              </w:rPr>
              <w:t>evidence-base practice</w:t>
            </w:r>
            <w:r w:rsidRPr="00051930">
              <w:rPr>
                <w:color w:val="000000"/>
              </w:rPr>
              <w:t xml:space="preserve"> for uptake</w:t>
            </w:r>
          </w:p>
          <w:p w14:paraId="624C28EE"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Inclusion of a-typical sources of evidence</w:t>
            </w:r>
          </w:p>
          <w:p w14:paraId="1ECB118C"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xml:space="preserve">Hands-on implementing </w:t>
            </w:r>
            <w:r w:rsidR="00E826E4">
              <w:rPr>
                <w:color w:val="000000"/>
              </w:rPr>
              <w:t>evidence-base practices</w:t>
            </w:r>
          </w:p>
          <w:p w14:paraId="6F6CEE97"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Primary Research</w:t>
            </w:r>
          </w:p>
          <w:p w14:paraId="410A02AD"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Determining need for research/development</w:t>
            </w:r>
          </w:p>
          <w:p w14:paraId="38158F60" w14:textId="77777777" w:rsidR="00A56DF9" w:rsidRPr="00051930" w:rsidRDefault="00A56DF9" w:rsidP="00550723">
            <w:pPr>
              <w:pStyle w:val="NoSpacing"/>
              <w:numPr>
                <w:ilvl w:val="0"/>
                <w:numId w:val="33"/>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Developing research topics</w:t>
            </w:r>
          </w:p>
        </w:tc>
        <w:tc>
          <w:tcPr>
            <w:tcW w:w="1000" w:type="dxa"/>
            <w:noWrap/>
            <w:hideMark/>
          </w:tcPr>
          <w:p w14:paraId="2E2A1843" w14:textId="77777777"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w:t>
            </w:r>
          </w:p>
        </w:tc>
        <w:tc>
          <w:tcPr>
            <w:tcW w:w="1000" w:type="dxa"/>
            <w:shd w:val="clear" w:color="auto" w:fill="2F88F0" w:themeFill="accent1" w:themeFillTint="99"/>
            <w:noWrap/>
            <w:hideMark/>
          </w:tcPr>
          <w:p w14:paraId="1FF199A2" w14:textId="78216797"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p>
        </w:tc>
        <w:tc>
          <w:tcPr>
            <w:tcW w:w="1449" w:type="dxa"/>
            <w:noWrap/>
            <w:hideMark/>
          </w:tcPr>
          <w:p w14:paraId="129FA6C8" w14:textId="77777777"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w:t>
            </w:r>
          </w:p>
        </w:tc>
      </w:tr>
      <w:tr w:rsidR="00DB07D0" w:rsidRPr="00051930" w14:paraId="2E258CC4" w14:textId="77777777" w:rsidTr="00DB07D0">
        <w:trPr>
          <w:cnfStyle w:val="000000010000" w:firstRow="0" w:lastRow="0" w:firstColumn="0" w:lastColumn="0" w:oddVBand="0" w:evenVBand="0" w:oddHBand="0" w:evenHBand="1" w:firstRowFirstColumn="0" w:firstRowLastColumn="0" w:lastRowFirstColumn="0" w:lastRowLastColumn="0"/>
          <w:trHeight w:val="3121"/>
          <w:jc w:val="center"/>
        </w:trPr>
        <w:tc>
          <w:tcPr>
            <w:cnfStyle w:val="001000000000" w:firstRow="0" w:lastRow="0" w:firstColumn="1" w:lastColumn="0" w:oddVBand="0" w:evenVBand="0" w:oddHBand="0" w:evenHBand="0" w:firstRowFirstColumn="0" w:firstRowLastColumn="0" w:lastRowFirstColumn="0" w:lastRowLastColumn="0"/>
            <w:tcW w:w="1300" w:type="dxa"/>
            <w:tcBorders>
              <w:bottom w:val="single" w:sz="4" w:space="0" w:color="auto"/>
            </w:tcBorders>
            <w:noWrap/>
            <w:hideMark/>
          </w:tcPr>
          <w:p w14:paraId="29B0919B" w14:textId="77777777" w:rsidR="00A56DF9" w:rsidRPr="00051930" w:rsidRDefault="00A56DF9" w:rsidP="007674CF">
            <w:pPr>
              <w:pStyle w:val="NoSpacing"/>
              <w:rPr>
                <w:color w:val="000000"/>
              </w:rPr>
            </w:pPr>
            <w:r w:rsidRPr="00051930">
              <w:rPr>
                <w:color w:val="000000"/>
              </w:rPr>
              <w:t>Practicality and usability of evidence</w:t>
            </w:r>
          </w:p>
        </w:tc>
        <w:tc>
          <w:tcPr>
            <w:tcW w:w="4300" w:type="dxa"/>
            <w:tcBorders>
              <w:bottom w:val="single" w:sz="4" w:space="0" w:color="auto"/>
            </w:tcBorders>
            <w:noWrap/>
            <w:hideMark/>
          </w:tcPr>
          <w:p w14:paraId="75CEB7B4" w14:textId="77777777"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Usability of evidence</w:t>
            </w:r>
          </w:p>
          <w:p w14:paraId="166A70C6" w14:textId="77777777"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Practical knowledge/ready to implement</w:t>
            </w:r>
          </w:p>
          <w:p w14:paraId="0C75237D" w14:textId="77777777"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Responsive to policy and practice needs in the synthesis, translation and dissemination process</w:t>
            </w:r>
          </w:p>
          <w:p w14:paraId="04DF37CC" w14:textId="6AAB1170"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 xml:space="preserve">Adapting language </w:t>
            </w:r>
            <w:r w:rsidR="006B4BD4">
              <w:rPr>
                <w:color w:val="000000"/>
              </w:rPr>
              <w:t>–</w:t>
            </w:r>
            <w:r w:rsidRPr="00051930">
              <w:rPr>
                <w:color w:val="000000"/>
              </w:rPr>
              <w:t xml:space="preserve"> user-friendly outputs</w:t>
            </w:r>
          </w:p>
          <w:p w14:paraId="026C483B" w14:textId="77777777"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Accessibility (language, navigation, ease-of-use) is paramount</w:t>
            </w:r>
          </w:p>
          <w:p w14:paraId="0F1BBEFA" w14:textId="77777777" w:rsidR="00A56DF9" w:rsidRPr="00051930" w:rsidRDefault="00A56DF9" w:rsidP="00550723">
            <w:pPr>
              <w:pStyle w:val="NoSpacing"/>
              <w:numPr>
                <w:ilvl w:val="0"/>
                <w:numId w:val="34"/>
              </w:numPr>
              <w:ind w:left="340" w:hanging="227"/>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Staff skilled in evidence synthesis and knowledge translation</w:t>
            </w:r>
          </w:p>
        </w:tc>
        <w:tc>
          <w:tcPr>
            <w:tcW w:w="1000" w:type="dxa"/>
            <w:tcBorders>
              <w:bottom w:val="single" w:sz="4" w:space="0" w:color="auto"/>
            </w:tcBorders>
            <w:noWrap/>
            <w:hideMark/>
          </w:tcPr>
          <w:p w14:paraId="367A3180" w14:textId="77777777" w:rsidR="00A56DF9" w:rsidRPr="00051930" w:rsidRDefault="00A56DF9" w:rsidP="007674CF">
            <w:pPr>
              <w:pStyle w:val="NoSpacing"/>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 </w:t>
            </w:r>
          </w:p>
        </w:tc>
        <w:tc>
          <w:tcPr>
            <w:tcW w:w="1000" w:type="dxa"/>
            <w:tcBorders>
              <w:bottom w:val="single" w:sz="4" w:space="0" w:color="auto"/>
            </w:tcBorders>
            <w:shd w:val="clear" w:color="auto" w:fill="2F88F0" w:themeFill="accent1" w:themeFillTint="99"/>
            <w:noWrap/>
            <w:hideMark/>
          </w:tcPr>
          <w:p w14:paraId="08C9BA38" w14:textId="3621A16E" w:rsidR="00A56DF9" w:rsidRPr="00051930" w:rsidRDefault="00A56DF9" w:rsidP="007674CF">
            <w:pPr>
              <w:pStyle w:val="NoSpacing"/>
              <w:cnfStyle w:val="000000010000" w:firstRow="0" w:lastRow="0" w:firstColumn="0" w:lastColumn="0" w:oddVBand="0" w:evenVBand="0" w:oddHBand="0" w:evenHBand="1" w:firstRowFirstColumn="0" w:firstRowLastColumn="0" w:lastRowFirstColumn="0" w:lastRowLastColumn="0"/>
              <w:rPr>
                <w:color w:val="000000"/>
              </w:rPr>
            </w:pPr>
          </w:p>
        </w:tc>
        <w:tc>
          <w:tcPr>
            <w:tcW w:w="1449" w:type="dxa"/>
            <w:tcBorders>
              <w:bottom w:val="single" w:sz="4" w:space="0" w:color="auto"/>
            </w:tcBorders>
            <w:noWrap/>
            <w:hideMark/>
          </w:tcPr>
          <w:p w14:paraId="3DF9AB18" w14:textId="77777777" w:rsidR="00A56DF9" w:rsidRPr="00051930" w:rsidRDefault="00A56DF9" w:rsidP="007674CF">
            <w:pPr>
              <w:pStyle w:val="NoSpacing"/>
              <w:cnfStyle w:val="000000010000" w:firstRow="0" w:lastRow="0" w:firstColumn="0" w:lastColumn="0" w:oddVBand="0" w:evenVBand="0" w:oddHBand="0" w:evenHBand="1" w:firstRowFirstColumn="0" w:firstRowLastColumn="0" w:lastRowFirstColumn="0" w:lastRowLastColumn="0"/>
              <w:rPr>
                <w:color w:val="000000"/>
              </w:rPr>
            </w:pPr>
            <w:r w:rsidRPr="00051930">
              <w:rPr>
                <w:color w:val="000000"/>
              </w:rPr>
              <w:t> </w:t>
            </w:r>
          </w:p>
        </w:tc>
      </w:tr>
      <w:tr w:rsidR="00DB07D0" w:rsidRPr="00051930" w14:paraId="62B96498" w14:textId="77777777" w:rsidTr="00DB07D0">
        <w:trPr>
          <w:cnfStyle w:val="000000100000" w:firstRow="0" w:lastRow="0" w:firstColumn="0" w:lastColumn="0" w:oddVBand="0" w:evenVBand="0" w:oddHBand="1" w:evenHBand="0" w:firstRowFirstColumn="0" w:firstRowLastColumn="0" w:lastRowFirstColumn="0" w:lastRowLastColumn="0"/>
          <w:trHeight w:val="5054"/>
          <w:jc w:val="center"/>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bottom w:val="single" w:sz="4" w:space="0" w:color="auto"/>
            </w:tcBorders>
            <w:noWrap/>
            <w:hideMark/>
          </w:tcPr>
          <w:p w14:paraId="7195F4E5" w14:textId="77777777" w:rsidR="00A56DF9" w:rsidRPr="00051930" w:rsidRDefault="00A56DF9" w:rsidP="007674CF">
            <w:pPr>
              <w:pStyle w:val="NoSpacing"/>
              <w:rPr>
                <w:color w:val="000000"/>
              </w:rPr>
            </w:pPr>
            <w:r w:rsidRPr="00051930">
              <w:rPr>
                <w:color w:val="000000"/>
              </w:rPr>
              <w:t>Collaboration</w:t>
            </w:r>
          </w:p>
        </w:tc>
        <w:tc>
          <w:tcPr>
            <w:tcW w:w="4300" w:type="dxa"/>
            <w:tcBorders>
              <w:top w:val="single" w:sz="4" w:space="0" w:color="auto"/>
              <w:bottom w:val="single" w:sz="4" w:space="0" w:color="auto"/>
            </w:tcBorders>
            <w:noWrap/>
            <w:hideMark/>
          </w:tcPr>
          <w:p w14:paraId="20E0F027"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Representation: consulting/liaising with policymakers or funding agencies</w:t>
            </w:r>
          </w:p>
          <w:p w14:paraId="7069BE7D"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Contextualising knowledge to practitioners' needs</w:t>
            </w:r>
          </w:p>
          <w:p w14:paraId="23BDB5B3"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Advisory/expert groups are important for providing technical expertise to the board/organisation</w:t>
            </w:r>
          </w:p>
          <w:p w14:paraId="3FF06A45"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Collaboration with EBP users and stakeholders</w:t>
            </w:r>
          </w:p>
          <w:p w14:paraId="0529B588"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Ability to liaise with decision makers</w:t>
            </w:r>
          </w:p>
          <w:p w14:paraId="2C25DB6E" w14:textId="0AAB07E4" w:rsidR="00A56DF9" w:rsidRPr="00051930" w:rsidRDefault="00E826E4"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Pr>
                <w:color w:val="000000"/>
              </w:rPr>
              <w:t>Evidence-base</w:t>
            </w:r>
            <w:r w:rsidR="006B4BD4">
              <w:rPr>
                <w:color w:val="000000"/>
              </w:rPr>
              <w:t>d</w:t>
            </w:r>
            <w:r>
              <w:rPr>
                <w:color w:val="000000"/>
              </w:rPr>
              <w:t xml:space="preserve"> practice</w:t>
            </w:r>
            <w:r w:rsidRPr="00051930">
              <w:rPr>
                <w:color w:val="000000"/>
              </w:rPr>
              <w:t xml:space="preserve"> </w:t>
            </w:r>
            <w:r w:rsidR="00A56DF9" w:rsidRPr="00051930">
              <w:rPr>
                <w:color w:val="000000"/>
              </w:rPr>
              <w:t>implementation</w:t>
            </w:r>
          </w:p>
          <w:p w14:paraId="435FC734"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Collaboration with beneficiaries in knowledge translation</w:t>
            </w:r>
          </w:p>
          <w:p w14:paraId="4C69F13A"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Collaboration between REIs and practitioners</w:t>
            </w:r>
          </w:p>
          <w:p w14:paraId="17582806"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Disconnect between funder goals and end-user needs</w:t>
            </w:r>
          </w:p>
          <w:p w14:paraId="2C041B83" w14:textId="77777777" w:rsidR="00A56DF9" w:rsidRPr="00051930" w:rsidRDefault="00A56DF9" w:rsidP="00550723">
            <w:pPr>
              <w:pStyle w:val="NoSpacing"/>
              <w:numPr>
                <w:ilvl w:val="0"/>
                <w:numId w:val="35"/>
              </w:numPr>
              <w:ind w:left="340" w:hanging="227"/>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Partnerships can be useful for research</w:t>
            </w:r>
          </w:p>
        </w:tc>
        <w:tc>
          <w:tcPr>
            <w:tcW w:w="1000" w:type="dxa"/>
            <w:tcBorders>
              <w:top w:val="single" w:sz="4" w:space="0" w:color="auto"/>
              <w:bottom w:val="single" w:sz="4" w:space="0" w:color="auto"/>
            </w:tcBorders>
            <w:noWrap/>
            <w:hideMark/>
          </w:tcPr>
          <w:p w14:paraId="34A0464F" w14:textId="77777777"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w:t>
            </w:r>
          </w:p>
        </w:tc>
        <w:tc>
          <w:tcPr>
            <w:tcW w:w="1000" w:type="dxa"/>
            <w:tcBorders>
              <w:top w:val="single" w:sz="4" w:space="0" w:color="auto"/>
              <w:bottom w:val="single" w:sz="4" w:space="0" w:color="auto"/>
            </w:tcBorders>
            <w:noWrap/>
            <w:hideMark/>
          </w:tcPr>
          <w:p w14:paraId="03B616C0" w14:textId="77777777"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r w:rsidRPr="00051930">
              <w:rPr>
                <w:color w:val="000000"/>
              </w:rPr>
              <w:t> </w:t>
            </w:r>
          </w:p>
        </w:tc>
        <w:tc>
          <w:tcPr>
            <w:tcW w:w="1449" w:type="dxa"/>
            <w:tcBorders>
              <w:top w:val="single" w:sz="4" w:space="0" w:color="auto"/>
              <w:bottom w:val="single" w:sz="4" w:space="0" w:color="auto"/>
            </w:tcBorders>
            <w:shd w:val="clear" w:color="auto" w:fill="2F88F0" w:themeFill="accent1" w:themeFillTint="99"/>
            <w:noWrap/>
            <w:hideMark/>
          </w:tcPr>
          <w:p w14:paraId="7B937340" w14:textId="7FC3AA6B" w:rsidR="00A56DF9" w:rsidRPr="00051930" w:rsidRDefault="00A56DF9" w:rsidP="007674CF">
            <w:pPr>
              <w:pStyle w:val="NoSpacing"/>
              <w:cnfStyle w:val="000000100000" w:firstRow="0" w:lastRow="0" w:firstColumn="0" w:lastColumn="0" w:oddVBand="0" w:evenVBand="0" w:oddHBand="1" w:evenHBand="0" w:firstRowFirstColumn="0" w:firstRowLastColumn="0" w:lastRowFirstColumn="0" w:lastRowLastColumn="0"/>
              <w:rPr>
                <w:color w:val="000000"/>
              </w:rPr>
            </w:pPr>
          </w:p>
        </w:tc>
      </w:tr>
    </w:tbl>
    <w:p w14:paraId="7D550F47" w14:textId="77777777" w:rsidR="0093470E" w:rsidRDefault="0093470E" w:rsidP="0093470E">
      <w:r w:rsidRPr="0091711A">
        <w:rPr>
          <w:b/>
          <w:noProof/>
          <w:lang w:val="en-US" w:eastAsia="en-US"/>
        </w:rPr>
        <w:lastRenderedPageBreak/>
        <mc:AlternateContent>
          <mc:Choice Requires="wps">
            <w:drawing>
              <wp:anchor distT="0" distB="0" distL="114300" distR="114300" simplePos="0" relativeHeight="251701248" behindDoc="0" locked="0" layoutInCell="1" allowOverlap="1" wp14:anchorId="37E2AEE8" wp14:editId="559279A4">
                <wp:simplePos x="0" y="0"/>
                <wp:positionH relativeFrom="column">
                  <wp:posOffset>2538095</wp:posOffset>
                </wp:positionH>
                <wp:positionV relativeFrom="paragraph">
                  <wp:posOffset>0</wp:posOffset>
                </wp:positionV>
                <wp:extent cx="3176270" cy="8229600"/>
                <wp:effectExtent l="0" t="0" r="24130" b="19050"/>
                <wp:wrapSquare wrapText="bothSides"/>
                <wp:docPr id="3" name="Text Box 3" descr="Box 1: The Calm Kids Study"/>
                <wp:cNvGraphicFramePr/>
                <a:graphic xmlns:a="http://schemas.openxmlformats.org/drawingml/2006/main">
                  <a:graphicData uri="http://schemas.microsoft.com/office/word/2010/wordprocessingShape">
                    <wps:wsp>
                      <wps:cNvSpPr txBox="1"/>
                      <wps:spPr>
                        <a:xfrm>
                          <a:off x="0" y="0"/>
                          <a:ext cx="3176270" cy="8229600"/>
                        </a:xfrm>
                        <a:prstGeom prst="rect">
                          <a:avLst/>
                        </a:prstGeom>
                        <a:noFill/>
                        <a:ln w="127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8563552" w14:textId="77777777" w:rsidR="00CF668F" w:rsidRPr="00DB07D0" w:rsidRDefault="00CF668F" w:rsidP="00B85109">
                            <w:pPr>
                              <w:pStyle w:val="Pull-outBodyCopy"/>
                              <w:jc w:val="center"/>
                              <w:rPr>
                                <w:b/>
                                <w:sz w:val="18"/>
                              </w:rPr>
                            </w:pPr>
                            <w:bookmarkStart w:id="58" w:name="_Toc509449821"/>
                            <w:r w:rsidRPr="00DB07D0">
                              <w:rPr>
                                <w:b/>
                                <w:sz w:val="18"/>
                              </w:rPr>
                              <w:t>Box 1: The Calm Kids Study</w:t>
                            </w:r>
                            <w:bookmarkEnd w:id="58"/>
                          </w:p>
                          <w:p w14:paraId="2846BD50" w14:textId="23EEE73C" w:rsidR="00CF668F" w:rsidRPr="00DB07D0" w:rsidRDefault="00CF668F" w:rsidP="00F30115">
                            <w:pPr>
                              <w:ind w:left="-100"/>
                              <w:rPr>
                                <w:sz w:val="19"/>
                                <w:szCs w:val="19"/>
                              </w:rPr>
                            </w:pPr>
                            <w:r w:rsidRPr="00DB07D0">
                              <w:rPr>
                                <w:sz w:val="19"/>
                                <w:szCs w:val="19"/>
                              </w:rPr>
                              <w:t xml:space="preserve">The Murdoch Children’s Research Institute (MCRI) is an Australian research institute that specialises in children’s health. Their five areas of focus are infection and immunity, cell biology, clinical science, genetics, and population health. One current research project being undertaken by MCRI is The Calm Kids Study, which targets anxiety in children with Attention Deficit Hyperactivity Disorder (ADHD). </w:t>
                            </w:r>
                          </w:p>
                          <w:p w14:paraId="7A8BE672" w14:textId="1F299B9A" w:rsidR="00CF668F" w:rsidRPr="00DB07D0" w:rsidRDefault="00CF668F" w:rsidP="00F30115">
                            <w:pPr>
                              <w:ind w:left="-100"/>
                              <w:rPr>
                                <w:sz w:val="19"/>
                                <w:szCs w:val="19"/>
                              </w:rPr>
                            </w:pPr>
                            <w:r w:rsidRPr="00DB07D0">
                              <w:rPr>
                                <w:sz w:val="19"/>
                                <w:szCs w:val="19"/>
                              </w:rPr>
                              <w:t>The Calm Kids Study is based on a previous small-scale pilot study from 2015 which showed that non-pharmacological interventions may be effective in improving functioning for children with both ADHD and anxiety (</w:t>
                            </w:r>
                            <w:proofErr w:type="spellStart"/>
                            <w:r w:rsidRPr="00DB07D0">
                              <w:rPr>
                                <w:sz w:val="19"/>
                                <w:szCs w:val="19"/>
                              </w:rPr>
                              <w:t>Sciberras</w:t>
                            </w:r>
                            <w:proofErr w:type="spellEnd"/>
                            <w:r w:rsidRPr="00DB07D0">
                              <w:rPr>
                                <w:sz w:val="19"/>
                                <w:szCs w:val="19"/>
                              </w:rPr>
                              <w:t xml:space="preserve">, </w:t>
                            </w:r>
                            <w:proofErr w:type="spellStart"/>
                            <w:r w:rsidRPr="00DB07D0">
                              <w:rPr>
                                <w:sz w:val="19"/>
                                <w:szCs w:val="19"/>
                              </w:rPr>
                              <w:t>Mulraney</w:t>
                            </w:r>
                            <w:proofErr w:type="spellEnd"/>
                            <w:r w:rsidRPr="00DB07D0">
                              <w:rPr>
                                <w:sz w:val="19"/>
                                <w:szCs w:val="19"/>
                              </w:rPr>
                              <w:t xml:space="preserve">, Anderson, </w:t>
                            </w:r>
                            <w:proofErr w:type="spellStart"/>
                            <w:r w:rsidRPr="00DB07D0">
                              <w:rPr>
                                <w:sz w:val="19"/>
                                <w:szCs w:val="19"/>
                              </w:rPr>
                              <w:t>Rapee</w:t>
                            </w:r>
                            <w:proofErr w:type="spellEnd"/>
                            <w:r w:rsidRPr="00DB07D0">
                              <w:rPr>
                                <w:sz w:val="19"/>
                                <w:szCs w:val="19"/>
                              </w:rPr>
                              <w:t xml:space="preserve">, et. al., 2015). The study uses a ten-session intervention to teach children and parents about anxiety and anxiety management strategies with the aim of reducing anxiety and improving child and family functioning. Children undertaking the intervention will be compared with children who did not receive the intervention to determine its effects. The aim of the research study is to determine whether such an intervention significantly affects children with anxiety and ADHD, and to determine its feasibility and scalability. The study involves 133 families to date, and has been running since late 2015 (“News and publications”, </w:t>
                            </w:r>
                            <w:proofErr w:type="spellStart"/>
                            <w:r w:rsidRPr="00DB07D0">
                              <w:rPr>
                                <w:sz w:val="19"/>
                                <w:szCs w:val="19"/>
                              </w:rPr>
                              <w:t>n.d.</w:t>
                            </w:r>
                            <w:proofErr w:type="spellEnd"/>
                            <w:r w:rsidRPr="00DB07D0">
                              <w:rPr>
                                <w:sz w:val="19"/>
                                <w:szCs w:val="19"/>
                              </w:rPr>
                              <w:t>).</w:t>
                            </w:r>
                          </w:p>
                          <w:p w14:paraId="6414A616" w14:textId="77777777" w:rsidR="00CF668F" w:rsidRPr="00DB07D0" w:rsidRDefault="00CF668F" w:rsidP="00F30115">
                            <w:pPr>
                              <w:ind w:left="-100"/>
                              <w:rPr>
                                <w:sz w:val="19"/>
                                <w:szCs w:val="19"/>
                              </w:rPr>
                            </w:pPr>
                            <w:r w:rsidRPr="00DB07D0">
                              <w:rPr>
                                <w:sz w:val="19"/>
                                <w:szCs w:val="19"/>
                              </w:rPr>
                              <w:t>While the study has been informed by previous research, its goal is to add to the evidence base of mental health interventions for children, specifically supporting using Cognitive Behavioural Theory (CBT) approaches for children with ADHD and anxiety. The pilot study extended “previous research through inclusion of a broad battery of outcome measures, including diagnostic interviews”. The current study further expands on the pilot study, as it is a much larger-scale and longer-term research project. In short, The Calm Kids Study will create evidence on which future practice may be based.</w:t>
                            </w:r>
                          </w:p>
                          <w:p w14:paraId="073491CE" w14:textId="77777777" w:rsidR="00CF668F" w:rsidRPr="00DB07D0" w:rsidRDefault="00CF668F" w:rsidP="00F30115">
                            <w:pPr>
                              <w:ind w:left="-100"/>
                              <w:rPr>
                                <w:sz w:val="19"/>
                                <w:szCs w:val="19"/>
                              </w:rPr>
                            </w:pPr>
                            <w:r w:rsidRPr="00DB07D0">
                              <w:rPr>
                                <w:sz w:val="19"/>
                                <w:szCs w:val="19"/>
                              </w:rPr>
                              <w:t xml:space="preserve">MCRI is governed by a Board of Directors and several committees which perform a variety of tasks. Their Development Board advises on fundraising, marketing, and communications; the Executive Committee advises on the overall strategy and long-term research; the Audit, Finance, and Risk Committee advises on the systems and controls to safeguard MCRI’s assets; the Translation and Commercialisation Committee advises on business development opportunities; the Investment Committee advises on financial investments; and the Victorian Clinical Genetics Services Board advises on strategy and management for the genetics clinic operations (“Board and Committees”, </w:t>
                            </w:r>
                            <w:proofErr w:type="spellStart"/>
                            <w:r w:rsidRPr="00DB07D0">
                              <w:rPr>
                                <w:sz w:val="19"/>
                                <w:szCs w:val="19"/>
                              </w:rPr>
                              <w:t>n.d.</w:t>
                            </w:r>
                            <w:proofErr w:type="spellEnd"/>
                            <w:r w:rsidRPr="00DB07D0">
                              <w:rPr>
                                <w:sz w:val="19"/>
                                <w:szCs w:val="19"/>
                              </w:rPr>
                              <w:t>).</w:t>
                            </w:r>
                          </w:p>
                          <w:p w14:paraId="06CA5053" w14:textId="77777777" w:rsidR="00CF668F" w:rsidRPr="00DB07D0" w:rsidRDefault="00CF668F" w:rsidP="0093470E">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Description: Box 1: The Calm Kids Study" style="position:absolute;margin-left:199.85pt;margin-top:0;width:250.1pt;height:9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" filled="f" strokecolor="#094183 [3204]" strokeweight="1pt">
                <v:textbox>
                  <w:txbxContent>
                    <w:p w14:paraId="48563552" w14:textId="77777777" w:rsidR="00CF668F" w:rsidRPr="00DB07D0" w:rsidRDefault="00CF668F" w:rsidP="00B85109">
                      <w:pPr>
                        <w:pStyle w:val="Pull-outBodyCopy"/>
                        <w:jc w:val="center"/>
                        <w:rPr>
                          <w:b/>
                          <w:sz w:val="18"/>
                        </w:rPr>
                      </w:pPr>
                      <w:bookmarkStart w:id="60" w:name="_Toc509449821"/>
                      <w:r w:rsidRPr="00DB07D0">
                        <w:rPr>
                          <w:b/>
                          <w:sz w:val="18"/>
                        </w:rPr>
                        <w:t>Box 1: The Calm Kids Study</w:t>
                      </w:r>
                      <w:bookmarkEnd w:id="60"/>
                    </w:p>
                    <w:p w14:paraId="2846BD50" w14:textId="23EEE73C" w:rsidR="00CF668F" w:rsidRPr="00DB07D0" w:rsidRDefault="00CF668F" w:rsidP="00F30115">
                      <w:pPr>
                        <w:ind w:left="-100"/>
                        <w:rPr>
                          <w:sz w:val="19"/>
                          <w:szCs w:val="19"/>
                        </w:rPr>
                      </w:pPr>
                      <w:r w:rsidRPr="00DB07D0">
                        <w:rPr>
                          <w:sz w:val="19"/>
                          <w:szCs w:val="19"/>
                        </w:rPr>
                        <w:t xml:space="preserve">The Murdoch Children’s Research Institute (MCRI) is an Australian research institute that specialises in children’s health. Their five areas of focus are infection and immunity, cell biology, clinical science, genetics, and population health. One current research project being undertaken by MCRI is The Calm Kids Study, which targets anxiety in children with Attention Deficit Hyperactivity Disorder (ADHD). </w:t>
                      </w:r>
                    </w:p>
                    <w:p w14:paraId="7A8BE672" w14:textId="1F299B9A" w:rsidR="00CF668F" w:rsidRPr="00DB07D0" w:rsidRDefault="00CF668F" w:rsidP="00F30115">
                      <w:pPr>
                        <w:ind w:left="-100"/>
                        <w:rPr>
                          <w:sz w:val="19"/>
                          <w:szCs w:val="19"/>
                        </w:rPr>
                      </w:pPr>
                      <w:r w:rsidRPr="00DB07D0">
                        <w:rPr>
                          <w:sz w:val="19"/>
                          <w:szCs w:val="19"/>
                        </w:rPr>
                        <w:t>The Calm Kids Study is based on a previous small-scale pilot study from 2015 which showed that non-pharmacological interventions may be effective in improving functioning for children with both ADHD and anxiety (</w:t>
                      </w:r>
                      <w:proofErr w:type="spellStart"/>
                      <w:r w:rsidRPr="00DB07D0">
                        <w:rPr>
                          <w:sz w:val="19"/>
                          <w:szCs w:val="19"/>
                        </w:rPr>
                        <w:t>Sciberras</w:t>
                      </w:r>
                      <w:proofErr w:type="spellEnd"/>
                      <w:r w:rsidRPr="00DB07D0">
                        <w:rPr>
                          <w:sz w:val="19"/>
                          <w:szCs w:val="19"/>
                        </w:rPr>
                        <w:t xml:space="preserve">, </w:t>
                      </w:r>
                      <w:proofErr w:type="spellStart"/>
                      <w:r w:rsidRPr="00DB07D0">
                        <w:rPr>
                          <w:sz w:val="19"/>
                          <w:szCs w:val="19"/>
                        </w:rPr>
                        <w:t>Mulraney</w:t>
                      </w:r>
                      <w:proofErr w:type="spellEnd"/>
                      <w:r w:rsidRPr="00DB07D0">
                        <w:rPr>
                          <w:sz w:val="19"/>
                          <w:szCs w:val="19"/>
                        </w:rPr>
                        <w:t xml:space="preserve">, Anderson, </w:t>
                      </w:r>
                      <w:proofErr w:type="spellStart"/>
                      <w:r w:rsidRPr="00DB07D0">
                        <w:rPr>
                          <w:sz w:val="19"/>
                          <w:szCs w:val="19"/>
                        </w:rPr>
                        <w:t>Rapee</w:t>
                      </w:r>
                      <w:proofErr w:type="spellEnd"/>
                      <w:r w:rsidRPr="00DB07D0">
                        <w:rPr>
                          <w:sz w:val="19"/>
                          <w:szCs w:val="19"/>
                        </w:rPr>
                        <w:t xml:space="preserve">, et. al., 2015). The study uses a ten-session intervention to teach children and parents about anxiety and anxiety management strategies with the aim of reducing anxiety and improving child and family functioning. Children undertaking the intervention will be compared with children who did not receive the intervention to determine its effects. The aim of the research study is to determine whether such an intervention significantly affects children with anxiety and ADHD, and to determine its feasibility and scalability. The study involves 133 families to date, and has been running since late 2015 (“News and publications”, </w:t>
                      </w:r>
                      <w:proofErr w:type="spellStart"/>
                      <w:r w:rsidRPr="00DB07D0">
                        <w:rPr>
                          <w:sz w:val="19"/>
                          <w:szCs w:val="19"/>
                        </w:rPr>
                        <w:t>n.d.</w:t>
                      </w:r>
                      <w:proofErr w:type="spellEnd"/>
                      <w:r w:rsidRPr="00DB07D0">
                        <w:rPr>
                          <w:sz w:val="19"/>
                          <w:szCs w:val="19"/>
                        </w:rPr>
                        <w:t>).</w:t>
                      </w:r>
                    </w:p>
                    <w:p w14:paraId="6414A616" w14:textId="77777777" w:rsidR="00CF668F" w:rsidRPr="00DB07D0" w:rsidRDefault="00CF668F" w:rsidP="00F30115">
                      <w:pPr>
                        <w:ind w:left="-100"/>
                        <w:rPr>
                          <w:sz w:val="19"/>
                          <w:szCs w:val="19"/>
                        </w:rPr>
                      </w:pPr>
                      <w:r w:rsidRPr="00DB07D0">
                        <w:rPr>
                          <w:sz w:val="19"/>
                          <w:szCs w:val="19"/>
                        </w:rPr>
                        <w:t>While the study has been informed by previous research, its goal is to add to the evidence base of mental health interventions for children, specifically supporting using Cognitive Behavioural Theory (CBT) approaches for children with ADHD and anxiety. The pilot study extended “previous research through inclusion of a broad battery of outcome measures, including diagnostic interviews”. The current study further expands on the pilot study, as it is a much larger-scale and longer-term research project. In short, The Calm Kids Study will create evidence on which future practice may be based.</w:t>
                      </w:r>
                    </w:p>
                    <w:p w14:paraId="073491CE" w14:textId="77777777" w:rsidR="00CF668F" w:rsidRPr="00DB07D0" w:rsidRDefault="00CF668F" w:rsidP="00F30115">
                      <w:pPr>
                        <w:ind w:left="-100"/>
                        <w:rPr>
                          <w:sz w:val="19"/>
                          <w:szCs w:val="19"/>
                        </w:rPr>
                      </w:pPr>
                      <w:r w:rsidRPr="00DB07D0">
                        <w:rPr>
                          <w:sz w:val="19"/>
                          <w:szCs w:val="19"/>
                        </w:rPr>
                        <w:t xml:space="preserve">MCRI is governed by a Board of Directors and several committees which perform a variety of tasks. Their Development Board advises on fundraising, marketing, and communications; the Executive Committee advises on the overall strategy and long-term research; the Audit, Finance, and Risk Committee advises on the systems and controls to safeguard MCRI’s assets; the Translation and Commercialisation Committee advises on business development opportunities; the Investment Committee advises on financial investments; and the Victorian Clinical Genetics Services Board advises on strategy and management for the genetics clinic operations (“Board and Committees”, </w:t>
                      </w:r>
                      <w:proofErr w:type="spellStart"/>
                      <w:r w:rsidRPr="00DB07D0">
                        <w:rPr>
                          <w:sz w:val="19"/>
                          <w:szCs w:val="19"/>
                        </w:rPr>
                        <w:t>n.d.</w:t>
                      </w:r>
                      <w:proofErr w:type="spellEnd"/>
                      <w:r w:rsidRPr="00DB07D0">
                        <w:rPr>
                          <w:sz w:val="19"/>
                          <w:szCs w:val="19"/>
                        </w:rPr>
                        <w:t>).</w:t>
                      </w:r>
                    </w:p>
                    <w:p w14:paraId="06CA5053" w14:textId="77777777" w:rsidR="00CF668F" w:rsidRPr="00DB07D0" w:rsidRDefault="00CF668F" w:rsidP="0093470E">
                      <w:pPr>
                        <w:rPr>
                          <w:sz w:val="18"/>
                        </w:rPr>
                      </w:pPr>
                    </w:p>
                  </w:txbxContent>
                </v:textbox>
                <w10:wrap type="square"/>
              </v:shape>
            </w:pict>
          </mc:Fallback>
        </mc:AlternateContent>
      </w:r>
      <w:r w:rsidR="00E45653" w:rsidRPr="0091711A">
        <w:t>T</w:t>
      </w:r>
      <w:r w:rsidRPr="00E45653">
        <w:t xml:space="preserve">he following elements were found to be critical features in the production of evidence to inform practice and policy.  </w:t>
      </w:r>
    </w:p>
    <w:p w14:paraId="433824DB" w14:textId="77777777" w:rsidR="0093470E" w:rsidRPr="00E16853" w:rsidRDefault="0093470E" w:rsidP="00716D4E">
      <w:pPr>
        <w:pStyle w:val="NumberedHeading3"/>
      </w:pPr>
      <w:bookmarkStart w:id="59" w:name="_Toc509950634"/>
      <w:r w:rsidRPr="00E16853">
        <w:t>Effective collaboration with the intended end-user</w:t>
      </w:r>
      <w:bookmarkEnd w:id="59"/>
      <w:r w:rsidRPr="00E16853">
        <w:t xml:space="preserve"> </w:t>
      </w:r>
    </w:p>
    <w:p w14:paraId="5BEACE62" w14:textId="19C21232" w:rsidR="0093470E" w:rsidRDefault="0093470E" w:rsidP="0093470E">
      <w:pPr>
        <w:rPr>
          <w:sz w:val="22"/>
        </w:rPr>
      </w:pPr>
      <w:r w:rsidRPr="0091711A">
        <w:t>There was consensus on the value of researchers collaborating with the intended end-users across all stages of the research process – from design through to the interpretation and dissemination of findings in the reviewed literature. Collaboration (that enabled the intended end-user to inform and contribute to the research design) was reported to increase the likelihood that the resulting evidence was applicable to practice and</w:t>
      </w:r>
      <w:r w:rsidR="006B4BD4">
        <w:t>,</w:t>
      </w:r>
      <w:r w:rsidRPr="0091711A">
        <w:t xml:space="preserve"> accordingly,</w:t>
      </w:r>
      <w:r w:rsidR="006B4BD4">
        <w:t xml:space="preserve"> to</w:t>
      </w:r>
      <w:r w:rsidRPr="0091711A">
        <w:t xml:space="preserve"> the probability that the research would be used to inform practice and policy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"ITEM-2",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"ITEM-2",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"id" : "ITEM-3",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"ITEM-3", "issued" : { "date-parts" : [ [ "2010" ] ] }, "page" : "496", "publisher-place" : "England", "title" : "A knowledge management tool for public health: health-evidence.ca.", "type" : "article-journal", "volume" : "10" }, "uris" : [ "http://www.mendeley.com/documents/?uuid=9771b0e4-a6ca-4b8d-ba34-b171083a98a1" ] }, { "id" : "ITEM-4",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"ITEM-4", "issue" : "10", "issued" : { "date-parts" : [ [ "2004" ] ] }, "page" : "778-783", "title" : "Research synthesis and disseminating as a bridge to knowledge management: the Cochrane Collaboration ", "type" : "article-journal", "volume" : "82 " }, "uris" : [ "http://www.mendeley.com/documents/?uuid=44584470-b501-49ae-9859-02fc1835742e" ] }, { "id" : "ITEM-5", "itemData" : { "DOI" : "10.1613/jair.301", "ISBN" : "9789241506502", "ISSN" : "1098-6596", "PMID" : "26042324", "abstract" : "122 p.", "author" : [ { "dropping-particle" : "", "family" : "WHO", "given" : "", "non-dropping-particle" : "", "parse-names" : false, "suffix" : "" } ], "id" : "ITEM-5", "issued" : { "date-parts" : [ [ "2013" ] ] }, "number-of-pages" : "124", "publisher-place" : "Geneva, Switzerland", "title" : "Transforming and scaling up health professionals\u2019 education and training: World Health Organization guidelines 2013", "type" : "report" }, "uris" : [ "http://www.mendeley.com/documents/?uuid=7e487b14-cf02-44c1-9b0b-e78d9b6dfe25" ] }, { "id" : "ITEM-6",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"ITEM-6",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"(Bain &amp; Swan, 2011; Burns &amp; Schuller, 2007; Dobbins, DeCorby, et al., 2010; LaRocca, Yost, Dobbins, Ciliska, &amp; Butt, 2012; Volmink, Siegfried, Robertson, &amp; Gulmezoglu, 2004; WHO, 2013a)", "plainTextFormattedCitation" : "(Bain &amp; Swan, 2011; Burns &amp; Schuller, 2007; Dobbins, DeCorby, et al., 2010; LaRocca, Yost, Dobbins, Ciliska, &amp; Butt, 2012; Volmink, Siegfried, Robertson, &amp; Gulmezoglu, 2004; WHO, 2013a)", "previouslyFormattedCitation" : "(Bain &amp; Swan, 2011; Burns &amp; Schuller, 2007; Dobbins, DeCorby, et al., 2010; LaRocca, Yost, Dobbins, Ciliska, &amp; Butt, 2012; Volmink, Siegfried, Robertson, &amp; Gulmezoglu, 2004; WHO, 2013a)" }, "properties" : {  }, "schema" : "https://github.com/citation-style-language/schema/raw/master/csl-citation.json" }</w:instrText>
      </w:r>
      <w:r w:rsidRPr="0091711A">
        <w:fldChar w:fldCharType="separate"/>
      </w:r>
      <w:r w:rsidRPr="0091711A">
        <w:rPr>
          <w:noProof/>
        </w:rPr>
        <w:t>(Bain &amp; Swan, 2011; Burns &amp; Schuller, 2007; Dobbins, DeCorby, et al., 2010; LaRocca, Yost, Dobbins, Ciliska, &amp; Butt, 2012; Volmink, Siegfried, Robertson, &amp; Gulmezoglu, 2004; WHO, 2013a)</w:t>
      </w:r>
      <w:r w:rsidRPr="0091711A">
        <w:fldChar w:fldCharType="end"/>
      </w:r>
      <w:r w:rsidRPr="00051930">
        <w:rPr>
          <w:sz w:val="22"/>
        </w:rPr>
        <w:t xml:space="preserve">. </w:t>
      </w:r>
    </w:p>
    <w:p w14:paraId="59FC63DC" w14:textId="606E089C" w:rsidR="0093470E" w:rsidRPr="0091711A" w:rsidRDefault="0093470E" w:rsidP="0093470E">
      <w:r w:rsidRPr="0091711A">
        <w:t xml:space="preserve">The intended user’s contribution to the research design and conduct is impactful because it addresses any gaps in the knowledge and capacity among those who conduct research to appropriately identify implications for practice and policy from research evidence </w:t>
      </w:r>
      <w:r w:rsidRPr="0091711A">
        <w:fldChar w:fldCharType="begin" w:fldLock="1"/>
      </w:r>
      <w:r w:rsidRPr="0091711A">
        <w:instrText>ADDIN CSL_CITATION { "citationItems" : [ { "id" : "ITEM-1",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"page" : "496", "publisher-place" : "England", "title" : "A knowledge management tool for public health: health-evidence.ca.", "type" : "article-journal", "volume" : "10" }, "uris" : [ "http://www.mendeley.com/documents/?uuid=9771b0e4-a6ca-4b8d-ba34-b171083a98a1" ] } ], "mendeley" : { "formattedCitation" : "(Dobbins, DeCorby, et al., 2010)", "plainTextFormattedCitation" : "(Dobbins, DeCorby, et al., 2010)", "previouslyFormattedCitation" : "(Dobbins, DeCorby, et al., 2010)" }, "properties" : {  }, "schema" : "https://github.com/citation-style-language/schema/raw/master/csl-citation.json" }</w:instrText>
      </w:r>
      <w:r w:rsidRPr="0091711A">
        <w:fldChar w:fldCharType="separate"/>
      </w:r>
      <w:r w:rsidRPr="0091711A">
        <w:rPr>
          <w:noProof/>
        </w:rPr>
        <w:t>(Dobbins, DeCorby, et al., 2010)</w:t>
      </w:r>
      <w:r w:rsidRPr="0091711A">
        <w:fldChar w:fldCharType="end"/>
      </w:r>
      <w:r w:rsidRPr="0091711A">
        <w:t xml:space="preserve">. Identifying relevant and actionable implications is an aspect of research that is often poorly developed in studies. However, the involvement of the intended end-users who have intimate knowledge of the system structures, </w:t>
      </w:r>
      <w:r w:rsidRPr="0091711A">
        <w:rPr>
          <w:noProof/>
        </w:rPr>
        <w:t>organisational</w:t>
      </w:r>
      <w:r w:rsidRPr="0091711A">
        <w:t xml:space="preserve"> infrastructure, </w:t>
      </w:r>
      <w:r w:rsidRPr="0091711A">
        <w:rPr>
          <w:noProof/>
        </w:rPr>
        <w:t>and</w:t>
      </w:r>
      <w:r w:rsidRPr="0091711A">
        <w:t xml:space="preserve"> resourcing capacity can result in appropriate, relevant and actionable implications being identified from the research. Furthermore, it can improve dissemination and use</w:t>
      </w:r>
      <w:r w:rsidR="006B4BD4">
        <w:t>-</w:t>
      </w:r>
      <w:r w:rsidRPr="0091711A">
        <w:t>of</w:t>
      </w:r>
      <w:r w:rsidR="006B4BD4">
        <w:t>-</w:t>
      </w:r>
      <w:r w:rsidRPr="0091711A">
        <w:t xml:space="preserve">evidence more generally, which is an outcome of involvement. </w:t>
      </w:r>
    </w:p>
    <w:p w14:paraId="428FDC18" w14:textId="77777777" w:rsidR="0093470E" w:rsidRPr="0091711A" w:rsidRDefault="0093470E" w:rsidP="0093470E">
      <w:r w:rsidRPr="0091711A">
        <w:t xml:space="preserve">It should be noted that there are few published examples of effective collaborations, particularly those that involve </w:t>
      </w:r>
      <w:r w:rsidRPr="0091711A">
        <w:rPr>
          <w:noProof/>
        </w:rPr>
        <w:t>policymakers</w:t>
      </w:r>
      <w:r w:rsidRPr="0091711A">
        <w:t>. Often, research that systematically includes collaboration through all stages is categorised as a certain research design, such as participatory or action research. However, the reviewed literature on evidence-informed practice signals that this collaboration can and should exist across all research endeavo</w:t>
      </w:r>
      <w:r w:rsidR="002F3265">
        <w:t>u</w:t>
      </w:r>
      <w:r w:rsidRPr="0091711A">
        <w:t xml:space="preserve">rs </w:t>
      </w:r>
      <w:r w:rsidRPr="0091711A">
        <w:lastRenderedPageBreak/>
        <w:t xml:space="preserve">aiming to generate evidence for the purposes of informing practice and policy </w:t>
      </w:r>
      <w:r w:rsidRPr="0091711A">
        <w:fldChar w:fldCharType="begin" w:fldLock="1"/>
      </w:r>
      <w:r w:rsidRPr="0091711A">
        <w:instrText>ADDIN CSL_CITATION { "citationItems" : [ { "id" : "ITEM-1",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"ITEM-1", "issue" : "10", "issued" : { "date-parts" : [ [ "2004" ] ] }, "page" : "778-783", "title" : "Research synthesis and disseminating as a bridge to knowledge management: the Cochrane Collaboration ", "type" : "article-journal", "volume" : "82 " }, "uris" : [ "http://www.mendeley.com/documents/?uuid=44584470-b501-49ae-9859-02fc1835742e" ] }, { "id" : "ITEM-2", "itemData" : { "author" : [ { "dropping-particle" : "", "family" : "WHO", "given" : "", "non-dropping-particle" : "", "parse-names" : false, "suffix" : "" } ], "id" : "ITEM-2", "issue" : "October", "issued" : { "date-parts" : [ [ "2013" ] ] }, "title" : "Use of systematic reviews of the evidence in public health nutrition: proceedings of an informal consultation held.", "type" : "article-journal" }, "uris" : [ "http://www.mendeley.com/documents/?uuid=5dddd053-2c12-49ba-a7ff-7853ec6adb7c" ] }, { "id" : "ITEM-3",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"ITEM-3",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"mendeley" : { "formattedCitation" : "(Burns &amp; Schuller, 2007; Volmink et al., 2004; WHO, 2013b)", "plainTextFormattedCitation" : "(Burns &amp; Schuller, 2007; Volmink et al., 2004; WHO, 2013b)", "previouslyFormattedCitation" : "(Burns &amp; Schuller, 2007; Volmink et al., 2004; WHO, 2013b)" }, "properties" : {  }, "schema" : "https://github.com/citation-style-language/schema/raw/master/csl-citation.json" }</w:instrText>
      </w:r>
      <w:r w:rsidRPr="0091711A">
        <w:fldChar w:fldCharType="separate"/>
      </w:r>
      <w:r w:rsidRPr="0091711A">
        <w:rPr>
          <w:noProof/>
        </w:rPr>
        <w:t>(Burns &amp; Schuller, 2007; Volmink et al., 2004; WHO, 2013b)</w:t>
      </w:r>
      <w:r w:rsidRPr="0091711A">
        <w:fldChar w:fldCharType="end"/>
      </w:r>
      <w:r w:rsidRPr="0091711A">
        <w:t xml:space="preserve">. </w:t>
      </w:r>
    </w:p>
    <w:p w14:paraId="23FB5126" w14:textId="4409380D" w:rsidR="0093470E" w:rsidRPr="0091711A" w:rsidRDefault="0093470E" w:rsidP="0093470E">
      <w:pPr>
        <w:rPr>
          <w:rFonts w:ascii="Calibri" w:hAnsi="Calibri"/>
        </w:rPr>
      </w:pPr>
      <w:r w:rsidRPr="0091711A">
        <w:rPr>
          <w:rFonts w:ascii="Calibri" w:hAnsi="Calibri"/>
        </w:rPr>
        <w:t>In the consultations with stakeholders, an interviewee spoke about a problem they were facing</w:t>
      </w:r>
      <w:r w:rsidR="00AD07DA">
        <w:rPr>
          <w:rFonts w:ascii="Calibri" w:hAnsi="Calibri"/>
        </w:rPr>
        <w:t xml:space="preserve"> that</w:t>
      </w:r>
      <w:r w:rsidRPr="0091711A">
        <w:rPr>
          <w:rFonts w:ascii="Calibri" w:hAnsi="Calibri"/>
        </w:rPr>
        <w:t xml:space="preserve"> concern</w:t>
      </w:r>
      <w:r w:rsidR="00AD07DA">
        <w:rPr>
          <w:rFonts w:ascii="Calibri" w:hAnsi="Calibri"/>
        </w:rPr>
        <w:t>ed</w:t>
      </w:r>
      <w:r w:rsidRPr="0091711A">
        <w:rPr>
          <w:rFonts w:ascii="Calibri" w:hAnsi="Calibri"/>
        </w:rPr>
        <w:t xml:space="preserve"> child abuse and family violence, and how to tackle it. Their unit was asked to generate a list of evidence-based strategies, </w:t>
      </w:r>
      <w:r w:rsidR="00E826E4">
        <w:rPr>
          <w:rFonts w:ascii="Calibri" w:hAnsi="Calibri"/>
        </w:rPr>
        <w:t>s</w:t>
      </w:r>
      <w:r w:rsidRPr="0091711A">
        <w:rPr>
          <w:rFonts w:ascii="Calibri" w:hAnsi="Calibri"/>
        </w:rPr>
        <w:t>o the unit produced an evidence informed decision-making framework. This framework has been turned into a set of tools for a local agency.</w:t>
      </w:r>
    </w:p>
    <w:p w14:paraId="7B64DCC4" w14:textId="77777777" w:rsidR="0093470E" w:rsidRPr="0091711A" w:rsidRDefault="0093470E" w:rsidP="00F30115">
      <w:pPr>
        <w:ind w:left="800"/>
        <w:rPr>
          <w:rFonts w:ascii="Calibri" w:hAnsi="Calibri"/>
          <w:i/>
        </w:rPr>
      </w:pPr>
      <w:r w:rsidRPr="0091711A">
        <w:rPr>
          <w:rFonts w:ascii="Calibri" w:hAnsi="Calibri"/>
          <w:i/>
        </w:rPr>
        <w:t>We took a service issue, analysed it, looked at literature, as well as the effectiveness of relationships between groups. What we understood from literature was that HOW services are delivered is as important as WHAT is delivered.</w:t>
      </w:r>
    </w:p>
    <w:p w14:paraId="677653B8" w14:textId="77777777" w:rsidR="0093470E" w:rsidRPr="0091711A" w:rsidRDefault="0093470E" w:rsidP="0093470E">
      <w:pPr>
        <w:rPr>
          <w:rFonts w:ascii="Calibri" w:hAnsi="Calibri"/>
        </w:rPr>
      </w:pPr>
      <w:r w:rsidRPr="0091711A">
        <w:rPr>
          <w:rFonts w:ascii="Calibri" w:hAnsi="Calibri"/>
        </w:rPr>
        <w:t xml:space="preserve">The lessons learned from this experience was that it was important to engage with the family before an evidence-based strategy is selected. As was observed, it is also important to establish what the need is. </w:t>
      </w:r>
    </w:p>
    <w:p w14:paraId="4176B83F" w14:textId="77777777" w:rsidR="0093470E" w:rsidRPr="0091711A" w:rsidRDefault="0093470E" w:rsidP="00F30115">
      <w:pPr>
        <w:ind w:left="800"/>
        <w:rPr>
          <w:rFonts w:ascii="Calibri" w:hAnsi="Calibri"/>
          <w:b/>
          <w:i/>
        </w:rPr>
      </w:pPr>
      <w:r w:rsidRPr="0091711A">
        <w:rPr>
          <w:rFonts w:ascii="Calibri" w:hAnsi="Calibri"/>
          <w:i/>
        </w:rPr>
        <w:t>What we must do is to blend what we know about evidence-based process and Evidence based programs. So, for us and our work it is important for us to establish a good relationship with the family and as well, it is critical for parents to use evidence-based strategies</w:t>
      </w:r>
      <w:r w:rsidRPr="0091711A">
        <w:rPr>
          <w:rFonts w:ascii="Calibri" w:hAnsi="Calibri"/>
          <w:b/>
          <w:i/>
        </w:rPr>
        <w:t>.</w:t>
      </w:r>
    </w:p>
    <w:p w14:paraId="02873324" w14:textId="77777777" w:rsidR="0093470E" w:rsidRDefault="0093470E" w:rsidP="00716D4E">
      <w:pPr>
        <w:pStyle w:val="NumberedHeading3"/>
      </w:pPr>
      <w:bookmarkStart w:id="60" w:name="_Toc509950635"/>
      <w:r w:rsidRPr="00E16853">
        <w:t>Focus on generating ‘actionable’ knowledge</w:t>
      </w:r>
      <w:bookmarkEnd w:id="60"/>
      <w:r w:rsidRPr="00E16853">
        <w:t xml:space="preserve"> </w:t>
      </w:r>
    </w:p>
    <w:p w14:paraId="17C18EEC" w14:textId="093E2BFD" w:rsidR="0093470E" w:rsidRPr="0091711A" w:rsidRDefault="0093470E" w:rsidP="0093470E">
      <w:pPr>
        <w:rPr>
          <w:rFonts w:eastAsia="Times New Roman"/>
          <w:lang w:eastAsia="ko-KR"/>
        </w:rPr>
      </w:pPr>
      <w:r w:rsidRPr="0091711A">
        <w:rPr>
          <w:bCs/>
        </w:rPr>
        <w:t>Actionable knowledge is developed based on evidence that indicates an ‘action’ and/or ‘change</w:t>
      </w:r>
      <w:r w:rsidR="005F186A" w:rsidRPr="0091711A">
        <w:rPr>
          <w:bCs/>
        </w:rPr>
        <w:t>’ in</w:t>
      </w:r>
      <w:r w:rsidRPr="0091711A">
        <w:rPr>
          <w:bCs/>
        </w:rPr>
        <w:t xml:space="preserve"> policy and practice that can lead to desired outcomes. The production of this type of knowledge can support the goal of evidence-informed policy and practice. Further, the reach of actionable knowledge can be increased if it is tailored to the intended user(s): </w:t>
      </w:r>
      <w:r w:rsidRPr="0091711A">
        <w:rPr>
          <w:rFonts w:eastAsia="Times New Roman"/>
        </w:rPr>
        <w:t>When the results or ‘actionable messages’ of research results are tailored to the specific needs of decision-makers</w:t>
      </w:r>
      <w:r w:rsidR="00AD07DA">
        <w:rPr>
          <w:rFonts w:eastAsia="Times New Roman"/>
        </w:rPr>
        <w:t>,</w:t>
      </w:r>
      <w:r w:rsidRPr="0091711A">
        <w:rPr>
          <w:rFonts w:eastAsia="Times New Roman"/>
        </w:rPr>
        <w:t xml:space="preserve"> then reported uptake is higher. </w:t>
      </w:r>
      <w:r w:rsidRPr="0091711A">
        <w:rPr>
          <w:rFonts w:eastAsia="Times New Roman"/>
        </w:rPr>
        <w:fldChar w:fldCharType="begin" w:fldLock="1"/>
      </w:r>
      <w:r w:rsidRPr="0091711A">
        <w:rPr>
          <w:rFonts w:eastAsia="Times New Roman"/>
        </w:rPr>
        <w:instrText>ADDIN CSL_CITATION { "citationItems" : [ { "id" : "ITEM-1",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w:instrText>
      </w:r>
      <w:r w:rsidRPr="0091711A">
        <w:rPr>
          <w:rFonts w:eastAsia="Times New Roman"/>
          <w:lang w:eastAsia="ko-KR"/>
        </w:rPr>
        <w:instrText xml:space="preserve">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"page" : "496", "publisher-place" : "England", "title" : "A knowledge management tool for public health: health-evidence.ca.", "type" : "article-journal", "volume" : "10" }, "locator" : "2", "uris" : [ "http://www.mendeley.com/documents/?uuid=9771b0e4-a6ca-4b8d-ba34-b171083a98a1" ] } ], "mendeley" : { "formattedCitation" : "(Dobbins, DeCorby, et al., 2010, p. 2)", "plainTextFormattedCitation" : "(Dobbins, DeCorby, et al., 2010, p. 2)", "previouslyFormattedCitation" : "(Dobbins, DeCorby, et al., 2010, p. 2)" }, "properties" : {  }, "schema" : "https://github.com/citation-style-language/schema/raw/master/csl-citation.json" }</w:instrText>
      </w:r>
      <w:r w:rsidRPr="0091711A">
        <w:rPr>
          <w:rFonts w:eastAsia="Times New Roman"/>
        </w:rPr>
        <w:fldChar w:fldCharType="separate"/>
      </w:r>
      <w:r w:rsidRPr="0091711A">
        <w:rPr>
          <w:rFonts w:eastAsia="Times New Roman"/>
          <w:noProof/>
          <w:lang w:eastAsia="ko-KR"/>
        </w:rPr>
        <w:t>(Dobbins, DeCorby, et al., 2010, p. 2)</w:t>
      </w:r>
      <w:r w:rsidRPr="0091711A">
        <w:rPr>
          <w:rFonts w:eastAsia="Times New Roman"/>
        </w:rPr>
        <w:fldChar w:fldCharType="end"/>
      </w:r>
      <w:r w:rsidRPr="0091711A">
        <w:rPr>
          <w:rFonts w:eastAsia="Times New Roman"/>
          <w:lang w:eastAsia="ko-KR"/>
        </w:rPr>
        <w:t xml:space="preserve"> </w:t>
      </w:r>
    </w:p>
    <w:p w14:paraId="7794B8F8" w14:textId="558349F1" w:rsidR="0093470E" w:rsidRPr="0091711A" w:rsidRDefault="0093470E" w:rsidP="0093470E">
      <w:pPr>
        <w:rPr>
          <w:rFonts w:eastAsia="Times New Roman"/>
          <w:sz w:val="18"/>
          <w:lang w:val="da-DK" w:eastAsia="ko-KR"/>
        </w:rPr>
      </w:pPr>
      <w:r w:rsidRPr="0091711A">
        <w:rPr>
          <w:rFonts w:eastAsia="Times New Roman"/>
          <w:lang w:eastAsia="ko-KR"/>
        </w:rPr>
        <w:t>This process of tai</w:t>
      </w:r>
      <w:r w:rsidR="001D14EA">
        <w:rPr>
          <w:rFonts w:eastAsia="Times New Roman"/>
          <w:lang w:eastAsia="ko-KR"/>
        </w:rPr>
        <w:t xml:space="preserve">loring can be further enhanced </w:t>
      </w:r>
      <w:r w:rsidRPr="0091711A">
        <w:rPr>
          <w:rFonts w:eastAsia="Times New Roman"/>
          <w:lang w:eastAsia="ko-KR"/>
        </w:rPr>
        <w:t xml:space="preserve">by collaboration with the intended users during the dissemination stage, and is often facilitated by co-authoring between researchers and practitioners and/or </w:t>
      </w:r>
      <w:r w:rsidRPr="0091711A">
        <w:rPr>
          <w:rFonts w:eastAsia="Times New Roman"/>
          <w:noProof/>
          <w:lang w:eastAsia="ko-KR"/>
        </w:rPr>
        <w:t>policymakers</w:t>
      </w:r>
      <w:r w:rsidRPr="0091711A">
        <w:rPr>
          <w:rFonts w:eastAsia="Times New Roman"/>
          <w:lang w:eastAsia="ko-KR"/>
        </w:rPr>
        <w:t xml:space="preserve"> </w:t>
      </w:r>
      <w:r w:rsidRPr="0091711A">
        <w:rPr>
          <w:rFonts w:eastAsia="Times New Roman"/>
        </w:rPr>
        <w:fldChar w:fldCharType="begin" w:fldLock="1"/>
      </w:r>
      <w:r w:rsidRPr="0091711A">
        <w:rPr>
          <w:rFonts w:eastAsia="Times New Roman"/>
          <w:lang w:eastAsia="ko-KR"/>
        </w:rPr>
        <w:instrText>ADDIN CSL_CITATION { "citationItems" : [ { "id" : "ITEM-1",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"page" : "496", "publisher-place" : "England", "title" : "A knowledge management tool for public health: health-evidence.ca.", "type" : "article-journal", "volume" : "10" }, "uris" : [ "http://www.mendeley.com/documents/?uuid=9771b0e4-a6ca-4b8d-ba34-b171083a98a1" ] }, { "id" : "ITEM-2",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"ITEM-2",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"id" : "ITEM-3",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"ITEM-3", "issue" : "10", "issued" : { "date-parts" : [ [ "2004" ] ] }, "page" : "778-783", "title" : "Research synthesis and disseminating as a bridge to knowledge management: the Cochrane Collaboration ", "type" : "article-journal", "volume" : "82 " }, "uris" : [ "http://www.mendeley.com/documents/?uuid=44584470-b501-49ae-9859-02fc1835742e" ] }, { "id" : "ITEM-4", "itemData" : { "abstract" : "1. Definition. Guidelines are systematically developed evidence-based statements which assist providers, recipients and other stakeholders to make informed decisions about appropriate health interventions. Health interventions are defined broadly to include not only clinical procedures but also public health actions. Guidelines are formal advisory statements which should be robust enough to meet the unique circumstances and constraints of the specific situation to which they are being applied. The basic nature and intent of guidelines have also been expressed under other formats variously labeled as protocols, best practice, algorithms, consensus statements, expert committee recommendations, and integrated care pathways. This document refers to all formats with the basic nature and intent of guidelines. 2. WHO Mandate. In line with Article II of the Constitution, one of the core functions of WHO is setting, validating, monitoring and pursuing the proper implementation of norms and standards. In the performance of this function, WHO has been and will continue issuing recommendations for best practices giv</w:instrText>
      </w:r>
      <w:r w:rsidRPr="0091711A">
        <w:rPr>
          <w:rFonts w:eastAsia="Times New Roman"/>
          <w:lang w:val="da-DK" w:eastAsia="ko-KR"/>
        </w:rPr>
        <w:instrText>en the current evidence i.e. guidelines. 3. Context. National and international organizations are increasingly issuing their own guidelines (Woolf, 1999). This leads to multiple guidelines on the same topic, which are not necessarily uniform in their process of development or consistent in their recommendations, but are widely circulated and increasingly available on the Internet. They are of growing interest to policy makers as well as to payers, providers and users of health services.", "author" : [ { "dropping-particle" : "", "family" : "WHO", "given" : "", "non-dropping-particle" : "", "parse-names" : false, "suffix" : "" } ], "container-title" : "Global Programme on Evidence for Health Policy", "id" : "ITEM-4", "issued" : { "date-parts" : [ [ "2003" ] ] }, "number-of-pages" : "1-24", "publisher-place" : "Geneva, Switzerland", "title" : "Guidelines for who guidelines", "type" : "report" }, "uris" : [ "http://www.mendeley.com/documents/?uuid=0f52369f-5022-404d-9190-d5b288e5204b" ] } ], "mendeley" : { "formattedCitation" : "(Burns &amp; Schuller, 2007; Dobbins, DeCorby, et al., 2010; Volmink et al., 2004; WHO, 2003)", "plainTextFormattedCitation" : "(Burns &amp; Schuller, 2007; Dobbins, DeCorby, et al., 2010; Volmink et al., 2004; WHO, 2003)", "previouslyFormattedCitation" : "(Burns &amp; Schuller, 2007; Dobbins, DeCorby, et al., 2010; Volmink et al., 2004; WHO, 2003)" }, "properties" : {  }, "schema" : "https://github.com/citation-style-language/schema/raw/master/csl-citation.json" }</w:instrText>
      </w:r>
      <w:r w:rsidRPr="0091711A">
        <w:rPr>
          <w:rFonts w:eastAsia="Times New Roman"/>
        </w:rPr>
        <w:fldChar w:fldCharType="separate"/>
      </w:r>
      <w:r w:rsidRPr="0091711A">
        <w:rPr>
          <w:rFonts w:eastAsia="Times New Roman"/>
          <w:noProof/>
          <w:lang w:val="da-DK"/>
        </w:rPr>
        <w:t>(Burns &amp; Schuller, 2007; Dobbins, DeCorby, et al., 2010; Volmink et al., 2004; WHO, 2003)</w:t>
      </w:r>
      <w:r w:rsidRPr="0091711A">
        <w:rPr>
          <w:rFonts w:eastAsia="Times New Roman"/>
        </w:rPr>
        <w:fldChar w:fldCharType="end"/>
      </w:r>
      <w:r w:rsidRPr="0091711A">
        <w:rPr>
          <w:rFonts w:eastAsia="Times New Roman"/>
          <w:sz w:val="18"/>
          <w:lang w:val="da-DK"/>
        </w:rPr>
        <w:t xml:space="preserve">. </w:t>
      </w:r>
    </w:p>
    <w:p w14:paraId="1F88ECA5" w14:textId="77777777" w:rsidR="0093470E" w:rsidRPr="00E16853" w:rsidRDefault="0093470E" w:rsidP="00716D4E">
      <w:pPr>
        <w:pStyle w:val="NumberedHeading3"/>
      </w:pPr>
      <w:bookmarkStart w:id="61" w:name="_Toc509950636"/>
      <w:r w:rsidRPr="00E16853">
        <w:t>Development of guidelines</w:t>
      </w:r>
      <w:bookmarkEnd w:id="61"/>
      <w:r w:rsidRPr="00E16853">
        <w:t xml:space="preserve"> </w:t>
      </w:r>
    </w:p>
    <w:p w14:paraId="62EB34CE" w14:textId="77777777" w:rsidR="0093470E" w:rsidRPr="0091711A" w:rsidRDefault="0093470E" w:rsidP="0093470E">
      <w:r w:rsidRPr="0091711A">
        <w:t xml:space="preserve">Guidelines can be developed to facilitate the production of actionable knowledge as they articulate how evidence can be </w:t>
      </w:r>
      <w:r w:rsidRPr="0091711A">
        <w:rPr>
          <w:noProof/>
        </w:rPr>
        <w:t>operationalised</w:t>
      </w:r>
      <w:r w:rsidRPr="0091711A">
        <w:t xml:space="preserve"> </w:t>
      </w:r>
      <w:r w:rsidRPr="0091711A">
        <w:rPr>
          <w:noProof/>
        </w:rPr>
        <w:t>into</w:t>
      </w:r>
      <w:r w:rsidRPr="0091711A">
        <w:t xml:space="preserve"> practice or policy change. The World Health Organization (2003) suggests that guideline development can be </w:t>
      </w:r>
      <w:r w:rsidRPr="0091711A">
        <w:rPr>
          <w:noProof/>
        </w:rPr>
        <w:t>conceptualised</w:t>
      </w:r>
      <w:r w:rsidRPr="0091711A">
        <w:t xml:space="preserve"> as a </w:t>
      </w:r>
      <w:r w:rsidRPr="0091711A">
        <w:rPr>
          <w:noProof/>
        </w:rPr>
        <w:t>three-stage</w:t>
      </w:r>
      <w:r w:rsidRPr="0091711A">
        <w:t xml:space="preserve"> process:</w:t>
      </w:r>
    </w:p>
    <w:p w14:paraId="7455ABE2" w14:textId="77777777" w:rsidR="0093470E" w:rsidRPr="0091711A" w:rsidRDefault="0093470E" w:rsidP="0093470E">
      <w:pPr>
        <w:pStyle w:val="ListParagraph"/>
        <w:numPr>
          <w:ilvl w:val="0"/>
          <w:numId w:val="14"/>
        </w:numPr>
        <w:spacing w:after="0" w:line="240" w:lineRule="auto"/>
        <w:contextualSpacing/>
      </w:pPr>
      <w:r w:rsidRPr="0091711A">
        <w:t>Develop recommendations based on evidence,</w:t>
      </w:r>
    </w:p>
    <w:p w14:paraId="15AFF045" w14:textId="77777777" w:rsidR="0093470E" w:rsidRPr="0091711A" w:rsidRDefault="0093470E" w:rsidP="0093470E">
      <w:pPr>
        <w:pStyle w:val="ListParagraph"/>
        <w:numPr>
          <w:ilvl w:val="0"/>
          <w:numId w:val="14"/>
        </w:numPr>
        <w:spacing w:after="0" w:line="240" w:lineRule="auto"/>
        <w:contextualSpacing/>
      </w:pPr>
      <w:r w:rsidRPr="0091711A">
        <w:t>Identify the influence of recommendations on policy and practice,</w:t>
      </w:r>
    </w:p>
    <w:p w14:paraId="5A5DEC03" w14:textId="04FFA238" w:rsidR="0093470E" w:rsidRPr="00EC3DE6" w:rsidRDefault="0093470E" w:rsidP="00DB07D0">
      <w:pPr>
        <w:pStyle w:val="ListParagraph"/>
        <w:numPr>
          <w:ilvl w:val="0"/>
          <w:numId w:val="14"/>
        </w:numPr>
        <w:spacing w:line="240" w:lineRule="auto"/>
        <w:contextualSpacing/>
      </w:pPr>
      <w:r w:rsidRPr="0091711A">
        <w:t>Apply the recommendation to the context, nature of resources, infrastructure and so forth.</w:t>
      </w:r>
    </w:p>
    <w:p w14:paraId="603404BB" w14:textId="5D39367A" w:rsidR="0093470E" w:rsidRPr="0091711A" w:rsidRDefault="0093470E" w:rsidP="00F30115">
      <w:pPr>
        <w:ind w:left="800"/>
        <w:jc w:val="both"/>
        <w:rPr>
          <w:rFonts w:eastAsia="Times New Roman"/>
          <w:i/>
          <w:iCs/>
        </w:rPr>
      </w:pPr>
      <w:r w:rsidRPr="0091711A">
        <w:rPr>
          <w:rFonts w:eastAsia="Times New Roman"/>
          <w:i/>
          <w:iCs/>
        </w:rPr>
        <w:t xml:space="preserve">If done adequately, this </w:t>
      </w:r>
      <w:r w:rsidR="00E826E4">
        <w:rPr>
          <w:rFonts w:eastAsia="Times New Roman"/>
          <w:i/>
          <w:iCs/>
        </w:rPr>
        <w:t xml:space="preserve">[three stage process] </w:t>
      </w:r>
      <w:r w:rsidRPr="0091711A">
        <w:rPr>
          <w:rFonts w:eastAsia="Times New Roman"/>
          <w:i/>
          <w:iCs/>
        </w:rPr>
        <w:t>will allow decision makers in different settings to take the third step of ’localizing’ the guidelines to their settings, and deciding where the trade</w:t>
      </w:r>
      <w:r w:rsidR="00AD07DA">
        <w:rPr>
          <w:rFonts w:eastAsia="Times New Roman"/>
          <w:i/>
          <w:iCs/>
        </w:rPr>
        <w:t>-</w:t>
      </w:r>
      <w:r w:rsidRPr="0091711A">
        <w:rPr>
          <w:rFonts w:eastAsia="Times New Roman"/>
          <w:i/>
          <w:iCs/>
        </w:rPr>
        <w:t xml:space="preserve">off between additional benefit and additional costs should be set. It will also be useful in determining what is acceptable for the end-users. </w:t>
      </w:r>
      <w:r w:rsidRPr="0091711A">
        <w:rPr>
          <w:rFonts w:eastAsia="Times New Roman"/>
          <w:i/>
          <w:iCs/>
        </w:rPr>
        <w:fldChar w:fldCharType="begin" w:fldLock="1"/>
      </w:r>
      <w:r w:rsidRPr="0091711A">
        <w:rPr>
          <w:rFonts w:eastAsia="Times New Roman"/>
          <w:i/>
          <w:iCs/>
        </w:rPr>
        <w:instrText>ADDIN CSL_CITATION { "citationItems" : [ { "id" : "ITEM-1", "itemData" : { "abstract" : "1. Definition. Guidelines are systematically developed evidence-based statements which assist providers, recipients and other stakeholders to make informed decisions about appropriate health interventions. Health interventions are defined broadly to include not only clinical procedures but also public health actions. Guidelines are formal advisory statements which should be robust enough to meet the unique circumstances and constraints of the specific situation to which they are being applied. The basic nature and intent of guidelines have also been expressed under other formats variously labeled as protocols, best practice, algorithms, consensus statements, expert committee recommendations, and integrated care pathways. This document refers to all formats with the basic nature and intent of guidelines. 2. WHO Mandate. In line with Article II of the Constitution, one of the core functions of WHO is setting, validating, monitoring and pursuing the proper implementation of norms and standards. In the performance of this function, WHO has been and will continue issuing recommendations for best practices given the current evidence i.e. guidelines. 3. Context. National and international organizations are increasingly issuing their own guidelines (Woolf, 1999). This leads to multiple guidelines on the same topic, which are not necessarily uniform in their process of development or consistent in their recommendations, but are widely circulated and increasingly available on the Internet. They are of growing interest to policy makers as well as to payers, providers and users of health services.", "author" : [ { "dropping-particle" : "", "family" : "WHO", "given" : "", "non-dropping-particle" : "", "parse-names" : false, "suffix" : "" } ], "container-title" : "Global Programme on Evidence for Health Policy", "id" : "ITEM-1", "issued" : { "date-parts" : [ [ "2003" ] ] }, "number-of-pages" : "1-24", "publisher-place" : "Geneva, Switzerland", "title" : "Guidelines for who guidelines", "type" : "report" }, "locator" : "5", "uris" : [ "http://www.mendeley.com/documents/?uuid=0f52369f-5022-404d-9190-d5b288e5204b" ] } ], "mendeley" : { "formattedCitation" : "(WHO, 2003, p. 5)", "plainTextFormattedCitation" : "(WHO, 2003, p. 5)", "previouslyFormattedCitation" : "(WHO, 2003, p. 5)" }, "properties" : {  }, "schema" : "https://github.com/citation-style-language/schema/raw/master/csl-citation.json" }</w:instrText>
      </w:r>
      <w:r w:rsidRPr="0091711A">
        <w:rPr>
          <w:rFonts w:eastAsia="Times New Roman"/>
          <w:i/>
          <w:iCs/>
        </w:rPr>
        <w:fldChar w:fldCharType="separate"/>
      </w:r>
      <w:r w:rsidRPr="0091711A">
        <w:rPr>
          <w:rFonts w:eastAsia="Times New Roman"/>
          <w:i/>
          <w:iCs/>
          <w:noProof/>
        </w:rPr>
        <w:t>(WHO, 2003, p. 5)</w:t>
      </w:r>
      <w:r w:rsidRPr="0091711A">
        <w:rPr>
          <w:rFonts w:eastAsia="Times New Roman"/>
          <w:i/>
          <w:iCs/>
        </w:rPr>
        <w:fldChar w:fldCharType="end"/>
      </w:r>
    </w:p>
    <w:p w14:paraId="46A66B60" w14:textId="726B2676" w:rsidR="0093470E" w:rsidRPr="0091711A" w:rsidRDefault="0093470E" w:rsidP="0093470E">
      <w:pPr>
        <w:rPr>
          <w:rFonts w:eastAsia="Times New Roman"/>
        </w:rPr>
      </w:pPr>
      <w:r w:rsidRPr="0091711A">
        <w:rPr>
          <w:rFonts w:eastAsia="Times New Roman"/>
        </w:rPr>
        <w:t xml:space="preserve">Health care guidelines developed using the above process have been evaluated comprehensively and found to result in practice change and improved health outcomes </w:t>
      </w:r>
      <w:r w:rsidRPr="0091711A">
        <w:rPr>
          <w:rFonts w:eastAsia="Times New Roman"/>
        </w:rPr>
        <w:fldChar w:fldCharType="begin" w:fldLock="1"/>
      </w:r>
      <w:r w:rsidRPr="0091711A">
        <w:rPr>
          <w:rFonts w:eastAsia="Times New Roman"/>
        </w:rPr>
        <w:instrText>ADDIN CSL_CITATION { "citationItems" : [ { "id" : "ITEM-1", "itemData" : { "abstract" : "1. Definition. Guidelines are systematically developed evidence-based statements which assist providers, recipients and other stakeholders to make informed decisions about appropriate health interventions. Health interventions are defined broadly to include not only clinical procedures but also public health actions. Guidelines are formal advisory statements which should be robust enough to meet the unique circumstances and constraints of the specific situation to which they are being applied. The basic nature and intent of guidelines have also been expressed under other formats variously labeled as protocols, best practice, algorithms, consensus statements, expert committee recommendations, and integrated care pathways. This document refers to all formats with the basic nature and intent of guidelines. 2. WHO Mandate. In line with Article II of the Constitution, one of the core functions of WHO is setting, validating, monitoring and pursuing the proper implementation of norms and standards. In the performance of this function, WHO has been and will continue issuing recommendations for best practices given the current evidence i.e. guidelines. 3. Context. National and international organizations are increasingly issuing their own guidelines (Woolf, 1999). This leads to multiple guidelines on the same topic, which are not necessarily uniform in their process of development or consistent in their recommendations, but are widely circulated and increasingly available on the Internet. They are of growing interest to policy makers as well as to payers, providers and users of health services.", "author" : [ { "dropping-particle" : "", "family" : "WHO", "given" : "", "non-dropping-particle" : "", "parse-names" : false, "suffix" : "" } ], "container-title" : "Global Programme on Evidence for Health Policy", "id" : "ITEM-1", "issued" : { "date-parts" : [ [ "2003" ] ] }, "number-of-pages" : "1-24", "publisher-place" : "Geneva, Switzerland", "title" : "Guidelines for who guidelines", "type" : "report" }, "uris" : [ "http://www.mendeley.com/documents/?uuid=0f52369f-5022-404d-9190-d5b288e5204b" ] } ], "mendeley" : { "formattedCitation" : "(WHO, 2003)", "plainTextFormattedCitation" : "(WHO, 2003)", "previouslyFormattedCitation" : "(WHO, 2003)" }, "properties" : {  }, "schema" : "https://github.com/citation-style-language/schema/raw/master/csl-citation.json" }</w:instrText>
      </w:r>
      <w:r w:rsidRPr="0091711A">
        <w:rPr>
          <w:rFonts w:eastAsia="Times New Roman"/>
        </w:rPr>
        <w:fldChar w:fldCharType="separate"/>
      </w:r>
      <w:r w:rsidRPr="0091711A">
        <w:rPr>
          <w:rFonts w:eastAsia="Times New Roman"/>
          <w:noProof/>
        </w:rPr>
        <w:t>(WHO, 2003)</w:t>
      </w:r>
      <w:r w:rsidRPr="0091711A">
        <w:rPr>
          <w:rFonts w:eastAsia="Times New Roman"/>
        </w:rPr>
        <w:fldChar w:fldCharType="end"/>
      </w:r>
      <w:r w:rsidRPr="0091711A">
        <w:rPr>
          <w:rFonts w:eastAsia="Times New Roman"/>
        </w:rPr>
        <w:t>. However, it is important to note that the magnitude of these outcomes is influenced by the quality of the guidelines, and</w:t>
      </w:r>
      <w:r w:rsidR="00AD07DA">
        <w:rPr>
          <w:rFonts w:eastAsia="Times New Roman"/>
        </w:rPr>
        <w:t>,</w:t>
      </w:r>
      <w:r w:rsidRPr="0091711A">
        <w:rPr>
          <w:rFonts w:eastAsia="Times New Roman"/>
        </w:rPr>
        <w:t xml:space="preserve"> critically, their ease of implementation. </w:t>
      </w:r>
    </w:p>
    <w:p w14:paraId="79721BDC" w14:textId="50019F1B" w:rsidR="0093470E" w:rsidRDefault="0093470E" w:rsidP="0093470E">
      <w:r w:rsidRPr="0091711A">
        <w:t xml:space="preserve">Overall, the </w:t>
      </w:r>
      <w:r w:rsidR="0014038A">
        <w:t>rapid synthesis</w:t>
      </w:r>
      <w:r w:rsidRPr="0091711A">
        <w:t xml:space="preserve"> findings indicate that institutions aiming to support evidence-informed practice/policy should ensure that the process of generating evidence should: (</w:t>
      </w:r>
      <w:r w:rsidR="00AD07DA">
        <w:t>i</w:t>
      </w:r>
      <w:r w:rsidRPr="0091711A">
        <w:t>) involve collaboration with the intended end-users; (</w:t>
      </w:r>
      <w:r w:rsidR="00AD07DA">
        <w:t>ii</w:t>
      </w:r>
      <w:r w:rsidRPr="0091711A">
        <w:t>) yield knowledge that is actionable; and (</w:t>
      </w:r>
      <w:r w:rsidR="00AD07DA">
        <w:t>iii</w:t>
      </w:r>
      <w:r w:rsidRPr="0091711A">
        <w:t>) work towards developing guidelines with the intended end-users. It is through the evaluation of the implementation of guidelines that evidence-informed policy and practice is evident. While other strategies exist to support knowledge transfer, there is limited evidence of their effectiveness</w:t>
      </w:r>
      <w:r w:rsidR="00AD07DA">
        <w:t>.</w:t>
      </w:r>
      <w:r w:rsidRPr="0091711A">
        <w:t xml:space="preserve"> </w:t>
      </w:r>
      <w:r w:rsidR="00AD07DA">
        <w:t>T</w:t>
      </w:r>
      <w:r w:rsidRPr="0091711A">
        <w:t xml:space="preserve">hese strategies are discussed later in this report. </w:t>
      </w:r>
    </w:p>
    <w:p w14:paraId="29A3CCE5" w14:textId="77777777" w:rsidR="00DA7D2D" w:rsidRPr="0091711A" w:rsidRDefault="00DA7D2D" w:rsidP="0093470E"/>
    <w:p w14:paraId="0BF83E58" w14:textId="77777777" w:rsidR="0093470E" w:rsidRPr="00E16853" w:rsidRDefault="005D0608" w:rsidP="007674CF">
      <w:pPr>
        <w:pStyle w:val="NumberedHeading2"/>
      </w:pPr>
      <w:bookmarkStart w:id="62" w:name="_Toc508637955"/>
      <w:bookmarkStart w:id="63" w:name="_Toc509950637"/>
      <w:r>
        <w:lastRenderedPageBreak/>
        <w:t>Function 2: Synthesising e</w:t>
      </w:r>
      <w:r w:rsidR="0093470E" w:rsidRPr="00E16853">
        <w:t>vidence</w:t>
      </w:r>
      <w:bookmarkEnd w:id="62"/>
      <w:bookmarkEnd w:id="63"/>
      <w:r w:rsidR="0093470E" w:rsidRPr="00E16853">
        <w:t xml:space="preserve"> </w:t>
      </w:r>
    </w:p>
    <w:p w14:paraId="4D7C5E94" w14:textId="77777777" w:rsidR="0093470E" w:rsidRPr="0091711A" w:rsidRDefault="0093470E" w:rsidP="0093470E">
      <w:r w:rsidRPr="0091711A">
        <w:t>A necessary function of research and evidence institutions is to collate and synthesise existing research. Quality practice in this ar</w:t>
      </w:r>
      <w:r w:rsidR="00E826E4">
        <w:t xml:space="preserve">ea is characterised by sourcing, </w:t>
      </w:r>
      <w:r w:rsidRPr="0091711A">
        <w:t>synthesising</w:t>
      </w:r>
      <w:r w:rsidR="00E826E4">
        <w:t xml:space="preserve"> and appraising</w:t>
      </w:r>
      <w:r w:rsidRPr="0091711A">
        <w:t xml:space="preserve"> evidence that includes </w:t>
      </w:r>
      <w:r w:rsidR="00E826E4">
        <w:t>a range of</w:t>
      </w:r>
      <w:r w:rsidRPr="0091711A">
        <w:t xml:space="preserve"> methods, an</w:t>
      </w:r>
      <w:r w:rsidR="00E826E4">
        <w:t>d</w:t>
      </w:r>
      <w:r w:rsidRPr="0091711A">
        <w:t xml:space="preserve"> analysi</w:t>
      </w:r>
      <w:r w:rsidR="00E826E4">
        <w:t>ng</w:t>
      </w:r>
      <w:r w:rsidRPr="0091711A">
        <w:t xml:space="preserve"> the merit, worth and significanc</w:t>
      </w:r>
      <w:r w:rsidR="00E826E4">
        <w:t xml:space="preserve">e of the evidence, and finally </w:t>
      </w:r>
      <w:r w:rsidRPr="0091711A">
        <w:t>consider</w:t>
      </w:r>
      <w:r w:rsidR="00E826E4">
        <w:t>ing</w:t>
      </w:r>
      <w:r w:rsidRPr="0091711A">
        <w:t xml:space="preserve"> the forms of evidence that can best inform policy and practice change.  </w:t>
      </w:r>
    </w:p>
    <w:p w14:paraId="37453ED7" w14:textId="77777777" w:rsidR="0093470E" w:rsidRPr="007674CF" w:rsidRDefault="005D0608" w:rsidP="00716D4E">
      <w:pPr>
        <w:pStyle w:val="NumberedHeading3"/>
      </w:pPr>
      <w:bookmarkStart w:id="64" w:name="_Toc509950638"/>
      <w:r>
        <w:t>Defining quality e</w:t>
      </w:r>
      <w:r w:rsidR="0093470E" w:rsidRPr="007674CF">
        <w:t>vidence and Methods for Scaling</w:t>
      </w:r>
      <w:bookmarkEnd w:id="64"/>
      <w:r w:rsidR="0093470E" w:rsidRPr="007674CF">
        <w:t xml:space="preserve"> </w:t>
      </w:r>
    </w:p>
    <w:p w14:paraId="7688873C" w14:textId="61C5128B" w:rsidR="0093470E" w:rsidRPr="0091711A" w:rsidRDefault="0093470E" w:rsidP="0093470E">
      <w:r w:rsidRPr="0091711A">
        <w:t>The increased use of research evidence to inform policy and practice, with</w:t>
      </w:r>
      <w:r w:rsidR="00B11996">
        <w:t xml:space="preserve"> an</w:t>
      </w:r>
      <w:r w:rsidRPr="0091711A">
        <w:t xml:space="preserve"> emphasis on identifying, synthesising and applying research evidence to the solution of problems, is reliant on the quality of the research being synthesised. Therefore, the quality of research can be considered a precursor to statements about evidence and an intervention’s effectiveness.</w:t>
      </w:r>
    </w:p>
    <w:p w14:paraId="6EB8ED6C" w14:textId="6941BC5B" w:rsidR="0093470E" w:rsidRPr="0091711A" w:rsidRDefault="0093470E" w:rsidP="0093470E">
      <w:r w:rsidRPr="0091711A">
        <w:t xml:space="preserve">When it comes to applying notions of quality in practice, the debate about ‘what counts’ as good quality is often influenced by the ‘hierarchy’ of evidence that is common in health care </w:t>
      </w:r>
      <w:r w:rsidRPr="0091711A">
        <w:fldChar w:fldCharType="begin" w:fldLock="1"/>
      </w:r>
      <w:r w:rsidRPr="0091711A">
        <w:instrText>ADDIN CSL_CITATION { "citationItems" : [ { "id" : "ITEM-1", "itemData" : { "DOI" : "10.1016/j.ajodo.2011.04.016", "ISBN" : "0889-5406", "ISSN" : "08895406", "PMID" : "21889091", "abstract" : "B iomedical scientists seek to develop interventions such as drugs to fight diseases, to invent devices that improve patients' lives, and to develop noninvasive or invasive procedures to cure or improve medical or dental problems. However, it is important that the proposed interventions are tested in a systematic and transparent fashion based on scientific and ethical principles that ensure validity of results and patient safety. The development of rules and regulations for evalu-ation of interventions was motivated by past mistakes such as the thalidomide crisis that caused great harm to several thousands of people. 1 The pyramid of evi-dence (Fig) includes several types of studies used to eval-uate treatment effects, starting from in-vitro and animal studies at the lower level and going up to opinions, case reports, observational studies, and randomized con-trolled trials (RCTs). 2 At the tip of the pyramid are sys-tematic reviews, which constitute the highest level of evidence because they attempt to collect, combine, and report the best available evidence using systematic, transparent, and reproducible methodology. The pyramid of evidence has helped in assessing the quality of evidence and has been pivotal in translating the available evidence into clinical practice. Lower-level evidence is not necessarily false; in fact, lower-level studies have resulted in important break-throughs, such as the discovery of penicillin. However, lower-level studies carry a greater risk of \" false-positive \" results and thus have a higher chance of leading to recom-mendations that are not in patients' best interests. In the context of evidence-based dentistry, the position of a study design on the pyramid of evidence does not nec-essarily indicate the validity of the results but, rather, the priority it is given in decision making for treatment recom-mendations. The first theme of this series deals with clinical trials: specifically, RCTs. A clinical trial is a preplanned experi-ment that aims to assess the effects or benefits of at least 1 treatment in humans. An RCT uses a control group and randomization to assign participants to treatment arms, and aims to create similar treatment groups with regard to known and unknown baseline characteristics: in other words, to create groups that differ only by the interven-tion they receive. 3 The use of a control group is impor-tant because (1) trial participants could naturally get better with time, (2) a patient who might r\u2026", "author" : [ { "dropping-particle" : "", "family" : "Pandis", "given" : "Nikolaos", "non-dropping-particle" : "", "parse-names" : false, "suffix" : "" } ], "container-title" : "American Journal of Orthodontics and Dentofacial Orthopedics", "id" : "ITEM-1", "issue" : "3", "issued" : { "date-parts" : [ [ "2011" ] ] }, "page" : "446-447", "publisher" : "American Association of Orthodontists", "title" : "The evidence pyramid and introduction to randomized controlled trials", "type" : "article-journal", "volume" : "140" }, "uris" : [ "http://www.mendeley.com/documents/?uuid=19135536-4baa-40b9-b609-97813069e09f" ] }, { "id" : "ITEM-2", "itemData" : { "DOI" : "10.1016/j.jclinepi.2006.03.014", "ISBN" : "0895-4356 (Print)", "ISSN" : "08954356", "PMID" : "17161753", "abstract" : "Objective: The objective of this study is to outline explicit criteria for assessing the contribution of qualitative empirical studies in health and medicine, leading to a hierarchy of evidence specific to qualitative methods. Study Design and Setting: This paper arose from a series of critical appraisal exercises based on recent qualitative research studies in the health literature. We focused on the central methodological procedures of qualitative method (defining a research framework, sampling and data collection, data analysis, and drawing research conclusions) to devise a hierarchy of qualitative research designs, reflecting the reliability of study conclusions for decisions made in health practice and policy. Results: We describe four levels of a qualitative hierarchy of evidence-for-practice. The least likely studies to produce good evidence-for-practice are single case studies, followed by descriptive studies that may provide helpful lists of quotations but do not offer detailed analysis. More weight is given to conceptual studies that analyze all data according to conceptual themes but may be limited by a lack of diversity in the sample. Generalizable studies using conceptual frameworks to derive an appropriately diversified sample with analysis accounting for all data are considered to provide the best evidence-for-practice. Explicit criteria and illustrative examples are described for each level. Conclusion: A hierarchy of evidence-for-practice specific to qualitative methods provides a useful guide for the critical appraisal of papers using these methods and for defining the strength of evidence as a basis for decision making and policy generation. ?? 2006 Elsevier Inc. All rights reserved.", "author" : [ { "dropping-particle" : "", "family" : "Daly", "given" : "Jeanne", "non-dropping-particle" : "", "parse-names" : false, "suffix" : "" }, { "dropping-particle" : "", "family" : "Willis", "given" : "Karen", "non-dropping-particle" : "", "parse-names" : false, "suffix" : "" }, { "dropping-particle" : "", "family" : "Small", "given" : "Rhonda", "non-dropping-particle" : "", "parse-names" : false, "suffix" : "" }, { "dropping-particle" : "", "family" : "Green", "given" : "Julie", "non-dropping-particle" : "", "parse-names" : false, "suffix" : "" }, { "dropping-particle" : "", "family" : "Welch", "given" : "Nicky", "non-dropping-particle" : "", "parse-names" : false, "suffix" : "" }, { "dropping-particle" : "", "family" : "Kealy", "given" : "Michelle", "non-dropping-particle" : "", "parse-names" : false, "suffix" : "" }, { "dropping-particle" : "", "family" : "Hughes", "given" : "Emma", "non-dropping-particle" : "", "parse-names" : false, "suffix" : "" } ], "container-title" : "Journal of Clinical Epidemiology", "id" : "ITEM-2", "issue" : "1", "issued" : { "date-parts" : [ [ "2007" ] ] }, "page" : "43-49", "title" : "A hierarchy of evidence for assessing qualitative health research", "type" : "article-journal", "volume" : "60" }, "uris" : [ "http://www.mendeley.com/documents/?uuid=2545f94a-6dc1-4104-9ae7-f787cea67609" ] } ], "mendeley" : { "formattedCitation" : "(Daly et al., 2007; Pandis, 2011)", "plainTextFormattedCitation" : "(Daly et al., 2007; Pandis, 2011)", "previouslyFormattedCitation" : "(Daly et al., 2007; Pandis, 2011)" }, "properties" : {  }, "schema" : "https://github.com/citation-style-language/schema/raw/master/csl-citation.json" }</w:instrText>
      </w:r>
      <w:r w:rsidRPr="0091711A">
        <w:fldChar w:fldCharType="separate"/>
      </w:r>
      <w:r w:rsidRPr="0091711A">
        <w:rPr>
          <w:noProof/>
        </w:rPr>
        <w:t>(Daly et al., 2007; Pandis, 2011)</w:t>
      </w:r>
      <w:r w:rsidRPr="0091711A">
        <w:fldChar w:fldCharType="end"/>
      </w:r>
      <w:r w:rsidRPr="0091711A">
        <w:t xml:space="preserve">. However, this approach is often criticised as it is solely focused on providing evidence on the effectiveness of interventions. It is common for different research methods to be compared, with evidence models suggesting a hierarchy or continuum. However, a significant consideration is not whether a particular method was used, but whether the method is appropriate in providing a robust answer to the research question </w:t>
      </w:r>
      <w:r w:rsidRPr="0091711A">
        <w:fldChar w:fldCharType="begin" w:fldLock="1"/>
      </w:r>
      <w:r w:rsidRPr="0091711A">
        <w:instrText>ADDIN CSL_CITATION { "citationItems" : [ { "id" : "ITEM-1", "itemData" : { "DOI" : "10.1332/174426408784614680", "ISSN" : "1744-2648", "author" : [ { "dropping-particle" : "", "family" : "Boaz", "given" : "Annette", "non-dropping-particle" : "", "parse-names" : false, "suffix" : "" }, { "dropping-particle" : "", "family" : "Grayson", "given" : "Lesley", "non-dropping-particle" : "", "parse-names" : false, "suffix" : "" }, { "dropping-particle" : "", "family" : "Levitt", "given" : "Ruth", "non-dropping-particle" : "", "parse-names" : false, "suffix" : "" }, { "dropping-particle" : "", "family" : "Solesbury", "given" : "William", "non-dropping-particle" : "", "parse-names" : false, "suffix" : "" } ], "id" : "ITEM-1", "issue" : "2", "issued" : { "date-parts" : [ [ "2008" ] ] }, "page" : "233-253", "title" : "Does evidence-based policy work? Learning from the UK experience - Research Repository", "type" : "article-journal", "volume" : "4" }, "uris" : [ "http://www.mendeley.com/documents/?uuid=94b0151e-8d9a-4abf-9b8e-093d0764939a" ] } ], "mendeley" : { "formattedCitation" : "(Boaz, Grayson, Levitt, &amp; Solesbury, 2008)", "plainTextFormattedCitation" : "(Boaz, Grayson, Levitt, &amp; Solesbury, 2008)", "previouslyFormattedCitation" : "(Boaz, Grayson, Levitt, &amp; Solesbury, 2008)" }, "properties" : {  }, "schema" : "https://github.com/citation-style-language/schema/raw/master/csl-citation.json" }</w:instrText>
      </w:r>
      <w:r w:rsidRPr="0091711A">
        <w:fldChar w:fldCharType="separate"/>
      </w:r>
      <w:r w:rsidRPr="0091711A">
        <w:rPr>
          <w:noProof/>
        </w:rPr>
        <w:t>(Boaz, Grayson, Levitt, &amp; Solesbury, 2008)</w:t>
      </w:r>
      <w:r w:rsidRPr="0091711A">
        <w:fldChar w:fldCharType="end"/>
      </w:r>
      <w:r w:rsidRPr="0091711A">
        <w:t xml:space="preserve">. In medicine, the value of different methods is commonly referred to as the ‘bench to bedside’ paradigm </w:t>
      </w:r>
      <w:r w:rsidRPr="0091711A">
        <w:fldChar w:fldCharType="begin" w:fldLock="1"/>
      </w:r>
      <w:r w:rsidRPr="0091711A">
        <w:instrText>ADDIN CSL_CITATION { "citationItems" : [ { "id" : "ITEM-1", "itemData" : { "DOI" : "10.1001/jama.2007.26", "ISBN" : "1538-3598 (Electronic)", "ISSN" : "0098-7484", "PMID" : "18182604", "abstract" : "What exactly is translational research? For many, the term refers to the bench-to-bedside enterprise of harnessing knowledge from basic sciences to produce new drugs, devices, and treatment options for patients. For this area of researchthe interface between basic science and clinical medicinethe end point is the production of a promising new treatment that can be used clinically or commercialized (brought to market). This enterprise is vital, and has been characterized as follows: effective translation of the new knowledge, mechanisms, and techniques generated by advances in basic science research into new approaches for prevention, diagnosis, and treatment of disease is essential for improving health.", "author" : [ { "dropping-particle" : "", "family" : "Woolf", "given" : "Steven H.", "non-dropping-particle" : "", "parse-names" : false, "suffix" : "" } ], "container-title" : "Jama", "id" : "ITEM-1", "issue" : "2", "issued" : { "date-parts" : [ [ "2008" ] ] }, "page" : "211-213", "title" : "The Meaning of Translational Research and Why It Matters", "type" : "article-journal", "volume" : "299" }, "uris" : [ "http://www.mendeley.com/documents/?uuid=80a4cdf1-0f58-41dd-8282-ab3b97e0c31c" ] } ], "mendeley" : { "formattedCitation" : "(Woolf, 2008)", "plainTextFormattedCitation" : "(Woolf, 2008)", "previouslyFormattedCitation" : "(Woolf, 2008)" }, "properties" : {  }, "schema" : "https://github.com/citation-style-language/schema/raw/master/csl-citation.json" }</w:instrText>
      </w:r>
      <w:r w:rsidRPr="0091711A">
        <w:fldChar w:fldCharType="separate"/>
      </w:r>
      <w:r w:rsidRPr="0091711A">
        <w:rPr>
          <w:noProof/>
        </w:rPr>
        <w:t>(Woolf, 2008)</w:t>
      </w:r>
      <w:r w:rsidRPr="0091711A">
        <w:fldChar w:fldCharType="end"/>
      </w:r>
      <w:r w:rsidRPr="0091711A">
        <w:t xml:space="preserve"> in which the appropriateness of a method depends on whether the research is attempting to understand the mechanisms of change between an exposure and an outcome to inform intervention development, or testing to inform practice changes. However, the continuum is reliant on high-quality research being conducted and synthesised at each stage, regardless of the type of method used </w:t>
      </w:r>
      <w:r w:rsidRPr="0091711A">
        <w:fldChar w:fldCharType="begin" w:fldLock="1"/>
      </w:r>
      <w:r w:rsidRPr="0091711A">
        <w:instrText>ADDIN CSL_CITATION { "citationItems" : [ { "id" : "ITEM-1", "itemData" : { "DOI" : "10.1177/107780049900500402", "ISBN" : "9780761947769", "ISSN" : "10778004", "PMID" : "18279135", "abstract" : "A variety of conceptions of qualitative research exist, with competing claims as to what counts as good quality work. Rather than opting for the criteria promoted by one variety, \u201cparadigm,\u201d \u201cmoment,\u201d or school within qualitative research, practicing researchers can learn valuable lessons from each one. This is because social research is a craft skill, relatively autonomous from the need to resolve philosophical disputes. At the same time, methodological awareness is a valuable mental resource in research studies. It can be acquired by exposure to almost any intelligent methodological discussion, whether from positivist, naturalistic, constructivist, or postmodern paradigms, as well as from careful consideration of research studies done by others. Particular techniques developed originally to fulfill the requirements of particular paradigms can often be used for other purposes and from within other paradigms if need be. This is illustrated in a case study of triangulation.", "author" : [ { "dropping-particle" : "", "family" : "Seale", "given" : "Clive", "non-dropping-particle" : "", "parse-names" : false, "suffix" : "" } ], "container-title" : "Qualitative Inquiry", "id" : "ITEM-1", "issue" : "4", "issued" : { "date-parts" : [ [ "1999" ] ] }, "page" : "465-478", "title" : "Quality in qualitative research", "type" : "article-journal", "volume" : "5" }, "uris" : [ "http://www.mendeley.com/documents/?uuid=14bf4bc3-7f2b-49d6-ad18-b7dcf9334487" ] }, { "id" : "ITEM-2", "itemData" : { "author" : [ { "dropping-particle" : "", "family" : "Odom", "given" : "Samuel L", "non-dropping-particle" : "", "parse-names" : false, "suffix" : "" }, { "dropping-particle" : "", "family" : "Branlinger", "given" : "Ellen", "non-dropping-particle" : "", "parse-names" : false, "suffix" : "" }, { "dropping-particle" : "", "family" : "Gersten", "given" : "Russel", "non-dropping-particle" : "", "parse-names" : false, "suffix" : "" }, { "dropping-particle" : "", "family" : "Horner", "given" : "Robert R", "non-dropping-particle" : "", "parse-names" : false, "suffix" : "" }, { "dropping-particle" : "", "family" : "Thomson", "given" : "Bruce", "non-dropping-particle" : "", "parse-names" : false, "suffix" : "" }, { "dropping-particle" : "", "family" : "HArris", "given" : "Karen R.", "non-dropping-particle" : "", "parse-names" : false, "suffix" : "" } ], "container-title" : "Exceptional Children", "id" : "ITEM-2", "issue" : "2", "issued" : { "date-parts" : [ [ "2005" ] ] }, "page" : "137-148", "title" : "Research in Special Education: Scientific Methods and Evidence-Based Practices", "type" : "article-journal", "volume" : "71" }, "uris" : [ "http://www.mendeley.com/documents/?uuid=569fd0c5-d1b0-4d69-8a47-f04a977be11f" ] }, { "id" : "ITEM-3", "itemData" : { "author" : [ { "dropping-particle" : "", "family" : "J\u00fcni", "given" : "Peter", "non-dropping-particle" : "", "parse-names" : false, "suffix" : "" }, { "dropping-particle" : "", "family" : "Altman", "given" : "Douglas G", "non-dropping-particle" : "", "parse-names" : false, "suffix" : "" }, { "dropping-particle" : "", "family" : "Egger", "given" : "Matthias", "non-dropping-particle" : "", "parse-names" : false, "suffix" : "" }, { "dropping-particle" : "", "family" : "Bmj", "given" : "Source", "non-dropping-particle" : "", "parse-names" : false, "suffix" : "" }, { "dropping-particle" : "", "family" : "Medical", "given" : "British", "non-dropping-particle" : "", "parse-names" : false, "suffix" : "" }, { "dropping-particle" : "", "family" : "Jul", "given" : "No", "non-dropping-particle" : "", "parse-names" : false, "suffix" : "" }, { "dropping-particle" : "", "family" : "Jtlni", "given" : "Peter", "non-dropping-particle" : "", "parse-names" : false, "suffix" : "" }, { "dropping-particle" : "", "family" : "Altaian", "given" : "G", "non-dropping-particle" : "", "parse-names" : false, "suffix" : "" }, { "dropping-particle" : "", "family" : "Ox", "given" : "Oxford", "non-dropping-particle" : "", "parse-names" : false, "suffix" : "" }, { "dropping-particle" : "", "family" : "Egger", "given" : "Matthias", "non-dropping-particle" : "", "parse-names" : false, "suffix" : "" }, { "dropping-particle" : "", "family" : "Egger", "given" : "Matthias", "non-dropping-particle" : "", "parse-names" : false, "suffix" : "" } ], "id" : "ITEM-3", "issue" : "7303", "issued" : { "date-parts" : [ [ "2015" ] ] }, "page" : "42-46", "title" : "Systematic Reviews In Health Care : Assessing The Quality Of Controlled Clinical Trials Linked references are available on JSTOR for this article : reviews in health Assessing the quality of controlled clinical trials other", "type" : "article-journal", "volume" : "323" }, "uris" : [ "http://www.mendeley.com/documents/?uuid=ced0d95d-0a0b-4f8a-b054-9fc18f96023f" ] } ], "mendeley" : { "formattedCitation" : "(J\u00fcni et al., 2015; Odom et al., 2005; Seale, 1999)", "plainTextFormattedCitation" : "(J\u00fcni et al., 2015; Odom et al., 2005; Seale, 1999)", "previouslyFormattedCitation" : "(J\u00fcni et al., 2015; Odom et al., 2005; Seale, 1999)" }, "properties" : {  }, "schema" : "https://github.com/citation-style-language/schema/raw/master/csl-citation.json" }</w:instrText>
      </w:r>
      <w:r w:rsidRPr="0091711A">
        <w:fldChar w:fldCharType="separate"/>
      </w:r>
      <w:r w:rsidRPr="0091711A">
        <w:rPr>
          <w:noProof/>
        </w:rPr>
        <w:t>(Jüni et al., 2015; Odom et al., 2005; Seale, 1999)</w:t>
      </w:r>
      <w:r w:rsidRPr="0091711A">
        <w:fldChar w:fldCharType="end"/>
      </w:r>
      <w:r w:rsidRPr="0091711A">
        <w:t xml:space="preserve">. </w:t>
      </w:r>
      <w:r w:rsidR="00793048">
        <w:t xml:space="preserve">In addition, this approach requires a clear acceptance that different methods have strengths and limitations which are inherent to each, and that each approach aims to address a different type of question. </w:t>
      </w:r>
      <w:r w:rsidRPr="0091711A">
        <w:t xml:space="preserve">Although Randomised-controlled trials (RCTs) are commonly referred to as the ‘gold standard’, </w:t>
      </w:r>
      <w:proofErr w:type="spellStart"/>
      <w:r w:rsidRPr="0091711A">
        <w:t>J</w:t>
      </w:r>
      <w:r w:rsidRPr="0091711A">
        <w:rPr>
          <w:noProof/>
        </w:rPr>
        <w:t>ü</w:t>
      </w:r>
      <w:r w:rsidRPr="0091711A">
        <w:t>ni</w:t>
      </w:r>
      <w:proofErr w:type="spellEnd"/>
      <w:r w:rsidRPr="0091711A">
        <w:t xml:space="preserve"> et al., (2015) showed that when the quality of an RCT is compromised, the results of systematic and meta-analyses can be distorted. Therefore, research quality is dependent on how the study was conducted, as opposed to the specific method used.</w:t>
      </w:r>
      <w:r w:rsidR="00793048">
        <w:t xml:space="preserve"> </w:t>
      </w:r>
    </w:p>
    <w:p w14:paraId="47794657" w14:textId="354B3884" w:rsidR="0093470E" w:rsidRPr="0091711A" w:rsidRDefault="0093470E" w:rsidP="0093470E">
      <w:r w:rsidRPr="0091711A">
        <w:t>When researchers discuss whether findings and conclusions from research can be trusted, they are referring to validity. Researchers have proposed different frameworks for examining the validity and have various terms to describe different types of validity. Whilst there are some discrepancies in how validity is understood, there is a consensus of four key factors being critical to quality research designs. These are: (</w:t>
      </w:r>
      <w:r w:rsidR="00B11996">
        <w:t>i</w:t>
      </w:r>
      <w:r w:rsidRPr="0091711A">
        <w:t>) clarity of the research question; (</w:t>
      </w:r>
      <w:r w:rsidR="00B11996">
        <w:t>ii</w:t>
      </w:r>
      <w:r w:rsidRPr="0091711A">
        <w:t>) appropriateness of research methods to answer the question; (</w:t>
      </w:r>
      <w:r w:rsidR="00B11996">
        <w:t>iii</w:t>
      </w:r>
      <w:r w:rsidRPr="0091711A">
        <w:t>) how the study was conducted; and (</w:t>
      </w:r>
      <w:r w:rsidR="00B11996">
        <w:t>iv</w:t>
      </w:r>
      <w:r w:rsidRPr="0091711A">
        <w:t xml:space="preserve">) whether the study’s results support the conclusions </w:t>
      </w:r>
      <w:r w:rsidRPr="0091711A">
        <w:fldChar w:fldCharType="begin" w:fldLock="1"/>
      </w:r>
      <w:r w:rsidRPr="0091711A">
        <w:instrText>ADDIN CSL_CITATION { "citationItems" : [ { "id" : "ITEM-1", "itemData" : { "DOI" : "10.1332/174426408784614680", "ISSN" : "1744-2648", "author" : [ { "dropping-particle" : "", "family" : "Boaz", "given" : "Annette", "non-dropping-particle" : "", "parse-names" : false, "suffix" : "" }, { "dropping-particle" : "", "family" : "Grayson", "given" : "Lesley", "non-dropping-particle" : "", "parse-names" : false, "suffix" : "" }, { "dropping-particle" : "", "family" : "Levitt", "given" : "Ruth", "non-dropping-particle" : "", "parse-names" : false, "suffix" : "" }, { "dropping-particle" : "", "family" : "Solesbury", "given" : "William", "non-dropping-particle" : "", "parse-names" : false, "suffix" : "" } ], "id" : "ITEM-1", "issue" : "2", "issued" : { "date-parts" : [ [ "2008" ] ] }, "page" : "233-253", "title" : "Does evidence-based policy work? Learning from the UK experience - Research Repository", "type" : "article-journal", "volume" : "4" }, "uris" : [ "http://www.mendeley.com/documents/?uuid=94b0151e-8d9a-4abf-9b8e-093d0764939a" ] }, { "id" : "ITEM-2", "itemData" : { "DOI" : "10.1093/intqhc/mzh005", "ISBN" : "1353-4505 (Print) 1353-4505 (Linking)", "ISSN" : "13534505", "PMID" : "15020556", "abstract" : "OBJECTIVE: To summarize an extensive review of systems for grading the quality of research articles and rating the strength of bodies of evidence, and to highlight for health professionals and decision-makers concerned with quality measurement and improvement the available \"best practices\" tools by which these steps can be accomplished. DESIGN: Drawing on an extensive review of checklists, questionnaires, and other tools in the field of evidence-based practice, this paper discusses clinical, management, and policy rationales for rating strength of evidence in a quality improvement context, and documents best practices methods for these tasks. RESULTS: After review of 121 systems for grading the quality of articles, 19 systems, mostly STUDY DESIGN: specific, met a priori scientific standards for grading systematic reviews, randomized controlled trials, observational studies, and diagnostic tests; eight systems (of 40 reviewed) met similar standards for rating the overall strength of evidence. All can be used as is or adapted for particular types of evidence reports or systematic reviews. CONCLUSIONS: Formally grading study quality and rating overall strength of evidence, using sound instruments and procedures, can produce reasonable levels of confidence about the science base for parts of quality improvement programs. With such information, health care professionals and administrators concerned with quality improvement can understand better the level of science (versus only clinical consensus or opinion) that supports practice guidelines, review criteria, and assessments that feed into quality assurance and improvement programs. New systems are appearing and research is needed to confirm the conceptual and practical underpinnings of these grading and rating systems, but the need for those developing systematic reviews, practice guidelines, and quality or audit criteria to understand and undertake these steps is becoming increasingly clear.", "author" : [ { "dropping-particle" : "", "family" : "Lohr", "given" : "Kathleen N.", "non-dropping-particle" : "", "parse-names" : false, "suffix" : "" } ], "container-title" : "International Journal for Quality in Health Care", "id" : "ITEM-2", "issue" : "1", "issued" : { "date-parts" : [ [ "2004" ] ] }, "page" : "9-18", "title" : "Rating the strength of scientific evidence: Relevance for quality improvement programs", "type" : "article-journal", "volume" : "16" }, "uris" : [ "http://www.mendeley.com/documents/?uuid=e0c17a6b-d595-496b-bc81-dead309a3dc7" ] }, { "id" : "ITEM-3", "itemData" : { "DOI" : "10.1063/1.3047054", "ISBN" : "0309082919", "ISSN" : "19450699", "author" : [ { "dropping-particle" : "", "family" : "Shavelson", "given" : "R.J.", "non-dropping-particle" : "", "parse-names" : false, "suffix" : "" }, { "dropping-particle" : "", "family" : "Towne", "given" : "L.", "non-dropping-particle" : "", "parse-names" : false, "suffix" : "" } ], "container-title" : "Social Sciences", "id" : "ITEM-3", "issued" : { "date-parts" : [ [ "2002" ] ] }, "number-of-pages" : "188", "title" : "Scientific research in education", "type" : "book" }, "uris" : [ "http://www.mendeley.com/documents/?uuid=76692819-6b53-4190-92d7-c30945c3072b" ] } ], "mendeley" : { "formattedCitation" : "(Boaz et al., 2008; Lohr, 2004; Shavelson &amp; Towne, 2002)", "plainTextFormattedCitation" : "(Boaz et al., 2008; Lohr, 2004; Shavelson &amp; Towne, 2002)", "previouslyFormattedCitation" : "(Boaz et al., 2008; Lohr, 2004; Shavelson &amp; Towne, 2002)" }, "properties" : {  }, "schema" : "https://github.com/citation-style-language/schema/raw/master/csl-citation.json" }</w:instrText>
      </w:r>
      <w:r w:rsidRPr="0091711A">
        <w:fldChar w:fldCharType="separate"/>
      </w:r>
      <w:r w:rsidRPr="0091711A">
        <w:rPr>
          <w:noProof/>
        </w:rPr>
        <w:t>(Boaz et al., 2008;</w:t>
      </w:r>
      <w:bookmarkStart w:id="65" w:name="_Hlk509231024"/>
      <w:r w:rsidRPr="0091711A">
        <w:rPr>
          <w:noProof/>
        </w:rPr>
        <w:t xml:space="preserve"> Lohr, 2004; Shavelson &amp; Towne, 2002</w:t>
      </w:r>
      <w:bookmarkEnd w:id="65"/>
      <w:r w:rsidRPr="0091711A">
        <w:rPr>
          <w:noProof/>
        </w:rPr>
        <w:t>)</w:t>
      </w:r>
      <w:r w:rsidRPr="0091711A">
        <w:fldChar w:fldCharType="end"/>
      </w:r>
      <w:r w:rsidRPr="0091711A">
        <w:t xml:space="preserve">. Determining the quality of research is often reliant on how the research is reported. To facilitate quality review, several groups of scholars, particularly among public health and medical researchers, have recommended standardised research reporting frameworks to help ensure that essential research information needed to assess quality is included in journal articles. Often described as “checklists,” these standards vary by the methodology used and specific research designs. There are several standardised formats for general and specific research designs, including: the Consolidated Standards of Reporting Trials (CONSORT) for RCTs; Strengthening the Reporting of Observational Studies in Epidemiology (STROBE) for observation studies; the Transparent Reporting of Evaluations with Non-randomised Designs (TREND) for non-randomised trials; and the Template for Intervention Description and Replication (TIDIER) for implementation studies </w:t>
      </w:r>
      <w:r w:rsidRPr="0091711A">
        <w:fldChar w:fldCharType="begin" w:fldLock="1"/>
      </w:r>
      <w:r w:rsidRPr="0091711A">
        <w:instrText>ADDIN CSL_CITATION { "citationItems" : [ { "id" : "ITEM-1", "itemData" : { "DOI" : "10.1186/1741-7015-8-18", "ISBN" : "1672-1977 (Print)\\r1672-1977 (Linking)", "ISSN" : "1741-7015", "PMID" : "20410783", "abstract" : "The CONSORT statement is used worldwide to improve the reporting of randomised controlled trials. Kenneth Schulz and colleagues describe the latest version, CONSORT 2010, which updates the reporting guideline based on new methodological evidence and accumulating experience. To encourage dissemination of the CONSORT 2010 Statement, this article is freely accessible on bmj.com and will also be published in the Lancet, Obstetrics and Gynecology, PLoS Medicine, Annals of Internal Medicine, Open Medicine, Journal of Clinical Epidemiology, BMC Medicine, and Trials.", "author" : [ { "dropping-particle" : "", "family" : "Schulz", "given" : "Kenneth F", "non-dropping-particle" : "", "parse-names" : false, "suffix" : "" }, { "dropping-particle" : "", "family" : "Altman", "given" : "Douglas G", "non-dropping-particle" : "", "parse-names" : false, "suffix" : "" }, { "dropping-particle" : "", "family" : "Moher", "given" : "David", "non-dropping-particle" : "", "parse-names" : false, "suffix" : "" }, { "dropping-particle" : "", "family" : "J\u00fcni", "given" : "P", "non-dropping-particle" : "", "parse-names" : false, "suffix" : "" }, { "dropping-particle" : "", "family" : "Altman", "given" : "DG", "non-dropping-particle" : "", "parse-names" : false, "suffix" : "" }, { "dropping-particle" : "", "family" : "Egger", "given" : "M", "non-dropping-particle" : "", "parse-names" : false, "suffix" : "" }, { "dropping-particle" : "", "family" : "Chan", "given" : "AW", "non-dropping-particle" : "", "parse-names" : false, "suffix" : "" }, { "dropping-particle" : "", "family" : "Altman", "given" : "DG", "non-dropping-particle" : "", "parse-names" : false, "suffix" : "" }, { "dropping-particle" : "", "family" : "Glasziou", "given" : "P", "non-dropping-particle" : "", "parse-names" : false, "suffix" : "" }, { "dropping-particle" : "", "family" : "Meats", "given" : "E", "non-dropping-particle" : "", "parse-names" : false, "suffix" : "" }, { "dropping-particle" : "", "family" : "Heneghan", "given" : "C", "non-dropping-particle" : "", "parse-names" : false, "suffix" : "" }, { "dropping-particle" : "", "family" : "Shepperd", "given" : "S", "non-dropping-particle" : "", "parse-names" : false, "suffix" : "" }, { "dropping-particle" : "", "family" : "Dwan", "given" : "K", "non-dropping-particle" : "", "parse-names" : false, "suffix" : "" }, { "dropping-particle" : "", "family" : "Altman", "given" : "DG", "non-dropping-particle" : "", "parse-names" : false, "suffix" : "" }, { "dropping-particle" : "", "family" : "Arnaiz", "given" : "JA", "non-dropping-particle" : "", "parse-names" : false, "suffix" : "" }, { "dropping-particle" : "", "family" : "Bloom", "given" : "J", "non-dropping-particle" : "", "parse-names" : false, "suffix" : "" }, { "dropping-particle" : "", "family" : "Chan", "given" : "AW", "non-dropping-particle" : "", "parse-names" : false, "suffix" : "" }, { "dropping-particle" : "", "family" : "Cronin", "given" : "E", "non-dropping-particle" : "", "parse-names" : false, "suffix" : "" }, { "dropping-particle" : "", "family" : "Decullier", "given" : "E", "non-dropping-particle" : "", "parse-names" : false, "suffix" : "" }, { "dropping-particle" : "", "family" : "Easterbrook", "given" : "PJ", "non-dropping-particle" : "", "parse-names" : false, "suffix" : "" }, { "dropping-particle" : "Von", "family" : "Elm", "given" : "E", "non-dropping-particle" : "", "parse-names" : false, "suffix" : "" }, { "dropping-particle" : "", "family" : "Gamble", "given" : "C", "non-dropping-particle" : "", "parse-names" : false, "suffix" : "" }, { "dropping-particle" : "", "family" : "Ghersi", "given" : "D", "non-dropping-particle" : "", "parse-names" : false, "suffix" : "" }, { "dropping-particle" : "", "family" : "Ioannidis", "given" : "JP", "non-dropping-particle" : "", "parse-names" : false, "suffix" : "" }, { "dropping-particle" : "", "family" : "Simes", "given" : "J", "non-dropping-particle" : "", "parse-names" : false, "suffix" : "" }, { "dropping-particle" : "", "family" : "Williamson", "given" : "PR", "non-dropping-particle" : "", "parse-names" : false, "suffix" : "" }, { "dropping-particle" : "", "family" : "Begg", "given" : "C", "non-dropping-particle" : "", "parse-names" : false, "suffix" : "" }, { "dropping-particle" : "", "family" : "Cho", "given" : "M", "non-dropping-particle" : "", "parse-names" : false, "suffix" : "" }, { "dropping-particle" : "", "family" : "Eastwood", "given" : "S", "non-dropping-particle" : "", "parse-names" : false, "suffix" : "" }, { "dropping-particle" : "", "family" : "Horton", "given" : "R", "non-dropping-particle" : "", "parse-names" : false, "suffix" : "" }, { "dropping-particle" : "", "family" : "Moher", "given" : "D", "non-dropping-particle" : "", "parse-names" : false, "suffix" : "" }, { "dropping-particle" : "", "family" : "Olkin", "given" : "I", "non-dropping-particle" : "", "parse-names" : false, "suffix" : "" }, { "dropping-particle" : "", "family" : "Pitkin", "given" : "R", "non-dropping-particle" : "", "parse-names" : false, "suffix" : "" }, { "dropping-particle" : "", "family" : "Rennie", "given" : "D", "non-dropping-particle" : "", "parse-names" : false, "suffix" : "" }, { "dropping-particle" : "", "family" : "Schulz", "given" : "KF", "non-dropping-particle" : "", "parse-names" : false, "suffix" : "" }, { "dropping-particle" : "", "family" : "Simel", "given" : "D", "non-dropping-particle" : "", "parse-names" : false, "suffix" : "" }, { "dropping-particle" : "", "family" : "Stroup", "given" : "DF", "non-dropping-particle" : "", "parse-names" : false, "suffix" : "" }, { "dropping-particle" : "", "family" : "Moher", "given" : "D", "non-dropping-particle" : "", "parse-names" : false, "suffix" : "" }, { "dropping-particle" : "", "family" : "Schulz", "given" : "KF", "non-dropping-particle" : "", "parse-names" : false, "suffix" : "" }, { "dropping-particle" : "", "family" : "Altman", "given" : "DG", "non-dropping-particle" : "", "parse-names" : false, "suffix" : "" }, { "dropping-particle" : "", "family" : "Moher", "given" : "D", "non-dropping-particle" : "", "parse-names" : false, "suffix" : "" }, { "dropping-particle" : "", "family" : "Schulz", "given" : "KF", "non-dropping-particle" : "", "parse-names" : false, "suffix" : "" }, { "dropping-particle" : "", "family" : "Altman", "given" : "DG", "non-dropping-particle" : "", "parse-names" : false, "suffix" : "" }, { "dropping-particle" : "", "family" : "Moher", "given" : "D", "non-dropping-particle" : "", "parse-names" : false, "suffix" : "" }, { "dropping-particle" : "", "family" : "Schulz", "given" : "KF", "non-dropping-particle" : "", "parse-names" : false, "suffix" : "" }, { "dropping-particle" : "", "family" : "Altman", "given" : "D", "non-dropping-particle" : "", "parse-names" : false, "suffix" : "" }, { "dropping-particle" : "", "family" : "Plint", "given" : "AC", "non-dropping-particle" : "", "parse-names" : false, "suffix" : "" }, { "dropping-particle" : "", "family" : "Moher", "given" : "D", "non-dropping-particle" : "", "parse-names" : false, "suffix" : "" }, { "dropping-particle" : "", "family" : "Morrison", "given" : "A", "non-dropping-particle" : "", "parse-names" : false, "suffix" : "" }, { "dropping-particle" : "", "family" : "Schulz", "given" : "K", "non-dropping-particle" : "", "parse-names" : false, "suffix" : "" }, { "dropping-particle" : "", "family" : "Altman", "given" : "DG", "non-dropping-particle" : "", "parse-names" : false, "suffix" : "" }, { "dropping-particle" : "", "family" : "Hill", "given" : "C", "non-dropping-particle" : "", "parse-names" : false, "suffix" : "" }, { "dropping-particle" : "", "family" : "Gaboury", "given" : "", "non-dropping-particle" : "", "parse-names" : false, "suffix" : "" }, { "dropping-particle" : "", "family" : "Hopewell", "given" : "S", "non-dropping-particle" : "", "parse-names" : false, "suffix" : "" }, { "dropping-particle" : "", "family" : "Dutton", "given" : "S", "non-dropping-particle" : "", "parse-names" : false, "suffix" : "" }, { "dropping-particle" : "", "family" : "Yu", "given" : "L-M", "non-dropping-particle" : "", "parse-names" : false, "suffix" : "" }, { "dropping-particle" : "", "family" : "Chan", "given" : "A-W", "non-dropping-particle" : "", "parse-names" : false, "suffix" : "" }, { "dropping-particle" : "", "family" : "Altman", "given" : "DG", "non-dropping-particle" : "", "parse-names" : false, "suffix" : "" }, { "dropping-particle" : "", "family" : "Campbell", "given" : "MK", "non-dropping-particle" : "", "parse-names" : false, "suffix" : "" }, { "dropping-particle" : "", "family" : "Elbourne", "given" : "DR", "non-dropping-particle" : "", "parse-names" : false, "suffix" : "" }, { "dropping-particle" : "", "family" : "Altman", "given" : "DG", "non-dropping-particle" : "", "parse-names" : false, "suffix" : "" }, { "dropping-particle" : "", "family" : "Piaggio", "given" : "G", "non-dropping-particle" : "", "parse-names" : false, "suffix" : "" }, { "dropping-particle" : "", "family" : "Elbourne", "given" : "DR", "non-dropping-particle" : "", "parse-names" : false, "suffix" : "" }, { "dropping-particle" : "", "family" : "Altman", "given" : "DG", "non-dropping-particle" : "", "parse-names" : false, "suffix" : "" }, { "dropping-particle" : "", "family" : "Pocock", "given" : "SJ", "non-dropping-particle" : "", "parse-names" : false, "suffix" : "" }, { "dropping-particle" : "", "family" : "Evans", "given" : "SJ", "non-dropping-particle" : "", "parse-names" : false, "suffix" : "" }, { "dropping-particle" : "", "family" : "Moher", "given" : "D", "non-dropping-particle" : "", "parse-names" : false, "suffix" : "" }, { "dropping-particle" : "", "family" : "Hopewell", "given" : "S", "non-dropping-particle" : "", "parse-names" : false, "suffix" : "" }, { "dropping-particle" : "", "family" : "Schulz", "given" : "KF", "non-dropping-particle" : "", "parse-names" : false, "suffix" : "" }, { "dropping-particle" : "", "family" : "Montori", "given" : "V", "non-dropping-particle" : "", "parse-names" : false, "suffix" : "" }, { "dropping-particle" : "", "family" : "G\u00f8tzsche", "given" : "PC", "non-dropping-particle" : "", "parse-names" : false, "suffix" : "" }, { "dropping-particle" : "", "family" : "Devereaux", "given" : "PJ", "non-dropping-particle" : "", "parse-names" : false, "suffix" : "" }, { "dropping-particle" : "", "family" : "Schulz", "given" : "KF", "non-dropping-particle" : "", "parse-names" : false, "suffix" : "" }, { "dropping-particle" : "", "family" : "Chalmers", "given" : "I", "non-dropping-particle" : "", "parse-names" : false, "suffix" : "" }, { "dropping-particle" : "", "family" : "Hayes", "given" : "RJ", "non-dropping-particle" : "", "parse-names" : false, "suffix" : "" }, { "dropping-particle" : "", "family" : "Altman", "given" : "DG", "non-dropping-particle" : "", "parse-names" : false, "suffix" : "" }, { "dropping-particle" : "", "family" : "Moher", "given" : "D", "non-dropping-particle" : "", "parse-names" : false, "suffix" : "" }, { "dropping-particle" : "", "family" : "Pham", "given" : "B", "non-dropping-particle" : "", "parse-names" : false, "suffix" : "" }, { "dropping-particle" : "", "family" : "Jones", "given" : "A", "non-dropping-particle" : "", "parse-names" : false, "suffix" : "" }, { "dropping-particle" : "", "family" : "Cook", "given" : "DJ", "non-dropping-particle" : "", "parse-names" : false, "suffix" : "" }, { "dropping-particle" : "", "family" : "Jadad", "given" : "AR", "non-dropping-particle" : "", "parse-names" : false, "suffix" : "" }, { "dropping-particle" : "", "family" : "Moher", "given" : "M", "non-dropping-particle" : "", "parse-names" : false, "suffix" : "" }, { "dropping-particle" : "", "family" : "Tugwell", "given" : "P", "non-dropping-particle" : "", "parse-names" : false, "suffix" : "" }, { "dropping-particle" : "", "family" : "Klassen", "given" : "TP", "non-dropping-particle" : "", "parse-names" : false, "suffix" : "" }, { "dropping-particle" : "", "family" : "Moher", "given" : "D", "non-dropping-particle" : "", "parse-names" : false, "suffix" : "" }, { "dropping-particle" : "", "family" : "Liberati", "given" : "A", "non-dropping-particle" : "", "parse-names" : false, "suffix" : "" }, { "dropping-particle" : "", "family" : "Tetzlaff", "given" : "J", "non-dropping-particle" : "", "parse-names" : false, "suffix" : "" }, { "dropping-particle" : "", "family" : "Altman", "given" : "DG", "non-dropping-particle" : "", "parse-names" : false, "suffix" : "" }, { "dropping-particle" : "", "family" : "Bossuyt", "given" : "PM", "non-dropping-particle" : "", "parse-names" : false, "suffix" : "" }, { "dropping-particle" : "", "family" : "Reitsma", "given" : "JB", "non-dropping-particle" : "", "parse-names" : false, "suffix" : "" }, { "dropping-particle" : "", "family" : "Bruns", "given" : "DE", "non-dropping-particle" : "", "parse-names" : false, "suffix" : "" }, { "dropping-particle" : "", "family" : "Gatsonis", "given" : "CA", "non-dropping-particle" : "", "parse-names" : false, "suffix" : "" }, { "dropping-particle" : "", "family" : "Glasziou", "given" : "PP", "non-dropping-particle" : "", "parse-names" : false, "suffix" : "" }, { "dropping-particle" : "", "family" : "Irwig", "given" : "LM", "non-dropping-particle" : "", "parse-names" : false, "suffix" : "" }, { "dropping-particle" : "", "family" : "Lijmer", "given" : "JG", "non-dropping-particle" : "", "parse-names" : false, "suffix" : "" }, { "dropping-particle" : "", "family" : "Moher", "given" : "D", "non-dropping-particle" : "", "parse-names" : false, "suffix" : "" }, { "dropping-particle" : "", "family" : "Rennie", "given" : "D", "non-dropping-particle" : "", "parse-names" : false, "suffix" : "" }, { "dropping-particle" : "de", "family" : "Vet", "given" : "HC", "non-dropping-particle" : "", "parse-names" : false, "suffix" : "" }, { "dropping-particle" : "von", "family" : "Elm", "given" : "E", "non-dropping-particle" : "", "parse-names" : false, "suffix" : "" }, { "dropping-particle" : "", "family" : "Altman", "given" : "DG", "non-dropping-particle" : "", "parse-names" : false, "suffix" : "" }, { "dropping-particle" : "", "family" : "Egger", "given" : "M", "non-dropping-particle" : "", "parse-names" : false, "suffix" : "" }, { "dropping-particle" : "", "family" : "Pocock", "given" : "SJ", "non-dropping-particle" : "", "parse-names" : false, "suffix" : "" }, { "dropping-particle" : "", "family" : "G\u00f8tzsche", "given" : "PC", "non-dropping-particle" : "", "parse-names" : false, "suffix" : "" }, { "dropping-particle" : "", "family" : "Vandenbroucke", "given" : "JP", "non-dropping-particle" : "", "parse-names" : false, "suffix" : "" }, { "dropping-particle" : "", "family" : "Rennie", "given" : "D", "non-dropping-particle" : "", "parse-names" : false, "suffix" : "" }, { "dropping-particle" : "", "family" : "Hopewell", "given" : "S", "non-dropping-particle" : "", "parse-names" : false, "suffix" : "" }, { "dropping-particle" : "", "family" : "Clarke", "given" : "M", "non-dropping-particle" : "", "parse-names" : false, "suffix" : "" }, { "dropping-particle" : "", "family" : "Moher", "given" : "D", "non-dropping-particle" : "", "parse-names" : false, "suffix" : "" }, { "dropping-particle" : "", "family" : "Wager", "given" : "E", "non-dropping-particle" : "", "parse-names" : false, "suffix" : "" }, { "dropping-particle" : "", "family" : "Middleton", "given" : "P", "non-dropping-particle" : "", "parse-names" : false, "suffix" : "" }, { "dropping-particle" : "", "family" : "Altman", "given" : "DG", "non-dropping-particle" : "", "parse-names" : false, "suffix" : "" }, { "dropping-particle" : "", "family" : "Schulz", "given" : "KF", "non-dropping-particle" : "", "parse-names" : false, "suffix" : "" }, { "dropping-particle" : "", "family" : "Chan", "given" : "AW", "non-dropping-particle" : "", "parse-names" : false, "suffix" : "" }, { "dropping-particle" : "", "family" : "Hr\u00f3bjartsson", "given" : "A", "non-dropping-particle" : "", "parse-names" : false, "suffix" : "" }, { "dropping-particle" : "", "family" : "Haahr", "given" : "MT", "non-dropping-particle" : "", "parse-names" : false, "suffix" : "" }, { "dropping-particle" : "", "family" : "G\u00f8tzsche", "given" : "PC", "non-dropping-particle" : "", "parse-names" : false, "suffix" : "" }, { "dropping-particle" : "", "family" : "Altman", "given" : "DG", "non-dropping-particle" : "", "parse-names" : false, "suffix" : "" }, { "dropping-particle" : "", "family" : "Sackett", "given" : "DL", "non-dropping-particle" : "", "parse-names" : false, "suffix" : "" }, { "dropping-particle" : "", "family" : "Schulz", "given" : "KF", "non-dropping-particle" : "", "parse-names" : false, "suffix" : "" }, { "dropping-particle" : "", "family" : "Grimes", "given" : "DA", "non-dropping-particle" : "", "parse-names" : false, "suffix" : "" }, { "dropping-particle" : "", "family" : "Montori", "given" : "VM", "non-dropping-particle" : "", "parse-names" : false, "suffix" : "" }, { "dropping-particle" : "", "family" : "Devereaux", "given" : "PJ", "non-dropping-particle" : "", "parse-names" : false, "suffix" : "" }, { "dropping-particle" : "", "family" : "Adhikari", "given" : "NK", "non-dropping-particle" : "", "parse-names" : false, "suffix" : "" }, { "dropping-particle" : "", "family" : "Burns", "given" : "KE", "non-dropping-particle" : "", "parse-names" : false, "suffix" : "" }, { "dropping-particle" : "", "family" : "Eggert", "given" : "CH", "non-dropping-particle" : "", "parse-names" : false, "suffix" : "" }, { "dropping-particle" : "", "family" : "Briel", "given" : "M", "non-dropping-particle" : "", "parse-names" : false, "suffix" : "" }, { "dropping-particle" : "", "family" : "Lacchetti", "given" : "C", "non-dropping-particle" : "", "parse-names" : false, "suffix" : "" }, { "dropping-particle" : "", "family" : "Leung", "given" : "TW", "non-dropping-particle" : "", "parse-names" : false, "suffix" : "" }, { "dropping-particle" : "", "family" : "Darling", "given" : "E", "non-dropping-particle" : "", "parse-names" : false, "suffix" : "" }, { "dropping-particle" : "", "family" : "Bryant", "given" : "DM", "non-dropping-particle" : "", "parse-names" : false, "suffix" : "" }, { "dropping-particle" : "", "family" : "Bucher", "given" : "HC", "non-dropping-particle" : "", "parse-names" : false, "suffix" : "" }, { "dropping-particle" : "", "family" : "Sch\u00fcnemann", "given" : "HJ", "non-dropping-particle" : "", "parse-names" : false, "suffix" : "" }, { "dropping-particle" : "", "family" : "Meade", "given" : "MO", "non-dropping-particle" : "", "parse-names" : false, "suffix" : "" }, { "dropping-particle" : "", "family" : "Cook", "given" : "DJ", "non-dropping-particle" : "", "parse-names" : false, "suffix" : "" }, { "dropping-particle" : "", "family" : "Erwin", "given" : "PJ", "non-dropping-particle" : "", "parse-names" : false, "suffix" : "" }, { "dropping-particle" : "", "family" : "Sood", "given" : "A", "non-dropping-particle" : "", "parse-names" : false, "suffix" : "" }, { "dropping-particle" : "", "family" : "Sood", "given" : "R", "non-dropping-particle" : "", "parse-names" : false, "suffix" : "" }, { "dropping-particle" : "", "family" : "Lo", "given" : "B", "non-dropping-particle" : "", "parse-names" : false, "suffix" : "" }, { "dropping-particle" : "", "family" : "Thompson", "given" : "CA", "non-dropping-particle" : "", "parse-names" : false, "suffix" : "" }, { "dropping-particle" : "", "family" : "Zhou", "given" : "Q", "non-dropping-particle" : "", "parse-names" : false, "suffix" : "" }, { "dropping-particle" : "", "family" : "Mills", "given" : "E", "non-dropping-particle" : "", "parse-names" : false, "suffix" : "" }, { "dropping-particle" : "", "family" : "Guyatt", "given" : "GH", "non-dropping-particle" : "", "parse-names" : false, "suffix" : "" }, { "dropping-particle" : "", "family" : "Hollis", "given" : "S", "non-dropping-particle" : "", "parse-names" : false, "suffix" : "" }, { "dropping-particle" : "", "family" : "Campbell", "given" : "F", "non-dropping-particle" : "", "parse-names" : false, "suffix" : "" }, { "dropping-particle" : "", "family" : "Nuovo", "given" : "J", "non-dropping-particle" : "", "parse-names" : false, "suffix" : "" }, { "dropping-particle" : "", "family" : "Melnikow", "given" : "J", "non-dropping-particle" : "", "parse-names" : false, "suffix" : "" }, { "dropping-particle" : "", "family" : "Chang", "given" : "D", "non-dropping-particle" : "", "parse-names" : false, "suffix" : "" }, { "dropping-particle" : "", "family" : "Ioannidis", "given" : "JP", "non-dropping-particle" : "", "parse-names" : false, "suffix" : "" }, { "dropping-particle" : "", "family" : "Evans", "given" : "SJ", "non-dropping-particle" : "", "parse-names" : false, "suffix" : "" }, { "dropping-particle" : "", "family" : "G\u00f8tzsche", "given" : "PC", "non-dropping-particle" : "", "parse-names" : false, "suffix" : "" }, { "dropping-particle" : "", "family" : "O'Neill", "given" : "RT", "non-dropping-particle" : "", "parse-names" : false, "suffix" : "" }, { "dropping-particle" : "", "family" : "Altman", "given" : "DG", "non-dropping-particle" : "", "parse-names" : false, "suffix" : "" }, { "dropping-particle" : "", "family" : "Schulz", "given" : "K", "non-dropping-particle" : "", "parse-names" : false, "suffix" : "" }, { "dropping-particle" : "", "family" : "Moher", "given" : "D", "non-dropping-particle" : "", "parse-names" : false, "suffix" : "" }, { "dropping-particle" : "De", "family" : "Angelis", "given" : "C", "non-dropping-particle" : "", "parse-names" : false, "suffix" : "" }, { "dropping-particle" : "", "family" : "Drazen", "given" : "JM", "non-dropping-particle" : "", "parse-names" : false, "suffix" : "" }, { "dropping-particle" : "", "family" : "Frizelle", "given" : "FA", "non-dropping-particle" : "", "parse-names" : false, "suffix" : "" }, { "dropping-particle" : "", "family" : "Haug", "given" : "C", "non-dropping-particle" : "", "parse-names" : false, "suffix" : "" }, { "dropping-particle" : "", "family" : "Hoey", "given" : "J", "non-dropping-particle" : "", "parse-names" : false, "suffix" : "" }, { "dropping-particle" : "", "family" : "Horton", "given" : "R", "non-dropping-particle" : "", "parse-names" : false, "suffix" : "" }, { "dropping-particle" : "", "family" : "Kotzin", "given" : "S", "non-dropping-particle" : "", "parse-names" : false, "suffix" : "" }, { "dropping-particle" : "", "family" : "Laine", "given" : "C", "non-dropping-particle" : "", "parse-names" : false, "suffix" : "" }, { "dropping-particle" : "", "family" : "Marusic", "given" : "A", "non-dropping-particle" : "", "parse-names" : false, "suffix" : "" }, { "dropping-particle" : "", "family" : "Overbeke", "given" : "AJ", "non-dropping-particle" : "", "parse-names" : false, "suffix" : "" }, { "dropping-particle" : "", "family" : "Schroeder", "given" : "TV", "non-dropping-particle" : "", "parse-names" : false, "suffix" : "" }, { "dropping-particle" : "", "family" : "Sox", "given" : "HC", "non-dropping-particle" : "", "parse-names" : false, "suffix" : "" }, { "dropping-particle" : "Van Der", "family" : "Weyden", "given" : "MB", "non-dropping-particle" : "", "parse-names" : false, "suffix" : "" }, { "dropping-particle" : "", "family" : "Lexchin", "given" : "J", "non-dropping-particle" : "", "parse-names" : false, "suffix" : "" }, { "dropping-particle" : "", "family" : "Bero", "given" : "LA", "non-dropping-particle" : "", "parse-names" : false, "suffix" : "" }, { "dropping-particle" : "", "family" : "Djulbegovic", "given" : "B", "non-dropping-particle" : "", "parse-names" : false, "suffix" : "" }, { "dropping-particle" : "", "family" : "Clark", "given" : "O", "non-dropping-particle" : "", "parse-names" : false, "suffix" : "" }, { "dropping-particle" : "", "family" : "Hopewell", "given" : "S", "non-dropping-particle" : "", "parse-names" : false, "suffix" : "" }, { "dropping-particle" : "", "family" : "Clarke", "given" : "M", "non-dropping-particle" : "", "parse-names" : false, "suffix" : "" }, { "dropping-particle" : "", "family" : "Moher", "given" : "D", "non-dropping-particle" : "", "parse-names" : false, "suffix" : "" }, { "dropping-particle" : "", "family" : "Wager", "given" : "E", "non-dropping-particle" : "", "parse-names" : false, "suffix" : "" }, { "dropping-particle" : "", "family" : "Middleton", "given" : "P", "non-dropping-particle" : "", "parse-names" : false, "suffix" : "" }, { "dropping-particle" : "", "family" : "Altman", "given" : "DG", "non-dropping-particle" : "", "parse-names" : false, "suffix" : "" }, { "dropping-particle" : "", "family" : "Schulz", "given" : "KF", "non-dropping-particle" : "", "parse-names" : false, "suffix" : "" }, { "dropping-particle" : "", "family" : "Boutron", "given" : "I", "non-dropping-particle" : "", "parse-names" : false, "suffix" : "" }, { "dropping-particle" : "", "family" : "Moher", "given" : "D", "non-dropping-particle" : "", "parse-names" : false, "suffix" : "" }, { "dropping-particle" : "", "family" : "Altman", "given" : "DG", "non-dropping-particle" : "", "parse-names" : false, "suffix" : "" }, { "dropping-particle" : "", "family" : "Schulz", "given" : "KF", "non-dropping-particle" : "", "parse-names" : false, "suffix" : "" }, { "dropping-particle" : "", "family" : "Ravaud", "given" : "P", "non-dropping-particle" : "", "parse-names" : false, "suffix" : "" }, { "dropping-particle" : "", "family" : "Gagnier", "given" : "JJ", "non-dropping-particle" : "", "parse-names" : false, "suffix" : "" }, { "dropping-particle" : "", "family" : "Boon", "given" : "H", "non-dropping-particle" : "", "parse-names" : false, "suffix" : "" }, { "dropping-particle" : "", "family" : "Rochon", "given" : "P", "non-dropping-particle" : "", "parse-names" : false, "suffix" : "" }, { "dropping-particle" : "", "family" : "Moher", "given" : "D", "non-dropping-particle" : "", "parse-names" : false, "suffix" : "" }, { "dropping-particle" : "", "family" : "Barnes", "given" : "J", "non-dropping-particle" : "", "parse-names" : false, "suffix" : "" }, { "dropping-particle" : "", "family" : "Bombardier", "given" : "C", "non-dropping-particle" : "", "parse-names" : false, "suffix" : "" }, { "dropping-particle" : "", "family" : "Zwarenstein", "given" : "M", "non-dropping-particle" : "", "parse-names" : false, "suffix" : "" }, { "dropping-particle" : "", "family" : "Treweek", "given" : "S", "non-dropping-particle" : "", "parse-names" : false, "suffix" : "" }, { "dropping-particle" : "", "family" : "Gagnier", "given" : "JJ", "non-dropping-particle" : "", "parse-names" : false, "suffix" : "" }, { "dropping-particle" : "", "family" : "Altman", "given" : "DG", "non-dropping-particle" : "", "parse-names" : false, "suffix" : "" }, { "dropping-particle" : "", "family" : "Tunis", "given" : "S", "non-dropping-particle" : "", "parse-names" : false, "suffix" : "" }, { "dropping-particle" : "", "family" : "Haynes", "given" : "B", "non-dropping-particle" : "", "parse-names" : false, "suffix" : "" }, { "dropping-particle" : "", "family" : "Oxman", "given" : "AD", "non-dropping-particle" : "", "parse-names" : false, "suffix" : "" }, { "dropping-particle" : "", "family" : "Moher", "given" : "D", "non-dropping-particle" : "", "parse-names" : false, "suffix" : "" } ], "container-title" : "BMC Medicine", "id" : "ITEM-1", "issue" : "1", "issued" : { "date-parts" : [ [ "2010" ] ] }, "page" : "18", "title" : "CONSORT 2010 Statement: updated guidelines for reporting parallel group randomised trials", "type" : "article-journal", "volume" : "8" }, "uris" : [ "http://www.mendeley.com/documents/?uuid=96246031-f3c9-48c8-8b1c-7f910e2e2465" ] }, { "id" : "ITEM-2", "itemData" : { "DOI" : "10.1016/j.jclinepi.2007.11.008", "ISBN" : "1539-3704 (Electronic)\\n0003-4819 (Linking)", "ISSN" : "08954356", "PMID" : "18511988", "abstract" : "Much of biomedical research is observational. The reporting of such research is often inadequate, which hampers the assessment of its strengths and weaknesses and of a study's generalizability. The Strengthening the Reporting of Observational Studies in Epidemiology (STROBE) Initiative developed recommendations on what should be included in an accurate and complete report of an observational study. We defined the scope of the recommendations to cover three main study designs: cohort, case-control, and cross-sectional studies. We convened a 2-day workshop in September 2004, with methodologists, researchers, and journal editors to draft a checklist of items. This list was subsequently revised during several meetings of the coordinating group and in e-mail discussions with the larger group of STROBE contributors, taking into account empirical evidence and methodological considerations. The workshop and the subsequent iterative process of consultation and revision resulted in a checklist of 22 items (the STROBE Statement) that relate to the title, abstract, introduction, methods, results, and discussion sections of articles. Eighteen items are common to all three study designs and four are specific for cohort, case-control, or cross-sectional studies. A detailed Explanation and Elaboration document is published separately and is freely available on the web sites of PLoS Medicine, Annals of Internal Medicine, and Epidemiology. We hope that the STROBE Statement will contribute to improving the quality of reporting of observational studies. \u00a9 2007 The authors.", "author" : [ { "dropping-particle" : "", "family" : "Elm", "given" : "Erik", "non-dropping-particle" : "von", "parse-names" : false, "suffix" : "" }, { "dropping-particle" : "", "family" : "Altman", "given" : "Douglas G.", "non-dropping-particle" : "", "parse-names" : false, "suffix" : "" }, { "dropping-particle" : "", "family" : "Egger", "given" : "Matthias", "non-dropping-particle" : "", "parse-names" : false, "suffix" : "" }, { "dropping-particle" : "", "family" : "Pocock", "given" : "Stuart J.", "non-dropping-particle" : "", "parse-names" : false, "suffix" : "" }, { "dropping-particle" : "", "family" : "G\u00f8tzsche", "given" : "Peter C.", "non-dropping-particle" : "", "parse-names" : false, "suffix" : "" }, { "dropping-particle" : "", "family" : "Vandenbroucke", "given" : "Jan P.", "non-dropping-particle" : "", "parse-names" : false, "suffix" : "" } ], "container-title" : "Journal of Clinical Epidemiology", "id" : "ITEM-2", "issue" : "4", "issued" : { "date-parts" : [ [ "2008" ] ] }, "page" : "344-349", "title" : "The Strengthening the Reporting of Observational Studies in Epidemiology (STROBE) statement: guidelines for reporting observational studies", "type" : "article-journal", "volume" : "61" }, "uris" : [ "http://www.mendeley.com/documents/?uuid=eeb73cd2-205f-48f6-8cd6-02ff935edeb9" ] }, { "id" : "ITEM-3", "itemData" : { "DOI" : "10.1136/bmj.328.7446.966", "ISBN" : "1756-1833 (Electronic)\\r0959-535X (Linking)", "ISSN" : "0959-8138", "PMID" : "15105301", "author" : [ { "dropping-particle" : "", "family" : "Kirkwood", "given" : "B", "non-dropping-particle" : "", "parse-names" : false, "suffix" : "" } ], "container-title" : "Bmj", "id" : "ITEM-3", "issue" : "April", "issued" : { "date-parts" : [ [ "2004" ] ] }, "page" : "966-967", "title" : "Making public health interventions more evidence based", "type" : "article-journal", "volume" : "328" }, "uris" : [ "http://www.mendeley.com/documents/?uuid=5c8effd7-95a1-4383-b3a1-2f55fffa7480" ] }, { "id" : "ITEM-4", "itemData" : { "DOI" : "10.1136/bmj.g1687", "ISBN" : "0959-535x", "ISSN" : "17561833", "PMID" : "24609605", "abstract" : "Without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 "author" : [ { "dropping-particle" : "", "family" : "Hoffmann", "given" : "Tammy C.", "non-dropping-particle" : "", "parse-names" : false, "suffix" : "" }, { "dropping-particle" : "", "family" : "Glasziou", "given" : "Paul P.", "non-dropping-particle" : "", "parse-names" : false, "suffix" : "" }, { "dropping-particle" : "", "family" : "Boutron", "given" : "Isabelle", "non-dropping-particle" : "", "parse-names" : false, "suffix" : "" }, { "dropping-particle" : "", "family" : "Milne", "given" : "Ruairidh", "non-dropping-particle" : "", "parse-names" : false, "suffix" : "" }, { "dropping-particle" : "", "family" : "Perera", "given" : "Rafael", "non-dropping-particle" : "", "parse-names" : false, "suffix" : "" }, { "dropping-particle" : "", "family" : "Moher", "given" : "David", "non-dropping-particle" : "", "parse-names" : false, "suffix" : "" }, { "dropping-particle" : "", "family" : "Altman", "given" : "Douglas G.", "non-dropping-particle" : "", "parse-names" : false, "suffix" : "" }, { "dropping-particle" : "", "family" : "Barbour", "given" : "Virginia", "non-dropping-particle" : "", "parse-names" : false, "suffix" : "" }, { "dropping-particle" : "", "family" : "Macdonald", "given" : "Helen", "non-dropping-particle" : "", "parse-names" : false, "suffix" : "" }, { "dropping-particle" : "", "family" : "Johnston", "given" : "Marie", "non-dropping-particle" : "", "parse-names" : false, "suffix" : "" }, { "dropping-particle" : "", "family" : "Kadoorie", "given" : "Sarah E.Lamb", "non-dropping-particle" : "", "parse-names" : false, "suffix" : "" }, { "dropping-particle" : "", "family" : "Dixon-Woods", "given" : "Mary", "non-dropping-particle</w:instrText>
      </w:r>
      <w:r w:rsidRPr="0091711A">
        <w:rPr>
          <w:lang w:val="da-DK"/>
        </w:rPr>
        <w:instrText>" : "", "parse-names" : false, "suffix" : "" }, { "dropping-particle" : "", "family" : "McCulloch", "given" : "Peter", "non-dropping-particle" : "", "parse-names" : false, "suffix" : "" }, { "dropping-particle" : "", "family" : "Wyatt", "given" : "Jeremy C.", "non-dropping-particle" : "", "parse-names" : false, "suffix" : "" }, { "dropping-particle" : "", "family" : "Phelan", "given" : "An Wen Chan", "non-dropping-particle" : "", "parse-names" : false, "suffix" : "" }, { "dropping-particle" : "", "family" : "Michie", "given" : "Susan", "non-dropping-particle" : "", "parse-names" : false, "suffix" : "" } ], "container-title" : "BMJ (Online)", "id" : "ITEM-4", "issue" : "March", "issued" : { "date-parts" : [ [ "2014" ] ] }, "page" : "1-12", "title" : "Better reporting of interventions: Template for intervention description and replication (TIDieR) checklist and guide", "type" : "article-journal", "volume" : "348" }, "uris" : [ "http://www.mendeley.com/documents/?uuid=7990fe98-0bb4-4e48-bf14-a96b5af5f246" ] } ], "mendeley" : { "formattedCitation" : "(Hoffmann et al., 2014; Kirkwood, 2004; Schulz et al., 2010; von Elm et al., 2008)", "plainTextFormattedCitation" : "(Hoffmann et al., 2014; Kirkwood, 2004; Schulz et al., 2010; von Elm et al., 2008)", "previouslyFormattedCitation" : "(Hoffmann et al., 2014; Kirkwood, 2004; Schulz et al., 2010; von Elm et al., 2008)" }, "properties" : {  }, "schema" : "https://github.com/citation-style-language/schema/raw/master/csl-citation.json" }</w:instrText>
      </w:r>
      <w:r w:rsidRPr="0091711A">
        <w:fldChar w:fldCharType="separate"/>
      </w:r>
      <w:bookmarkStart w:id="66" w:name="_Hlk509231035"/>
      <w:r w:rsidRPr="0091711A">
        <w:rPr>
          <w:noProof/>
          <w:lang w:val="da-DK"/>
        </w:rPr>
        <w:t>(Hoffmann et al., 2014; Kirkwood, 2004; Schulz et al., 2010; von Elm et al., 2008</w:t>
      </w:r>
      <w:bookmarkEnd w:id="66"/>
      <w:r w:rsidRPr="0091711A">
        <w:rPr>
          <w:noProof/>
          <w:lang w:val="da-DK"/>
        </w:rPr>
        <w:t>)</w:t>
      </w:r>
      <w:r w:rsidRPr="0091711A">
        <w:fldChar w:fldCharType="end"/>
      </w:r>
      <w:r w:rsidRPr="0091711A">
        <w:rPr>
          <w:lang w:val="da-DK"/>
        </w:rPr>
        <w:t xml:space="preserve">. </w:t>
      </w:r>
      <w:r w:rsidRPr="0091711A">
        <w:t>Although these guidelines are commonly required in health journals as part of the peer-review process, they are not in education journals.</w:t>
      </w:r>
    </w:p>
    <w:p w14:paraId="128C460F" w14:textId="77777777" w:rsidR="0093470E" w:rsidRPr="0091711A" w:rsidRDefault="0093470E" w:rsidP="0093470E">
      <w:r w:rsidRPr="0091711A">
        <w:t xml:space="preserve">Consensus standards for quality research and consistent reporting are needed for research to be evaluated fairly and reliably. Consensus standards also are needed to facilitate the knowledge translation process, as research quality and evidence must be assessed and deemed sufficient prior to dissemination and knowledge utilisation initiatives </w:t>
      </w:r>
      <w:r w:rsidRPr="0091711A">
        <w:fldChar w:fldCharType="begin" w:fldLock="1"/>
      </w:r>
      <w:r w:rsidRPr="0091711A">
        <w:instrText>ADDIN CSL_CITATION { "citationItems" : [ { "id" : "ITEM-1", "itemData" : { "DOI" : "10.1186/s13643-015-0116-1", "ISBN" : "1364301501161", "ISSN" : "20464053", "PMID" : "26411423", "abstract" : "BACKGROUND: Systematic reviews are important for decision-makers. They offer many potential benefits but are often written in technical language, are too long, and do not contain contextual details which makes them hard to use for decision-making. There are many organizations that develop and disseminate derivative products, such as evidence summaries, from systematic reviews for different populations or subsets of decision-makers. This systematic review will assess the effectiveness of systematic review summaries on increasing policymakers' use of systematic review evidence and to identify the components or features of these summaries that are most effective. METHODS/DESIGN: We will include studies of policy-makers at all levels as well as health-system managers. We will include studies examining any type of \"evidence summary,\" \"policy brief,\" or other products derived from systematic reviews that present evidence in a summarized form. The primary outcomes are the following: (1) use of systematic review summaries decision-making (e.g., self-reported use of the evidence in policy-making, decision-making) and (2) policy-maker understanding, knowledge, and/or beliefs (e.g., changes in knowledge scores about the topic included in the summary). We will conduct a systematic review of randomized controlled trials (RCTs), non-randomized controlled trials (NRCTs), controlled before-after studies (CBA), and interrupted time series (ITS) studies. DISCUSSION: The results of this review will inform the development of future systematic review summaries to ensure that systematic review evidence is accessible to and used by policy-makers making health-related decisions.", "author" : [ { "dropping-particle" : "", "family" : "Petkovic", "given" : "Jennifer", "non-dropping-particle" : "", "parse-names" : false, "suffix" : "" }, { "dropping-particle" : "", "family" : "Welch", "given" : "Vivian", "non-dropping-particle" : "", "parse-names" : false, "suffix" : "" }, { "dropping-particle" : "", "family" : "Tugwell", "given" : "Peter", "non-dropping-particle" : "", "parse-names" : false, "suffix" : "" } ], "container-title" : "Systematic Reviews", "id" : "ITEM-1", "issue" : "1", "issued" : { "date-parts" : [ [ "2015" ] ] }, "page" : "2-7", "publisher" : "Systematic Reviews", "title" : "Do evidence summaries increase policy-makers' use of evidence from systematic reviews: A systematic review protocol", "type" : "article-journal", "volume" : "4" }, "uris" : [ "http://www.mendeley.com/documents/?uuid=df8a3383-ffad-427d-bb4b-59324933e82c" ] }, { "id" : "ITEM-2", "itemData" : { "DOI" : "10.1136/bmj.327.7405.33", "ISBN" : "0959-535X, 0959-535X", "ISSN" : "0959-8138", "PMID" : "12842955", "abstract" : "A large gulf remains between what we know and what we practise. Eisenberg and Garzon point to widespread variation in the use of aspirin, calcium antagonists, blockers, and anti-ischaemic drugs in the United States, Europe, and Canada despite good evidence on their best use. 1 Such variation is common not only internationally but within countries. 2 Large gaps also exist between best evidence and practice in the implementation of guidelines. Failure to follow best evidence highlights issues of underuse, overuse, and misuse of drugs 3 and has led to widespread interest in the safety of patients. 4 Not surprisingly, many attempts have been made to reduce the gap between evidence and practice. These have included educational strategies to alter practition-ers' behaviour 5 and organisational and administrative interventions. We explore three constructs: continuing medical education (CME), continuing professional development (CPD), and (the newest of the three) knowledge translation (box). Knowledge translation both subsumes and broadens the concepts of CME and CPD and has the potential to improve understand-ing of, and overcome the barriers to, implementing evidence based practice.", "author" : [ { "dropping-particle" : "", "family" : "Davis", "given" : "D.", "non-dropping-particle" : "", "parse-names" : false, "suffix" : "" } ], "container-title" : "Bmj", "id" : "ITEM-2", "issue" : "7405", "issued" : { "date-parts" : [ [ "2003" ] ] }, "page" : "33-35", "title" : "The case for knowledge translation: shortening the journey from evidence to effect", "type" : "article-journal", "volume" : "327" }, "uris" : [ "http://www.mendeley.com/documents/?uuid=b29c6320-6d38-41f6-a800-8b2deb29887d" ] } ], "mendeley" : { "formattedCitation" : "(Davis, 2003; Petkovic, Welch, &amp; Tugwell, 2015)", "plainTextFormattedCitation" : "(Davis, 2003; Petkovic, Welch, &amp; Tugwell, 2015)", "previouslyFormattedCitation" : "(Davis, 2003; Petkovic, Welch, &amp; Tugwell, 2015)" }, "properties" : {  }, "schema" : "https://github.com/citation-style-language/schema/raw/master/csl-citation.json" }</w:instrText>
      </w:r>
      <w:r w:rsidRPr="0091711A">
        <w:fldChar w:fldCharType="separate"/>
      </w:r>
      <w:r w:rsidRPr="0091711A">
        <w:rPr>
          <w:noProof/>
        </w:rPr>
        <w:t>(Davis, 2003; Petkovic, Welch, &amp; Tugwell, 2015)</w:t>
      </w:r>
      <w:r w:rsidRPr="0091711A">
        <w:fldChar w:fldCharType="end"/>
      </w:r>
      <w:r w:rsidRPr="0091711A">
        <w:t xml:space="preserve">. In the field of education, criteria for appraising research quality and standardised checklists in reporting are yet to be established. As this debate </w:t>
      </w:r>
      <w:r w:rsidRPr="0091711A">
        <w:lastRenderedPageBreak/>
        <w:t>continues, there are many ideas in the public domain regarding standards for quality research and strategies for standardised reporting that can be used to help guide the ongoing discussion and decision-making process.</w:t>
      </w:r>
    </w:p>
    <w:p w14:paraId="2A6867BF" w14:textId="77777777" w:rsidR="0093470E" w:rsidRPr="007674CF" w:rsidRDefault="0093470E" w:rsidP="00716D4E">
      <w:pPr>
        <w:pStyle w:val="NumberedHeading3"/>
      </w:pPr>
      <w:bookmarkStart w:id="67" w:name="_Toc509950639"/>
      <w:r w:rsidRPr="007674CF">
        <w:t>Scale</w:t>
      </w:r>
      <w:bookmarkEnd w:id="67"/>
    </w:p>
    <w:p w14:paraId="0260CA01" w14:textId="70006FF6" w:rsidR="0093470E" w:rsidRPr="0091711A" w:rsidRDefault="0093470E" w:rsidP="0093470E">
      <w:r w:rsidRPr="0091711A">
        <w:t xml:space="preserve">The notion of ‘scalability’ is both common and important within the health sector, and becoming increasingly significant in the context of education </w:t>
      </w:r>
      <w:r w:rsidRPr="0091711A">
        <w:fldChar w:fldCharType="begin" w:fldLock="1"/>
      </w:r>
      <w:r w:rsidRPr="0091711A">
        <w:instrText>ADDIN CSL_CITATION { "citationItems" : [ { "id" : "ITEM-1", "itemData" : { "abstract" : "I think there is a huge prize waiting to be claimed by teachers. By collecting better evidence about what works best, and establishing a culture where this evidence is used as a matter of routine, we can improve outcomes for children, and increase professional independence.", "author" : [ { "dropping-particle" : "", "family" : "Goldacre", "given" : "Ben", "non-dropping-particle" : "", "parse-names" : false, "suffix" : "" } ], "container-title" : "Department of Education", "id" : "ITEM-1", "issue" : "March", "issued" : { "date-parts" : [ [ "2013" ] ] }, "title" : "Building Evidence Into Education", "type" : "article-journal" }, "uris" : [ "http://www.mendeley.com/documents/?uuid=2b6bbdc7-2ba0-4a8f-b99e-9e2f96b52305" ] } ], "mendeley" : { "formattedCitation" : "(Goldacre, 2013)", "plainTextFormattedCitation" : "(Goldacre, 2013)", "previouslyFormattedCitation" : "(Goldacre, 2013)" }, "properties" : {  }, "schema" : "https://github.com/citation-style-language/schema/raw/master/csl-citation.json" }</w:instrText>
      </w:r>
      <w:r w:rsidRPr="0091711A">
        <w:fldChar w:fldCharType="separate"/>
      </w:r>
      <w:r w:rsidRPr="0091711A">
        <w:rPr>
          <w:noProof/>
        </w:rPr>
        <w:t>(</w:t>
      </w:r>
      <w:bookmarkStart w:id="68" w:name="_Hlk509231072"/>
      <w:r w:rsidRPr="0091711A">
        <w:rPr>
          <w:noProof/>
        </w:rPr>
        <w:t>Goldacre, 2013</w:t>
      </w:r>
      <w:bookmarkEnd w:id="68"/>
      <w:r w:rsidRPr="0091711A">
        <w:rPr>
          <w:noProof/>
        </w:rPr>
        <w:t>)</w:t>
      </w:r>
      <w:r w:rsidRPr="0091711A">
        <w:fldChar w:fldCharType="end"/>
      </w:r>
      <w:r w:rsidRPr="0091711A">
        <w:t xml:space="preserve">. Scalability refers to the capacity of interventions that have demonstrated efficacy in small settings, or under controlled conditions, to be expanded to real-world conditions and reach a broader population, whilst retaining effectiveness </w:t>
      </w:r>
      <w:r w:rsidRPr="0091711A">
        <w:fldChar w:fldCharType="begin" w:fldLock="1"/>
      </w:r>
      <w:r w:rsidRPr="0091711A">
        <w:instrText>ADDIN CSL_CITATION { "citationItems" : [ { "id" : "ITEM-1", "itemData" : { "DOI" : "10.1093/heapro/dar097", "ISBN" : "1460-2245 (Electronic)\\r0957-4824 (Linking)", "ISSN" : "09574824", "PMID" : "22241853", "abstract" : "Increased focus on prevention presents health promoters with new opportunities and challenges. In this context, the study of factors influencing policy-maker decisions to scale up health promotion interventions from small projects or controlled trials to wider state, national or international roll-out is increasingly important. This study aimed to: (i) examine the perspectives of senior researchers and policy-makers regarding concepts of 'scaling up' and 'scalability'; (ii) generate an agreed definition of 'scalability' and (iii) identify intervention and research design factors perceived to increase the potential for interventions to be implemented on a more widespread basis or 'scaled up'. A two-stage Delphi process with an expert panel of senior Australian public health intervention researchers (n = 7) and policy-makers (n = 7) and a review of relevant literature were conducted. Through this process 'scalability' was defined as: the ability of a health intervention shown to be efficacious on a small scale and or under controlled conditions to be expanded under real world conditions to reach a greater proportion of the eligible population, while retaining effectiveness. Results showed that in health promotion research insufficient attention is given to issues of effectiveness, reach and adoption; human, technical and organizational resources; costs; intervention delivery; contextual factors and appropriate evaluation approaches. If these issues were addressed in the funding, design and reporting of intervention research, it would advance the quality and usability of research for policy-makers and by doing so improve uptake and expansion of promising programs into practice.", "author" : [ { "dropping-particle" : "", "family" : "Milat", "given" : "Andrew John", "non-dropping-particle" : "", "parse-names" : false, "suffix" : "" }, { "dropping-particle" : "", "family" : "King", "given" : "Lesley", "non-dropping-particle" : "", "parse-names" : false, "suffix" : "" }, { "dropping-particle" : "", "family" : "Bauman", "given" : "Adrian E.", "non-dropping-particle" : "", "parse-names" : false, "suffix" : "" }, { "dropping-particle" : "", "family" : "Redman", "given" : "Sally", "non-dropping-particle" : "", "parse-names" : false, "suffix" : "" } ], "container-title" : "Health Promotion International", "id" : "ITEM-1", "issue" : "3", "issued" : { "date-parts" : [ [ "2013" ] ] }, "page" : "285-298", "title" : "The concept of scalability: Increasing the scale and potential adoption of health promotion interventions into policy and practice", "type" : "article-journal", "volume" : "28" }, "uris" : [ "http://www.mendeley.com/documents/?uuid=9b5708f7-5725-48da-8a2d-03b40868e917" ] } ], "mendeley" : { "formattedCitation" : "(Milat, King, Bauman, &amp; Redman, 2013)", "plainTextFormattedCitation" : "(Milat, King, Bauman, &amp; Redman, 2013)", "previouslyFormattedCitation" : "(Milat, King, Bauman, &amp; Redman, 2013)" }, "properties" : {  }, "schema" : "https://github.com/citation-style-language/schema/raw/master/csl-citation.json" }</w:instrText>
      </w:r>
      <w:r w:rsidRPr="0091711A">
        <w:fldChar w:fldCharType="separate"/>
      </w:r>
      <w:bookmarkStart w:id="69" w:name="_Hlk509231067"/>
      <w:r w:rsidRPr="0091711A">
        <w:rPr>
          <w:noProof/>
        </w:rPr>
        <w:t>(Milat, King, Bauman, &amp; Redman, 2013</w:t>
      </w:r>
      <w:bookmarkEnd w:id="69"/>
      <w:r w:rsidRPr="0091711A">
        <w:rPr>
          <w:noProof/>
        </w:rPr>
        <w:t>)</w:t>
      </w:r>
      <w:r w:rsidRPr="0091711A">
        <w:fldChar w:fldCharType="end"/>
      </w:r>
      <w:r w:rsidRPr="0091711A">
        <w:t xml:space="preserve">. For instance, can a reading intervention that has been shown to improve student reading in one </w:t>
      </w:r>
      <w:r w:rsidR="00793048">
        <w:t>community</w:t>
      </w:r>
      <w:r w:rsidRPr="0091711A">
        <w:t xml:space="preserve"> have similar benefits when implemented for a higher number of schools from different areas. Not all promising interventions are scalable because of context-specific factors unique to their original setting, such as funding availability, strategic alignment, differential expertise, or existing infrastructure </w:t>
      </w:r>
      <w:r w:rsidRPr="0091711A">
        <w:fldChar w:fldCharType="begin" w:fldLock="1"/>
      </w:r>
      <w:r w:rsidRPr="0091711A">
        <w:instrText>ADDIN CSL_CITATION { "citationItems" : [ { "id" : "ITEM-1", "itemData" : { "author" : [ { "dropping-particle" : "", "family" : "Kohl", "given" : "Richard", "non-dropping-particle" : "", "parse-names" : false, "suffix" : "" }, { "dropping-particle" : "", "family" : "Cooley", "given" : "Lawrence", "non-dropping-particle" : "", "parse-names" : false, "suffix" : "" } ], "id" : "ITEM-1", "issued" : { "date-parts" : [ [ "2004" ] ] }, "title" : "Scaling up - a conceptual and operational framework", "type" : "article-journal" }, "uris" : [ "http://www.mendeley.com/documents/?uuid=f85c2b1d-37ee-4c37-863c-5613c20503d8" ] } ], "mendeley" : { "formattedCitation" : "(Kohl &amp; Cooley, 2004)", "plainTextFormattedCitation" : "(Kohl &amp; Cooley, 2004)", "previouslyFormattedCitation" : "(Kohl &amp; Cooley, 2004)" }, "properties" : {  }, "schema" : "https://github.com/citation-style-language/schema/raw/master/csl-citation.json" }</w:instrText>
      </w:r>
      <w:r w:rsidRPr="0091711A">
        <w:fldChar w:fldCharType="separate"/>
      </w:r>
      <w:r w:rsidRPr="0091711A">
        <w:rPr>
          <w:noProof/>
        </w:rPr>
        <w:t>(Kohl &amp; Cooley, 2004)</w:t>
      </w:r>
      <w:r w:rsidRPr="0091711A">
        <w:fldChar w:fldCharType="end"/>
      </w:r>
      <w:r w:rsidRPr="0091711A">
        <w:t xml:space="preserve">. Interventions that are scalable can demonstrate effectiveness across several different contexts for the same type of target population </w:t>
      </w:r>
      <w:r w:rsidRPr="0091711A">
        <w:fldChar w:fldCharType="begin" w:fldLock="1"/>
      </w:r>
      <w:r w:rsidRPr="0091711A">
        <w:instrText>ADDIN CSL_CITATION { "citationItems" : [ { "id" : "ITEM-1", "itemData" : { "DOI" : "10.1093/heapro/dar097", "ISBN" : "1460-2245 (Electronic)\\r0957-4824 (Linking)", "ISSN" : "09574824", "PMID" : "22241853", "abstract" : "Increased focus on prevention presents health promoters with new opportunities and challenges. In this context, the study of factors influencing policy-maker decisions to scale up health promotion interventions from small projects or controlled trials to wider state, national or international roll-out is increasingly important. This study aimed to: (i) examine the perspectives of senior researchers and policy-makers regarding concepts of 'scaling up' and 'scalability'; (ii) generate an agreed definition of 'scalability' and (iii) identify intervention and research design factors perceived to increase the potential for interventions to be implemented on a more widespread basis or 'scaled up'. A two-stage Delphi process with an expert panel of senior Australian public health intervention researchers (n = 7) and policy-makers (n = 7) and a review of relevant literature were conducted. Through this process 'scalability' was defined as: the ability of a health intervention shown to be efficacious on a small scale and or under controlled conditions to be expanded under real world conditions to reach a greater proportion of the eligible population, while retaining effectiveness. Results showed that in health promotion research insufficient attention is given to issues of effectiveness, reach and adoption; human, technical and organizational resources; costs; intervention delivery; contextual factors and appropriate evaluation approaches. If these issues were addressed in the funding, design and reporting of intervention research, it would advance the quality and usability of research for policy-makers and by doing so improve uptake and expansion of promising programs into practice.", "author" : [ { "dropping-particle" : "", "family" : "Milat", "given" : "Andrew John", "non-dropping-particle" : "", "parse-names" : false, "suffix" : "" }, { "dropping-particle" : "", "family" : "King", "given" : "Lesley", "non-dropping-particle" : "", "parse-names" : false, "suffix" : "" }, { "dropping-particle" : "", "family" : "Bauman", "given" : "Adrian E.", "non-dropping-particle" : "", "parse-names" : false, "suffix" : "" }, { "dropping-particle" : "", "family" : "Redman", "given" : "Sally", "non-dropping-particle" : "", "parse-names" : false, "suffix" : "" } ], "container-title" : "Health Promotion International", "id" : "ITEM-1", "issue" : "3", "issued" : { "date-parts" : [ [ "2013" ] ] }, "page" : "285-298", "title" : "The concept of scalability: Increasing the scale and potential adoption of health promotion interventions into policy and practice", "type" : "article-journal", "volume" : "28" }, "uris" : [ "http://www.mendeley.com/documents/?uuid=9b5708f7-5725-48da-8a2d-03b40868e917" ] } ], "mendeley" : { "formattedCitation" : "(Milat et al., 2013)", "plainTextFormattedCitation" : "(Milat et al., 2013)", "previouslyFormattedCitation" : "(Milat et al., 2013)" }, "properties" : {  }, "schema" : "https://github.com/citation-style-language/schema/raw/master/csl-citation.json" }</w:instrText>
      </w:r>
      <w:r w:rsidRPr="0091711A">
        <w:fldChar w:fldCharType="separate"/>
      </w:r>
      <w:r w:rsidRPr="0091711A">
        <w:rPr>
          <w:noProof/>
        </w:rPr>
        <w:t>(Milat et al., 2013)</w:t>
      </w:r>
      <w:r w:rsidRPr="0091711A">
        <w:fldChar w:fldCharType="end"/>
      </w:r>
      <w:r w:rsidRPr="0091711A">
        <w:t xml:space="preserve"> Population-based randomised controlled trials are accepted as the most appropriate method to determine an intervention’s effectiveness when implemented across different settings. However, recent research has highlighted that embedded within these trials needs to be robust process evaluations that examine implementation factors that promote or inhibit the intervention’s effectiveness as well as cost-benefit evaluations to understand funding commitments required </w:t>
      </w:r>
      <w:r w:rsidRPr="0091711A">
        <w:fldChar w:fldCharType="begin" w:fldLock="1"/>
      </w:r>
      <w:r w:rsidRPr="0091711A">
        <w:instrText>ADDIN CSL_CITATION { "citationItems" : [ { "id" : "ITEM-1", "itemData" : { "DOI" : "10.1136/bmj.332.7538.413", "ISBN" : "1756-1833 (Electronic)\\r0959-535X (Linking)", "ISSN" : "1468-5833", "PMID" : "16484270", "abstract" : "Most randomised controlled trials focus on outcomes, not on the processes involved in implementing an intervention. Using an example from school based health promotion, this paper argues that including a process evaluation would improve the science of many randomised controlled trials", "author" : [ { "dropping-particle" : "", "family" : "Oakley", "given" : "Ann", "non-dropping-particle" : "", "parse-names" : false, "suffix" : "" }, { "dropping-particle" : "", "family" : "Strange", "given" : "Vicki", "non-dropping-particle" : "", "parse-names" : false, "suffix" : "" }, { "dropping-particle" : "", "family" : "Bonell", "given" : "Chris", "non-dropping-particle" : "", "parse-names" : false, "suffix" : "" }, { "dropping-particle" : "", "family" : "Allen", "given" : "Elizabeth", "non-dropping-particle" : "", "parse-names" : false, "suffix" : "" }, { "dropping-particle" : "", "family" : "Stephenson", "given" : "Judith", "non-dropping-particle" : "", "parse-names" : false, "suffix" : "" }, { "dropping-particle" : "", "family" : "Team", "given" : "Ripple Study", "non-dropping-particle" : "", "parse-names" : false, "suffix" : "" } ], "container-title" : "British Medical Journal", "id" : "ITEM-1", "issue" : "7538", "issued" : { "date-parts" : [ [ "2006" ] ] }, "page" : "413-416", "title" : "Complex Interventions", "type" : "article-journal", "volume" : "332" }, "uris" : [ "http://www.mendeley.com/documents/?uuid=de126cd9-1ec5-4456-9e0f-f84718f38c04" ] }, { "id" : "ITEM-2", "itemData" : { "DOI" : "10.1017/CBO9781107415324.004", "ISBN" : "9788578110796", "ISSN" : "1098-6596", "PMID" : "25246403", "author" : [ { "dropping-particle" : "", "family" : "Humphrey", "given" : "N", "non-dropping-particle" : "", "parse-names" : false, "suffix" : "" }, { "dropping-particle" : "", "family" : "Lendrum", "given" : "A", "non-dropping-particle" : "", "parse-names" : false, "suffix" : "" }, { "dropping-particle" : "", "family" : "Ashworth", "given" : "E", "non-dropping-particle" : "", "parse-names" : false, "suffix" : "" }, { "dropping-particle" : "", "family" : "Frearson", "given" : "K", "non-dropping-particle" : "", "parse-names" : false, "suffix" : "" }, { "dropping-particle" : "", "family" : "Buck", "given" : "R", "non-dropping-particle" : "", "parse-names" : false, "suffix" : "" }, { "dropping-particle" : "", "family" : "Kerr", "given" : "K", "non-dropping-particle" : "", "parse-names" : false, "suffix" : "" } ], "container-title" : "Education Endowment Foundation", "id" : "ITEM-2", "issued" : { "date-parts" : [ [ "2016" ] ] }, "page" : "1-32", "title" : "Implementation and process evaluation (IPE) for interventions in educational settings: An introductory handbook", "type" : "article-journal" }, "uris" : [ "http://www.mendeley.com/documents/?uuid=57481f13-7a82-41a9-9908-2a75fc19ffb7" ] } ], "mendeley" : { "formattedCitation" : "(Humphrey et al., 2016; Oakley et al., 2006)", "plainTextFormattedCitation" : "(Humphrey et al., 2016; Oakley et al., 2006)", "previouslyFormattedCitation" : "(Humphrey et al., 2016; Oakley et al., 2006)" }, "properties" : {  }, "schema" : "https://github.com/citation-style-language/schema/raw/master/csl-citation.json" }</w:instrText>
      </w:r>
      <w:r w:rsidRPr="0091711A">
        <w:fldChar w:fldCharType="separate"/>
      </w:r>
      <w:bookmarkStart w:id="70" w:name="_Hlk509231082"/>
      <w:r w:rsidRPr="0091711A">
        <w:rPr>
          <w:noProof/>
        </w:rPr>
        <w:t>(Humphrey et al., 2016; Oakley et al., 2006</w:t>
      </w:r>
      <w:bookmarkEnd w:id="70"/>
      <w:r w:rsidRPr="0091711A">
        <w:rPr>
          <w:noProof/>
        </w:rPr>
        <w:t>)</w:t>
      </w:r>
      <w:r w:rsidRPr="0091711A">
        <w:fldChar w:fldCharType="end"/>
      </w:r>
      <w:r w:rsidRPr="0091711A">
        <w:t>. As the autonomy of schools allows a range of different interventions to be implemented for a given domain, there also needs to be a clear description of what is ‘business as usual’ for control conditions.</w:t>
      </w:r>
    </w:p>
    <w:p w14:paraId="56324401" w14:textId="21C4015D" w:rsidR="0093470E" w:rsidRDefault="0093470E" w:rsidP="0093470E">
      <w:r w:rsidRPr="0091711A">
        <w:t xml:space="preserve">It is widely accepted that only interventions that are effective and scalable should be ‘scaled up’ </w:t>
      </w:r>
      <w:r w:rsidRPr="0091711A">
        <w:fldChar w:fldCharType="begin" w:fldLock="1"/>
      </w:r>
      <w:r w:rsidRPr="0091711A">
        <w:instrText>ADDIN CSL_CITATION { "citationItems" : [ { "id" : "ITEM-1", "itemData" : { "DOI" : "10.1080/00131881.2017.1310418", "ISSN" : "15455874", "abstract" : "Background: Within the wider education industry, a large quantity of ideas, practices and products are routinely promoted as useful innovations. These innovations span many forms such as software applications, open source courseware, online learning platforms and web 2.0 technologies. Coupled with this promotion, there is increasing interest and debate around the possibilities that novel innovations can have on changing education practice and providing more effective learning solutions. The media plays an important role in facilitating the travel of educational ideas: the advent of the Internet and social media technologies allows for an abundance of innovation to be promoted and shared with and between educators, and, in classroom settings, the increasing use of technologies such as tablets results in the advertisement of numerous new education applications. For the educator, there is the difficult challenge of knowing how to sift through this material and separate those innovations that may hold value for their classroom situation from those that have gained wide appeal, but may or may not be substantiated.\\r\\n\\r\\nPurpose: The purpose of this study was to explore the persuasion techniques used across a variety of documents promoting a selection of popular education innovations of different types. Questions included: (1) How are popular education innovations promoted in the media? (2) What contributes to the appeal of these innovations? and (3) What is the role of evidence in this process?\\r\\n\\r\\nDesign and Methods: The paper examines how seven innovations of different types have been promoted in the mass, professional and social medias through a content analysis (a research technique used to code and interpret text) of 63 documents including non-peer reviewed journal articles (education magazines and trade publications), mass media outlet newspapers and online blog posts. The content analysis involved inductively creating and labelling sub-categories of six \u2018persuasion criteria\u2019: compatibility; accessibility; practicality; evidence; credibility and appeal. The analysis performed was not examining the worth of the innovations themselves, but rather seeking to understand how the innovations were promoted.\\r\\n\\r\\nFindings: The language that was used to promote the innovations was often emotive or descriptive, rather than evidence-informed. Documents tended to emphasise the appeal and credibility of innovations over and above the evidence that supported, \u2026", "author" : [ { "dropping-particle" : "", "family" : "Carrier", "given" : "Nathalie", "non-dropping-particle" : "", "parse-names" : false, "suffix" : "" } ], "container-title" : "Educational Research", "id" : "ITEM-1", "issue" : "2", "issued" : { "date-parts" : [ [ "2017" ] ] }, "page" : "228-240", "publisher" : "Routledge", "title" : "How educational ideas catch on: the promotion of popular education innovations and the role of evidence", "type" : "article-journal", "volume" : "59" }, "uris" : [ "http://www.mendeley.com/documents/?uuid=811afa36-f333-4b8d-8148-ba66d317a3bd" ] } ], "mendeley" : { "formattedCitation" : "(Carrier, 2017)", "plainTextFormattedCitation" : "(Carrier, 2017)", "previouslyFormattedCitation" : "(Carrier, 2017)" }, "properties" : {  }, "schema" : "https://github.com/citation-style-language/schema/raw/master/csl-citation.json" }</w:instrText>
      </w:r>
      <w:r w:rsidRPr="0091711A">
        <w:fldChar w:fldCharType="separate"/>
      </w:r>
      <w:bookmarkStart w:id="71" w:name="_Hlk509231098"/>
      <w:r w:rsidRPr="0091711A">
        <w:rPr>
          <w:noProof/>
        </w:rPr>
        <w:t>(Carrier, 2017</w:t>
      </w:r>
      <w:bookmarkEnd w:id="71"/>
      <w:r w:rsidRPr="0091711A">
        <w:rPr>
          <w:noProof/>
        </w:rPr>
        <w:t>)</w:t>
      </w:r>
      <w:r w:rsidRPr="0091711A">
        <w:fldChar w:fldCharType="end"/>
      </w:r>
      <w:r w:rsidRPr="0091711A">
        <w:t>. Scaling up refers to the systematic implementation of an intervention at a</w:t>
      </w:r>
      <w:r w:rsidR="00A373F1">
        <w:t xml:space="preserve"> whole</w:t>
      </w:r>
      <w:r w:rsidRPr="0091711A">
        <w:t xml:space="preserve"> system level</w:t>
      </w:r>
      <w:r w:rsidR="00A373F1">
        <w:t xml:space="preserve"> </w:t>
      </w:r>
      <w:r w:rsidR="00B11996">
        <w:t>–</w:t>
      </w:r>
      <w:r w:rsidR="00A373F1">
        <w:t xml:space="preserve"> </w:t>
      </w:r>
      <w:r w:rsidRPr="0091711A">
        <w:t xml:space="preserve">either horizontally or vertically. Vertical scaling up occurs across a whole system and results in the institutionalisation of a change through policy, regulation, financing or health systems. </w:t>
      </w:r>
      <w:r w:rsidR="00A373F1">
        <w:t xml:space="preserve">For example, the introduction of a policy which requires certain types of interventions can be implemented. </w:t>
      </w:r>
      <w:r w:rsidRPr="0091711A">
        <w:t>In contrast, horizontal scaling up refers to the introduction of an intervention to groups of schools in a phased manner, with lessons from the implementation in each group used to inform the next phase of ‘roll out’. The key requirements for scaling up are the need for a clear plan, which integrates ongoing evaluation of the intervention’s fidelity</w:t>
      </w:r>
      <w:r w:rsidR="00A373F1">
        <w:t xml:space="preserve"> and outcomes, as the intervention is implemented in more settings</w:t>
      </w:r>
      <w:r w:rsidRPr="0091711A">
        <w:t xml:space="preserve"> </w:t>
      </w:r>
      <w:r w:rsidRPr="0091711A">
        <w:fldChar w:fldCharType="begin" w:fldLock="1"/>
      </w:r>
      <w:r w:rsidRPr="0091711A">
        <w:instrText>ADDIN CSL_CITATION { "citationItems" : [ { "id" : "ITEM-1", "itemData" : { "DOI" : "10.1093/heapro/dar097", "ISBN" : "1460-2245 (Electronic)\\r0957-4824 (Linking)", "ISSN" : "09574824", "PMID" : "22241853", "abstract" : "Increased focus on prevention presents health promoters with new opportunities and challenges. In this context, the study of factors influencing policy-maker decisions to scale up health promotion interventions from small projects or controlled trials to wider state, national or international roll-out is increasingly important. This study aimed to: (i) examine the perspectives of senior researchers and policy-makers regarding concepts of 'scaling up' and 'scalability'; (ii) generate an agreed definition of 'scalability' and (iii) identify intervention and research design factors perceived to increase the potential for interventions to be implemented on a more widespread basis or 'scaled up'. A two-stage Delphi process with an expert panel of senior Australian public health intervention researchers (n = 7) and policy-makers (n = 7) and a review of relevant literature were conducted. Through this process 'scalability' was defined as: the ability of a health intervention shown to be efficacious on a small scale and or under controlled conditions to be expanded under real world conditions to reach a greater proportion of the eligible population, while retaining effectiveness. Results showed that in health promotion research insufficient attention is given to issues of effectiveness, reach and adoption; human, technical and organizational resources; costs; intervention delivery; contextual factors and appropriate evaluation approaches. If these issues were addressed in the funding, design and reporting of intervention research, it would advance the quality and usability of research for policy-makers and by doing so improve uptake and expansion of promising programs into practice.", "author" : [ { "dropping-particle" : "", "family" : "Milat", "given" : "Andrew John", "non-dropping-particle" : "", "parse-names" : false, "suffix" : "" }, { "dropping-particle" : "", "family" : "King", "given" : "Lesley", "non-dropping-particle" : "", "parse-names" : false, "suffix" : "" }, { "dropping-particle" : "", "family" : "Bauman", "given" : "Adrian E.", "non-dropping-particle" : "", "parse-names" : false, "suffix" : "" }, { "dropping-particle" : "", "family" : "Redman", "given" : "Sally", "non-dropping-particle" : "", "parse-names" : false, "suffix" : "" } ], "container-title" : "Health Promotion International", "id" : "ITEM-1", "issue" : "3", "issued" : { "date-parts" : [ [ "2013" ] ] }, "page" : "285-298", "title" : "The concept of scalability: Increasing the scale and potential adoption of health promotion interventions into policy and practice", "type" : "article-journal", "volume" : "28" }, "uris" : [ "http://www.mendeley.com/documents/?uuid=9b5708f7-5725-48da-8a2d-03b40868e917" ] } ], "mendeley" : { "formattedCitation" : "(Milat et al., 2013)", "plainTextFormattedCitation" : "(Milat et al., 2013)", "previouslyFormattedCitation" : "(Milat et al., 2013)" }, "properties" : {  }, "schema" : "https://github.com/citation-style-language/schema/raw/master/csl-citation.json" }</w:instrText>
      </w:r>
      <w:r w:rsidRPr="0091711A">
        <w:fldChar w:fldCharType="separate"/>
      </w:r>
      <w:r w:rsidRPr="0091711A">
        <w:rPr>
          <w:noProof/>
        </w:rPr>
        <w:t>(Milat et al., 2013)</w:t>
      </w:r>
      <w:r w:rsidRPr="0091711A">
        <w:fldChar w:fldCharType="end"/>
      </w:r>
      <w:r w:rsidRPr="0091711A">
        <w:t>.</w:t>
      </w:r>
    </w:p>
    <w:p w14:paraId="6167CAAE" w14:textId="77777777" w:rsidR="00F5119F" w:rsidRPr="0091711A" w:rsidRDefault="0093470E" w:rsidP="0093470E">
      <w:pPr>
        <w:sectPr w:rsidR="00F5119F" w:rsidRPr="0091711A" w:rsidSect="008C52B2">
          <w:pgSz w:w="11906" w:h="16838"/>
          <w:pgMar w:top="1440" w:right="1440" w:bottom="1440" w:left="1440" w:header="708" w:footer="708" w:gutter="0"/>
          <w:cols w:space="708"/>
          <w:titlePg/>
          <w:docGrid w:linePitch="360"/>
        </w:sectPr>
      </w:pPr>
      <w:r w:rsidRPr="0091711A">
        <w:t xml:space="preserve">A significant proportion of the literature included in the </w:t>
      </w:r>
      <w:r w:rsidR="0014038A">
        <w:t>synthesis</w:t>
      </w:r>
      <w:r w:rsidRPr="0091711A">
        <w:t xml:space="preserve"> discussed synthesising evidence for the purposes of supporting evidence-informed practice. Several challenges within this synthesis process were identified, including contradicting evidence, a large and exponentially growing amount of evidence, and a limited proportion of people with skills in systematically reviewing and synthesising evidence. In addition, the criteria used for the assessment of evidence quality was debated, as was the roles of content experts, international organisations, professional associations and think tanks. </w:t>
      </w:r>
    </w:p>
    <w:p w14:paraId="150DFD33" w14:textId="7775055A" w:rsidR="00F5119F" w:rsidRDefault="00F5119F" w:rsidP="0093470E">
      <w:pPr>
        <w:rPr>
          <w:sz w:val="22"/>
        </w:rPr>
      </w:pPr>
      <w:r>
        <w:rPr>
          <w:noProof/>
          <w:lang w:val="en-US" w:eastAsia="en-US"/>
        </w:rPr>
        <w:lastRenderedPageBreak/>
        <w:drawing>
          <wp:inline distT="0" distB="0" distL="0" distR="0" wp14:anchorId="1B452F4C" wp14:editId="07D51859">
            <wp:extent cx="7304236" cy="5086350"/>
            <wp:effectExtent l="0" t="0" r="0" b="0"/>
            <wp:docPr id="13" name="Picture 13" descr="This figure provides a thematic map of the approaches to evidence synthesis, including the use of systems and steps, analytic frameworks, and specific consid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1577" t="30895" r="11879" b="13752"/>
                    <a:stretch/>
                  </pic:blipFill>
                  <pic:spPr bwMode="auto">
                    <a:xfrm>
                      <a:off x="0" y="0"/>
                      <a:ext cx="7316864" cy="5095143"/>
                    </a:xfrm>
                    <a:prstGeom prst="rect">
                      <a:avLst/>
                    </a:prstGeom>
                    <a:ln>
                      <a:noFill/>
                    </a:ln>
                    <a:extLst>
                      <a:ext uri="{53640926-AAD7-44D8-BBD7-CCE9431645EC}">
                        <a14:shadowObscured xmlns:a14="http://schemas.microsoft.com/office/drawing/2010/main"/>
                      </a:ext>
                    </a:extLst>
                  </pic:spPr>
                </pic:pic>
              </a:graphicData>
            </a:graphic>
          </wp:inline>
        </w:drawing>
      </w:r>
    </w:p>
    <w:p w14:paraId="54B759E1" w14:textId="0C0A5734" w:rsidR="00FC1720" w:rsidRDefault="00FC1720" w:rsidP="00FC1720">
      <w:pPr>
        <w:pStyle w:val="Caption"/>
        <w:rPr>
          <w:sz w:val="22"/>
        </w:rPr>
        <w:sectPr w:rsidR="00FC1720" w:rsidSect="008C52B2">
          <w:pgSz w:w="16838" w:h="11906" w:orient="landscape"/>
          <w:pgMar w:top="1440" w:right="1440" w:bottom="1440" w:left="1440" w:header="708" w:footer="708" w:gutter="0"/>
          <w:cols w:space="708"/>
          <w:titlePg/>
          <w:docGrid w:linePitch="360"/>
        </w:sectPr>
      </w:pPr>
      <w:bookmarkStart w:id="72" w:name="_Toc509848443"/>
      <w:bookmarkStart w:id="73" w:name="_Toc509951279"/>
      <w:r>
        <w:t xml:space="preserve">Figure </w:t>
      </w:r>
      <w:fldSimple w:instr=" SEQ Figure \* ARABIC ">
        <w:r w:rsidR="004240AA">
          <w:rPr>
            <w:noProof/>
          </w:rPr>
          <w:t>6</w:t>
        </w:r>
      </w:fldSimple>
      <w:r>
        <w:t>: Approaches to evidence synthesis in reviewed research and evidence institutions</w:t>
      </w:r>
      <w:bookmarkEnd w:id="72"/>
      <w:bookmarkEnd w:id="73"/>
    </w:p>
    <w:p w14:paraId="18FFEA1A" w14:textId="2E2CAF57" w:rsidR="0093470E" w:rsidRPr="0091711A" w:rsidRDefault="0093470E" w:rsidP="0093470E">
      <w:r w:rsidRPr="0091711A">
        <w:lastRenderedPageBreak/>
        <w:t xml:space="preserve">However, evidence did vary with respect to the level of consistency and strength for each of the themes associated with evidence synthesis. The table below details an assessment of the strength of evidence associated with the findings in relation to evidence generation that can support evidence-informed practice. As noted in the table, the evidence is most consistent and strong for the importance of collaboration in the evidence generation process, therefore across the reviewed sources, there was in-depth detail about the importance of highly skilled staff to conduct evidence synthesis and the need to incorporate experts into the synthesis process. </w:t>
      </w:r>
      <w:r w:rsidR="00971807">
        <w:t>It should be noted that</w:t>
      </w:r>
      <w:r w:rsidRPr="0091711A">
        <w:t xml:space="preserve"> the evidence for approaches to presenting and assessing evidence in the synthesis process was limited and conflicting. </w:t>
      </w:r>
    </w:p>
    <w:p w14:paraId="2CC4A75C" w14:textId="64CDBDBC" w:rsidR="0093470E" w:rsidRPr="00E16853" w:rsidRDefault="0093470E" w:rsidP="00813AA6">
      <w:pPr>
        <w:pStyle w:val="Caption2"/>
      </w:pPr>
      <w:bookmarkStart w:id="74" w:name="_Toc509845974"/>
      <w:bookmarkStart w:id="75" w:name="_Toc509950640"/>
      <w:bookmarkStart w:id="76" w:name="_Toc509951290"/>
      <w:r w:rsidRPr="00E16853">
        <w:t xml:space="preserve">Table </w:t>
      </w:r>
      <w:fldSimple w:instr=" SEQ Table \* ARABIC ">
        <w:r w:rsidR="004240AA">
          <w:rPr>
            <w:noProof/>
          </w:rPr>
          <w:t>4</w:t>
        </w:r>
      </w:fldSimple>
      <w:r w:rsidRPr="00E16853">
        <w:t>:</w:t>
      </w:r>
      <w:r w:rsidR="00F30115">
        <w:t xml:space="preserve"> </w:t>
      </w:r>
      <w:r w:rsidRPr="00E16853">
        <w:t>Strength of evidence for findings associated with evidence synthesis</w:t>
      </w:r>
      <w:bookmarkEnd w:id="74"/>
      <w:bookmarkEnd w:id="75"/>
      <w:bookmarkEnd w:id="76"/>
    </w:p>
    <w:tbl>
      <w:tblPr>
        <w:tblStyle w:val="TableGrid"/>
        <w:tblW w:w="9000" w:type="dxa"/>
        <w:tblLayout w:type="fixed"/>
        <w:tblLook w:val="04A0" w:firstRow="1" w:lastRow="0" w:firstColumn="1" w:lastColumn="0" w:noHBand="0" w:noVBand="1"/>
        <w:tblDescription w:val="This table sets out the strength of evidence for four themes associated with evidence synthesis, rating them from emerging, moderate, to comprehensive. The evidence for the importance of quality assessment was emerging. The evidence for the importance of expert advice was comprehensive. The evidence for the importance of presentation of graded evidence was emerging. The evidence for the importance of highly skilled staff was comprehensive."/>
      </w:tblPr>
      <w:tblGrid>
        <w:gridCol w:w="2100"/>
        <w:gridCol w:w="3300"/>
        <w:gridCol w:w="1100"/>
        <w:gridCol w:w="1000"/>
        <w:gridCol w:w="1500"/>
      </w:tblGrid>
      <w:tr w:rsidR="0093470E" w:rsidRPr="00051930" w14:paraId="24F682EF"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00" w:type="dxa"/>
            <w:noWrap/>
          </w:tcPr>
          <w:p w14:paraId="0F554BF1" w14:textId="77777777" w:rsidR="0093470E" w:rsidRPr="00051930" w:rsidRDefault="0093470E" w:rsidP="007674CF">
            <w:pPr>
              <w:pStyle w:val="NoSpacing"/>
              <w:rPr>
                <w:lang w:val="en-US"/>
              </w:rPr>
            </w:pPr>
            <w:r w:rsidRPr="00051930">
              <w:rPr>
                <w:lang w:val="en-US"/>
              </w:rPr>
              <w:t>Theme</w:t>
            </w:r>
          </w:p>
        </w:tc>
        <w:tc>
          <w:tcPr>
            <w:tcW w:w="3300" w:type="dxa"/>
            <w:noWrap/>
          </w:tcPr>
          <w:p w14:paraId="564F1605"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Key components</w:t>
            </w:r>
          </w:p>
        </w:tc>
        <w:tc>
          <w:tcPr>
            <w:tcW w:w="1100" w:type="dxa"/>
            <w:noWrap/>
          </w:tcPr>
          <w:p w14:paraId="330CA3DF"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Emerging</w:t>
            </w:r>
          </w:p>
        </w:tc>
        <w:tc>
          <w:tcPr>
            <w:tcW w:w="1000" w:type="dxa"/>
          </w:tcPr>
          <w:p w14:paraId="06F764A0"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 xml:space="preserve">Moderate </w:t>
            </w:r>
          </w:p>
        </w:tc>
        <w:tc>
          <w:tcPr>
            <w:tcW w:w="1500" w:type="dxa"/>
            <w:noWrap/>
          </w:tcPr>
          <w:p w14:paraId="5BDC13F5"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Comprehensive</w:t>
            </w:r>
          </w:p>
        </w:tc>
      </w:tr>
      <w:tr w:rsidR="0057293D" w:rsidRPr="00051930" w14:paraId="76E67713" w14:textId="77777777" w:rsidTr="00F30115">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2100" w:type="dxa"/>
            <w:tcBorders>
              <w:bottom w:val="single" w:sz="4" w:space="0" w:color="auto"/>
              <w:right w:val="single" w:sz="4" w:space="0" w:color="auto"/>
            </w:tcBorders>
            <w:noWrap/>
            <w:hideMark/>
          </w:tcPr>
          <w:p w14:paraId="2009D801" w14:textId="77777777" w:rsidR="00C902B8" w:rsidRPr="00051930" w:rsidRDefault="00C902B8" w:rsidP="007674CF">
            <w:pPr>
              <w:pStyle w:val="NoSpacing"/>
              <w:rPr>
                <w:lang w:val="en-US"/>
              </w:rPr>
            </w:pPr>
            <w:r w:rsidRPr="00051930">
              <w:rPr>
                <w:lang w:val="en-US"/>
              </w:rPr>
              <w:t>Quality assessment</w:t>
            </w:r>
          </w:p>
        </w:tc>
        <w:tc>
          <w:tcPr>
            <w:tcW w:w="3300" w:type="dxa"/>
            <w:tcBorders>
              <w:left w:val="single" w:sz="4" w:space="0" w:color="auto"/>
              <w:bottom w:val="single" w:sz="4" w:space="0" w:color="auto"/>
              <w:right w:val="single" w:sz="4" w:space="0" w:color="auto"/>
            </w:tcBorders>
            <w:noWrap/>
            <w:hideMark/>
          </w:tcPr>
          <w:p w14:paraId="34B05549" w14:textId="77777777" w:rsidR="00C902B8" w:rsidRPr="00051930" w:rsidRDefault="00C902B8" w:rsidP="00550723">
            <w:pPr>
              <w:pStyle w:val="NoSpacing"/>
              <w:numPr>
                <w:ilvl w:val="0"/>
                <w:numId w:val="36"/>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Inclusion of user or practitioner in grading process</w:t>
            </w:r>
          </w:p>
          <w:p w14:paraId="6BC4B0D3" w14:textId="77777777" w:rsidR="00C902B8" w:rsidRPr="00051930" w:rsidRDefault="00C902B8" w:rsidP="00550723">
            <w:pPr>
              <w:pStyle w:val="NoSpacing"/>
              <w:numPr>
                <w:ilvl w:val="0"/>
                <w:numId w:val="36"/>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Relevant quality assessment of evidence</w:t>
            </w:r>
          </w:p>
          <w:p w14:paraId="73C090A6" w14:textId="77777777" w:rsidR="00C902B8" w:rsidRPr="00051930" w:rsidRDefault="00C902B8" w:rsidP="00550723">
            <w:pPr>
              <w:pStyle w:val="NoSpacing"/>
              <w:numPr>
                <w:ilvl w:val="0"/>
                <w:numId w:val="36"/>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Informed by users</w:t>
            </w:r>
          </w:p>
          <w:p w14:paraId="3D7A3634" w14:textId="77777777" w:rsidR="00C902B8" w:rsidRPr="00C902B8" w:rsidRDefault="00C902B8" w:rsidP="00550723">
            <w:pPr>
              <w:pStyle w:val="NoSpacing"/>
              <w:numPr>
                <w:ilvl w:val="0"/>
                <w:numId w:val="36"/>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Ability for users to make edits or to update the knowledge base</w:t>
            </w:r>
          </w:p>
        </w:tc>
        <w:tc>
          <w:tcPr>
            <w:tcW w:w="1100" w:type="dxa"/>
            <w:tcBorders>
              <w:left w:val="single" w:sz="4" w:space="0" w:color="auto"/>
              <w:bottom w:val="single" w:sz="4" w:space="0" w:color="auto"/>
              <w:right w:val="single" w:sz="4" w:space="0" w:color="auto"/>
            </w:tcBorders>
            <w:shd w:val="clear" w:color="auto" w:fill="2F88F0" w:themeFill="accent1" w:themeFillTint="99"/>
            <w:noWrap/>
            <w:hideMark/>
          </w:tcPr>
          <w:p w14:paraId="147E3326" w14:textId="38A0163A"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000" w:type="dxa"/>
            <w:tcBorders>
              <w:left w:val="single" w:sz="4" w:space="0" w:color="auto"/>
              <w:bottom w:val="single" w:sz="4" w:space="0" w:color="auto"/>
              <w:right w:val="single" w:sz="4" w:space="0" w:color="auto"/>
            </w:tcBorders>
          </w:tcPr>
          <w:p w14:paraId="487CEC81"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500" w:type="dxa"/>
            <w:tcBorders>
              <w:left w:val="single" w:sz="4" w:space="0" w:color="auto"/>
              <w:bottom w:val="single" w:sz="4" w:space="0" w:color="auto"/>
            </w:tcBorders>
            <w:noWrap/>
            <w:hideMark/>
          </w:tcPr>
          <w:p w14:paraId="7B89F770"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 </w:t>
            </w:r>
          </w:p>
        </w:tc>
      </w:tr>
      <w:tr w:rsidR="0057293D" w:rsidRPr="00051930" w14:paraId="527F5D90" w14:textId="77777777" w:rsidTr="00F30115">
        <w:trPr>
          <w:cnfStyle w:val="000000010000" w:firstRow="0" w:lastRow="0" w:firstColumn="0" w:lastColumn="0" w:oddVBand="0" w:evenVBand="0" w:oddHBand="0" w:evenHBand="1"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2100" w:type="dxa"/>
            <w:tcBorders>
              <w:top w:val="single" w:sz="4" w:space="0" w:color="auto"/>
              <w:bottom w:val="single" w:sz="4" w:space="0" w:color="auto"/>
              <w:right w:val="single" w:sz="4" w:space="0" w:color="auto"/>
            </w:tcBorders>
            <w:noWrap/>
            <w:hideMark/>
          </w:tcPr>
          <w:p w14:paraId="0273099E" w14:textId="77777777" w:rsidR="00C902B8" w:rsidRPr="00051930" w:rsidRDefault="00C902B8" w:rsidP="007674CF">
            <w:pPr>
              <w:pStyle w:val="NoSpacing"/>
              <w:rPr>
                <w:lang w:val="en-US"/>
              </w:rPr>
            </w:pPr>
            <w:r w:rsidRPr="00051930">
              <w:t>Expert advice</w:t>
            </w:r>
          </w:p>
        </w:tc>
        <w:tc>
          <w:tcPr>
            <w:tcW w:w="3300" w:type="dxa"/>
            <w:tcBorders>
              <w:top w:val="single" w:sz="4" w:space="0" w:color="auto"/>
              <w:left w:val="single" w:sz="4" w:space="0" w:color="auto"/>
              <w:bottom w:val="single" w:sz="4" w:space="0" w:color="auto"/>
              <w:right w:val="single" w:sz="4" w:space="0" w:color="auto"/>
            </w:tcBorders>
            <w:noWrap/>
            <w:hideMark/>
          </w:tcPr>
          <w:p w14:paraId="1244B3AA" w14:textId="77777777" w:rsidR="00C902B8" w:rsidRPr="00051930" w:rsidRDefault="00C902B8" w:rsidP="00550723">
            <w:pPr>
              <w:pStyle w:val="NoSpacing"/>
              <w:numPr>
                <w:ilvl w:val="0"/>
                <w:numId w:val="37"/>
              </w:numPr>
              <w:ind w:left="340" w:hanging="227"/>
              <w:cnfStyle w:val="000000010000" w:firstRow="0" w:lastRow="0" w:firstColumn="0" w:lastColumn="0" w:oddVBand="0" w:evenVBand="0" w:oddHBand="0" w:evenHBand="1" w:firstRowFirstColumn="0" w:firstRowLastColumn="0" w:lastRowFirstColumn="0" w:lastRowLastColumn="0"/>
            </w:pPr>
            <w:r w:rsidRPr="00051930">
              <w:t>Content experts</w:t>
            </w:r>
          </w:p>
          <w:p w14:paraId="70AD3C40" w14:textId="77777777" w:rsidR="00C902B8" w:rsidRPr="00051930" w:rsidRDefault="00C902B8" w:rsidP="00550723">
            <w:pPr>
              <w:pStyle w:val="NoSpacing"/>
              <w:numPr>
                <w:ilvl w:val="0"/>
                <w:numId w:val="37"/>
              </w:numPr>
              <w:ind w:left="340" w:hanging="227"/>
              <w:cnfStyle w:val="000000010000" w:firstRow="0" w:lastRow="0" w:firstColumn="0" w:lastColumn="0" w:oddVBand="0" w:evenVBand="0" w:oddHBand="0" w:evenHBand="1" w:firstRowFirstColumn="0" w:firstRowLastColumn="0" w:lastRowFirstColumn="0" w:lastRowLastColumn="0"/>
            </w:pPr>
            <w:r w:rsidRPr="00051930">
              <w:t>Trusted sources</w:t>
            </w:r>
          </w:p>
          <w:p w14:paraId="40ED5CA2" w14:textId="77777777" w:rsidR="00C902B8" w:rsidRPr="00051930" w:rsidRDefault="00C902B8" w:rsidP="00550723">
            <w:pPr>
              <w:pStyle w:val="NoSpacing"/>
              <w:numPr>
                <w:ilvl w:val="0"/>
                <w:numId w:val="37"/>
              </w:numPr>
              <w:ind w:left="340" w:hanging="227"/>
              <w:cnfStyle w:val="000000010000" w:firstRow="0" w:lastRow="0" w:firstColumn="0" w:lastColumn="0" w:oddVBand="0" w:evenVBand="0" w:oddHBand="0" w:evenHBand="1" w:firstRowFirstColumn="0" w:firstRowLastColumn="0" w:lastRowFirstColumn="0" w:lastRowLastColumn="0"/>
            </w:pPr>
            <w:r w:rsidRPr="00051930">
              <w:t>Pre-existing frameworks/rubrics</w:t>
            </w:r>
          </w:p>
        </w:tc>
        <w:tc>
          <w:tcPr>
            <w:tcW w:w="1100" w:type="dxa"/>
            <w:tcBorders>
              <w:top w:val="single" w:sz="4" w:space="0" w:color="auto"/>
              <w:left w:val="single" w:sz="4" w:space="0" w:color="auto"/>
              <w:bottom w:val="single" w:sz="4" w:space="0" w:color="auto"/>
              <w:right w:val="single" w:sz="4" w:space="0" w:color="auto"/>
            </w:tcBorders>
            <w:noWrap/>
            <w:hideMark/>
          </w:tcPr>
          <w:p w14:paraId="6D079694"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r w:rsidRPr="00051930">
              <w:t> </w:t>
            </w:r>
          </w:p>
        </w:tc>
        <w:tc>
          <w:tcPr>
            <w:tcW w:w="1000" w:type="dxa"/>
            <w:tcBorders>
              <w:top w:val="single" w:sz="4" w:space="0" w:color="auto"/>
              <w:left w:val="single" w:sz="4" w:space="0" w:color="auto"/>
              <w:bottom w:val="single" w:sz="4" w:space="0" w:color="auto"/>
              <w:right w:val="single" w:sz="4" w:space="0" w:color="auto"/>
            </w:tcBorders>
          </w:tcPr>
          <w:p w14:paraId="5728A2E7"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p>
        </w:tc>
        <w:tc>
          <w:tcPr>
            <w:tcW w:w="1500" w:type="dxa"/>
            <w:tcBorders>
              <w:top w:val="single" w:sz="4" w:space="0" w:color="auto"/>
              <w:left w:val="single" w:sz="4" w:space="0" w:color="auto"/>
              <w:bottom w:val="single" w:sz="4" w:space="0" w:color="auto"/>
            </w:tcBorders>
            <w:shd w:val="clear" w:color="auto" w:fill="2F88F0" w:themeFill="accent1" w:themeFillTint="99"/>
            <w:noWrap/>
            <w:hideMark/>
          </w:tcPr>
          <w:p w14:paraId="4CFE4A90" w14:textId="70819100"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p>
        </w:tc>
      </w:tr>
      <w:tr w:rsidR="0057293D" w:rsidRPr="00051930" w14:paraId="3693B2D7" w14:textId="77777777" w:rsidTr="00F30115">
        <w:trPr>
          <w:cnfStyle w:val="000000100000" w:firstRow="0" w:lastRow="0" w:firstColumn="0" w:lastColumn="0" w:oddVBand="0" w:evenVBand="0" w:oddHBand="1" w:evenHBand="0" w:firstRowFirstColumn="0" w:firstRowLastColumn="0" w:lastRowFirstColumn="0" w:lastRowLastColumn="0"/>
          <w:trHeight w:val="1188"/>
        </w:trPr>
        <w:tc>
          <w:tcPr>
            <w:cnfStyle w:val="001000000000" w:firstRow="0" w:lastRow="0" w:firstColumn="1" w:lastColumn="0" w:oddVBand="0" w:evenVBand="0" w:oddHBand="0" w:evenHBand="0" w:firstRowFirstColumn="0" w:firstRowLastColumn="0" w:lastRowFirstColumn="0" w:lastRowLastColumn="0"/>
            <w:tcW w:w="2100" w:type="dxa"/>
            <w:tcBorders>
              <w:top w:val="single" w:sz="4" w:space="0" w:color="auto"/>
              <w:bottom w:val="single" w:sz="4" w:space="0" w:color="auto"/>
              <w:right w:val="single" w:sz="4" w:space="0" w:color="auto"/>
            </w:tcBorders>
            <w:noWrap/>
            <w:hideMark/>
          </w:tcPr>
          <w:p w14:paraId="7B3542B0" w14:textId="77777777" w:rsidR="00C902B8" w:rsidRPr="00051930" w:rsidRDefault="00C902B8" w:rsidP="007674CF">
            <w:pPr>
              <w:pStyle w:val="NoSpacing"/>
            </w:pPr>
            <w:r w:rsidRPr="00051930">
              <w:t>Presentation of graded evidence</w:t>
            </w:r>
          </w:p>
        </w:tc>
        <w:tc>
          <w:tcPr>
            <w:tcW w:w="3300" w:type="dxa"/>
            <w:tcBorders>
              <w:top w:val="single" w:sz="4" w:space="0" w:color="auto"/>
              <w:left w:val="single" w:sz="4" w:space="0" w:color="auto"/>
              <w:bottom w:val="single" w:sz="4" w:space="0" w:color="auto"/>
              <w:right w:val="single" w:sz="4" w:space="0" w:color="auto"/>
            </w:tcBorders>
            <w:noWrap/>
            <w:hideMark/>
          </w:tcPr>
          <w:p w14:paraId="454C50EC" w14:textId="69FA011F" w:rsidR="00C902B8" w:rsidRPr="00051930" w:rsidRDefault="00C902B8" w:rsidP="00550723">
            <w:pPr>
              <w:pStyle w:val="NoSpacing"/>
              <w:numPr>
                <w:ilvl w:val="0"/>
                <w:numId w:val="38"/>
              </w:numPr>
              <w:ind w:left="340" w:hanging="227"/>
              <w:cnfStyle w:val="000000100000" w:firstRow="0" w:lastRow="0" w:firstColumn="0" w:lastColumn="0" w:oddVBand="0" w:evenVBand="0" w:oddHBand="1" w:evenHBand="0" w:firstRowFirstColumn="0" w:firstRowLastColumn="0" w:lastRowFirstColumn="0" w:lastRowLastColumn="0"/>
            </w:pPr>
            <w:r w:rsidRPr="00051930">
              <w:t xml:space="preserve">Use of a </w:t>
            </w:r>
            <w:r w:rsidR="00452CFD" w:rsidRPr="00051930">
              <w:t>tie</w:t>
            </w:r>
            <w:r w:rsidR="00452CFD">
              <w:t>r</w:t>
            </w:r>
            <w:r w:rsidR="00452CFD" w:rsidRPr="00051930">
              <w:t>ed</w:t>
            </w:r>
            <w:r w:rsidRPr="00051930">
              <w:t xml:space="preserve"> system instead of an include/exclude system</w:t>
            </w:r>
          </w:p>
          <w:p w14:paraId="1BC958A9" w14:textId="77777777" w:rsidR="00C902B8" w:rsidRPr="00051930" w:rsidRDefault="00C902B8" w:rsidP="00550723">
            <w:pPr>
              <w:pStyle w:val="NoSpacing"/>
              <w:numPr>
                <w:ilvl w:val="0"/>
                <w:numId w:val="38"/>
              </w:numPr>
              <w:ind w:left="340" w:hanging="227"/>
              <w:cnfStyle w:val="000000100000" w:firstRow="0" w:lastRow="0" w:firstColumn="0" w:lastColumn="0" w:oddVBand="0" w:evenVBand="0" w:oddHBand="1" w:evenHBand="0" w:firstRowFirstColumn="0" w:firstRowLastColumn="0" w:lastRowFirstColumn="0" w:lastRowLastColumn="0"/>
            </w:pPr>
            <w:r w:rsidRPr="00051930">
              <w:t>Inclusion of no-effect and insufficient evidence categories</w:t>
            </w:r>
          </w:p>
        </w:tc>
        <w:tc>
          <w:tcPr>
            <w:tcW w:w="1100" w:type="dxa"/>
            <w:tcBorders>
              <w:top w:val="single" w:sz="4" w:space="0" w:color="auto"/>
              <w:left w:val="single" w:sz="4" w:space="0" w:color="auto"/>
              <w:bottom w:val="single" w:sz="4" w:space="0" w:color="auto"/>
              <w:right w:val="single" w:sz="4" w:space="0" w:color="auto"/>
            </w:tcBorders>
            <w:shd w:val="clear" w:color="auto" w:fill="2F88F0" w:themeFill="accent1" w:themeFillTint="99"/>
            <w:noWrap/>
            <w:hideMark/>
          </w:tcPr>
          <w:p w14:paraId="165B0697" w14:textId="35A4965A"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pPr>
          </w:p>
        </w:tc>
        <w:tc>
          <w:tcPr>
            <w:tcW w:w="1000" w:type="dxa"/>
            <w:tcBorders>
              <w:top w:val="single" w:sz="4" w:space="0" w:color="auto"/>
              <w:left w:val="single" w:sz="4" w:space="0" w:color="auto"/>
              <w:bottom w:val="single" w:sz="4" w:space="0" w:color="auto"/>
              <w:right w:val="single" w:sz="4" w:space="0" w:color="auto"/>
            </w:tcBorders>
          </w:tcPr>
          <w:p w14:paraId="3D18955D"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pPr>
          </w:p>
        </w:tc>
        <w:tc>
          <w:tcPr>
            <w:tcW w:w="1500" w:type="dxa"/>
            <w:tcBorders>
              <w:top w:val="single" w:sz="4" w:space="0" w:color="auto"/>
              <w:left w:val="single" w:sz="4" w:space="0" w:color="auto"/>
              <w:bottom w:val="single" w:sz="4" w:space="0" w:color="auto"/>
            </w:tcBorders>
            <w:noWrap/>
            <w:hideMark/>
          </w:tcPr>
          <w:p w14:paraId="7326E7B3"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pPr>
            <w:r w:rsidRPr="00051930">
              <w:t> </w:t>
            </w:r>
          </w:p>
        </w:tc>
      </w:tr>
      <w:tr w:rsidR="0057293D" w:rsidRPr="00051930" w14:paraId="66091116" w14:textId="77777777" w:rsidTr="00F30115">
        <w:trPr>
          <w:cnfStyle w:val="000000010000" w:firstRow="0" w:lastRow="0" w:firstColumn="0" w:lastColumn="0" w:oddVBand="0" w:evenVBand="0" w:oddHBand="0" w:evenHBand="1"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2100" w:type="dxa"/>
            <w:tcBorders>
              <w:top w:val="single" w:sz="4" w:space="0" w:color="auto"/>
              <w:right w:val="single" w:sz="4" w:space="0" w:color="auto"/>
            </w:tcBorders>
            <w:noWrap/>
            <w:hideMark/>
          </w:tcPr>
          <w:p w14:paraId="5B40C2D6" w14:textId="77777777" w:rsidR="00C902B8" w:rsidRPr="00051930" w:rsidRDefault="00C902B8" w:rsidP="007674CF">
            <w:pPr>
              <w:pStyle w:val="NoSpacing"/>
            </w:pPr>
            <w:r w:rsidRPr="00051930">
              <w:t>Highly skilled staff</w:t>
            </w:r>
          </w:p>
        </w:tc>
        <w:tc>
          <w:tcPr>
            <w:tcW w:w="3300" w:type="dxa"/>
            <w:tcBorders>
              <w:top w:val="single" w:sz="4" w:space="0" w:color="auto"/>
              <w:left w:val="single" w:sz="4" w:space="0" w:color="auto"/>
              <w:right w:val="single" w:sz="4" w:space="0" w:color="auto"/>
            </w:tcBorders>
            <w:noWrap/>
            <w:hideMark/>
          </w:tcPr>
          <w:p w14:paraId="5E7F78B0" w14:textId="77777777" w:rsidR="00C902B8" w:rsidRPr="00051930" w:rsidRDefault="00C902B8" w:rsidP="00550723">
            <w:pPr>
              <w:pStyle w:val="NoSpacing"/>
              <w:numPr>
                <w:ilvl w:val="0"/>
                <w:numId w:val="39"/>
              </w:numPr>
              <w:ind w:left="340" w:hanging="227"/>
              <w:cnfStyle w:val="000000010000" w:firstRow="0" w:lastRow="0" w:firstColumn="0" w:lastColumn="0" w:oddVBand="0" w:evenVBand="0" w:oddHBand="0" w:evenHBand="1" w:firstRowFirstColumn="0" w:firstRowLastColumn="0" w:lastRowFirstColumn="0" w:lastRowLastColumn="0"/>
            </w:pPr>
            <w:r w:rsidRPr="00051930">
              <w:t>Educating/training professionals</w:t>
            </w:r>
          </w:p>
          <w:p w14:paraId="5B45D5D2" w14:textId="77777777" w:rsidR="00C902B8" w:rsidRPr="00051930" w:rsidRDefault="00C902B8" w:rsidP="00550723">
            <w:pPr>
              <w:pStyle w:val="NoSpacing"/>
              <w:numPr>
                <w:ilvl w:val="0"/>
                <w:numId w:val="39"/>
              </w:numPr>
              <w:ind w:left="340" w:hanging="227"/>
              <w:cnfStyle w:val="000000010000" w:firstRow="0" w:lastRow="0" w:firstColumn="0" w:lastColumn="0" w:oddVBand="0" w:evenVBand="0" w:oddHBand="0" w:evenHBand="1" w:firstRowFirstColumn="0" w:firstRowLastColumn="0" w:lastRowFirstColumn="0" w:lastRowLastColumn="0"/>
            </w:pPr>
            <w:r w:rsidRPr="00051930">
              <w:t>Staff skilled in evidence synthesis and knowledge translation</w:t>
            </w:r>
          </w:p>
        </w:tc>
        <w:tc>
          <w:tcPr>
            <w:tcW w:w="1100" w:type="dxa"/>
            <w:tcBorders>
              <w:top w:val="single" w:sz="4" w:space="0" w:color="auto"/>
              <w:left w:val="single" w:sz="4" w:space="0" w:color="auto"/>
              <w:right w:val="single" w:sz="4" w:space="0" w:color="auto"/>
            </w:tcBorders>
            <w:noWrap/>
            <w:hideMark/>
          </w:tcPr>
          <w:p w14:paraId="2128C9FC"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r w:rsidRPr="00051930">
              <w:t> </w:t>
            </w:r>
          </w:p>
        </w:tc>
        <w:tc>
          <w:tcPr>
            <w:tcW w:w="1000" w:type="dxa"/>
            <w:tcBorders>
              <w:top w:val="single" w:sz="4" w:space="0" w:color="auto"/>
              <w:left w:val="single" w:sz="4" w:space="0" w:color="auto"/>
              <w:right w:val="single" w:sz="4" w:space="0" w:color="auto"/>
            </w:tcBorders>
          </w:tcPr>
          <w:p w14:paraId="34D98337"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p>
        </w:tc>
        <w:tc>
          <w:tcPr>
            <w:tcW w:w="1500" w:type="dxa"/>
            <w:tcBorders>
              <w:top w:val="single" w:sz="4" w:space="0" w:color="auto"/>
              <w:left w:val="single" w:sz="4" w:space="0" w:color="auto"/>
            </w:tcBorders>
            <w:shd w:val="clear" w:color="auto" w:fill="2F88F0" w:themeFill="accent1" w:themeFillTint="99"/>
            <w:noWrap/>
            <w:hideMark/>
          </w:tcPr>
          <w:p w14:paraId="178BB770" w14:textId="0628BD29"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pPr>
            <w:r w:rsidRPr="00051930">
              <w:t xml:space="preserve">  </w:t>
            </w:r>
          </w:p>
        </w:tc>
      </w:tr>
    </w:tbl>
    <w:p w14:paraId="04E16B30" w14:textId="77777777" w:rsidR="0093470E" w:rsidRPr="00E16853" w:rsidRDefault="0093470E" w:rsidP="0093470E"/>
    <w:bookmarkStart w:id="77" w:name="_Toc509950641"/>
    <w:p w14:paraId="56D9BD05" w14:textId="77777777" w:rsidR="0093470E" w:rsidRPr="00E16853" w:rsidRDefault="0093470E" w:rsidP="00716D4E">
      <w:pPr>
        <w:pStyle w:val="NumberedHeading3"/>
      </w:pPr>
      <w:r w:rsidRPr="00E16853">
        <w:rPr>
          <w:noProof/>
          <w:lang w:val="en-US"/>
        </w:rPr>
        <w:lastRenderedPageBreak/>
        <mc:AlternateContent>
          <mc:Choice Requires="wps">
            <w:drawing>
              <wp:anchor distT="0" distB="0" distL="114300" distR="114300" simplePos="0" relativeHeight="251702272" behindDoc="0" locked="0" layoutInCell="1" allowOverlap="1" wp14:anchorId="1616CA75" wp14:editId="210B4B1B">
                <wp:simplePos x="0" y="0"/>
                <wp:positionH relativeFrom="page">
                  <wp:posOffset>3006090</wp:posOffset>
                </wp:positionH>
                <wp:positionV relativeFrom="paragraph">
                  <wp:posOffset>0</wp:posOffset>
                </wp:positionV>
                <wp:extent cx="3556635" cy="8801100"/>
                <wp:effectExtent l="0" t="0" r="24765" b="19050"/>
                <wp:wrapSquare wrapText="bothSides"/>
                <wp:docPr id="7" name="Text Box 7" descr="Box 2: STEM Research Translation"/>
                <wp:cNvGraphicFramePr/>
                <a:graphic xmlns:a="http://schemas.openxmlformats.org/drawingml/2006/main">
                  <a:graphicData uri="http://schemas.microsoft.com/office/word/2010/wordprocessingShape">
                    <wps:wsp>
                      <wps:cNvSpPr txBox="1"/>
                      <wps:spPr>
                        <a:xfrm>
                          <a:off x="0" y="0"/>
                          <a:ext cx="3556635" cy="8801100"/>
                        </a:xfrm>
                        <a:prstGeom prst="rect">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07E37DF" w14:textId="77777777" w:rsidR="00CF668F" w:rsidRPr="00FD0296" w:rsidRDefault="00CF668F" w:rsidP="00B85109">
                            <w:pPr>
                              <w:pStyle w:val="Pull-outBodyCopy"/>
                              <w:jc w:val="center"/>
                              <w:rPr>
                                <w:b/>
                                <w:sz w:val="17"/>
                                <w:szCs w:val="17"/>
                              </w:rPr>
                            </w:pPr>
                            <w:bookmarkStart w:id="78" w:name="_Toc509449823"/>
                            <w:r w:rsidRPr="00FD0296">
                              <w:rPr>
                                <w:b/>
                                <w:sz w:val="17"/>
                                <w:szCs w:val="17"/>
                              </w:rPr>
                              <w:t>Box 2: STEM Research Translation</w:t>
                            </w:r>
                            <w:bookmarkEnd w:id="78"/>
                          </w:p>
                          <w:p w14:paraId="55321631" w14:textId="77777777" w:rsidR="00CF668F" w:rsidRPr="00FD0296" w:rsidRDefault="00CF668F" w:rsidP="0093470E">
                            <w:pPr>
                              <w:rPr>
                                <w:sz w:val="17"/>
                                <w:szCs w:val="17"/>
                              </w:rPr>
                            </w:pPr>
                            <w:r w:rsidRPr="00FD0296">
                              <w:rPr>
                                <w:sz w:val="17"/>
                                <w:szCs w:val="17"/>
                              </w:rPr>
                              <w:t>The Centre for Education Policy and Practice within ACER oversees a branch that focuses on “</w:t>
                            </w:r>
                            <w:proofErr w:type="spellStart"/>
                            <w:r w:rsidRPr="00FD0296">
                              <w:rPr>
                                <w:sz w:val="17"/>
                                <w:szCs w:val="17"/>
                              </w:rPr>
                              <w:t>translat</w:t>
                            </w:r>
                            <w:proofErr w:type="spellEnd"/>
                            <w:r w:rsidRPr="00FD0296">
                              <w:rPr>
                                <w:sz w:val="17"/>
                                <w:szCs w:val="17"/>
                              </w:rPr>
                              <w:t>[</w:t>
                            </w:r>
                            <w:proofErr w:type="spellStart"/>
                            <w:r w:rsidRPr="00FD0296">
                              <w:rPr>
                                <w:sz w:val="17"/>
                                <w:szCs w:val="17"/>
                              </w:rPr>
                              <w:t>ing</w:t>
                            </w:r>
                            <w:proofErr w:type="spellEnd"/>
                            <w:r w:rsidRPr="00FD0296">
                              <w:rPr>
                                <w:sz w:val="17"/>
                                <w:szCs w:val="17"/>
                              </w:rPr>
                              <w:t>] research findings into evidence-based practice” for teachers, school leaders, and system-level leaders. ACER’s translation research broadly consists of several key activities: reviews and synthesis of existing research, dissemination of findings, engagement with end-users, collaboration with practitioners to create practice, and evaluation of the applied research. As such, ACER is involved with all levels of knowledge translation, from synthesis to implementation to evaluation; however, the main function of the ACER translational research process</w:t>
                            </w:r>
                            <w:r w:rsidRPr="00FD0296">
                              <w:rPr>
                                <w:b/>
                                <w:sz w:val="17"/>
                                <w:szCs w:val="17"/>
                              </w:rPr>
                              <w:t xml:space="preserve"> </w:t>
                            </w:r>
                            <w:r w:rsidRPr="00FD0296">
                              <w:rPr>
                                <w:sz w:val="17"/>
                                <w:szCs w:val="17"/>
                              </w:rPr>
                              <w:t xml:space="preserve">is a focus on synthesising current evidence with an eye towards creating concise, functional information for professionals in the education field. </w:t>
                            </w:r>
                          </w:p>
                          <w:p w14:paraId="7D8A27C5" w14:textId="77777777" w:rsidR="00CF668F" w:rsidRPr="00FD0296" w:rsidRDefault="00CF668F" w:rsidP="0093470E">
                            <w:pPr>
                              <w:rPr>
                                <w:sz w:val="17"/>
                                <w:szCs w:val="17"/>
                              </w:rPr>
                            </w:pPr>
                            <w:r w:rsidRPr="00FD0296">
                              <w:rPr>
                                <w:sz w:val="17"/>
                                <w:szCs w:val="17"/>
                              </w:rPr>
                              <w:t>As Australian student results in STEM have been in decline in recent years (</w:t>
                            </w:r>
                            <w:proofErr w:type="spellStart"/>
                            <w:r w:rsidRPr="00FD0296">
                              <w:rPr>
                                <w:sz w:val="17"/>
                                <w:szCs w:val="17"/>
                              </w:rPr>
                              <w:t>Rosicka</w:t>
                            </w:r>
                            <w:proofErr w:type="spellEnd"/>
                            <w:r w:rsidRPr="00FD0296">
                              <w:rPr>
                                <w:sz w:val="17"/>
                                <w:szCs w:val="17"/>
                              </w:rPr>
                              <w:t>, 2016), ACER’s focus has been on interventions and applicable research for use by primary teachers. Initially, ACER’s review of STEM education research began with a literature review on STEM programs with proven student outcomes between the years 2005 and 2016. Fifty-four research and policy documents from the results were included and coded for the review. Randomised controlled trials were the favoured study design, although the review showed that the number of published RCTs that addressed the impact of STEM interventions on student outcomes was very limited. The literature review also found meta-analyses and other study designs. Overall findings from the review showed that common themes in the existing STEM education research were connected to teacher capacity, integration of STEM, active learning, and student engagement (</w:t>
                            </w:r>
                            <w:proofErr w:type="spellStart"/>
                            <w:r w:rsidRPr="00FD0296">
                              <w:rPr>
                                <w:sz w:val="17"/>
                                <w:szCs w:val="17"/>
                              </w:rPr>
                              <w:t>Rosicka</w:t>
                            </w:r>
                            <w:proofErr w:type="spellEnd"/>
                            <w:r w:rsidRPr="00FD0296">
                              <w:rPr>
                                <w:sz w:val="17"/>
                                <w:szCs w:val="17"/>
                              </w:rPr>
                              <w:t xml:space="preserve">, 2016). </w:t>
                            </w:r>
                          </w:p>
                          <w:p w14:paraId="3824A5D4" w14:textId="77777777" w:rsidR="00CF668F" w:rsidRPr="00FD0296" w:rsidRDefault="00CF668F" w:rsidP="0093470E">
                            <w:pPr>
                              <w:rPr>
                                <w:sz w:val="17"/>
                                <w:szCs w:val="17"/>
                              </w:rPr>
                            </w:pPr>
                            <w:r w:rsidRPr="00FD0296">
                              <w:rPr>
                                <w:sz w:val="17"/>
                                <w:szCs w:val="17"/>
                              </w:rPr>
                              <w:t xml:space="preserve">The review also identified skills and processes of STEM learning. ACER distilled these findings into suggestions for primary STEM teaching. These suggestions included employing STEM-specialist teachers, mentoring by industry professionals, offering extended or extracurricular study opportunities, adopting an integrated approach to STEM education, using real-world examples to teach students, including inquiry-based STEM activities in the classroom, and increasing student exposure to study and career options within STEM-related fields. While ACER’s review on STEM education research did not identify any proven STEM programs ready for implementation, the review nonetheless made suggestions for specific programs that teachers might find useful to modify or draw upon for their own teaching. ACER disseminates information on evidence-based practice through various platforms, such as the </w:t>
                            </w:r>
                            <w:r w:rsidRPr="00FD0296">
                              <w:rPr>
                                <w:i/>
                                <w:sz w:val="17"/>
                                <w:szCs w:val="17"/>
                              </w:rPr>
                              <w:t>Teacher</w:t>
                            </w:r>
                            <w:r w:rsidRPr="00FD0296">
                              <w:rPr>
                                <w:sz w:val="17"/>
                                <w:szCs w:val="17"/>
                              </w:rPr>
                              <w:t xml:space="preserve"> online magazine, which publishes columnist articles and research news; the ACER </w:t>
                            </w:r>
                            <w:r w:rsidRPr="00FD0296">
                              <w:rPr>
                                <w:i/>
                                <w:sz w:val="17"/>
                                <w:szCs w:val="17"/>
                              </w:rPr>
                              <w:t>Snapshot</w:t>
                            </w:r>
                            <w:r w:rsidRPr="00FD0296">
                              <w:rPr>
                                <w:sz w:val="17"/>
                                <w:szCs w:val="17"/>
                              </w:rPr>
                              <w:t xml:space="preserve"> series, in which each issue highlights findings regarding a single topic of interest to Australian education; and the Digital Education Research Network (DERN), which provides a database of research on information technologies in education. </w:t>
                            </w:r>
                          </w:p>
                          <w:p w14:paraId="70FA9A31" w14:textId="77777777" w:rsidR="00CF668F" w:rsidRPr="00FD0296" w:rsidRDefault="00CF668F" w:rsidP="0093470E">
                            <w:pPr>
                              <w:rPr>
                                <w:sz w:val="17"/>
                                <w:szCs w:val="17"/>
                              </w:rPr>
                            </w:pPr>
                            <w:r w:rsidRPr="00FD0296">
                              <w:rPr>
                                <w:sz w:val="17"/>
                                <w:szCs w:val="17"/>
                              </w:rPr>
                              <w:t>ACER is governed by a Board of Directors as well as the ACER Council, and is classified as an independent not-for-profit. ACER is also a registered higher education provider, and as such, also offers qualifications in Education with a focus on evidence-based practice. ACER receives its funding from contracted research and development projects, as well as developing and distributing products and services (ACER, 2017). Surplus revenue is directed back into research and development (ACER, 2017). As an Australian research group, the translational research team specifically looks for interventions that can be applied to Australian primary classrooms, considering the Australian education system’s structure and curriculum. For example, ACER’s review of STEM research focused on interventions that targeted the specific aspects of STEM that are found in the Australian primary school curriculum.</w:t>
                            </w:r>
                          </w:p>
                          <w:p w14:paraId="58FA4462" w14:textId="77777777" w:rsidR="00CF668F" w:rsidRPr="00FD0296" w:rsidRDefault="00CF668F" w:rsidP="0093470E">
                            <w:pPr>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alt="Description: Box 2: STEM Research Translation" style="position:absolute;left:0;text-align:left;margin-left:236.7pt;margin-top:0;width:280.05pt;height:69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" filled="f" strokecolor="#094183 [3204]">
                <v:textbox>
                  <w:txbxContent>
                    <w:p w14:paraId="107E37DF" w14:textId="77777777" w:rsidR="00CF668F" w:rsidRPr="00FD0296" w:rsidRDefault="00CF668F" w:rsidP="00B85109">
                      <w:pPr>
                        <w:pStyle w:val="Pull-outBodyCopy"/>
                        <w:jc w:val="center"/>
                        <w:rPr>
                          <w:b/>
                          <w:sz w:val="17"/>
                          <w:szCs w:val="17"/>
                        </w:rPr>
                      </w:pPr>
                      <w:bookmarkStart w:id="81" w:name="_Toc509449823"/>
                      <w:r w:rsidRPr="00FD0296">
                        <w:rPr>
                          <w:b/>
                          <w:sz w:val="17"/>
                          <w:szCs w:val="17"/>
                        </w:rPr>
                        <w:t>Box 2: STEM Research Translation</w:t>
                      </w:r>
                      <w:bookmarkEnd w:id="81"/>
                    </w:p>
                    <w:p w14:paraId="55321631" w14:textId="77777777" w:rsidR="00CF668F" w:rsidRPr="00FD0296" w:rsidRDefault="00CF668F" w:rsidP="0093470E">
                      <w:pPr>
                        <w:rPr>
                          <w:sz w:val="17"/>
                          <w:szCs w:val="17"/>
                        </w:rPr>
                      </w:pPr>
                      <w:r w:rsidRPr="00FD0296">
                        <w:rPr>
                          <w:sz w:val="17"/>
                          <w:szCs w:val="17"/>
                        </w:rPr>
                        <w:t>The Centre for Education Policy and Practice within ACER oversees a branch that focuses on “</w:t>
                      </w:r>
                      <w:proofErr w:type="spellStart"/>
                      <w:r w:rsidRPr="00FD0296">
                        <w:rPr>
                          <w:sz w:val="17"/>
                          <w:szCs w:val="17"/>
                        </w:rPr>
                        <w:t>translat</w:t>
                      </w:r>
                      <w:proofErr w:type="spellEnd"/>
                      <w:r w:rsidRPr="00FD0296">
                        <w:rPr>
                          <w:sz w:val="17"/>
                          <w:szCs w:val="17"/>
                        </w:rPr>
                        <w:t>[</w:t>
                      </w:r>
                      <w:proofErr w:type="spellStart"/>
                      <w:r w:rsidRPr="00FD0296">
                        <w:rPr>
                          <w:sz w:val="17"/>
                          <w:szCs w:val="17"/>
                        </w:rPr>
                        <w:t>ing</w:t>
                      </w:r>
                      <w:proofErr w:type="spellEnd"/>
                      <w:r w:rsidRPr="00FD0296">
                        <w:rPr>
                          <w:sz w:val="17"/>
                          <w:szCs w:val="17"/>
                        </w:rPr>
                        <w:t>] research findings into evidence-based practice” for teachers, school leaders, and system-level leaders. ACER’s translation research broadly consists of several key activities: reviews and synthesis of existing research, dissemination of findings, engagement with end-users, collaboration with practitioners to create practice, and evaluation of the applied research. As such, ACER is involved with all levels of knowledge translation, from synthesis to implementation to evaluation; however, the main function of the ACER translational research process</w:t>
                      </w:r>
                      <w:r w:rsidRPr="00FD0296">
                        <w:rPr>
                          <w:b/>
                          <w:sz w:val="17"/>
                          <w:szCs w:val="17"/>
                        </w:rPr>
                        <w:t xml:space="preserve"> </w:t>
                      </w:r>
                      <w:r w:rsidRPr="00FD0296">
                        <w:rPr>
                          <w:sz w:val="17"/>
                          <w:szCs w:val="17"/>
                        </w:rPr>
                        <w:t xml:space="preserve">is a focus on synthesising current evidence with an eye towards creating concise, functional information for professionals in the education field. </w:t>
                      </w:r>
                    </w:p>
                    <w:p w14:paraId="7D8A27C5" w14:textId="77777777" w:rsidR="00CF668F" w:rsidRPr="00FD0296" w:rsidRDefault="00CF668F" w:rsidP="0093470E">
                      <w:pPr>
                        <w:rPr>
                          <w:sz w:val="17"/>
                          <w:szCs w:val="17"/>
                        </w:rPr>
                      </w:pPr>
                      <w:r w:rsidRPr="00FD0296">
                        <w:rPr>
                          <w:sz w:val="17"/>
                          <w:szCs w:val="17"/>
                        </w:rPr>
                        <w:t>As Australian student results in STEM have been in decline in recent years (</w:t>
                      </w:r>
                      <w:proofErr w:type="spellStart"/>
                      <w:r w:rsidRPr="00FD0296">
                        <w:rPr>
                          <w:sz w:val="17"/>
                          <w:szCs w:val="17"/>
                        </w:rPr>
                        <w:t>Rosicka</w:t>
                      </w:r>
                      <w:proofErr w:type="spellEnd"/>
                      <w:r w:rsidRPr="00FD0296">
                        <w:rPr>
                          <w:sz w:val="17"/>
                          <w:szCs w:val="17"/>
                        </w:rPr>
                        <w:t>, 2016), ACER’s focus has been on interventions and applicable research for use by primary teachers. Initially, ACER’s review of STEM education research began with a literature review on STEM programs with proven student outcomes between the years 2005 and 2016. Fifty-four research and policy documents from the results were included and coded for the review. Randomised controlled trials were the favoured study design, although the review showed that the number of published RCTs that addressed the impact of STEM interventions on student outcomes was very limited. The literature review also found meta-analyses and other study designs. Overall findings from the review showed that common themes in the existing STEM education research were connected to teacher capacity, integration of STEM, active learning, and student engagement (</w:t>
                      </w:r>
                      <w:proofErr w:type="spellStart"/>
                      <w:r w:rsidRPr="00FD0296">
                        <w:rPr>
                          <w:sz w:val="17"/>
                          <w:szCs w:val="17"/>
                        </w:rPr>
                        <w:t>Rosicka</w:t>
                      </w:r>
                      <w:proofErr w:type="spellEnd"/>
                      <w:r w:rsidRPr="00FD0296">
                        <w:rPr>
                          <w:sz w:val="17"/>
                          <w:szCs w:val="17"/>
                        </w:rPr>
                        <w:t xml:space="preserve">, 2016). </w:t>
                      </w:r>
                    </w:p>
                    <w:p w14:paraId="3824A5D4" w14:textId="77777777" w:rsidR="00CF668F" w:rsidRPr="00FD0296" w:rsidRDefault="00CF668F" w:rsidP="0093470E">
                      <w:pPr>
                        <w:rPr>
                          <w:sz w:val="17"/>
                          <w:szCs w:val="17"/>
                        </w:rPr>
                      </w:pPr>
                      <w:r w:rsidRPr="00FD0296">
                        <w:rPr>
                          <w:sz w:val="17"/>
                          <w:szCs w:val="17"/>
                        </w:rPr>
                        <w:t xml:space="preserve">The review also identified skills and processes of STEM learning. ACER distilled these findings into suggestions for primary STEM teaching. These suggestions included employing STEM-specialist teachers, mentoring by industry professionals, offering extended or extracurricular study opportunities, adopting an integrated approach to STEM education, using real-world examples to teach students, including inquiry-based STEM activities in the classroom, and increasing student exposure to study and career options within STEM-related fields. While ACER’s review on STEM education research did not identify any proven STEM programs ready for implementation, the review nonetheless made suggestions for specific programs that teachers might find useful to modify or draw upon for their own teaching. ACER disseminates information on evidence-based practice through various platforms, such as the </w:t>
                      </w:r>
                      <w:r w:rsidRPr="00FD0296">
                        <w:rPr>
                          <w:i/>
                          <w:sz w:val="17"/>
                          <w:szCs w:val="17"/>
                        </w:rPr>
                        <w:t>Teacher</w:t>
                      </w:r>
                      <w:r w:rsidRPr="00FD0296">
                        <w:rPr>
                          <w:sz w:val="17"/>
                          <w:szCs w:val="17"/>
                        </w:rPr>
                        <w:t xml:space="preserve"> online magazine, which publishes columnist articles and research news; the ACER </w:t>
                      </w:r>
                      <w:r w:rsidRPr="00FD0296">
                        <w:rPr>
                          <w:i/>
                          <w:sz w:val="17"/>
                          <w:szCs w:val="17"/>
                        </w:rPr>
                        <w:t>Snapshot</w:t>
                      </w:r>
                      <w:r w:rsidRPr="00FD0296">
                        <w:rPr>
                          <w:sz w:val="17"/>
                          <w:szCs w:val="17"/>
                        </w:rPr>
                        <w:t xml:space="preserve"> series, in which each issue highlights findings regarding a single topic of interest to Australian education; and the Digital Education Research Network (DERN), which provides a database of research on information technologies in education. </w:t>
                      </w:r>
                    </w:p>
                    <w:p w14:paraId="70FA9A31" w14:textId="77777777" w:rsidR="00CF668F" w:rsidRPr="00FD0296" w:rsidRDefault="00CF668F" w:rsidP="0093470E">
                      <w:pPr>
                        <w:rPr>
                          <w:sz w:val="17"/>
                          <w:szCs w:val="17"/>
                        </w:rPr>
                      </w:pPr>
                      <w:r w:rsidRPr="00FD0296">
                        <w:rPr>
                          <w:sz w:val="17"/>
                          <w:szCs w:val="17"/>
                        </w:rPr>
                        <w:t>ACER is governed by a Board of Directors as well as the ACER Council, and is classified as an independent not-for-profit. ACER is also a registered higher education provider, and as such, also offers qualifications in Education with a focus on evidence-based practice. ACER receives its funding from contracted research and development projects, as well as developing and distributing products and services (ACER, 2017). Surplus revenue is directed back into research and development (ACER, 2017). As an Australian research group, the translational research team specifically looks for interventions that can be applied to Australian primary classrooms, considering the Australian education system’s structure and curriculum. For example, ACER’s review of STEM research focused on interventions that targeted the specific aspects of STEM that are found in the Australian primary school curriculum.</w:t>
                      </w:r>
                    </w:p>
                    <w:p w14:paraId="58FA4462" w14:textId="77777777" w:rsidR="00CF668F" w:rsidRPr="00FD0296" w:rsidRDefault="00CF668F" w:rsidP="0093470E">
                      <w:pPr>
                        <w:rPr>
                          <w:sz w:val="17"/>
                          <w:szCs w:val="17"/>
                        </w:rPr>
                      </w:pPr>
                    </w:p>
                  </w:txbxContent>
                </v:textbox>
                <w10:wrap type="square" anchorx="page"/>
              </v:shape>
            </w:pict>
          </mc:Fallback>
        </mc:AlternateContent>
      </w:r>
      <w:r w:rsidRPr="00E16853">
        <w:t>Nature of the evidence base</w:t>
      </w:r>
      <w:bookmarkEnd w:id="77"/>
      <w:r w:rsidRPr="00E16853">
        <w:rPr>
          <w:noProof/>
        </w:rPr>
        <w:t xml:space="preserve"> </w:t>
      </w:r>
    </w:p>
    <w:p w14:paraId="7A354593" w14:textId="12056F55" w:rsidR="0093470E" w:rsidRPr="0091711A" w:rsidRDefault="0093470E" w:rsidP="0093470E">
      <w:r w:rsidRPr="0091711A">
        <w:t xml:space="preserve">While there are variations in the scale of evidence and topic areas, across the sectors reviewed, </w:t>
      </w:r>
      <w:r w:rsidR="00452CFD">
        <w:t>(</w:t>
      </w:r>
      <w:r w:rsidRPr="0091711A">
        <w:t>education, public health, health promotion, mental health and tourism</w:t>
      </w:r>
      <w:r w:rsidR="00452CFD">
        <w:t>)</w:t>
      </w:r>
      <w:r w:rsidRPr="0091711A">
        <w:t xml:space="preserve"> evidence about the effectiveness of interventions, policies, initiatives and efforts to advance the field is growing exponentially. This simultaneously presents an opportunity and formidable challenge to the synthesis process—despite more information about ‘what works’, there is significant variability in the quality of this information and some of the information is  contradictory </w:t>
      </w:r>
      <w:r w:rsidRPr="0091711A">
        <w:fldChar w:fldCharType="begin" w:fldLock="1"/>
      </w:r>
      <w:r w:rsidRPr="0091711A">
        <w:instrText>ADDIN CSL_CITATION { "citationItems" : [ { "id" : "ITEM-1",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"ITEM-1",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"id" : "ITEM-2",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"ITEM-2", "issued" : { "date-parts" : [ [ "2010" ] ] }, "page" : "496", "publisher-place" : "England", "title" : "A knowledge management tool for public health: health-evidence.ca.", "type" : "article-journal", "volume" : "10" }, "uris" : [ "http://www.mendeley.com/documents/?uuid=9771b0e4-a6ca-4b8d-ba34-b171083a98a1" ] }, { "id" : "ITEM-3",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"ITEM-3", "issue" : "10", "issued" : { "date-parts" : [ [ "2004" ] ] }, "page" : "778-783", "title" : "Research synthesis and disseminating as a bridge to knowledge management: the Cochrane Collaboration ", "type" : "article-journal", "volume" : "82 " }, "uris" : [ "http://www.mendeley.com/documents/?uuid=44584470-b501-49ae-9859-02fc1835742e" ] }, { "id" : "ITEM-4", "itemData" : { "DOI" : "10.1037/cap0000054", "ISBN" : "0708-5591", "ISSN" : "07085591", "abstract" : "Au cours des derni\u00e8res d\u00e9cennies, divers syst\u00e8mes ont \u00e9t\u00e9 cr\u00e9\u00e9s en vue d'aider les psychologues cliniciens \u00e0 d\u00e9terminer le traitement le plus efficace pour chacun de leur patient, bas\u00e9 sur les meilleures donn\u00e9es scientifiques possible. Ces syst\u00e8mes incluent les traitements valid\u00e9s par des donn\u00e9es concr\u00e8tes, les registres de traitements, les lignes directrices bas\u00e9es sur des preuves, les principes du changement bas\u00e9s sur des donn\u00e9es empiriques, des lignes directrices pour des traitements \u00e0 grande \u00e9chelle et un syst\u00e8me de recommandations de traitement bas\u00e9 sur des m\u00e9ta-analyses. Chacun de ces syst\u00e8mes comporte des \u00e9l\u00e9ments positifs et n\u00e9gatifs. Toutefois, aucun d'entre eux n'a r\u00e9solu le probl\u00e8me de la diss\u00e9mination de l'information ou de l'adoption g\u00e9n\u00e9ralis\u00e9e. En fait, les r\u00e9percussions de ces syst\u00e8mes sur les praticiens, les d\u00e9cideurs et les membres du public de m\u00eame que leurs r\u00e9percussions sur les soins cliniques aux patients sont relativement limit\u00e9es. Nous affirmons qu'en l'absence d'initiatives vigoureuses, la situation restera probablement inchang\u00e9e, ce qui signifie que la plupart des consommateurs continueront de recevoir des traitements de qualit\u00e9 inf\u00e9rieure. Parmi les initiatives possibles figurent la communication directe avec les consommateurs (par ex., par de la publicit\u00e9 pay\u00e9e, de la promotion, les sites Web tr\u00e8s fr\u00e9quent\u00e9s), la mise \u00e0 profit de facteurs pouvant influencer le comportement des cliniciens (par ex., en changeant les syst\u00e8mes de r\u00e9mun\u00e9ration et de d\u00e9livrance de permis, en exigeant la d\u00e9monstration directe de sa comp\u00e9tence \u00e0 utiliser des traitements \u00e9prouv\u00e9s, en ayant recours \u00e0 la menace de poursuites), le recours \u00e0 des mesures incitatives pour faire modifier les programmes de formation en psychologie (par ex., en renfor\u00e7ant grandement la sp\u00e9cificit\u00e9 et la rigueur des normes d'agr\u00e9ment), et l'am\u00e9lioration de l'utilit\u00e9 des lignes directrices (par ex., en fournissant des ressources pour le traitement faciles d'acc\u00e8s, en simplifiant les processus et en incorporant les r\u00e9troactions des cliniciens dans la conception des recommandations de traitement).", "author" : [ { "dropping-particle" : "", "family" : "Forman", "given" : "Evan M.", "non-dropping-particle" : "", "parse-names" : false, "suffix" : "" }, { "dropping-particle" : "", "family" : "Gaudiano", "given" : "Brandon A.", "non-dropping-particle" : "", "parse-names" : false, "suffix" : "" }, { "dropping-particle" : "", "family" : "Herbert", "given" : "James D.", "non-dropping-particle" : "", "parse-names" : false, "suffix" : "" } ], "container-title" : "Canadian Psychology", "id" : "ITEM-4", "issue" : "3", "issued" : { "date-parts" : [ [ "2016" ] ] }, "page" : "160-171", "title" : "Pragmatic recommendations to address challenges in disseminating evidenced-based treatment guidelines", "type" : "article-journal", "volume" : "57" }, "uris" : [ "http://www.mendeley.com/documents/?uuid=94de8b06-e4d1-4f19-990d-839280381b33" ] } ], "mendeley" : { "formattedCitation" : "(Burns &amp; Schuller, 2007; Dobbins, DeCorby, et al., 2010; Forman, Gaudiano, &amp; Herbert, 2016; Volmink et al., 2004)", "plainTextFormattedCitation" : "(Burns &amp; Schuller, 2007; Dobbins, DeCorby, et al., 2010; Forman, Gaudiano, &amp; Herbert, 2016; Volmink et al., 2004)", "previouslyFormattedCitation" : "(Burns &amp; Schuller, 2007; Dobbins, DeCorby, et al., 2010; Forman, Gaudiano, &amp; Herbert, 2016; Volmink et al., 2004)" }, "properties" : {  }, "schema" : "https://github.com/citation-style-language/schema/raw/master/csl-citation.json" }</w:instrText>
      </w:r>
      <w:r w:rsidRPr="0091711A">
        <w:fldChar w:fldCharType="separate"/>
      </w:r>
      <w:r w:rsidRPr="0091711A">
        <w:rPr>
          <w:noProof/>
        </w:rPr>
        <w:t xml:space="preserve">(Burns &amp; Schuller, 2007; Dobbins, DeCorby, et al., 2010; </w:t>
      </w:r>
      <w:bookmarkStart w:id="79" w:name="_Hlk509231113"/>
      <w:r w:rsidRPr="0091711A">
        <w:rPr>
          <w:noProof/>
        </w:rPr>
        <w:t>Forman, Gaudiano, &amp; Herbert, 2016</w:t>
      </w:r>
      <w:bookmarkEnd w:id="79"/>
      <w:r w:rsidRPr="0091711A">
        <w:rPr>
          <w:noProof/>
        </w:rPr>
        <w:t>; Volmink et al., 2004)</w:t>
      </w:r>
      <w:r w:rsidRPr="0091711A">
        <w:fldChar w:fldCharType="end"/>
      </w:r>
      <w:r w:rsidRPr="0091711A">
        <w:t xml:space="preserve">. </w:t>
      </w:r>
    </w:p>
    <w:p w14:paraId="68BB13A8" w14:textId="5D4F633E" w:rsidR="0093470E" w:rsidRDefault="0093470E" w:rsidP="0093470E">
      <w:pPr>
        <w:rPr>
          <w:sz w:val="22"/>
        </w:rPr>
      </w:pPr>
      <w:r w:rsidRPr="0091711A">
        <w:t xml:space="preserve">These characteristics present logistical challenges to the synthesis process. With larger volumes of evidence demanding greater resourcing for revision and increasing the likelihood of contradictory findings and variations in evidence quality. Accordingly, improving the reliability and validity of quality assessment is necessary to ensure that the synthesis process continues efficiently and, importantly, is sustainable </w:t>
      </w:r>
      <w:r w:rsidRPr="0091711A">
        <w:fldChar w:fldCharType="begin" w:fldLock="1"/>
      </w:r>
      <w:r w:rsidRPr="0091711A">
        <w:instrText>ADDIN CSL_CITATION { "citationItems" : [ { "id" : "ITEM-1", "itemData" : { "DOI" : "10.1007/s10643-015-0722-5", "ISSN" : "15731707", "abstract" : "The era of educational accountability has drawn attention to a need for the use of evidence-based practices (EBPs) in today's classrooms. The existence of a research-to-practice gap is well established in the field of early childhood education (ECE), and significant barriers to the use of EBPs by practitioners have been documented through research. A number of free, easily accessible, high-quality websites are available for independent use by practitioners that help promote EBPs; however, practitioners are often unaware of these sites. This article explores the research about EBPs in ECE and provides information on selected federally funded websites that can be used to increase practitioners' knowledge of EBPs for their work with young children. [ABSTRACT FROM AUTHOR]", "author" : [ { "dropping-particle" : "", "family" : "Purper", "given" : "Cammy J.", "non-dropping-particle" : "", "parse-names" : false, "suffix" : "" } ], "container-title" : "Early Childhood Education Journal", "id" : "ITEM-1", "issue" : "4", "issued" : { "date-parts" : [ [ "2016" ] ] }, "page" : "403-408", "publisher" : "Springer Netherlands", "title" : "Right at Your Fingertips: Important Web-Based Resources for Understanding Evidence-Based Practices", "type" : "article-journal", "volume" : "44" }, "uris" : [ "http://www.mendeley.com/documents/?uuid=1f35d74e-fe8b-43e8-abd1-42386f346ddb" ] }, { "id" : "ITEM-2", "itemData" : { "DOI" : "10.1016/j.evalprogplan.2014.09.007", "ISSN" : "01497189", "PMID" : "25450778", "abstract" : "Decision makers need timely and credible information about the effectiveness of behavioral health interventions. Online evidence-based program registers (EBPRs) have been developed to address this need. However, the methods by which these registers determine programs and practices as being \"evidence-based\" has not been investigated in detail. This paper examines the evidentiary criteria EBPRs use to rate programs and the implications for how different registers rate the same programs. Although the registers tend to employ a standard Campbellian hierarchy of evidence to assess evaluation results, there is also considerable disagreement among the registers about what constitutes an adequate research design and sufficient data for designating a program as evidence-based. Additionally, differences exist in how registers report findings of \"no effect,\" which may deprive users of important information. Of all programs on the 15 registers that rate individual programs, 79% appear on only one register. Among a random sample of 100 programs rated by more than one register, 42% were inconsistently rated by the multiple registers to some degree.", "author" : [ { "dropping-particle" : "", "family" : "Means", "given" : "Stephanie N.", "non-dropping-particle" : "", "parse-names" : false, "suffix" : "" }, { "dropping-particle" : "", "family" : "Magura", "given" : "Stephen", "non-dropping-particle" : "", "parse-names" : false, "suffix" : "" }, { "dropping-particle" : "", "family" : "Burkhardt", "given" : "Jason T.", "non-dropping-particle" : "", "parse-names" : false, "suffix" : "" }, { "dropping-particle" : "", "family" : "Schr\u00f6ter", "given" : "Daniela C.", "non-dropping-particle" : "", "parse-names" : false, "suffix" : "" }, { "dropping-particle" : "", "family" : "Coryn", "given" : "Chris L.S.", "non-dropping-particle" : "", "parse-names" : false, "suffix" : "" } ], "container-title" : "Evaluation and Program Planning", "id" : "ITEM-2", "issued" : { "date-parts" : [ [ "2015" ] ] }, "page" : "100-116", "title" : "Comparing rating paradigms for evidence-based program registers in behavioral health: Evidentiary criteria and implications for assessing programs", "type" : "article-journal", "volume" : "48" }, "uris" : [ "http://www.mendeley.com/documents/?uuid=8429ee35-ebd0-44e7-954c-059ffbe6285f" ] }, { "id" : "ITEM-3",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"ITEM-3", "issued" : { "date-parts" : [ [ "2010" ] ] }, "page" : "496", "publisher-place" : "England", "title" : "A knowledge management tool for public health: health-evidence.ca.", "type" : "article-journal", "volume" : "10" }, "uris" : [ "http://www.mendeley.com/documents/?uuid=9771b0e4-a6ca-4b8d-ba34-b171083a98a1" ] } ], "mendeley" : { "formattedCitation" : "(Dobbins, DeCorby, et al., 2010; Means, Magura, Burkhardt, Schr\u00f6ter, &amp; Coryn, 2015; Purper, 2016)", "plainTextFormattedCitation" : "(Dobbins, DeCorby, et al., 2010; Means, Magura, Burkhardt, Schr\u00f6ter, &amp; Coryn, 2015; Purper, 2016)", "previouslyFormattedCitation" : "(Dobbins, DeCorby, et al., 2010; Means, Magura, Burkhardt, Schr\u00f6ter, &amp; Coryn, 2015; Purper, 2016)" }, "properties" : {  }, "schema" : "https://github.com/citation-style-language/schema/raw/master/csl-citation.json" }</w:instrText>
      </w:r>
      <w:r w:rsidRPr="0091711A">
        <w:fldChar w:fldCharType="separate"/>
      </w:r>
      <w:r w:rsidRPr="0091711A">
        <w:rPr>
          <w:noProof/>
        </w:rPr>
        <w:t xml:space="preserve">(Dobbins, DeCorby, et al., 2010; </w:t>
      </w:r>
      <w:bookmarkStart w:id="80" w:name="_Hlk509231128"/>
      <w:r w:rsidRPr="0091711A">
        <w:rPr>
          <w:noProof/>
        </w:rPr>
        <w:t>Means, Magura, Burkhardt, Schröter, &amp; Coryn, 2015; Purper, 2016)</w:t>
      </w:r>
      <w:bookmarkEnd w:id="80"/>
      <w:r w:rsidRPr="0091711A">
        <w:fldChar w:fldCharType="end"/>
      </w:r>
      <w:r w:rsidRPr="0091711A">
        <w:t xml:space="preserve">. However, a larger volume of evidence presents methodological challenges to the synthesis process beyond quality assessment; it is plausible that the risk of publication bias can increase due to the tendency for published studies to articulate ‘effectiveness’ rather than ‘ineffectiveness’. Finally, an added challenge is that a proportion of studies and evaluation reports are not published, and  incorporating these unpublished works into a synthesis is often impossible </w:t>
      </w:r>
      <w:r w:rsidRPr="0091711A">
        <w:fldChar w:fldCharType="begin" w:fldLock="1"/>
      </w:r>
      <w:r w:rsidRPr="0091711A">
        <w:instrText>ADDIN CSL_CITATION { "citationItems" : [ { "id" : "ITEM-1", "itemData" : { "author" : [ { "dropping-particle" : "", "family" : "Borenstein", "given" : "M", "non-dropping-particle" : "", "parse-names" : false, "suffix" : "" }, { "dropping-particle" : "", "family" : "Hedges", "given" : "L", "non-dropping-particle" : "", "parse-names" : false, "suffix" : "" }, { "dropping-particle" : "", "family" : "Higgins", "given" : "J", "non-dropping-particle" : "", "parse-names" : false, "suffix" : "" }, { "dropping-particle" : "", "family" : "Rothstein", "given" : "H", "non-dropping-particle" : "", "parse-names" : false, "suffix" : "" } ], "id" : "ITEM-1", "issued" : { "date-parts" : [ [ "2009" ] ] }, "publisher" : "John Wiley &amp; Sons, Ltd", "publisher-place" : "West Sussex, United Kingdom", "title" : "Introduction to Meta-Analysis", "type" : "book" }, "uris" : [ "http://www.mendeley.com/documents/?uuid=98f15313-caa5-4843-a261-e2bbdf12a05d" ] } ], "mendeley" : { "formattedCitation" : "(Borenstein, Hedges, Higgins, &amp; Rothstein, 2009)", "plainTextFormattedCitation" : "(Borenstein, Hedges, Higgins, &amp; Rothstein, 2009)", "previouslyFormattedCitation" : "(Borenstein, Hedges, Higgins, &amp; Rothstein, 2009)" }, "properties" : {  }, "schema" : "https://github.com/citation-style-language/schema/raw/master/csl-citation.json" }</w:instrText>
      </w:r>
      <w:r w:rsidRPr="0091711A">
        <w:fldChar w:fldCharType="separate"/>
      </w:r>
      <w:r w:rsidRPr="0091711A">
        <w:rPr>
          <w:noProof/>
        </w:rPr>
        <w:t>(</w:t>
      </w:r>
      <w:bookmarkStart w:id="81" w:name="_Hlk509231145"/>
      <w:r w:rsidRPr="0091711A">
        <w:rPr>
          <w:noProof/>
        </w:rPr>
        <w:t xml:space="preserve">Borenstein, Hedges, </w:t>
      </w:r>
      <w:r w:rsidRPr="0091711A">
        <w:rPr>
          <w:noProof/>
        </w:rPr>
        <w:lastRenderedPageBreak/>
        <w:t>Higgins, &amp; Rothstein, 2009)</w:t>
      </w:r>
      <w:bookmarkEnd w:id="81"/>
      <w:r w:rsidRPr="0091711A">
        <w:fldChar w:fldCharType="end"/>
      </w:r>
      <w:r w:rsidR="0059558B">
        <w:t>.</w:t>
      </w:r>
    </w:p>
    <w:p w14:paraId="6BEE0C97" w14:textId="77777777" w:rsidR="0093470E" w:rsidRPr="00E16853" w:rsidRDefault="0093470E" w:rsidP="00716D4E">
      <w:pPr>
        <w:pStyle w:val="NumberedHeading3"/>
      </w:pPr>
      <w:bookmarkStart w:id="82" w:name="_Toc509950642"/>
      <w:r w:rsidRPr="00E16853">
        <w:t>Approaches to assessing the quality of evidence that support evidence-informed practice/policy</w:t>
      </w:r>
      <w:bookmarkEnd w:id="82"/>
    </w:p>
    <w:p w14:paraId="2665E0A9" w14:textId="75BE1DBE" w:rsidR="0093470E" w:rsidRPr="0091711A" w:rsidRDefault="00F41B1A" w:rsidP="0093470E">
      <w:r>
        <w:t>The quantity</w:t>
      </w:r>
      <w:r w:rsidR="00651879">
        <w:t xml:space="preserve"> of evidence being produced and the variance in the reliability and validity of this evidence</w:t>
      </w:r>
      <w:r w:rsidR="00452CFD">
        <w:t>,</w:t>
      </w:r>
      <w:r w:rsidR="00651879">
        <w:t xml:space="preserve"> as well as approaches to assess quality</w:t>
      </w:r>
      <w:r w:rsidR="00452CFD">
        <w:t>,</w:t>
      </w:r>
      <w:r w:rsidR="00651879">
        <w:t xml:space="preserve"> raise challenges for largely scale evidence synthesis and dissemination </w:t>
      </w:r>
      <w:r w:rsidR="0093470E" w:rsidRPr="0091711A">
        <w:fldChar w:fldCharType="begin" w:fldLock="1"/>
      </w:r>
      <w:r w:rsidR="0093470E" w:rsidRPr="0091711A">
        <w:instrText>ADDIN CSL_CITATION { "citationItems" : [ { "id" : "ITEM-1", "itemData" : { "DOI" : "10.1093/bjsw/bcu143", "ISSN" : "0045-3102", "abstract" : "This paper reviews the lessons for evidence-based policy and practice (EBP) arising from the work of the Social Care Institute for Excellence (SCIE), a government-funded agency established in 2001 to improve social care in the UK. The paper describes a ten-year programme developing an inclusive approach to what counts as knowledge, and the challenges in ensuring that knowledge is relevant to improving practice in social work and social care. These challenges include reviewing what counts as evidence in EBP, changing the relationship between EBP and practice, and recognising the scientific value (as well as the moral imperative) of including the knowledge held by people who use services. In methodological terms, the work includes developing systematic qualitative synthesis to take account of a broader range of evidence and economic evaluation appropriate to social care. The paper concludes with a discussion of some implications for international debates about the role of evidence-based policy and practice.", "author" : [ { "dropping-particle" : "", "family" : "Fisher", "given" : "Mike", "non-dropping-particle" : "", "parse-names" : false, "suffix" : "" } ], "container-title" : "British Journal of Social Work", "id" : "ITEM-1", "issue" : "2", "issued" : { "date-parts" : [ [ "2016" ] ] }, "page" : "498-513", "title" : "The Social Care Institute for Excellence and Evidence-Based Policy and Practice: Table 1", "type" : "article-journal", "volume" : "46" }, "uris" : [ "http://www.mendeley.com/documents/?uuid=cb51d5fc-eab8-4002-86d8-305c2c7e1677" ] }, { "id" : "ITEM-2", "itemData" : { "DOI" : "10.1007/s10643-015-0722-5", "ISSN" : "15731707", "abstract" : "The era of educational accountability has drawn attention to a need for the use of evidence-based practices (EBPs) in today's classrooms. The existence of a research-to-practice gap is well established in the field of early childhood education (ECE), and significant barriers to the use of EBPs by practitioners have been documented through research. A number of free, easily accessible, high-quality websites are available for independent use by practitioners that help promote EBPs; however, practitioners are often unaware of these sites. This article explores the research about EBPs in ECE and provides information on selected federally funded websites that can be used to increase practitioners' knowledge of EBPs for their work with young children. [ABSTRACT FROM AUTHOR]", "author" : [ { "dropping-particle" : "", "family" : "Purper", "given" : "Cammy J.", "non-dropping-particle" : "", "parse-names" : false, "suffix" : "" } ], "container-title" : "Early Childhood Education Journal", "id" : "ITEM-2", "issue" : "4", "issued" : { "date-parts" : [ [ "2016" ] ] }, "page" : "403-408", "publisher" : "Springer Netherlands", "title" : "Right at Your Fingertips: Important Web-Based Resources for Understanding Evidence-Based Practices", "type" : "article-journal", "volume" : "44" }, "uris" : [ "http://www.mendeley.com/documents/?uuid=1f35d74e-fe8b-43e8-abd1-42386f346ddb" ] } ], "mendeley" : { "formattedCitation" : "(Fisher, 2016; Purper, 2016)", "plainTextFormattedCitation" : "(Fisher, 2016; Purper, 2016)", "previouslyFormattedCitation" : "(Fisher, 2016; Purper, 2016)" }, "properties" : {  }, "schema" : "https://github.com/citation-style-language/schema/raw/master/csl-citation.json" }</w:instrText>
      </w:r>
      <w:r w:rsidR="0093470E" w:rsidRPr="0091711A">
        <w:fldChar w:fldCharType="separate"/>
      </w:r>
      <w:bookmarkStart w:id="83" w:name="_Hlk509231154"/>
      <w:r w:rsidR="0093470E" w:rsidRPr="0091711A">
        <w:rPr>
          <w:noProof/>
        </w:rPr>
        <w:t>(Fisher, 2016</w:t>
      </w:r>
      <w:bookmarkEnd w:id="83"/>
      <w:r w:rsidR="0093470E" w:rsidRPr="0091711A">
        <w:rPr>
          <w:noProof/>
        </w:rPr>
        <w:t>; Purper, 2016)</w:t>
      </w:r>
      <w:r w:rsidR="0093470E" w:rsidRPr="0091711A">
        <w:fldChar w:fldCharType="end"/>
      </w:r>
      <w:r w:rsidR="0093470E" w:rsidRPr="0091711A">
        <w:t xml:space="preserve">. While perhaps obvious, this aspect of the function of research and evidence institutions should not be underestimated. If the assessment process is inaccurate, the consequence may be that an evidence recommendation is unsupported – which, if implemented, could at best result in no change, or at worst cause harm </w:t>
      </w:r>
      <w:r w:rsidR="0093470E" w:rsidRPr="0091711A">
        <w:fldChar w:fldCharType="begin" w:fldLock="1"/>
      </w:r>
      <w:r w:rsidR="0093470E" w:rsidRPr="0091711A">
        <w:instrText>ADDIN CSL_CITATION { "citationItems" : [ { "id" : "ITEM-1",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"ITEM-1", "issue" : "10", "issued" : { "date-parts" : [ [ "2004" ] ] }, "page" : "778-783", "title" : "Research synthesis and disseminating as a bridge to knowledge management: the Cochrane Collaboration ", "type" : "article-journal", "volume" : "82 " }, "uris" : [ "http://www.mendeley.com/documents/?uuid=44584470-b501-49ae-9859-02fc1835742e" ] } ], "mendeley" : { "formattedCitation" : "(Volmink et al., 2004)", "plainTextFormattedCitation" : "(Volmink et al., 2004)", "previouslyFormattedCitation" : "(Volmink et al., 2004)" }, "properties" : {  }, "schema" : "https://github.com/citation-style-language/schema/raw/master/csl-citation.json" }</w:instrText>
      </w:r>
      <w:r w:rsidR="0093470E" w:rsidRPr="0091711A">
        <w:fldChar w:fldCharType="separate"/>
      </w:r>
      <w:r w:rsidR="0093470E" w:rsidRPr="0091711A">
        <w:rPr>
          <w:noProof/>
        </w:rPr>
        <w:t>(Volmink et al., 2004)</w:t>
      </w:r>
      <w:r w:rsidR="0093470E" w:rsidRPr="0091711A">
        <w:fldChar w:fldCharType="end"/>
      </w:r>
      <w:r w:rsidR="0093470E" w:rsidRPr="0091711A">
        <w:t xml:space="preserve">. It is for this reason that there has been much work into the development of rigorous and stringent quality assessment procedures and related hierarchies of evidence. </w:t>
      </w:r>
    </w:p>
    <w:p w14:paraId="2D688B23" w14:textId="77777777" w:rsidR="0093470E" w:rsidRPr="00051930" w:rsidRDefault="0093470E" w:rsidP="0093470E">
      <w:pPr>
        <w:rPr>
          <w:sz w:val="22"/>
        </w:rPr>
      </w:pPr>
      <w:r w:rsidRPr="0091711A">
        <w:t xml:space="preserve">In the last decade, there has been considerably growing debate about the appropriateness of existing assessment tools to yield quality evidence that can inform policy and practice. In many sectors, there is a tendency for limited forms of evidence to be judged as high-quality, such as RCT designs and systematic reviews of RCTs. In instances where the desired knowledge claim is concerned with establishing causation, this view of quality evidence may be appropriate </w:t>
      </w:r>
      <w:r w:rsidRPr="0091711A">
        <w:fldChar w:fldCharType="begin" w:fldLock="1"/>
      </w:r>
      <w:r w:rsidRPr="0091711A">
        <w:instrText>ADDIN CSL_CITATION { "citationItems" : [ { "id" : "ITEM-1", "itemData" : { "DOI" : "10.1037/a0035767", "ISBN" : "0708-5591", "ISSN" : "07085591", "abstract" : "In 2011, the Board of Directors of the Canadian Psychological Association (CPA) launched the Task Force on Evidence-Based Practice of Psychological Treatments to support and guide practice as well as to inform stakeholders. This article describes the work of this task force, outlining its raison d'etre, providing a comprehensive definition of evidence-based practice (EBP), and advancing a hierarchy of evidence that is respectful of diverse research methodologies, palatable to different groups, and yet comprehensive and compelling. The primary objective was to present an overarching methodology or approach to thinking about EBP so that psychologists can provide and implement the best possible psychological treatments. To this end, our intention for this document was to provide a set of guidelines and standards that will foster interest, encourage development, and promote effectiveness in EBP.", "author" : [ { "dropping-particle" : "", "family" : "Dozois", "given" : "David J.A.", "non-dropping-particle" : "", "parse-names" : false, "suffix" : "" }, { "dropping-particle" : "", "family" : "Mikail", "given" : "Samuel F.", "non-dropping-particle" : "", "parse-names" : false, "suffix" : "" }, { "dropping-particle" : "", "family" : "Alden", "given" : "Lynn E.", "non-dropping-particle" : "", "parse-names" : false, "suffix" : "" }, { "dropping-particle" : "", "family" : "Bieling", "given" : "Peter J.", "non-dropping-particle" : "", "parse-names" : false, "suffix" : "" }, { "dropping-particle" : "", "family" : "Bourgon", "given" : "Guy", "non-dropping-particle" : "", "parse-names" : false, "suffix" : "" }, { "dropping-particle" : "", "family" : "Clark", "given" : "David A.", "non-dropping-particle" : "", "parse-names" : false, "suffix" : "" }, { "dropping-particle" : "", "family" : "Drapeau", "given" : "Martin", "non-dropping-particle" : "", "parse-names" : false, "suffix" : "" }, { "dropping-particle" : "", "family" : "Gallson", "given" : "Dave", "non-dropping-particle" : "", "parse-names" : false, "suffix" : "" }, { "dropping-particle" : "", "family" : "Greenberg", "given" : "Les", "non-dropping-particle" : "", "parse-names" : false, "suffix" : "" }, { "dropping-particle" : "", "family" : "Hunsley", "given" : "John", "non-dropping-particle" : "", "parse-names" : false, "suffix" : "" }, { "dropping-particle" : "", "family" : "Johnston", "given" : "Charlotte", "non-dropping-particle" : "", "parse-names" : false, "suffix" : "" } ], "container-title" : "Canadian Psychology", "id" : "ITEM-1", "issue" : "3", "issued" : { "date-parts" : [ [ "2014" ] ] }, "page" : "153-160", "title" : "The CPA presidential task force on evidence-based practice of psychological treatments", "type" : "article-journal", "volume" : "55" }, "uris" : [ "http://www.mendeley.com/documents/?uuid=6cc81a0c-feef-41ba-95f5-e4d9fdcae518" ] }, { "id" : "ITEM-2",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"ITEM-2",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"mendeley" : { "formattedCitation" : "(Burns &amp; Schuller, 2007; Dozois et al., 2014)", "plainTextFormattedCitation" : "(Burns &amp; Schuller, 2007; Dozois et al., 2014)", "previouslyFormattedCitation" : "(Burns &amp; Schuller, 2007; Dozois et al., 2014)" }, "properties" : {  }, "schema" : "https://github.com/citation-style-language/schema/raw/master/csl-citation.json" }</w:instrText>
      </w:r>
      <w:r w:rsidRPr="0091711A">
        <w:fldChar w:fldCharType="separate"/>
      </w:r>
      <w:r w:rsidRPr="0091711A">
        <w:rPr>
          <w:noProof/>
        </w:rPr>
        <w:t xml:space="preserve">(Burns &amp; Schuller, 2007; </w:t>
      </w:r>
      <w:bookmarkStart w:id="84" w:name="_Hlk509231165"/>
      <w:r w:rsidRPr="0091711A">
        <w:rPr>
          <w:noProof/>
        </w:rPr>
        <w:t>Dozois et al., 2014</w:t>
      </w:r>
      <w:bookmarkEnd w:id="84"/>
      <w:r w:rsidRPr="0091711A">
        <w:rPr>
          <w:noProof/>
        </w:rPr>
        <w:t>)</w:t>
      </w:r>
      <w:r w:rsidRPr="0091711A">
        <w:fldChar w:fldCharType="end"/>
      </w:r>
      <w:r w:rsidRPr="0091711A">
        <w:t xml:space="preserve">. However, in the case of the synthesis of evidence for the specific purposes of supporting evidence-informed policy and practice, causation is not always the desired knowledge claim. Many researchers and policymakers argue that multiple methodologies provide more useful and accurate evidence for informing practice and policy than a single method </w:t>
      </w:r>
      <w:r w:rsidRPr="0091711A">
        <w:fldChar w:fldCharType="begin" w:fldLock="1"/>
      </w:r>
      <w:r w:rsidRPr="0091711A">
        <w:instrText>ADDIN CSL_CITATION { "citationItems" : [ { "id" : "ITEM-1",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"ITEM-1",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"id" : "ITEM-2",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"ITEM-2", "issued" : { "date-parts" : [ [ "2010" ] ] }, "page" : "496", "publisher-place" : "England", "title" : "A knowledge management tool for public health: health-evidence.ca.", "type" : "article-journal", "volume" : "10" }, "uris" : [ "http://www.mendeley.com/documents/?uuid=9771b0e4-a6ca-4b8d-ba34-b171083a98a1" ] }, { "id" : "ITEM-3", "itemData" : { "ISBN" : "9241506857", "abstract" : "The Policy Guide emerged from a series of multi-stakeholder consultations by networks of partners working on policies which affect reproductive, maternal, newborn, child and adolescent health. The document is designed for an audience of policy-makers, programme managers and advocates who seek to classify and assess information on specific policies to promote the implementation of essential reproductive, maternal, newborn and child health interventions to address the main causes of maternal, newborn and child ill-health and deaths", "author" : [ { "dropping-particle" : "", "family" : "WHO", "given" : "", "non-dropping-particle" : "", "parse-names" : false, "suffix" : "" } ], "id" : "ITEM-3", "issued" : { "date-parts" : [ [ "2014" ] ] }, "page" : "1-56", "title" : "A Policy Guide for Implementing Essential Interventions for Reproductive, Maternal, Newborn and Child Health (RMNCH): A Multisectoral Policy Compendium for RMNCH", "type" : "article-journal" }, "uris" : [ "http://www.mendeley.com/documents/?uuid=894d2e5f-4dd3-4ee0-8e34-41bc5b1e2717" ] } ], "mendeley" : { "formattedCitation" : "(Burns &amp; Schuller, 2007; Dobbins, DeCorby, et al., 2010; WHO, 2014)", "plainTextFormattedCitation" : "(Burns &amp; Schuller, 2007; Dobbins, DeCorby, et al., 2010; WHO, 2014)", "previouslyFormattedCitation" : "(Burns &amp; Schuller, 2007; Dobbins, DeCorby, et al., 2010; WHO, 2014)" }, "properties" : {  }, "schema" : "https://github.com/citation-style-language/schema/raw/master/csl-citation.json" }</w:instrText>
      </w:r>
      <w:r w:rsidRPr="0091711A">
        <w:fldChar w:fldCharType="separate"/>
      </w:r>
      <w:r w:rsidRPr="0091711A">
        <w:rPr>
          <w:noProof/>
        </w:rPr>
        <w:t xml:space="preserve">(Burns &amp; Schuller, 2007; Dobbins, DeCorby, et al., 2010; </w:t>
      </w:r>
      <w:bookmarkStart w:id="85" w:name="_Hlk509231178"/>
      <w:r w:rsidRPr="0091711A">
        <w:rPr>
          <w:noProof/>
        </w:rPr>
        <w:t>WHO, 2014)</w:t>
      </w:r>
      <w:bookmarkEnd w:id="85"/>
      <w:r w:rsidRPr="0091711A">
        <w:fldChar w:fldCharType="end"/>
      </w:r>
      <w:r w:rsidRPr="0091711A">
        <w:t xml:space="preserve">. The reviewed literature identified that some institutions create or adapt existing quality assessment tools. An example of the wide variety of evidence included in the healthevidence.ca database for generating, disseminating and translating for strengthening the health system is provided in the figure below </w:t>
      </w:r>
      <w:r w:rsidRPr="0091711A">
        <w:fldChar w:fldCharType="begin" w:fldLock="1"/>
      </w:r>
      <w:r w:rsidRPr="0091711A">
        <w:instrText>ADDIN CSL_CITATION { "citationItems" : [ { "id" : "ITEM-1",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"page" : "496", "publisher-place" : "England", "title" : "A knowledge management tool for public health: health-evidence.ca.", "type" : "article-journal", "volume" : "10" }, "uris" : [ "http://www.mendeley.com/documents/?uuid=9771b0e4-a6ca-4b8d-ba34-b171083a98a1" ] }, { "id" : "ITEM-2", "itemData" : { "author" : [ { "dropping-particle" : "", "family" : "Health Evidence", "given" : "", "non-dropping-particle" : "", "parse-names" : false, "suffix" : "" } ], "id" : "ITEM-2", "issued" : { "date-parts" : [ [ "2016" ] ] }, "publisher-place" : "Canada", "title" : "Briefing Note: Rationale and Key Findings Summary", "type" : "report" }, "uris" : [ "http://www.mendeley.com/documents/?uuid=19fb6cda-f40e-4cd0-90d1-fc1fdb6e6eb3" ] } ], "mendeley" : { "formattedCitation" : "(Dobbins, DeCorby, et al., 2010; Health Evidence, 2016)", "plainTextFormattedCitation" : "(Dobbins, DeCorby, et al., 2010; Health Evidence, 2016)", "previouslyFormattedCitation" : "(Dobbins, DeCorby, et al., 2010; Health Evidence, 2016)" }, "properties" : {  }, "schema" : "https://github.com/citation-style-language/schema/raw/master/csl-citation.json" }</w:instrText>
      </w:r>
      <w:r w:rsidRPr="0091711A">
        <w:fldChar w:fldCharType="separate"/>
      </w:r>
      <w:r w:rsidRPr="0091711A">
        <w:rPr>
          <w:noProof/>
        </w:rPr>
        <w:t xml:space="preserve">(Dobbins, DeCorby, et al., 2010; </w:t>
      </w:r>
      <w:bookmarkStart w:id="86" w:name="_Hlk509231185"/>
      <w:r w:rsidRPr="0091711A">
        <w:rPr>
          <w:noProof/>
        </w:rPr>
        <w:t>Health Evidence, 2016</w:t>
      </w:r>
      <w:bookmarkEnd w:id="86"/>
      <w:r w:rsidRPr="0091711A">
        <w:rPr>
          <w:noProof/>
        </w:rPr>
        <w:t>)</w:t>
      </w:r>
      <w:r w:rsidRPr="0091711A">
        <w:fldChar w:fldCharType="end"/>
      </w:r>
      <w:r w:rsidRPr="00051930">
        <w:rPr>
          <w:sz w:val="22"/>
        </w:rPr>
        <w:t>.</w:t>
      </w:r>
    </w:p>
    <w:tbl>
      <w:tblPr>
        <w:tblW w:w="8995" w:type="dxa"/>
        <w:tblBorders>
          <w:top w:val="single" w:sz="4" w:space="0" w:color="666666"/>
          <w:left w:val="single" w:sz="4" w:space="0" w:color="666666"/>
          <w:bottom w:val="single" w:sz="4" w:space="0" w:color="666666"/>
          <w:right w:val="single" w:sz="4" w:space="0" w:color="666666"/>
        </w:tblBorders>
        <w:tblLayout w:type="fixed"/>
        <w:tblLook w:val="0000" w:firstRow="0" w:lastRow="0" w:firstColumn="0" w:lastColumn="0" w:noHBand="0" w:noVBand="0"/>
        <w:tblDescription w:val="This figure identifies seven forms of evidence necessary for evidence-informed practice and policy. These are: research evidence, organisational evidence, colloquial evidence, expert consultation evidence, political evidence, community evidence; and pragmatics and contingencies of situation."/>
      </w:tblPr>
      <w:tblGrid>
        <w:gridCol w:w="4531"/>
        <w:gridCol w:w="4464"/>
      </w:tblGrid>
      <w:tr w:rsidR="0093470E" w:rsidRPr="00E16853" w14:paraId="2628866C" w14:textId="77777777" w:rsidTr="005A0A24">
        <w:tc>
          <w:tcPr>
            <w:tcW w:w="4531" w:type="dxa"/>
          </w:tcPr>
          <w:p w14:paraId="1EAE8C18" w14:textId="77777777" w:rsidR="0093470E" w:rsidRPr="00E16853" w:rsidRDefault="0093470E" w:rsidP="0093470E">
            <w:pPr>
              <w:numPr>
                <w:ilvl w:val="0"/>
                <w:numId w:val="17"/>
              </w:numPr>
              <w:spacing w:before="60" w:after="0" w:line="240" w:lineRule="auto"/>
              <w:ind w:left="446"/>
              <w:rPr>
                <w:rFonts w:eastAsia="Times New Roman"/>
                <w:b/>
                <w:szCs w:val="20"/>
              </w:rPr>
            </w:pPr>
            <w:r w:rsidRPr="00E16853">
              <w:rPr>
                <w:rFonts w:eastAsia="Times New Roman"/>
                <w:b/>
                <w:szCs w:val="20"/>
              </w:rPr>
              <w:t>Research evidence</w:t>
            </w:r>
          </w:p>
          <w:p w14:paraId="2941280C" w14:textId="77777777" w:rsidR="0093470E" w:rsidRPr="00E16853" w:rsidRDefault="0093470E" w:rsidP="0093470E">
            <w:pPr>
              <w:numPr>
                <w:ilvl w:val="0"/>
                <w:numId w:val="15"/>
              </w:numPr>
              <w:spacing w:after="0" w:line="240" w:lineRule="auto"/>
              <w:ind w:left="734" w:hanging="187"/>
              <w:rPr>
                <w:rFonts w:eastAsia="Times New Roman"/>
                <w:szCs w:val="20"/>
              </w:rPr>
            </w:pPr>
            <w:r w:rsidRPr="00E16853">
              <w:rPr>
                <w:rFonts w:eastAsia="Times New Roman"/>
                <w:i/>
                <w:szCs w:val="20"/>
              </w:rPr>
              <w:t>Indicate results of literature search conducted based on 6-step pyramid in</w:t>
            </w:r>
            <w:r w:rsidRPr="00E16853">
              <w:rPr>
                <w:rFonts w:eastAsia="Times New Roman"/>
                <w:i/>
                <w:color w:val="79003C"/>
                <w:szCs w:val="20"/>
              </w:rPr>
              <w:t xml:space="preserve"> </w:t>
            </w:r>
            <w:hyperlink r:id="rId21" w:history="1">
              <w:r w:rsidRPr="00E16853">
                <w:rPr>
                  <w:rFonts w:eastAsia="Times New Roman"/>
                  <w:i/>
                  <w:color w:val="79003C"/>
                  <w:szCs w:val="20"/>
                  <w:u w:val="single"/>
                </w:rPr>
                <w:t>Levels &amp; Sources of Public Health Evidence</w:t>
              </w:r>
            </w:hyperlink>
            <w:r w:rsidRPr="00E16853">
              <w:rPr>
                <w:rFonts w:eastAsia="Times New Roman"/>
                <w:i/>
                <w:szCs w:val="20"/>
              </w:rPr>
              <w:t xml:space="preserve">. See </w:t>
            </w:r>
            <w:hyperlink r:id="rId22" w:history="1">
              <w:r w:rsidRPr="00E16853">
                <w:rPr>
                  <w:rFonts w:eastAsia="Times New Roman"/>
                  <w:i/>
                  <w:color w:val="79003C"/>
                  <w:szCs w:val="20"/>
                  <w:u w:val="single"/>
                </w:rPr>
                <w:t>Evidence-Informed Decision Making (EIDM) Checklist</w:t>
              </w:r>
            </w:hyperlink>
            <w:r w:rsidRPr="00E16853">
              <w:rPr>
                <w:rFonts w:eastAsia="Times New Roman"/>
                <w:i/>
                <w:color w:val="79003C"/>
                <w:szCs w:val="20"/>
              </w:rPr>
              <w:t xml:space="preserve"> </w:t>
            </w:r>
          </w:p>
          <w:p w14:paraId="43AA1818" w14:textId="77777777" w:rsidR="0093470E" w:rsidRPr="00E16853" w:rsidRDefault="0093470E" w:rsidP="0093470E">
            <w:pPr>
              <w:numPr>
                <w:ilvl w:val="1"/>
                <w:numId w:val="15"/>
              </w:numPr>
              <w:spacing w:after="0" w:line="240" w:lineRule="auto"/>
              <w:ind w:left="1260"/>
              <w:rPr>
                <w:rFonts w:eastAsia="Times New Roman"/>
                <w:sz w:val="18"/>
                <w:szCs w:val="20"/>
              </w:rPr>
            </w:pPr>
            <w:r w:rsidRPr="00E16853">
              <w:rPr>
                <w:rFonts w:eastAsia="Times New Roman"/>
                <w:i/>
                <w:sz w:val="18"/>
                <w:szCs w:val="20"/>
              </w:rPr>
              <w:t xml:space="preserve">What </w:t>
            </w:r>
            <w:r w:rsidRPr="00E16853">
              <w:rPr>
                <w:rFonts w:eastAsia="Times New Roman"/>
                <w:b/>
                <w:i/>
                <w:sz w:val="18"/>
                <w:szCs w:val="20"/>
              </w:rPr>
              <w:t>do</w:t>
            </w:r>
            <w:r w:rsidRPr="00E16853">
              <w:rPr>
                <w:rFonts w:eastAsia="Times New Roman"/>
                <w:i/>
                <w:sz w:val="18"/>
                <w:szCs w:val="20"/>
              </w:rPr>
              <w:t xml:space="preserve"> we know from the evidence? </w:t>
            </w:r>
          </w:p>
          <w:p w14:paraId="6F6B3259" w14:textId="77777777" w:rsidR="0093470E" w:rsidRPr="00E16853" w:rsidRDefault="0093470E" w:rsidP="0093470E">
            <w:pPr>
              <w:numPr>
                <w:ilvl w:val="1"/>
                <w:numId w:val="16"/>
              </w:numPr>
              <w:spacing w:after="0" w:line="240" w:lineRule="auto"/>
              <w:ind w:left="1710"/>
              <w:rPr>
                <w:rFonts w:eastAsia="Times New Roman"/>
                <w:i/>
                <w:sz w:val="18"/>
                <w:szCs w:val="20"/>
              </w:rPr>
            </w:pPr>
            <w:r w:rsidRPr="00E16853">
              <w:rPr>
                <w:rFonts w:eastAsia="Times New Roman"/>
                <w:i/>
                <w:sz w:val="18"/>
                <w:szCs w:val="20"/>
              </w:rPr>
              <w:t>What works to address the issue?</w:t>
            </w:r>
          </w:p>
          <w:p w14:paraId="7E77742B" w14:textId="77777777" w:rsidR="0093470E" w:rsidRPr="00E16853" w:rsidRDefault="0093470E" w:rsidP="0093470E">
            <w:pPr>
              <w:numPr>
                <w:ilvl w:val="1"/>
                <w:numId w:val="16"/>
              </w:numPr>
              <w:spacing w:after="0" w:line="240" w:lineRule="auto"/>
              <w:ind w:left="1710"/>
              <w:rPr>
                <w:rFonts w:eastAsia="Times New Roman"/>
                <w:i/>
                <w:sz w:val="18"/>
                <w:szCs w:val="20"/>
              </w:rPr>
            </w:pPr>
            <w:r w:rsidRPr="00E16853">
              <w:rPr>
                <w:rFonts w:eastAsia="Times New Roman"/>
                <w:i/>
                <w:sz w:val="18"/>
                <w:szCs w:val="20"/>
              </w:rPr>
              <w:t>What does not work?</w:t>
            </w:r>
          </w:p>
          <w:p w14:paraId="47B08EEE" w14:textId="77777777" w:rsidR="0093470E" w:rsidRPr="00E16853" w:rsidRDefault="0093470E" w:rsidP="0093470E">
            <w:pPr>
              <w:numPr>
                <w:ilvl w:val="1"/>
                <w:numId w:val="16"/>
              </w:numPr>
              <w:spacing w:after="0" w:line="240" w:lineRule="auto"/>
              <w:ind w:left="1710"/>
              <w:rPr>
                <w:rFonts w:eastAsia="Times New Roman"/>
                <w:i/>
                <w:sz w:val="18"/>
                <w:szCs w:val="20"/>
              </w:rPr>
            </w:pPr>
            <w:r w:rsidRPr="00E16853">
              <w:rPr>
                <w:rFonts w:eastAsia="Times New Roman"/>
                <w:i/>
                <w:sz w:val="18"/>
                <w:szCs w:val="20"/>
              </w:rPr>
              <w:t>What factors are associated (e.g. barriers and facilitators)?</w:t>
            </w:r>
          </w:p>
          <w:p w14:paraId="5B681D4C" w14:textId="77777777" w:rsidR="0093470E" w:rsidRPr="00E16853" w:rsidRDefault="0093470E" w:rsidP="0093470E">
            <w:pPr>
              <w:numPr>
                <w:ilvl w:val="1"/>
                <w:numId w:val="15"/>
              </w:numPr>
              <w:spacing w:after="0" w:line="240" w:lineRule="auto"/>
              <w:ind w:left="1267"/>
              <w:rPr>
                <w:rFonts w:eastAsia="Times New Roman"/>
                <w:i/>
                <w:sz w:val="18"/>
                <w:szCs w:val="20"/>
              </w:rPr>
            </w:pPr>
            <w:r w:rsidRPr="00E16853">
              <w:rPr>
                <w:rFonts w:eastAsia="Times New Roman"/>
                <w:i/>
                <w:sz w:val="18"/>
                <w:szCs w:val="20"/>
              </w:rPr>
              <w:t xml:space="preserve">What </w:t>
            </w:r>
            <w:r w:rsidRPr="00E16853">
              <w:rPr>
                <w:rFonts w:eastAsia="Times New Roman"/>
                <w:b/>
                <w:i/>
                <w:sz w:val="18"/>
                <w:szCs w:val="20"/>
              </w:rPr>
              <w:t>don’t</w:t>
            </w:r>
            <w:r w:rsidRPr="00E16853">
              <w:rPr>
                <w:rFonts w:eastAsia="Times New Roman"/>
                <w:i/>
                <w:sz w:val="18"/>
                <w:szCs w:val="20"/>
              </w:rPr>
              <w:t xml:space="preserve"> we know?</w:t>
            </w:r>
          </w:p>
          <w:p w14:paraId="4438C879" w14:textId="77777777" w:rsidR="0093470E" w:rsidRPr="00E16853" w:rsidRDefault="0093470E" w:rsidP="0093470E">
            <w:pPr>
              <w:numPr>
                <w:ilvl w:val="0"/>
                <w:numId w:val="17"/>
              </w:numPr>
              <w:spacing w:before="60" w:after="0" w:line="240" w:lineRule="auto"/>
              <w:ind w:left="446"/>
              <w:rPr>
                <w:rFonts w:eastAsia="Times New Roman"/>
                <w:b/>
                <w:szCs w:val="20"/>
              </w:rPr>
            </w:pPr>
            <w:r w:rsidRPr="00E16853">
              <w:rPr>
                <w:rFonts w:eastAsia="Times New Roman"/>
                <w:b/>
                <w:szCs w:val="20"/>
              </w:rPr>
              <w:t>Organizational evidence</w:t>
            </w:r>
          </w:p>
          <w:p w14:paraId="516F97F5" w14:textId="77777777" w:rsidR="0093470E" w:rsidRPr="00E16853" w:rsidRDefault="0093470E" w:rsidP="0093470E">
            <w:pPr>
              <w:numPr>
                <w:ilvl w:val="0"/>
                <w:numId w:val="15"/>
              </w:numPr>
              <w:spacing w:after="0" w:line="240" w:lineRule="auto"/>
              <w:ind w:left="720" w:hanging="180"/>
              <w:rPr>
                <w:rFonts w:eastAsia="Times New Roman"/>
                <w:i/>
                <w:szCs w:val="20"/>
              </w:rPr>
            </w:pPr>
            <w:r w:rsidRPr="00E16853">
              <w:rPr>
                <w:rFonts w:eastAsia="Times New Roman"/>
                <w:i/>
                <w:szCs w:val="20"/>
              </w:rPr>
              <w:t xml:space="preserve">Information about organization’s capacity to complete the task, e.g., availability of </w:t>
            </w:r>
          </w:p>
          <w:p w14:paraId="41256F37" w14:textId="77777777" w:rsidR="0093470E" w:rsidRPr="00E16853" w:rsidRDefault="0093470E" w:rsidP="0093470E">
            <w:pPr>
              <w:numPr>
                <w:ilvl w:val="1"/>
                <w:numId w:val="15"/>
              </w:numPr>
              <w:spacing w:after="0" w:line="240" w:lineRule="auto"/>
              <w:ind w:left="1267"/>
              <w:rPr>
                <w:rFonts w:eastAsia="Times New Roman"/>
                <w:i/>
                <w:sz w:val="18"/>
                <w:szCs w:val="18"/>
              </w:rPr>
            </w:pPr>
            <w:r w:rsidRPr="00E16853">
              <w:rPr>
                <w:rFonts w:eastAsia="Times New Roman"/>
                <w:i/>
                <w:sz w:val="18"/>
                <w:szCs w:val="18"/>
              </w:rPr>
              <w:t xml:space="preserve">Human resources </w:t>
            </w:r>
          </w:p>
          <w:p w14:paraId="54286952" w14:textId="77777777" w:rsidR="0093470E" w:rsidRPr="00E16853" w:rsidRDefault="0093470E" w:rsidP="0093470E">
            <w:pPr>
              <w:numPr>
                <w:ilvl w:val="1"/>
                <w:numId w:val="15"/>
              </w:numPr>
              <w:spacing w:after="0" w:line="240" w:lineRule="auto"/>
              <w:ind w:left="1260"/>
              <w:rPr>
                <w:rFonts w:eastAsia="Times New Roman"/>
                <w:i/>
                <w:sz w:val="18"/>
                <w:szCs w:val="18"/>
              </w:rPr>
            </w:pPr>
            <w:r w:rsidRPr="00E16853">
              <w:rPr>
                <w:rFonts w:eastAsia="Times New Roman"/>
                <w:i/>
                <w:sz w:val="18"/>
                <w:szCs w:val="18"/>
              </w:rPr>
              <w:t>Managerial expertise</w:t>
            </w:r>
          </w:p>
          <w:p w14:paraId="2D5D4E8D" w14:textId="77777777" w:rsidR="0093470E" w:rsidRPr="00E16853" w:rsidRDefault="0093470E" w:rsidP="0093470E">
            <w:pPr>
              <w:numPr>
                <w:ilvl w:val="1"/>
                <w:numId w:val="15"/>
              </w:numPr>
              <w:spacing w:after="0" w:line="240" w:lineRule="auto"/>
              <w:ind w:left="1260"/>
              <w:rPr>
                <w:rFonts w:eastAsia="Times New Roman"/>
                <w:i/>
                <w:sz w:val="18"/>
                <w:szCs w:val="18"/>
              </w:rPr>
            </w:pPr>
            <w:r w:rsidRPr="00E16853">
              <w:rPr>
                <w:rFonts w:eastAsia="Times New Roman"/>
                <w:i/>
                <w:sz w:val="18"/>
                <w:szCs w:val="18"/>
              </w:rPr>
              <w:t>Funds - reality of limited budgets</w:t>
            </w:r>
          </w:p>
          <w:p w14:paraId="6F9B2FF1" w14:textId="77777777" w:rsidR="0093470E" w:rsidRPr="00E16853" w:rsidRDefault="0093470E" w:rsidP="0093470E">
            <w:pPr>
              <w:numPr>
                <w:ilvl w:val="1"/>
                <w:numId w:val="15"/>
              </w:numPr>
              <w:spacing w:after="60" w:line="240" w:lineRule="auto"/>
              <w:ind w:left="1267"/>
              <w:rPr>
                <w:rFonts w:eastAsia="Times New Roman"/>
                <w:i/>
                <w:szCs w:val="20"/>
              </w:rPr>
            </w:pPr>
            <w:r w:rsidRPr="00E16853">
              <w:rPr>
                <w:rFonts w:eastAsia="Times New Roman"/>
                <w:i/>
                <w:sz w:val="18"/>
                <w:szCs w:val="18"/>
              </w:rPr>
              <w:t>Opportunities to draw from other areas of the organization</w:t>
            </w:r>
          </w:p>
        </w:tc>
        <w:tc>
          <w:tcPr>
            <w:tcW w:w="4464" w:type="dxa"/>
          </w:tcPr>
          <w:p w14:paraId="2F8B1DA6" w14:textId="77777777" w:rsidR="0093470E" w:rsidRPr="00E16853" w:rsidRDefault="0093470E" w:rsidP="0093470E">
            <w:pPr>
              <w:numPr>
                <w:ilvl w:val="0"/>
                <w:numId w:val="17"/>
              </w:numPr>
              <w:spacing w:before="60" w:after="0" w:line="240" w:lineRule="auto"/>
              <w:ind w:left="446"/>
              <w:rPr>
                <w:rFonts w:eastAsia="Times New Roman"/>
                <w:i/>
                <w:szCs w:val="20"/>
              </w:rPr>
            </w:pPr>
            <w:r w:rsidRPr="00E16853">
              <w:rPr>
                <w:rFonts w:eastAsia="Times New Roman"/>
                <w:b/>
                <w:szCs w:val="20"/>
              </w:rPr>
              <w:t>Colloquial evidence</w:t>
            </w:r>
            <w:r w:rsidRPr="00E16853">
              <w:rPr>
                <w:rFonts w:eastAsia="Times New Roman"/>
                <w:i/>
                <w:szCs w:val="20"/>
              </w:rPr>
              <w:t xml:space="preserve"> </w:t>
            </w:r>
          </w:p>
          <w:p w14:paraId="06FD2EC4" w14:textId="77777777" w:rsidR="0093470E" w:rsidRPr="00E16853" w:rsidRDefault="0093470E" w:rsidP="0093470E">
            <w:pPr>
              <w:numPr>
                <w:ilvl w:val="0"/>
                <w:numId w:val="15"/>
              </w:numPr>
              <w:spacing w:after="0" w:line="240" w:lineRule="auto"/>
              <w:ind w:left="900"/>
              <w:rPr>
                <w:rFonts w:eastAsia="Times New Roman"/>
                <w:i/>
                <w:szCs w:val="20"/>
              </w:rPr>
            </w:pPr>
            <w:r w:rsidRPr="00E16853">
              <w:rPr>
                <w:rFonts w:eastAsia="Times New Roman"/>
                <w:i/>
                <w:szCs w:val="20"/>
              </w:rPr>
              <w:t>Environmental scan evidence (evidence from other health units)</w:t>
            </w:r>
          </w:p>
          <w:p w14:paraId="39F7D74A" w14:textId="77777777" w:rsidR="0093470E" w:rsidRPr="00E16853" w:rsidRDefault="0093470E" w:rsidP="0093470E">
            <w:pPr>
              <w:numPr>
                <w:ilvl w:val="1"/>
                <w:numId w:val="15"/>
              </w:numPr>
              <w:spacing w:after="0" w:line="240" w:lineRule="auto"/>
              <w:ind w:left="1260"/>
              <w:rPr>
                <w:rFonts w:eastAsia="Times New Roman"/>
                <w:i/>
                <w:sz w:val="18"/>
                <w:szCs w:val="18"/>
              </w:rPr>
            </w:pPr>
            <w:r w:rsidRPr="00E16853">
              <w:rPr>
                <w:rFonts w:eastAsia="Times New Roman"/>
                <w:i/>
                <w:sz w:val="18"/>
                <w:szCs w:val="18"/>
              </w:rPr>
              <w:t>What are other health units doing?</w:t>
            </w:r>
          </w:p>
          <w:p w14:paraId="740B13A9" w14:textId="77777777" w:rsidR="0093470E" w:rsidRPr="00E16853" w:rsidRDefault="0093470E" w:rsidP="0093470E">
            <w:pPr>
              <w:numPr>
                <w:ilvl w:val="1"/>
                <w:numId w:val="15"/>
              </w:numPr>
              <w:spacing w:after="0" w:line="240" w:lineRule="auto"/>
              <w:ind w:left="1260"/>
              <w:rPr>
                <w:rFonts w:eastAsia="Times New Roman"/>
                <w:i/>
                <w:sz w:val="18"/>
                <w:szCs w:val="18"/>
              </w:rPr>
            </w:pPr>
            <w:r w:rsidRPr="00E16853">
              <w:rPr>
                <w:rFonts w:eastAsia="Times New Roman"/>
                <w:i/>
                <w:sz w:val="18"/>
                <w:szCs w:val="18"/>
              </w:rPr>
              <w:t>Results of outcome and/or process evaluations</w:t>
            </w:r>
          </w:p>
          <w:p w14:paraId="67FE3C2B" w14:textId="77777777" w:rsidR="0093470E" w:rsidRPr="00E16853" w:rsidRDefault="0093470E" w:rsidP="0093470E">
            <w:pPr>
              <w:numPr>
                <w:ilvl w:val="1"/>
                <w:numId w:val="15"/>
              </w:numPr>
              <w:spacing w:after="0" w:line="240" w:lineRule="auto"/>
              <w:ind w:left="1260"/>
              <w:rPr>
                <w:rFonts w:eastAsia="Times New Roman"/>
                <w:i/>
                <w:sz w:val="18"/>
                <w:szCs w:val="18"/>
              </w:rPr>
            </w:pPr>
            <w:r w:rsidRPr="00E16853">
              <w:rPr>
                <w:rFonts w:eastAsia="Times New Roman"/>
                <w:i/>
                <w:sz w:val="18"/>
                <w:szCs w:val="18"/>
              </w:rPr>
              <w:t>Expertise, views and realities of stakeholders</w:t>
            </w:r>
          </w:p>
          <w:p w14:paraId="1F572E8A" w14:textId="77777777" w:rsidR="0093470E" w:rsidRPr="00E16853" w:rsidRDefault="0093470E" w:rsidP="0093470E">
            <w:pPr>
              <w:numPr>
                <w:ilvl w:val="1"/>
                <w:numId w:val="15"/>
              </w:numPr>
              <w:spacing w:after="0" w:line="240" w:lineRule="auto"/>
              <w:ind w:left="1267"/>
              <w:rPr>
                <w:rFonts w:eastAsia="Times New Roman"/>
                <w:i/>
                <w:szCs w:val="20"/>
              </w:rPr>
            </w:pPr>
            <w:r w:rsidRPr="00E16853">
              <w:rPr>
                <w:rFonts w:eastAsia="Times New Roman"/>
                <w:i/>
                <w:sz w:val="18"/>
                <w:szCs w:val="18"/>
              </w:rPr>
              <w:t>Partner or other in-kind resources</w:t>
            </w:r>
          </w:p>
          <w:p w14:paraId="6EA133B4" w14:textId="77777777" w:rsidR="0093470E" w:rsidRPr="00E16853" w:rsidRDefault="0093470E" w:rsidP="0093470E">
            <w:pPr>
              <w:numPr>
                <w:ilvl w:val="0"/>
                <w:numId w:val="17"/>
              </w:numPr>
              <w:spacing w:before="60" w:after="0" w:line="240" w:lineRule="auto"/>
              <w:ind w:left="446"/>
              <w:rPr>
                <w:rFonts w:eastAsia="Times New Roman"/>
                <w:b/>
                <w:szCs w:val="20"/>
              </w:rPr>
            </w:pPr>
            <w:r w:rsidRPr="00E16853">
              <w:rPr>
                <w:rFonts w:eastAsia="Times New Roman"/>
                <w:b/>
                <w:szCs w:val="20"/>
              </w:rPr>
              <w:t>Expert (practice/research) consultation evidence</w:t>
            </w:r>
          </w:p>
          <w:p w14:paraId="39497CD9" w14:textId="77777777" w:rsidR="0093470E" w:rsidRPr="00E16853" w:rsidRDefault="0093470E" w:rsidP="0093470E">
            <w:pPr>
              <w:numPr>
                <w:ilvl w:val="0"/>
                <w:numId w:val="17"/>
              </w:numPr>
              <w:spacing w:before="60" w:after="0" w:line="240" w:lineRule="auto"/>
              <w:ind w:left="446"/>
              <w:rPr>
                <w:rFonts w:eastAsia="Times New Roman"/>
                <w:b/>
                <w:szCs w:val="20"/>
              </w:rPr>
            </w:pPr>
            <w:r w:rsidRPr="00E16853">
              <w:rPr>
                <w:rFonts w:eastAsia="Times New Roman"/>
                <w:b/>
                <w:szCs w:val="20"/>
              </w:rPr>
              <w:t>Political evidence</w:t>
            </w:r>
          </w:p>
          <w:p w14:paraId="53475F6E" w14:textId="77777777" w:rsidR="0093470E" w:rsidRPr="00E16853" w:rsidRDefault="0093470E" w:rsidP="0093470E">
            <w:pPr>
              <w:numPr>
                <w:ilvl w:val="0"/>
                <w:numId w:val="15"/>
              </w:numPr>
              <w:spacing w:after="0" w:line="240" w:lineRule="auto"/>
              <w:ind w:left="711" w:hanging="171"/>
              <w:rPr>
                <w:rFonts w:eastAsia="Times New Roman"/>
                <w:i/>
                <w:szCs w:val="20"/>
              </w:rPr>
            </w:pPr>
            <w:r w:rsidRPr="00E16853">
              <w:rPr>
                <w:rFonts w:eastAsia="Times New Roman"/>
                <w:i/>
                <w:szCs w:val="20"/>
              </w:rPr>
              <w:t xml:space="preserve">Public attitudes towards proposed policies, media reaction </w:t>
            </w:r>
          </w:p>
          <w:p w14:paraId="7424ED8D" w14:textId="77777777" w:rsidR="0093470E" w:rsidRPr="00E16853" w:rsidRDefault="0093470E" w:rsidP="0093470E">
            <w:pPr>
              <w:numPr>
                <w:ilvl w:val="0"/>
                <w:numId w:val="15"/>
              </w:numPr>
              <w:spacing w:after="0" w:line="240" w:lineRule="auto"/>
              <w:ind w:left="900"/>
              <w:rPr>
                <w:rFonts w:eastAsia="Times New Roman"/>
                <w:i/>
                <w:szCs w:val="20"/>
              </w:rPr>
            </w:pPr>
            <w:r w:rsidRPr="00E16853">
              <w:rPr>
                <w:rFonts w:eastAsia="Times New Roman"/>
                <w:i/>
                <w:szCs w:val="20"/>
              </w:rPr>
              <w:t>Legislation or Ministry Guidelines</w:t>
            </w:r>
          </w:p>
          <w:p w14:paraId="47BA3E52" w14:textId="77777777" w:rsidR="0093470E" w:rsidRPr="00E16853" w:rsidRDefault="0093470E" w:rsidP="0093470E">
            <w:pPr>
              <w:numPr>
                <w:ilvl w:val="0"/>
                <w:numId w:val="15"/>
              </w:numPr>
              <w:spacing w:after="0" w:line="240" w:lineRule="auto"/>
              <w:ind w:left="907"/>
              <w:rPr>
                <w:rFonts w:eastAsia="Times New Roman"/>
                <w:i/>
                <w:szCs w:val="20"/>
              </w:rPr>
            </w:pPr>
            <w:r w:rsidRPr="00E16853">
              <w:rPr>
                <w:rFonts w:eastAsia="Times New Roman"/>
                <w:i/>
                <w:szCs w:val="20"/>
              </w:rPr>
              <w:t>Community Values</w:t>
            </w:r>
          </w:p>
          <w:p w14:paraId="4EF5B29E" w14:textId="77777777" w:rsidR="0093470E" w:rsidRPr="00E16853" w:rsidRDefault="0093470E" w:rsidP="0093470E">
            <w:pPr>
              <w:numPr>
                <w:ilvl w:val="0"/>
                <w:numId w:val="17"/>
              </w:numPr>
              <w:spacing w:before="60" w:after="0" w:line="240" w:lineRule="auto"/>
              <w:ind w:left="446"/>
              <w:rPr>
                <w:rFonts w:eastAsia="Times New Roman"/>
                <w:b/>
                <w:szCs w:val="20"/>
              </w:rPr>
            </w:pPr>
            <w:r w:rsidRPr="00E16853">
              <w:rPr>
                <w:rFonts w:eastAsia="Times New Roman"/>
                <w:b/>
                <w:szCs w:val="20"/>
              </w:rPr>
              <w:t xml:space="preserve">Community evidence </w:t>
            </w:r>
          </w:p>
          <w:p w14:paraId="42D247A4" w14:textId="77777777" w:rsidR="0093470E" w:rsidRPr="00E16853" w:rsidRDefault="0093470E" w:rsidP="0093470E">
            <w:pPr>
              <w:numPr>
                <w:ilvl w:val="0"/>
                <w:numId w:val="15"/>
              </w:numPr>
              <w:spacing w:after="0" w:line="240" w:lineRule="auto"/>
              <w:ind w:left="900"/>
              <w:rPr>
                <w:rFonts w:eastAsia="Times New Roman"/>
                <w:i/>
                <w:szCs w:val="20"/>
              </w:rPr>
            </w:pPr>
            <w:r w:rsidRPr="00E16853">
              <w:rPr>
                <w:rFonts w:eastAsia="Times New Roman"/>
                <w:i/>
                <w:szCs w:val="20"/>
              </w:rPr>
              <w:t>Habits and traditions</w:t>
            </w:r>
          </w:p>
          <w:p w14:paraId="18133C2B" w14:textId="77777777" w:rsidR="0093470E" w:rsidRPr="00E16853" w:rsidRDefault="0093470E" w:rsidP="0093470E">
            <w:pPr>
              <w:numPr>
                <w:ilvl w:val="0"/>
                <w:numId w:val="15"/>
              </w:numPr>
              <w:spacing w:after="0" w:line="240" w:lineRule="auto"/>
              <w:ind w:left="907"/>
              <w:rPr>
                <w:rFonts w:eastAsia="Times New Roman"/>
                <w:i/>
                <w:szCs w:val="20"/>
              </w:rPr>
            </w:pPr>
            <w:r w:rsidRPr="00E16853">
              <w:rPr>
                <w:rFonts w:eastAsia="Times New Roman"/>
                <w:i/>
                <w:szCs w:val="20"/>
              </w:rPr>
              <w:t>Lobbyists and pressure groups</w:t>
            </w:r>
          </w:p>
          <w:p w14:paraId="34F7EC14" w14:textId="77777777" w:rsidR="0093470E" w:rsidRPr="00E16853" w:rsidRDefault="0093470E" w:rsidP="0093470E">
            <w:pPr>
              <w:numPr>
                <w:ilvl w:val="0"/>
                <w:numId w:val="17"/>
              </w:numPr>
              <w:spacing w:before="60" w:after="60" w:line="240" w:lineRule="auto"/>
              <w:ind w:left="446"/>
              <w:rPr>
                <w:rFonts w:eastAsia="Times New Roman"/>
                <w:i/>
                <w:sz w:val="19"/>
                <w:szCs w:val="19"/>
              </w:rPr>
            </w:pPr>
            <w:r w:rsidRPr="00E16853">
              <w:rPr>
                <w:rFonts w:eastAsia="Times New Roman"/>
                <w:b/>
                <w:szCs w:val="20"/>
              </w:rPr>
              <w:t>Pragmatics and contingencies of situation</w:t>
            </w:r>
          </w:p>
        </w:tc>
      </w:tr>
    </w:tbl>
    <w:p w14:paraId="36024B40" w14:textId="79AA9EC2" w:rsidR="00E833DA" w:rsidRPr="00E833DA" w:rsidRDefault="00E833DA" w:rsidP="00E833DA">
      <w:pPr>
        <w:pStyle w:val="Caption"/>
      </w:pPr>
      <w:bookmarkStart w:id="87" w:name="_Toc509951280"/>
      <w:r>
        <w:t xml:space="preserve">Figure </w:t>
      </w:r>
      <w:fldSimple w:instr=" SEQ Figure \* ARABIC ">
        <w:r w:rsidR="004240AA">
          <w:rPr>
            <w:noProof/>
          </w:rPr>
          <w:t>7</w:t>
        </w:r>
      </w:fldSimple>
      <w:r>
        <w:t>:</w:t>
      </w:r>
      <w:r w:rsidRPr="00E833DA">
        <w:t xml:space="preserve"> </w:t>
      </w:r>
      <w:r w:rsidRPr="00E16853">
        <w:t>Forms of evidence necessary for informing evidence-informed practice and policy (Health Evidence, 2016)</w:t>
      </w:r>
      <w:bookmarkEnd w:id="87"/>
    </w:p>
    <w:p w14:paraId="1A027B81" w14:textId="77777777" w:rsidR="0093470E" w:rsidRPr="0091711A" w:rsidRDefault="0093470E" w:rsidP="0093470E">
      <w:r w:rsidRPr="0091711A">
        <w:t xml:space="preserve">In addition to a broader view of forms of evidence applicable for informing practice and policy, two additional criteria were identified within the literature as important to include in the quality assessment process. This includes evidence that contributes practitioner and policy-relevant knowledge, as well as evidence that </w:t>
      </w:r>
      <w:r w:rsidRPr="0091711A">
        <w:lastRenderedPageBreak/>
        <w:t xml:space="preserve">contributes ‘implementable’ knowledge. Interestingly, </w:t>
      </w:r>
      <w:proofErr w:type="spellStart"/>
      <w:r w:rsidRPr="0091711A">
        <w:t>operationalising</w:t>
      </w:r>
      <w:proofErr w:type="spellEnd"/>
      <w:r w:rsidRPr="0091711A">
        <w:t xml:space="preserve"> both these criteria in the quality assessment process was reported to require input directly from practitioners and policymakers. </w:t>
      </w:r>
    </w:p>
    <w:p w14:paraId="6C48D575" w14:textId="77777777" w:rsidR="0093470E" w:rsidRDefault="0093470E" w:rsidP="00716D4E">
      <w:pPr>
        <w:pStyle w:val="NumberedHeading3"/>
        <w:rPr>
          <w:noProof/>
        </w:rPr>
      </w:pPr>
      <w:bookmarkStart w:id="88" w:name="_Toc509950643"/>
      <w:r w:rsidRPr="00E16853">
        <w:rPr>
          <w:noProof/>
        </w:rPr>
        <w:t>‘Actionable’,‘implementable’ and relevant knowledge</w:t>
      </w:r>
      <w:bookmarkEnd w:id="88"/>
      <w:r w:rsidRPr="00E16853">
        <w:rPr>
          <w:noProof/>
        </w:rPr>
        <w:t xml:space="preserve"> </w:t>
      </w:r>
    </w:p>
    <w:p w14:paraId="4131E24A" w14:textId="77777777" w:rsidR="0093470E" w:rsidRPr="0091711A" w:rsidRDefault="0093470E" w:rsidP="0093470E">
      <w:r w:rsidRPr="0091711A">
        <w:t xml:space="preserve">It is only knowledge that is considered usable that will be able to inform practice and policy. If this is the aim of the evidence synthesis process, then high quality evidence would need to contribute this type of knowledge. To achieve this, some institutions incorporate practitioners and policymakers into the review process </w:t>
      </w:r>
      <w:r w:rsidRPr="0091711A">
        <w:fldChar w:fldCharType="begin" w:fldLock="1"/>
      </w:r>
      <w:r w:rsidRPr="0091711A">
        <w:instrText>ADDIN CSL_CITATION { "citationItems" : [ { "id" : "ITEM-1", "itemData" : { "DOI" : "10.1093/bjsw/bcu143", "ISSN" : "0045-3102", "abstract" : "This paper reviews the lessons for evidence-based policy and practice (EBP) arising from the work of the Social Care Institute for Excellence (SCIE), a government-funded agency established in 2001 to improve social care in the UK. The paper describes a ten-year programme developing an inclusive approach to what counts as knowledge, and the challenges in ensuring that knowledge is relevant to improving practice in social work and social care. These challenges include reviewing what counts as evidence in EBP, changing the relationship between EBP and practice, and recognising the scientific value (as well as the moral imperative) of including the knowledge held by people who use services. In methodological terms, the work includes developing systematic qualitative synthesis to take account of a broader range of evidence and economic evaluation appropriate to social care. The paper concludes with a discussion of some implications for international debates about the role of evidence-based policy and practice.", "author" : [ { "dropping-particle" : "", "family" : "Fisher", "given" : "Mike", "non-dropping-particle" : "", "parse-names" : false, "suffix" : "" } ], "container-title" : "British Journal of Social Work", "id" : "ITEM-1", "issue" : "2", "issued" : { "date-parts" : [ [ "2016" ] ] }, "page" : "498-513", "title" : "The Social Care Institute for Excellence and Evidence-Based Policy and Practice: Table 1", "type" : "article-journal", "volume" : "46" }, "uris" : [ "http://www.mendeley.com/documents/?uuid=cb51d5fc-eab8-4002-86d8-305c2c7e1677" ] }, { "id" : "ITEM-2", "itemData" : { "DOI" : "https://dx.doi.org/10.1186/1471-2458-10-496", "ISSN" : "1471-2458",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"ITEM-2", "issued" : { "date-parts" : [ [ "2010" ] ] }, "page" : "496", "publisher-place" : "England", "title" : "A knowledge management tool for public health: health-evidence.ca.", "type" : "article-journal", "volume" : "10" }, "uris" : [ "http://www.mendeley.com/documents/?uuid=9771b0e4-a6ca-4b8d-ba34-b171083a98a1" ] }, { "id" : "ITEM-3", "itemData" : { "author" : [ { "dropping-particle" : "", "family" : "WHO", "given" : "", "non-dropping-particle" : "", "parse-names" : false, "suffix" : "" } ], "id" : "ITEM-3", "issue" : "October", "issued" : { "date-parts" : [ [ "2013" ] ] }, "title" : "Use of systematic reviews of the evidence in public health nutrition: proceedings of an informal consultation held.", "type" : "article-journal" }, "uris" : [ "http://www.mendeley.com/documents/?uuid=5dddd053-2c12-49ba-a7ff-7853ec6adb7c" ] } ], "mendeley" : { "formattedCitation" : "(Dobbins, DeCorby, et al., 2010; Fisher, 2016; WHO, 2013b)", "plainTextFormattedCitation" : "(Dobbins, DeCorby, et al., 2010; Fisher, 2016; WHO, 2013b)", "previouslyFormattedCitation" : "(Dobbins, DeCorby, et al., 2010; Fisher, 2016; WHO, 2013b)" }, "properties" : {  }, "schema" : "https://github.com/citation-style-language/schema/raw/master/csl-citation.json" }</w:instrText>
      </w:r>
      <w:r w:rsidRPr="0091711A">
        <w:fldChar w:fldCharType="separate"/>
      </w:r>
      <w:r w:rsidRPr="0091711A">
        <w:rPr>
          <w:noProof/>
        </w:rPr>
        <w:t>(Dobbins, DeCorby, et al., 2010; Fisher, 2016; WHO, 2013b)</w:t>
      </w:r>
      <w:r w:rsidRPr="0091711A">
        <w:fldChar w:fldCharType="end"/>
      </w:r>
      <w:r w:rsidRPr="0091711A">
        <w:t xml:space="preserve">. The statement from the Social Care Institute for Excellence (SCIE) reflects their view of assessing quality evidence. </w:t>
      </w:r>
    </w:p>
    <w:p w14:paraId="31C3033B" w14:textId="77777777" w:rsidR="0093470E" w:rsidRPr="00550723" w:rsidRDefault="0093470E" w:rsidP="005A0A24">
      <w:pPr>
        <w:ind w:left="800" w:right="26"/>
        <w:rPr>
          <w:i/>
        </w:rPr>
      </w:pPr>
      <w:r w:rsidRPr="00550723">
        <w:rPr>
          <w:i/>
        </w:rPr>
        <w:t>We began to understand that national policy requires more than evidence of effectiveness: we also need to know whether the intervention can be provided in ordinary services (not just under experimental conditions), whether it is acceptable to the people it was designed to assist and whether it is affordable. It was therefore never an option that SCIE would simply adopt the unmodified methods of EBP or the original review guidelines of the Campbell Collaboration. Instead, SCIE set about constructing an ‘inclusive’ approach to evidence for practice—one that took account of research-based evidence on effectiveness but also incorporated the knowledge of different stakeholders, and economic evidence.</w:t>
      </w:r>
      <w:r w:rsidRPr="00550723">
        <w:rPr>
          <w:i/>
        </w:rPr>
        <w:fldChar w:fldCharType="begin" w:fldLock="1"/>
      </w:r>
      <w:r w:rsidRPr="00550723">
        <w:rPr>
          <w:i/>
        </w:rPr>
        <w:instrText>ADDIN CSL_CITATION { "citationItems" : [ { "id" : "ITEM-1", "itemData" : { "DOI" : "10.1093/bjsw/bcu143", "ISSN" : "0045-3102", "abstract" : "This paper reviews the lessons for evidence-based policy and practice (EBP) arising from the work of the Social Care Institute for Excellence (SCIE), a government-funded agency established in 2001 to improve social care in the UK. The paper describes a ten-year programme developing an inclusive approach to what counts as knowledge, and the challenges in ensuring that knowledge is relevant to improving practice in social work and social care. These challenges include reviewing what counts as evidence in EBP, changing the relationship between EBP and practice, and recognising the scientific value (as well as the moral imperative) of including the knowledge held by people who use services. In methodological terms, the work includes developing systematic qualitative synthesis to take account of a broader range of evidence and economic evaluation appropriate to social care. The paper concludes with a discussion of some implications for international debates about the role of evidence-based policy and practice.", "author" : [ { "dropping-particle" : "", "family" : "Fisher", "given" : "Mike", "non-dropping-particle" : "", "parse-names" : false, "suffix" : "" } ], "container-title" : "British Journal of Social Work", "id" : "ITEM-1", "issue" : "2", "issued" : { "date-parts" : [ [ "2016" ] ] }, "page" : "498-513", "title" : "The Social Care Institute for Excellence and Evidence-Based Policy and Practice: Table 1", "type" : "article-journal", "volume" : "46" }, "locator" : "502", "uris" : [ "http://www.mendeley.com/documents/?uuid=cb51d5fc-eab8-4002-86d8-305c2c7e1677" ] } ], "mendeley" : { "formattedCitation" : "(Fisher, 2016, p. 502)", "plainTextFormattedCitation" : "(Fisher, 2016, p. 502)", "previouslyFormattedCitation" : "(Fisher, 2016, p. 502)" }, "properties" : {  }, "schema" : "https://github.com/citation-style-language/schema/raw/master/csl-citation.json" }</w:instrText>
      </w:r>
      <w:r w:rsidRPr="00550723">
        <w:rPr>
          <w:i/>
        </w:rPr>
        <w:fldChar w:fldCharType="separate"/>
      </w:r>
      <w:r w:rsidRPr="00550723">
        <w:rPr>
          <w:i/>
          <w:noProof/>
        </w:rPr>
        <w:t>(Fisher, 2016, p. 502)</w:t>
      </w:r>
      <w:r w:rsidRPr="00550723">
        <w:rPr>
          <w:i/>
        </w:rPr>
        <w:fldChar w:fldCharType="end"/>
      </w:r>
    </w:p>
    <w:p w14:paraId="215FB9D0" w14:textId="77777777" w:rsidR="0093470E" w:rsidRPr="00E16853" w:rsidRDefault="0093470E" w:rsidP="00716D4E">
      <w:pPr>
        <w:pStyle w:val="NumberedHeading3"/>
      </w:pPr>
      <w:bookmarkStart w:id="89" w:name="_Toc509950644"/>
      <w:r w:rsidRPr="00E16853">
        <w:t>Role of content experts and evidence and consensus statements from professional organisations</w:t>
      </w:r>
      <w:bookmarkEnd w:id="89"/>
      <w:r w:rsidRPr="00E16853">
        <w:t xml:space="preserve"> </w:t>
      </w:r>
    </w:p>
    <w:p w14:paraId="7068300F" w14:textId="758CD88E" w:rsidR="0093470E" w:rsidRPr="0091711A" w:rsidRDefault="0093470E" w:rsidP="0093470E">
      <w:r w:rsidRPr="0091711A">
        <w:t>Finally, the reviewed literature highlight</w:t>
      </w:r>
      <w:r w:rsidR="00452CFD">
        <w:t>s</w:t>
      </w:r>
      <w:r w:rsidRPr="0091711A">
        <w:t xml:space="preserve"> the need to include or align definitions of quality evidence in accordance with evidence/consensus statements from professional associations, think tanks and international organisations such as the World Bank, the WHO, the OECD, UNESCO and the United Nations </w:t>
      </w:r>
      <w:r w:rsidRPr="0091711A">
        <w:fldChar w:fldCharType="begin" w:fldLock="1"/>
      </w:r>
      <w:r w:rsidRPr="0091711A">
        <w:instrText>ADDIN CSL_CITATION { "citationItems" : [ { "id" : "ITEM-1", "itemData" : { "DOI" : "10.1016/j.evalprogplan.2014.09.007", "ISSN" : "01497189", "PMID" : "25450778", "abstract" : "Decision makers need timely and credible information about the effectiveness of behavioral health interventions. Online evidence-based program registers (EBPRs) have been developed to address this need. However, the methods by which these registers determine programs and practices as being \"evidence-based\" has not been investigated in detail. This paper examines the evidentiary criteria EBPRs use to rate programs and the implications for how different registers rate the same programs. Although the registers tend to employ a standard Campbellian hierarchy of evidence to assess evaluation results, there is also considerable disagreement among the registers about what constitutes an adequate research design and sufficient data for designating a program as evidence-based. Additionally, differences exist in how registers report findings of \"no effect,\" which may deprive users of important information. Of all programs on the 15 registers that rate individual programs, 79% appear on only one register. Among a random sample of 100 programs rated by more than one register, 42% were inconsistently rated by the multiple registers to some degree.", "author" : [ { "dropping-particle" : "", "family" : "Means", "given" : "Stephanie N.", "non-dropping-particle" : "", "parse-names" : false, "suffix" : "" }, { "dropping-particle" : "", "family" : "Magura", "given" : "Stephen", "non-dropping-particle" : "", "parse-names" : false, "suffix" : "" }, { "dropping-particle" : "", "family" : "Burkhardt", "given" : "Jason T.", "non-dropping-particle" : "", "parse-names" : false, "suffix" : "" }, { "dropping-particle" : "", "family" : "Schr\u00f6ter", "given" : "Daniela C.", "non-dropping-particle" : "", "parse-names" : false, "suffix" : "" }, { "dropping-particle" : "", "family" : "Coryn", "given" : "Chris L.S.", "non-dropping-particle" : "", "parse-names" : false, "suffix" : "" } ], "container-title" : "Evaluation and Program Planning", "id" : "ITEM-1", "issued" : { "date-parts" : [ [ "2015" ] ] }, "page" : "100-116", "title" : "Comparing rating paradigms for evidence-based program registers in behavioral health: Evidentiary criteria and implications for assessing programs", "type" : "article-journal", "volume" : "48" }, "uris" : [ "http://www.mendeley.com/documents/?uuid=8429ee35-ebd0-44e7-954c-059ffbe6285f" ] }, { "id" : "ITEM-2", "itemData" : { "ISBN" : "9241506857", "abstract" : "The Policy Guide emerged from a series of multi-stakeholder consultations by networks of partners working on policies which affect reproductive, maternal, newborn, child and adolescent health. The document is designed for an audience of policy-makers, programme managers and advocates who seek to classify and assess information on specific policies to promote the implementation of essential reproductive, maternal, newborn and child health interventions to address the main causes of maternal, newborn and child ill-health and deaths", "author" : [ { "dropping-particle" : "", "family" : "WHO", "given" : "", "non-dropping-particle" : "", "parse-names" : false, "suffix" : "" } ], "id" : "ITEM-2", "issued" : { "date-parts" : [ [ "2014" ] ] }, "page" : "1-56", "title" : "A Policy Guide for Implementing Essential Interventions for Reproductive, Maternal, Newborn and Child Health (RMNCH): A Multisectoral Policy Compendium for RMNCH", "type" : "article-journal" }, "uris" : [ "http://www.mendeley.com/documents/?uuid=894d2e5f-4dd3-4ee0-8e34-41bc5b1e2717" ] }, { "id" : "ITEM-3", "itemData" : { "DOI" : "10.1207/s15324796abm2803_11", "ISSN" : "0883-6612", "PMID" : "15576261", "abstract" : "Multiple review systems have been established within medicine and psychology to evaluate and disseminate research findings to clinical practice.", "author" : [ { "dropping-particle" : "", "family" : "Davidson", "given" : "Karina W", "non-dropping-particle" : "", "parse-names" : false, "suffix" : "" }, { "dropping-particle" : "", "family" : "Trudeau", "given" : "Kimberlee J", "non-dropping-particle" : "", "parse-names" : false, "suffix" : "" }, { "dropping-particle" : "", "family" : "Ockene", "given" : "Judith K", "non-dropping-particle" : "", "parse-names" : false, "suffix" : "" }, { "dropping-particle" : "", "family" : "Orleans", "given" : "C Tracy", "non-dropping-particle" : "", "parse-names" : false, "suffix" : "" }, { "dropping-particle" : "", "family" : "Kaplan", "given" : "Robert M", "non-dropping-particle" : "", "parse-names" : false, "suffix" : "" } ], "container-title" : "Annals of behavioral medicine", "id" : "ITEM-3", "issue" : "3", "issued" : { "date-parts" : [ [ "2004" ] ] }, "page" : "226-38", "title" : "A primer on current evidence-based review systems and their implications for behavioral medicine.", "type" : "article-journal", "volume" : "28" }, "uris" : [ "http://www.mendeley.com/documents/?uuid=320dadd8-85a5-4723-a90f-45107fd5299e" ] }, { "id" : "ITEM-4", "itemData" : { "DOI" : "10.1007/s10643-015-0722-5", "ISSN" : "15731707", "abstract" : "The era of educational accountability has drawn attention to a need for the use of evidence-based practices (EBPs) in today's classrooms. The existence of a research-to-practice gap is well established in the field of early childhood education (ECE), and significant barriers to the use of EBPs by practitioners have been documented through research. A number of free, easily accessible, high-quality websites are available for independent use by practitioners that help promote EBPs; however, practitioners are often unaware of these sites. This article explores the research about EBPs in ECE and provides information on selected federally funded websites that can be used to increase practitioners' knowledge of EBPs for their work with young children. [ABSTRACT FROM AUTHOR]", "author" : [ { "dropping-particle" : "", "family" : "Purper", "given" : "Cammy J.", "non-dropping-particle" : "", "parse-names" : false, "suffix" : "" } ], "container-title" : "Early Childhood Education Journal", "id" : "ITEM-4", "issue" : "4", "issued" : { "date-parts" : [ [ "2016" ] ] }, "page" : "403-408", "publisher" : "Springer Netherlands", "title" : "Right at Your Fingertips: Important Web-Based Resources for Understanding Evidence-Based Practices", "type" : "article-journal", "volume" : "44" }, "uris" : [ "http://www.mendeley.com/documents/?uuid=1f35d74e-fe8b-43e8-abd1-42386f346ddb" ] } ], "mendeley" : { "formattedCitation" : "(Davidson, Trudeau, Ockene, Orleans, &amp; Kaplan, 2004; Means et al., 2015; Purper, 2016; WHO, 2014)", "plainTextFormattedCitation" : "(Davidson, Trudeau, Ockene, Orleans, &amp; Kaplan, 2004; Means et al., 2015; Purper, 2016; WHO, 2014)", "previouslyFormattedCitation" : "(Davidson, Trudeau, Ockene, Orleans, &amp; Kaplan, 2004; Means et al., 2015; Purper, 2016; WHO, 2014)" }, "properties" : {  }, "schema" : "https://github.com/citation-style-language/schema/raw/master/csl-citation.json" }</w:instrText>
      </w:r>
      <w:r w:rsidRPr="0091711A">
        <w:fldChar w:fldCharType="separate"/>
      </w:r>
      <w:r w:rsidRPr="0091711A">
        <w:rPr>
          <w:noProof/>
        </w:rPr>
        <w:t>(</w:t>
      </w:r>
      <w:bookmarkStart w:id="90" w:name="_Hlk509231207"/>
      <w:r w:rsidRPr="0091711A">
        <w:rPr>
          <w:noProof/>
        </w:rPr>
        <w:t>Davidson, Trudeau, Ockene, Orleans, &amp; Kaplan, 2004</w:t>
      </w:r>
      <w:bookmarkEnd w:id="90"/>
      <w:r w:rsidRPr="0091711A">
        <w:rPr>
          <w:noProof/>
        </w:rPr>
        <w:t>; Means et al., 2015; Purper, 2016; WHO, 2014)</w:t>
      </w:r>
      <w:r w:rsidRPr="0091711A">
        <w:fldChar w:fldCharType="end"/>
      </w:r>
      <w:r w:rsidRPr="0091711A">
        <w:t xml:space="preserve">. </w:t>
      </w:r>
    </w:p>
    <w:p w14:paraId="6808A4EF" w14:textId="77777777" w:rsidR="0093470E" w:rsidRPr="0091711A" w:rsidRDefault="0093470E" w:rsidP="0093470E">
      <w:r w:rsidRPr="0091711A">
        <w:t xml:space="preserve">These statements may be included in the quality assessment process or they may be used to identify primary sources of evidence to review and synthesise. In addition, it was reported that sector experts from such organisations were recruited by some institutions to review the quality assessment process, or assess the quality of evidence themselves. WHO’s description of those involved in developing evidence-based guidelines for information policy and practice illustrates that experts and intended end-users were involved. </w:t>
      </w:r>
    </w:p>
    <w:p w14:paraId="2EAC5DD6" w14:textId="77777777" w:rsidR="0093470E" w:rsidRPr="00550723" w:rsidRDefault="0093470E" w:rsidP="005A0A24">
      <w:pPr>
        <w:ind w:left="800"/>
        <w:rPr>
          <w:i/>
        </w:rPr>
      </w:pPr>
      <w:r w:rsidRPr="00550723">
        <w:rPr>
          <w:i/>
        </w:rPr>
        <w:t>By design, the process was steered by the WHO secretariat with the support of the core guideline development group that included content experts for specialties involved, a methodologist and representatives of potential stakeholders and that maintained a geographic and gender balance.</w:t>
      </w:r>
      <w:r w:rsidRPr="00550723">
        <w:rPr>
          <w:i/>
        </w:rPr>
        <w:fldChar w:fldCharType="begin" w:fldLock="1"/>
      </w:r>
      <w:r w:rsidRPr="00550723">
        <w:rPr>
          <w:i/>
        </w:rPr>
        <w:instrText>ADDIN CSL_CITATION { "citationItems" : [ { "id" : "ITEM-1", "itemData" : { "DOI" : "10.1613/jair.301", "ISBN" : "9789241506502", "ISSN" : "1098-6596", "PMID" : "26042324", "abstract" : "122 p.", "author" : [ { "dropping-particle" : "", "family" : "WHO", "given" : "", "non-dropping-particle" : "", "parse-names" : false, "suffix" : "" } ], "id" : "ITEM-1", "issued" : { "date-parts" : [ [ "2013" ] ] }, "number-of-pages" : "124", "publisher-place" : "Geneva, Switzerland", "title" : "Transforming and scaling up health professionals\u2019 education and training: World Health Organization guidelines 2013", "type" : "report" }, "locator" : "17", "uris" : [ "http://www.mendeley.com/documents/?uuid=7e487b14-cf02-44c1-9b0b-e78d9b6dfe25" ] } ], "mendeley" : { "formattedCitation" : "(WHO, 2013a, p. 17)", "plainTextFormattedCitation" : "(WHO, 2013a, p. 17)", "previouslyFormattedCitation" : "(WHO, 2013a, p. 17)" }, "properties" : {  }, "schema" : "https://github.com/citation-style-language/schema/raw/master/csl-citation.json" }</w:instrText>
      </w:r>
      <w:r w:rsidRPr="00550723">
        <w:rPr>
          <w:i/>
        </w:rPr>
        <w:fldChar w:fldCharType="separate"/>
      </w:r>
      <w:r w:rsidRPr="00550723">
        <w:rPr>
          <w:i/>
          <w:noProof/>
        </w:rPr>
        <w:t>(WHO, 2013a, p. 17)</w:t>
      </w:r>
      <w:r w:rsidRPr="00550723">
        <w:rPr>
          <w:i/>
        </w:rPr>
        <w:fldChar w:fldCharType="end"/>
      </w:r>
      <w:r w:rsidRPr="00550723">
        <w:rPr>
          <w:i/>
        </w:rPr>
        <w:t xml:space="preserve"> </w:t>
      </w:r>
    </w:p>
    <w:p w14:paraId="25989BA2" w14:textId="77777777" w:rsidR="0093470E" w:rsidRPr="00E16853" w:rsidRDefault="0093470E" w:rsidP="007674CF">
      <w:pPr>
        <w:pStyle w:val="NumberedHeading2"/>
      </w:pPr>
      <w:bookmarkStart w:id="91" w:name="_Toc508637956"/>
      <w:bookmarkStart w:id="92" w:name="_Toc509950645"/>
      <w:r w:rsidRPr="00E16853">
        <w:t xml:space="preserve">Function 3: Knowledge </w:t>
      </w:r>
      <w:r w:rsidR="005D0608">
        <w:t>t</w:t>
      </w:r>
      <w:r w:rsidRPr="00E16853">
        <w:t xml:space="preserve">ransfer, </w:t>
      </w:r>
      <w:r w:rsidR="005D0608">
        <w:t>brokering and m</w:t>
      </w:r>
      <w:r w:rsidRPr="00E16853">
        <w:t>anagement</w:t>
      </w:r>
      <w:bookmarkEnd w:id="91"/>
      <w:bookmarkEnd w:id="92"/>
      <w:r w:rsidRPr="00E16853">
        <w:t xml:space="preserve"> </w:t>
      </w:r>
    </w:p>
    <w:p w14:paraId="6A9754DD" w14:textId="77777777" w:rsidR="0093470E" w:rsidRPr="0091711A" w:rsidRDefault="004710B0" w:rsidP="004710B0">
      <w:r>
        <w:t xml:space="preserve">The management, brokering and transfer of knowledge is a function of research and institutions that is comparatively well-evidenced. </w:t>
      </w:r>
      <w:r w:rsidR="0093470E" w:rsidRPr="0091711A">
        <w:t xml:space="preserve">Quality practice in this area is characterised by interactive and active knowledge translation, effective knowledge storage, involvement of the intended end-user(s) and finally, data linkage where appropriate. </w:t>
      </w:r>
    </w:p>
    <w:p w14:paraId="4A9F9945" w14:textId="77777777" w:rsidR="00F5119F" w:rsidRPr="0091711A" w:rsidRDefault="0093470E" w:rsidP="0093470E">
      <w:pPr>
        <w:sectPr w:rsidR="00F5119F" w:rsidRPr="0091711A" w:rsidSect="008C52B2">
          <w:pgSz w:w="11906" w:h="16838"/>
          <w:pgMar w:top="1440" w:right="1440" w:bottom="1440" w:left="1440" w:header="708" w:footer="708" w:gutter="0"/>
          <w:cols w:space="708"/>
          <w:titlePg/>
          <w:docGrid w:linePitch="360"/>
        </w:sectPr>
      </w:pPr>
      <w:r w:rsidRPr="0091711A">
        <w:t xml:space="preserve">Effective knowledge translation and dissemination was reported to be critical to the effectiveness of institutions that aim to support evidence-informed policy and practice </w:t>
      </w:r>
      <w:r w:rsidRPr="0091711A">
        <w:fldChar w:fldCharType="begin" w:fldLock="1"/>
      </w:r>
      <w:r w:rsidRPr="0091711A">
        <w:instrText>ADDIN CSL_CITATION { "citationItems" : [ { "id" : "ITEM-1",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"ITEM-1",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"(LaRocca et al., 2012)", "plainTextFormattedCitation" : "(LaRocca et al., 2012)", "previouslyFormattedCitation" : "(LaRocca et al., 2012)" }, "properties" : {  }, "schema" : "https://github.com/citation-style-language/schema/raw/master/csl-citation.json" }</w:instrText>
      </w:r>
      <w:r w:rsidRPr="0091711A">
        <w:fldChar w:fldCharType="separate"/>
      </w:r>
      <w:bookmarkStart w:id="93" w:name="_Hlk509231224"/>
      <w:r w:rsidRPr="0091711A">
        <w:rPr>
          <w:noProof/>
        </w:rPr>
        <w:t>(LaRocca et al., 2012</w:t>
      </w:r>
      <w:bookmarkEnd w:id="93"/>
      <w:r w:rsidRPr="0091711A">
        <w:rPr>
          <w:noProof/>
        </w:rPr>
        <w:t>)</w:t>
      </w:r>
      <w:r w:rsidRPr="0091711A">
        <w:fldChar w:fldCharType="end"/>
      </w:r>
      <w:r w:rsidRPr="0091711A">
        <w:t xml:space="preserve">. The translation and dissemination of knowledge to intended users can be challenging; barriers to effective knowledge transfer are well documented in the </w:t>
      </w:r>
      <w:r w:rsidRPr="0091711A">
        <w:rPr>
          <w:noProof/>
        </w:rPr>
        <w:t>literature</w:t>
      </w:r>
      <w:r w:rsidRPr="0091711A">
        <w:t xml:space="preserve"> and include individual and </w:t>
      </w:r>
      <w:r w:rsidRPr="0091711A">
        <w:rPr>
          <w:noProof/>
        </w:rPr>
        <w:t>organisational</w:t>
      </w:r>
      <w:r w:rsidRPr="0091711A">
        <w:t xml:space="preserve"> factors. Studies mention limited opportunities for practitioners to participate in knowledge translation processes, poor contextualisation and application of knowledge to practitioners’ needs, and lack of practitioners’ training in evidence-informed policy and practice. Institutions can also be constrained by limited expertise or training in knowledge translations and limited structured frameworks to translate and disseminate knowledge. </w:t>
      </w:r>
    </w:p>
    <w:p w14:paraId="67C7D6FD" w14:textId="77777777" w:rsidR="00F5119F" w:rsidRDefault="00F5119F" w:rsidP="0093470E">
      <w:pPr>
        <w:rPr>
          <w:sz w:val="22"/>
        </w:rPr>
      </w:pPr>
      <w:r>
        <w:rPr>
          <w:noProof/>
          <w:lang w:val="en-US" w:eastAsia="en-US"/>
        </w:rPr>
        <w:lastRenderedPageBreak/>
        <w:drawing>
          <wp:inline distT="0" distB="0" distL="0" distR="0" wp14:anchorId="55189F48" wp14:editId="7267BE0B">
            <wp:extent cx="8526483" cy="5021732"/>
            <wp:effectExtent l="0" t="0" r="8255" b="7620"/>
            <wp:docPr id="14" name="Picture 14" descr="This figure provides a thematic map of the approaches to effective knowledge translation, including identifying appropriate knowledge translation approaches, evaluating knowledge translation strategies, translating knowledge, collaborating with practitioners and disse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7064" t="28000" r="7902" b="10212"/>
                    <a:stretch/>
                  </pic:blipFill>
                  <pic:spPr bwMode="auto">
                    <a:xfrm>
                      <a:off x="0" y="0"/>
                      <a:ext cx="8542789" cy="5031335"/>
                    </a:xfrm>
                    <a:prstGeom prst="rect">
                      <a:avLst/>
                    </a:prstGeom>
                    <a:ln>
                      <a:noFill/>
                    </a:ln>
                    <a:extLst>
                      <a:ext uri="{53640926-AAD7-44D8-BBD7-CCE9431645EC}">
                        <a14:shadowObscured xmlns:a14="http://schemas.microsoft.com/office/drawing/2010/main"/>
                      </a:ext>
                    </a:extLst>
                  </pic:spPr>
                </pic:pic>
              </a:graphicData>
            </a:graphic>
          </wp:inline>
        </w:drawing>
      </w:r>
    </w:p>
    <w:p w14:paraId="788F8977" w14:textId="1A6E7F38" w:rsidR="00F5119F" w:rsidRDefault="00FC1720" w:rsidP="00813AA6">
      <w:pPr>
        <w:pStyle w:val="CaptionFig"/>
        <w:rPr>
          <w:sz w:val="22"/>
        </w:rPr>
      </w:pPr>
      <w:bookmarkStart w:id="94" w:name="_Toc509848444"/>
      <w:bookmarkStart w:id="95" w:name="_Toc509950646"/>
      <w:bookmarkStart w:id="96" w:name="_Toc509951281"/>
      <w:r>
        <w:t xml:space="preserve">Figure </w:t>
      </w:r>
      <w:fldSimple w:instr=" SEQ Figure \* ARABIC ">
        <w:r w:rsidR="004240AA">
          <w:rPr>
            <w:noProof/>
          </w:rPr>
          <w:t>8</w:t>
        </w:r>
      </w:fldSimple>
      <w:r>
        <w:t>: Approaches to knowledge translation, brokering and management in reviewed research and evidence institutions</w:t>
      </w:r>
      <w:bookmarkEnd w:id="94"/>
      <w:bookmarkEnd w:id="95"/>
      <w:bookmarkEnd w:id="96"/>
    </w:p>
    <w:p w14:paraId="3599871A" w14:textId="77777777" w:rsidR="00F5119F" w:rsidRDefault="00F5119F" w:rsidP="0093470E">
      <w:pPr>
        <w:rPr>
          <w:sz w:val="22"/>
        </w:rPr>
      </w:pPr>
    </w:p>
    <w:p w14:paraId="5DE0C770" w14:textId="77777777" w:rsidR="00FC1720" w:rsidRDefault="00FC1720" w:rsidP="0093470E">
      <w:pPr>
        <w:rPr>
          <w:sz w:val="22"/>
        </w:rPr>
        <w:sectPr w:rsidR="00FC1720" w:rsidSect="008C52B2">
          <w:pgSz w:w="16838" w:h="11906" w:orient="landscape"/>
          <w:pgMar w:top="1440" w:right="1440" w:bottom="1440" w:left="1440" w:header="708" w:footer="708" w:gutter="0"/>
          <w:cols w:space="708"/>
          <w:titlePg/>
          <w:docGrid w:linePitch="360"/>
        </w:sectPr>
      </w:pPr>
    </w:p>
    <w:p w14:paraId="134FE91C" w14:textId="77777777" w:rsidR="0093470E" w:rsidRPr="0091711A" w:rsidRDefault="0093470E" w:rsidP="0093470E">
      <w:r w:rsidRPr="0091711A">
        <w:lastRenderedPageBreak/>
        <w:t xml:space="preserve">However, evidence did vary with respect to the level of consistency and strength for each of the themes associated with knowledge translation and dissemination. The table below details an assessment of the strength of evidence associated with the findings in relation to knowledge translation that can support evidence-informed practice. As noted in the table, the </w:t>
      </w:r>
      <w:r w:rsidR="00606935">
        <w:t xml:space="preserve">strength of the </w:t>
      </w:r>
      <w:r w:rsidRPr="0091711A">
        <w:t>evidence is moderate overall</w:t>
      </w:r>
      <w:r w:rsidR="00606935">
        <w:t xml:space="preserve"> with respect to</w:t>
      </w:r>
      <w:r w:rsidRPr="0091711A">
        <w:t xml:space="preserve"> the importance of knowledge dissemination and active translation, communication between professional, brokering and consideration of user-needs in the knowledge dissemination process. However, more consistent evidence in this area would support the relationship between these themes and evidence-informed practice. </w:t>
      </w:r>
    </w:p>
    <w:p w14:paraId="7BAE8D57" w14:textId="492C2D25" w:rsidR="0093470E" w:rsidRDefault="0093470E" w:rsidP="0093470E">
      <w:pPr>
        <w:pStyle w:val="Caption"/>
      </w:pPr>
      <w:bookmarkStart w:id="97" w:name="_Toc509845975"/>
      <w:bookmarkStart w:id="98" w:name="_Toc509951291"/>
      <w:r>
        <w:t xml:space="preserve">Table </w:t>
      </w:r>
      <w:fldSimple w:instr=" SEQ Table \* ARABIC ">
        <w:r w:rsidR="004240AA">
          <w:rPr>
            <w:noProof/>
          </w:rPr>
          <w:t>5</w:t>
        </w:r>
      </w:fldSimple>
      <w:r>
        <w:t xml:space="preserve">: </w:t>
      </w:r>
      <w:r w:rsidRPr="006820FE">
        <w:t>Strength of evidence for findings as</w:t>
      </w:r>
      <w:r>
        <w:t>sociated with knowledge translation and dissemination</w:t>
      </w:r>
      <w:bookmarkEnd w:id="97"/>
      <w:bookmarkEnd w:id="98"/>
    </w:p>
    <w:tbl>
      <w:tblPr>
        <w:tblStyle w:val="TableGrid"/>
        <w:tblW w:w="0" w:type="auto"/>
        <w:tblLook w:val="04A0" w:firstRow="1" w:lastRow="0" w:firstColumn="1" w:lastColumn="0" w:noHBand="0" w:noVBand="1"/>
        <w:tblDescription w:val="This table sets out the strength of evidence for four themes associated with knowledge translation and dissemination, rating them from emerging, moderate, to comprehensive. The evidence for the importance of knowledge dissemination was moderate. The evidence for the importance of communication between professionals advice was moderate. The evidence for the importance of knowledge brokers was moderate. The evidence for the importance of pedagogical considerations of varying users was moderate."/>
      </w:tblPr>
      <w:tblGrid>
        <w:gridCol w:w="2163"/>
        <w:gridCol w:w="3352"/>
        <w:gridCol w:w="985"/>
        <w:gridCol w:w="1030"/>
        <w:gridCol w:w="1486"/>
      </w:tblGrid>
      <w:tr w:rsidR="005D0608" w14:paraId="2E82E0DA" w14:textId="77777777" w:rsidTr="00CF66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3" w:type="dxa"/>
          </w:tcPr>
          <w:p w14:paraId="72714F51" w14:textId="77777777" w:rsidR="005D0608" w:rsidRPr="002D6C2B" w:rsidRDefault="005D0608" w:rsidP="00A1107B">
            <w:pPr>
              <w:rPr>
                <w:rFonts w:cstheme="minorHAnsi"/>
              </w:rPr>
            </w:pPr>
            <w:r w:rsidRPr="002D6C2B">
              <w:rPr>
                <w:rFonts w:cstheme="minorHAnsi"/>
              </w:rPr>
              <w:t>Theme</w:t>
            </w:r>
          </w:p>
        </w:tc>
        <w:tc>
          <w:tcPr>
            <w:tcW w:w="3352" w:type="dxa"/>
          </w:tcPr>
          <w:p w14:paraId="7FFCDB6C" w14:textId="77777777" w:rsidR="005D0608" w:rsidRPr="002D6C2B" w:rsidRDefault="005D0608" w:rsidP="00A1107B">
            <w:pPr>
              <w:cnfStyle w:val="100000000000" w:firstRow="1" w:lastRow="0" w:firstColumn="0" w:lastColumn="0" w:oddVBand="0" w:evenVBand="0" w:oddHBand="0" w:evenHBand="0" w:firstRowFirstColumn="0" w:firstRowLastColumn="0" w:lastRowFirstColumn="0" w:lastRowLastColumn="0"/>
              <w:rPr>
                <w:rFonts w:cstheme="minorHAnsi"/>
              </w:rPr>
            </w:pPr>
            <w:r w:rsidRPr="002D6C2B">
              <w:rPr>
                <w:rFonts w:cstheme="minorHAnsi"/>
              </w:rPr>
              <w:t>Key components</w:t>
            </w:r>
          </w:p>
        </w:tc>
        <w:tc>
          <w:tcPr>
            <w:tcW w:w="985" w:type="dxa"/>
          </w:tcPr>
          <w:p w14:paraId="227AA7F6" w14:textId="77777777" w:rsidR="005D0608" w:rsidRPr="002D6C2B" w:rsidRDefault="005D0608" w:rsidP="00A1107B">
            <w:pPr>
              <w:cnfStyle w:val="100000000000" w:firstRow="1" w:lastRow="0" w:firstColumn="0" w:lastColumn="0" w:oddVBand="0" w:evenVBand="0" w:oddHBand="0" w:evenHBand="0" w:firstRowFirstColumn="0" w:firstRowLastColumn="0" w:lastRowFirstColumn="0" w:lastRowLastColumn="0"/>
              <w:rPr>
                <w:rFonts w:cstheme="minorHAnsi"/>
              </w:rPr>
            </w:pPr>
            <w:r w:rsidRPr="002D6C2B">
              <w:rPr>
                <w:rFonts w:cstheme="minorHAnsi"/>
              </w:rPr>
              <w:t>Emerging</w:t>
            </w:r>
          </w:p>
        </w:tc>
        <w:tc>
          <w:tcPr>
            <w:tcW w:w="1030" w:type="dxa"/>
          </w:tcPr>
          <w:p w14:paraId="568A473B" w14:textId="77777777" w:rsidR="005D0608" w:rsidRPr="002D6C2B" w:rsidRDefault="005D0608" w:rsidP="00A1107B">
            <w:pPr>
              <w:cnfStyle w:val="100000000000" w:firstRow="1" w:lastRow="0" w:firstColumn="0" w:lastColumn="0" w:oddVBand="0" w:evenVBand="0" w:oddHBand="0" w:evenHBand="0" w:firstRowFirstColumn="0" w:firstRowLastColumn="0" w:lastRowFirstColumn="0" w:lastRowLastColumn="0"/>
              <w:rPr>
                <w:rFonts w:cstheme="minorHAnsi"/>
              </w:rPr>
            </w:pPr>
            <w:r w:rsidRPr="002D6C2B">
              <w:rPr>
                <w:rFonts w:cstheme="minorHAnsi"/>
              </w:rPr>
              <w:t xml:space="preserve">Moderate </w:t>
            </w:r>
          </w:p>
        </w:tc>
        <w:tc>
          <w:tcPr>
            <w:tcW w:w="1486" w:type="dxa"/>
          </w:tcPr>
          <w:p w14:paraId="11DB8B7C" w14:textId="77777777" w:rsidR="005D0608" w:rsidRPr="002D6C2B" w:rsidRDefault="005D0608" w:rsidP="00A1107B">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Comprehensive</w:t>
            </w:r>
          </w:p>
        </w:tc>
      </w:tr>
      <w:tr w:rsidR="005D0608" w14:paraId="2BFE3BE1" w14:textId="77777777" w:rsidTr="00173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tcBorders>
              <w:bottom w:val="single" w:sz="4" w:space="0" w:color="auto"/>
              <w:right w:val="single" w:sz="4" w:space="0" w:color="auto"/>
            </w:tcBorders>
          </w:tcPr>
          <w:p w14:paraId="6DF8C5A3" w14:textId="77777777" w:rsidR="005D0608" w:rsidRPr="002D6C2B" w:rsidRDefault="005D0608" w:rsidP="00A1107B">
            <w:pPr>
              <w:rPr>
                <w:rFonts w:cstheme="minorHAnsi"/>
              </w:rPr>
            </w:pPr>
            <w:r w:rsidRPr="002D6C2B">
              <w:rPr>
                <w:rFonts w:cstheme="minorHAnsi"/>
              </w:rPr>
              <w:t>Knowledge Dissemination</w:t>
            </w:r>
          </w:p>
        </w:tc>
        <w:tc>
          <w:tcPr>
            <w:tcW w:w="3352" w:type="dxa"/>
            <w:tcBorders>
              <w:left w:val="single" w:sz="4" w:space="0" w:color="auto"/>
              <w:bottom w:val="single" w:sz="4" w:space="0" w:color="auto"/>
              <w:right w:val="single" w:sz="4" w:space="0" w:color="auto"/>
            </w:tcBorders>
          </w:tcPr>
          <w:p w14:paraId="7BC2F220" w14:textId="7D502D74" w:rsidR="005D0608" w:rsidRPr="002D6C2B" w:rsidRDefault="005D0608" w:rsidP="00550723">
            <w:pPr>
              <w:pStyle w:val="ListParagraph"/>
              <w:numPr>
                <w:ilvl w:val="0"/>
                <w:numId w:val="50"/>
              </w:numPr>
              <w:spacing w:after="0" w:line="240" w:lineRule="auto"/>
              <w:ind w:left="340" w:hanging="227"/>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2D6C2B">
              <w:rPr>
                <w:rFonts w:cstheme="minorHAnsi"/>
              </w:rPr>
              <w:t xml:space="preserve">Knowledge translation strategies </w:t>
            </w:r>
            <w:r w:rsidR="00452CFD">
              <w:rPr>
                <w:rFonts w:cstheme="minorHAnsi"/>
              </w:rPr>
              <w:t>(</w:t>
            </w:r>
            <w:r w:rsidRPr="002D6C2B">
              <w:rPr>
                <w:rFonts w:cstheme="minorHAnsi"/>
              </w:rPr>
              <w:t>active, interactive &amp; tailored</w:t>
            </w:r>
            <w:r w:rsidR="00452CFD">
              <w:rPr>
                <w:rFonts w:cstheme="minorHAnsi"/>
              </w:rPr>
              <w:t>)</w:t>
            </w:r>
            <w:r w:rsidRPr="002D6C2B">
              <w:rPr>
                <w:rFonts w:cstheme="minorHAnsi"/>
              </w:rPr>
              <w:t xml:space="preserve"> impact on evidence-based practice</w:t>
            </w:r>
          </w:p>
          <w:p w14:paraId="00CFB5D5" w14:textId="77777777" w:rsidR="005D0608" w:rsidRPr="002D6C2B" w:rsidRDefault="005D0608" w:rsidP="00550723">
            <w:pPr>
              <w:pStyle w:val="ListParagraph"/>
              <w:numPr>
                <w:ilvl w:val="0"/>
                <w:numId w:val="50"/>
              </w:numPr>
              <w:spacing w:after="0" w:line="240" w:lineRule="auto"/>
              <w:ind w:left="340" w:hanging="227"/>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2D6C2B">
              <w:rPr>
                <w:rFonts w:cstheme="minorHAnsi"/>
              </w:rPr>
              <w:t>Active dissemination</w:t>
            </w:r>
          </w:p>
          <w:p w14:paraId="3B7F57C3" w14:textId="77777777" w:rsidR="005D0608" w:rsidRPr="002D6C2B" w:rsidRDefault="005D0608" w:rsidP="00550723">
            <w:pPr>
              <w:pStyle w:val="ListParagraph"/>
              <w:numPr>
                <w:ilvl w:val="0"/>
                <w:numId w:val="50"/>
              </w:numPr>
              <w:spacing w:after="0" w:line="240" w:lineRule="auto"/>
              <w:ind w:left="340" w:hanging="227"/>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2D6C2B">
              <w:rPr>
                <w:rFonts w:cstheme="minorHAnsi"/>
              </w:rPr>
              <w:t>Providing training</w:t>
            </w:r>
          </w:p>
          <w:p w14:paraId="1F56B433" w14:textId="77777777" w:rsidR="005D0608" w:rsidRPr="002D6C2B" w:rsidRDefault="005D0608" w:rsidP="00550723">
            <w:pPr>
              <w:pStyle w:val="ListParagraph"/>
              <w:numPr>
                <w:ilvl w:val="0"/>
                <w:numId w:val="50"/>
              </w:numPr>
              <w:spacing w:after="0" w:line="240" w:lineRule="auto"/>
              <w:ind w:left="340" w:hanging="227"/>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2D6C2B">
              <w:rPr>
                <w:rFonts w:cstheme="minorHAnsi"/>
              </w:rPr>
              <w:t>Structured and planned approaches</w:t>
            </w:r>
          </w:p>
        </w:tc>
        <w:tc>
          <w:tcPr>
            <w:tcW w:w="985" w:type="dxa"/>
            <w:tcBorders>
              <w:left w:val="single" w:sz="4" w:space="0" w:color="auto"/>
              <w:bottom w:val="single" w:sz="4" w:space="0" w:color="auto"/>
              <w:right w:val="single" w:sz="4" w:space="0" w:color="auto"/>
            </w:tcBorders>
          </w:tcPr>
          <w:p w14:paraId="5C4BDE18" w14:textId="77777777" w:rsidR="005D0608" w:rsidRPr="002D6C2B" w:rsidRDefault="005D0608" w:rsidP="00A1107B">
            <w:pPr>
              <w:cnfStyle w:val="000000100000" w:firstRow="0" w:lastRow="0" w:firstColumn="0" w:lastColumn="0" w:oddVBand="0" w:evenVBand="0" w:oddHBand="1" w:evenHBand="0" w:firstRowFirstColumn="0" w:firstRowLastColumn="0" w:lastRowFirstColumn="0" w:lastRowLastColumn="0"/>
              <w:rPr>
                <w:rFonts w:cstheme="minorHAnsi"/>
              </w:rPr>
            </w:pPr>
          </w:p>
        </w:tc>
        <w:tc>
          <w:tcPr>
            <w:tcW w:w="1030" w:type="dxa"/>
            <w:tcBorders>
              <w:left w:val="single" w:sz="4" w:space="0" w:color="auto"/>
              <w:bottom w:val="single" w:sz="4" w:space="0" w:color="auto"/>
              <w:right w:val="single" w:sz="4" w:space="0" w:color="auto"/>
            </w:tcBorders>
            <w:shd w:val="clear" w:color="auto" w:fill="2F88F0" w:themeFill="accent1" w:themeFillTint="99"/>
          </w:tcPr>
          <w:p w14:paraId="65942931" w14:textId="6547082C" w:rsidR="005D0608" w:rsidRPr="002D6C2B" w:rsidRDefault="005D0608" w:rsidP="00A1107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486" w:type="dxa"/>
            <w:tcBorders>
              <w:left w:val="single" w:sz="4" w:space="0" w:color="auto"/>
              <w:bottom w:val="single" w:sz="4" w:space="0" w:color="auto"/>
            </w:tcBorders>
          </w:tcPr>
          <w:p w14:paraId="7FFD1AE8" w14:textId="77777777" w:rsidR="005D0608" w:rsidRPr="002D6C2B" w:rsidRDefault="005D0608" w:rsidP="00A1107B">
            <w:pPr>
              <w:cnfStyle w:val="000000100000" w:firstRow="0" w:lastRow="0" w:firstColumn="0" w:lastColumn="0" w:oddVBand="0" w:evenVBand="0" w:oddHBand="1" w:evenHBand="0" w:firstRowFirstColumn="0" w:firstRowLastColumn="0" w:lastRowFirstColumn="0" w:lastRowLastColumn="0"/>
              <w:rPr>
                <w:rFonts w:cstheme="minorHAnsi"/>
              </w:rPr>
            </w:pPr>
          </w:p>
        </w:tc>
      </w:tr>
      <w:tr w:rsidR="005D0608" w14:paraId="31EF7EA5" w14:textId="77777777" w:rsidTr="001730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tcBorders>
              <w:top w:val="single" w:sz="4" w:space="0" w:color="auto"/>
              <w:bottom w:val="single" w:sz="4" w:space="0" w:color="auto"/>
              <w:right w:val="single" w:sz="4" w:space="0" w:color="auto"/>
            </w:tcBorders>
          </w:tcPr>
          <w:p w14:paraId="534BFB7B" w14:textId="77777777" w:rsidR="005D0608" w:rsidRPr="002D6C2B" w:rsidRDefault="005D0608" w:rsidP="00A1107B">
            <w:pPr>
              <w:rPr>
                <w:rFonts w:cstheme="minorHAnsi"/>
              </w:rPr>
            </w:pPr>
            <w:r w:rsidRPr="002D6C2B">
              <w:rPr>
                <w:rFonts w:cstheme="minorHAnsi"/>
              </w:rPr>
              <w:t>Communication between professionals</w:t>
            </w:r>
          </w:p>
        </w:tc>
        <w:tc>
          <w:tcPr>
            <w:tcW w:w="3352" w:type="dxa"/>
            <w:tcBorders>
              <w:top w:val="single" w:sz="4" w:space="0" w:color="auto"/>
              <w:left w:val="single" w:sz="4" w:space="0" w:color="auto"/>
              <w:bottom w:val="single" w:sz="4" w:space="0" w:color="auto"/>
              <w:right w:val="single" w:sz="4" w:space="0" w:color="auto"/>
            </w:tcBorders>
          </w:tcPr>
          <w:p w14:paraId="24FB883C"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Enabling communication within the field</w:t>
            </w:r>
          </w:p>
          <w:p w14:paraId="60A62483"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Databases and online resources</w:t>
            </w:r>
          </w:p>
          <w:p w14:paraId="60D390B3"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Sharing research among professionals</w:t>
            </w:r>
          </w:p>
          <w:p w14:paraId="2F631E70"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Face-to-face programs supplemented by technology and materials (hand-outs, booklets)</w:t>
            </w:r>
          </w:p>
          <w:p w14:paraId="08936863"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Platform incorporates current technology</w:t>
            </w:r>
          </w:p>
          <w:p w14:paraId="1A184C33"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Must disseminate expert-informed, up-to-date, peer-reviewed evidence base</w:t>
            </w:r>
          </w:p>
          <w:p w14:paraId="312FF6C7"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Technology-based platforms to reach a wide range of users</w:t>
            </w:r>
          </w:p>
          <w:p w14:paraId="181AF741"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 xml:space="preserve">Emphasis on content; drawing upon existing knowledge base, leadership and expert knowledge </w:t>
            </w:r>
          </w:p>
          <w:p w14:paraId="5D8C2C9D"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Ability for practitioners to communicate with colleagues regarding knowledge base</w:t>
            </w:r>
          </w:p>
          <w:p w14:paraId="65985F1F" w14:textId="77777777" w:rsidR="005D0608" w:rsidRPr="002D6C2B" w:rsidRDefault="005D0608" w:rsidP="00550723">
            <w:pPr>
              <w:pStyle w:val="ListParagraph"/>
              <w:numPr>
                <w:ilvl w:val="0"/>
                <w:numId w:val="50"/>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Opportunity for users to provide feedback to research and evidence institutions</w:t>
            </w:r>
          </w:p>
        </w:tc>
        <w:tc>
          <w:tcPr>
            <w:tcW w:w="985" w:type="dxa"/>
            <w:tcBorders>
              <w:top w:val="single" w:sz="4" w:space="0" w:color="auto"/>
              <w:left w:val="single" w:sz="4" w:space="0" w:color="auto"/>
              <w:bottom w:val="single" w:sz="4" w:space="0" w:color="auto"/>
              <w:right w:val="single" w:sz="4" w:space="0" w:color="auto"/>
            </w:tcBorders>
          </w:tcPr>
          <w:p w14:paraId="21860B2B" w14:textId="77777777" w:rsidR="005D0608" w:rsidRPr="002D6C2B" w:rsidRDefault="005D0608" w:rsidP="00A1107B">
            <w:pPr>
              <w:cnfStyle w:val="000000010000" w:firstRow="0" w:lastRow="0" w:firstColumn="0" w:lastColumn="0" w:oddVBand="0" w:evenVBand="0" w:oddHBand="0" w:evenHBand="1" w:firstRowFirstColumn="0" w:firstRowLastColumn="0" w:lastRowFirstColumn="0" w:lastRowLastColumn="0"/>
              <w:rPr>
                <w:rFonts w:cstheme="minorHAnsi"/>
              </w:rPr>
            </w:pPr>
          </w:p>
        </w:tc>
        <w:tc>
          <w:tcPr>
            <w:tcW w:w="1030" w:type="dxa"/>
            <w:tcBorders>
              <w:top w:val="single" w:sz="4" w:space="0" w:color="auto"/>
              <w:left w:val="single" w:sz="4" w:space="0" w:color="auto"/>
              <w:bottom w:val="single" w:sz="4" w:space="0" w:color="auto"/>
              <w:right w:val="single" w:sz="4" w:space="0" w:color="auto"/>
            </w:tcBorders>
            <w:shd w:val="clear" w:color="auto" w:fill="2F88F0" w:themeFill="accent1" w:themeFillTint="99"/>
          </w:tcPr>
          <w:p w14:paraId="2E674178" w14:textId="71116330" w:rsidR="005D0608" w:rsidRPr="002D6C2B" w:rsidRDefault="005D0608" w:rsidP="00A1107B">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486" w:type="dxa"/>
            <w:tcBorders>
              <w:top w:val="single" w:sz="4" w:space="0" w:color="auto"/>
              <w:left w:val="single" w:sz="4" w:space="0" w:color="auto"/>
              <w:bottom w:val="single" w:sz="4" w:space="0" w:color="auto"/>
            </w:tcBorders>
          </w:tcPr>
          <w:p w14:paraId="4A47720F" w14:textId="77777777" w:rsidR="005D0608" w:rsidRPr="002D6C2B" w:rsidRDefault="005D0608" w:rsidP="00A1107B">
            <w:pPr>
              <w:cnfStyle w:val="000000010000" w:firstRow="0" w:lastRow="0" w:firstColumn="0" w:lastColumn="0" w:oddVBand="0" w:evenVBand="0" w:oddHBand="0" w:evenHBand="1" w:firstRowFirstColumn="0" w:firstRowLastColumn="0" w:lastRowFirstColumn="0" w:lastRowLastColumn="0"/>
              <w:rPr>
                <w:rFonts w:cstheme="minorHAnsi"/>
              </w:rPr>
            </w:pPr>
          </w:p>
        </w:tc>
      </w:tr>
      <w:tr w:rsidR="005D0608" w14:paraId="054E70E6" w14:textId="77777777" w:rsidTr="00173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tcBorders>
              <w:top w:val="single" w:sz="4" w:space="0" w:color="auto"/>
              <w:bottom w:val="single" w:sz="4" w:space="0" w:color="auto"/>
              <w:right w:val="single" w:sz="4" w:space="0" w:color="auto"/>
            </w:tcBorders>
          </w:tcPr>
          <w:p w14:paraId="4BDA4793" w14:textId="77777777" w:rsidR="005D0608" w:rsidRPr="002D6C2B" w:rsidRDefault="005D0608" w:rsidP="00A1107B">
            <w:pPr>
              <w:rPr>
                <w:rFonts w:cstheme="minorHAnsi"/>
              </w:rPr>
            </w:pPr>
            <w:r w:rsidRPr="002D6C2B">
              <w:rPr>
                <w:rFonts w:cstheme="minorHAnsi"/>
              </w:rPr>
              <w:t>Knowledge brokers</w:t>
            </w:r>
          </w:p>
        </w:tc>
        <w:tc>
          <w:tcPr>
            <w:tcW w:w="3352" w:type="dxa"/>
            <w:tcBorders>
              <w:top w:val="single" w:sz="4" w:space="0" w:color="auto"/>
              <w:left w:val="single" w:sz="4" w:space="0" w:color="auto"/>
              <w:bottom w:val="single" w:sz="4" w:space="0" w:color="auto"/>
              <w:right w:val="single" w:sz="4" w:space="0" w:color="auto"/>
            </w:tcBorders>
          </w:tcPr>
          <w:p w14:paraId="0FF89EC2" w14:textId="77777777" w:rsidR="005D0608" w:rsidRPr="002D6C2B" w:rsidRDefault="005D0608" w:rsidP="00550723">
            <w:pPr>
              <w:pStyle w:val="ListParagraph"/>
              <w:numPr>
                <w:ilvl w:val="0"/>
                <w:numId w:val="51"/>
              </w:numPr>
              <w:spacing w:after="0" w:line="240" w:lineRule="auto"/>
              <w:ind w:left="340" w:hanging="227"/>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2D6C2B">
              <w:rPr>
                <w:rFonts w:cstheme="minorHAnsi"/>
              </w:rPr>
              <w:t>Knowledge brokers</w:t>
            </w:r>
          </w:p>
        </w:tc>
        <w:tc>
          <w:tcPr>
            <w:tcW w:w="985" w:type="dxa"/>
            <w:tcBorders>
              <w:top w:val="single" w:sz="4" w:space="0" w:color="auto"/>
              <w:left w:val="single" w:sz="4" w:space="0" w:color="auto"/>
              <w:bottom w:val="single" w:sz="4" w:space="0" w:color="auto"/>
              <w:right w:val="single" w:sz="4" w:space="0" w:color="auto"/>
            </w:tcBorders>
          </w:tcPr>
          <w:p w14:paraId="4FEF2F79" w14:textId="77777777" w:rsidR="005D0608" w:rsidRPr="002D6C2B" w:rsidRDefault="005D0608" w:rsidP="00A1107B">
            <w:pPr>
              <w:cnfStyle w:val="000000100000" w:firstRow="0" w:lastRow="0" w:firstColumn="0" w:lastColumn="0" w:oddVBand="0" w:evenVBand="0" w:oddHBand="1" w:evenHBand="0" w:firstRowFirstColumn="0" w:firstRowLastColumn="0" w:lastRowFirstColumn="0" w:lastRowLastColumn="0"/>
              <w:rPr>
                <w:rFonts w:cstheme="minorHAnsi"/>
              </w:rPr>
            </w:pPr>
          </w:p>
        </w:tc>
        <w:tc>
          <w:tcPr>
            <w:tcW w:w="1030" w:type="dxa"/>
            <w:tcBorders>
              <w:top w:val="single" w:sz="4" w:space="0" w:color="auto"/>
              <w:left w:val="single" w:sz="4" w:space="0" w:color="auto"/>
              <w:bottom w:val="single" w:sz="4" w:space="0" w:color="auto"/>
              <w:right w:val="single" w:sz="4" w:space="0" w:color="auto"/>
            </w:tcBorders>
            <w:shd w:val="clear" w:color="auto" w:fill="2F88F0" w:themeFill="accent1" w:themeFillTint="99"/>
          </w:tcPr>
          <w:p w14:paraId="25FD1B3C" w14:textId="43171529" w:rsidR="005D0608" w:rsidRPr="002D6C2B" w:rsidRDefault="005D0608" w:rsidP="00A1107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486" w:type="dxa"/>
            <w:tcBorders>
              <w:top w:val="single" w:sz="4" w:space="0" w:color="auto"/>
              <w:left w:val="single" w:sz="4" w:space="0" w:color="auto"/>
              <w:bottom w:val="single" w:sz="4" w:space="0" w:color="auto"/>
            </w:tcBorders>
          </w:tcPr>
          <w:p w14:paraId="7A0AA44F" w14:textId="77777777" w:rsidR="005D0608" w:rsidRPr="002D6C2B" w:rsidRDefault="005D0608" w:rsidP="00A1107B">
            <w:pPr>
              <w:cnfStyle w:val="000000100000" w:firstRow="0" w:lastRow="0" w:firstColumn="0" w:lastColumn="0" w:oddVBand="0" w:evenVBand="0" w:oddHBand="1" w:evenHBand="0" w:firstRowFirstColumn="0" w:firstRowLastColumn="0" w:lastRowFirstColumn="0" w:lastRowLastColumn="0"/>
              <w:rPr>
                <w:rFonts w:cstheme="minorHAnsi"/>
              </w:rPr>
            </w:pPr>
          </w:p>
        </w:tc>
      </w:tr>
      <w:tr w:rsidR="005D0608" w14:paraId="443C7811" w14:textId="77777777" w:rsidTr="001730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tcBorders>
              <w:top w:val="single" w:sz="4" w:space="0" w:color="auto"/>
              <w:right w:val="single" w:sz="4" w:space="0" w:color="auto"/>
            </w:tcBorders>
          </w:tcPr>
          <w:p w14:paraId="2D4DE752" w14:textId="77777777" w:rsidR="005D0608" w:rsidRPr="002D6C2B" w:rsidRDefault="005D0608" w:rsidP="00A1107B">
            <w:pPr>
              <w:rPr>
                <w:rFonts w:cstheme="minorHAnsi"/>
              </w:rPr>
            </w:pPr>
            <w:r w:rsidRPr="002D6C2B">
              <w:rPr>
                <w:rFonts w:cstheme="minorHAnsi"/>
              </w:rPr>
              <w:t>Pedagogical considerations of varying users</w:t>
            </w:r>
          </w:p>
        </w:tc>
        <w:tc>
          <w:tcPr>
            <w:tcW w:w="3352" w:type="dxa"/>
            <w:tcBorders>
              <w:top w:val="single" w:sz="4" w:space="0" w:color="auto"/>
              <w:left w:val="single" w:sz="4" w:space="0" w:color="auto"/>
              <w:right w:val="single" w:sz="4" w:space="0" w:color="auto"/>
            </w:tcBorders>
          </w:tcPr>
          <w:p w14:paraId="20AFFE5F" w14:textId="77777777" w:rsidR="005D0608" w:rsidRPr="002D6C2B" w:rsidRDefault="005D0608" w:rsidP="00550723">
            <w:pPr>
              <w:pStyle w:val="ListParagraph"/>
              <w:numPr>
                <w:ilvl w:val="0"/>
                <w:numId w:val="51"/>
              </w:numPr>
              <w:spacing w:after="0" w:line="240" w:lineRule="auto"/>
              <w:ind w:left="340" w:hanging="227"/>
              <w:contextualSpacing/>
              <w:cnfStyle w:val="000000010000" w:firstRow="0" w:lastRow="0" w:firstColumn="0" w:lastColumn="0" w:oddVBand="0" w:evenVBand="0" w:oddHBand="0" w:evenHBand="1" w:firstRowFirstColumn="0" w:firstRowLastColumn="0" w:lastRowFirstColumn="0" w:lastRowLastColumn="0"/>
              <w:rPr>
                <w:rFonts w:cstheme="minorHAnsi"/>
              </w:rPr>
            </w:pPr>
            <w:r w:rsidRPr="002D6C2B">
              <w:rPr>
                <w:rFonts w:cstheme="minorHAnsi"/>
              </w:rPr>
              <w:t>Pedagogical considerations for users of different abilities and needs</w:t>
            </w:r>
          </w:p>
        </w:tc>
        <w:tc>
          <w:tcPr>
            <w:tcW w:w="985" w:type="dxa"/>
            <w:tcBorders>
              <w:top w:val="single" w:sz="4" w:space="0" w:color="auto"/>
              <w:left w:val="single" w:sz="4" w:space="0" w:color="auto"/>
              <w:right w:val="single" w:sz="4" w:space="0" w:color="auto"/>
            </w:tcBorders>
          </w:tcPr>
          <w:p w14:paraId="1ABE443A" w14:textId="77777777" w:rsidR="005D0608" w:rsidRPr="002D6C2B" w:rsidRDefault="005D0608" w:rsidP="00A1107B">
            <w:pPr>
              <w:cnfStyle w:val="000000010000" w:firstRow="0" w:lastRow="0" w:firstColumn="0" w:lastColumn="0" w:oddVBand="0" w:evenVBand="0" w:oddHBand="0" w:evenHBand="1" w:firstRowFirstColumn="0" w:firstRowLastColumn="0" w:lastRowFirstColumn="0" w:lastRowLastColumn="0"/>
              <w:rPr>
                <w:rFonts w:cstheme="minorHAnsi"/>
              </w:rPr>
            </w:pPr>
          </w:p>
        </w:tc>
        <w:tc>
          <w:tcPr>
            <w:tcW w:w="1030" w:type="dxa"/>
            <w:tcBorders>
              <w:top w:val="single" w:sz="4" w:space="0" w:color="auto"/>
              <w:left w:val="single" w:sz="4" w:space="0" w:color="auto"/>
              <w:right w:val="single" w:sz="4" w:space="0" w:color="auto"/>
            </w:tcBorders>
            <w:shd w:val="clear" w:color="auto" w:fill="2F88F0" w:themeFill="accent1" w:themeFillTint="99"/>
          </w:tcPr>
          <w:p w14:paraId="104C2403" w14:textId="67938EF3" w:rsidR="005D0608" w:rsidRPr="002D6C2B" w:rsidRDefault="005D0608" w:rsidP="00A1107B">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486" w:type="dxa"/>
            <w:tcBorders>
              <w:top w:val="single" w:sz="4" w:space="0" w:color="auto"/>
              <w:left w:val="single" w:sz="4" w:space="0" w:color="auto"/>
            </w:tcBorders>
          </w:tcPr>
          <w:p w14:paraId="540E50BE" w14:textId="77777777" w:rsidR="005D0608" w:rsidRPr="002D6C2B" w:rsidRDefault="005D0608" w:rsidP="00A1107B">
            <w:pPr>
              <w:cnfStyle w:val="000000010000" w:firstRow="0" w:lastRow="0" w:firstColumn="0" w:lastColumn="0" w:oddVBand="0" w:evenVBand="0" w:oddHBand="0" w:evenHBand="1" w:firstRowFirstColumn="0" w:firstRowLastColumn="0" w:lastRowFirstColumn="0" w:lastRowLastColumn="0"/>
              <w:rPr>
                <w:rFonts w:cstheme="minorHAnsi"/>
              </w:rPr>
            </w:pPr>
          </w:p>
        </w:tc>
      </w:tr>
    </w:tbl>
    <w:p w14:paraId="5ED7055B" w14:textId="77777777" w:rsidR="0093470E" w:rsidRPr="00E16853" w:rsidRDefault="0093470E" w:rsidP="0093470E"/>
    <w:p w14:paraId="79F56473" w14:textId="77777777" w:rsidR="0093470E" w:rsidRDefault="0093470E" w:rsidP="00716D4E">
      <w:pPr>
        <w:pStyle w:val="NumberedHeading3"/>
      </w:pPr>
      <w:bookmarkStart w:id="99" w:name="_Toc509950647"/>
      <w:r w:rsidRPr="00E16853">
        <w:lastRenderedPageBreak/>
        <w:t>Approaches to knowledge translation</w:t>
      </w:r>
      <w:bookmarkEnd w:id="99"/>
    </w:p>
    <w:p w14:paraId="561B7B4C" w14:textId="07ECADA3" w:rsidR="0093470E" w:rsidRPr="0091711A" w:rsidRDefault="0093470E" w:rsidP="0093470E">
      <w:r w:rsidRPr="0091711A">
        <w:t xml:space="preserve">A recurring theme in the literature is the value of collaboration between institutions, practitioners </w:t>
      </w:r>
      <w:r w:rsidRPr="0091711A">
        <w:rPr>
          <w:noProof/>
        </w:rPr>
        <w:t>and</w:t>
      </w:r>
      <w:r w:rsidRPr="0091711A">
        <w:t xml:space="preserve"> researchers</w:t>
      </w:r>
      <w:r w:rsidRPr="0091711A">
        <w:rPr>
          <w:b/>
        </w:rPr>
        <w:t xml:space="preserve"> </w:t>
      </w:r>
      <w:r w:rsidRPr="0091711A">
        <w:t xml:space="preserve">to work on knowledge translation and dissemination. Strategies that incorporate collaboration include the production of evidence resources where practitioners are involved in the design and implementation of the resource. They are asked to provide input and feedback to enable the incorporation of their suggestions based on their experiences as practitioners. For example, </w:t>
      </w:r>
      <w:bookmarkStart w:id="100" w:name="_Hlk509231238"/>
      <w:proofErr w:type="spellStart"/>
      <w:r w:rsidRPr="0091711A">
        <w:t>Duchnowski</w:t>
      </w:r>
      <w:proofErr w:type="spellEnd"/>
      <w:r w:rsidRPr="0091711A">
        <w:t xml:space="preserve"> et al. (2006) </w:t>
      </w:r>
      <w:bookmarkEnd w:id="100"/>
      <w:r w:rsidRPr="0091711A">
        <w:t>report on the design of evidence-b</w:t>
      </w:r>
      <w:r w:rsidR="00D0025D">
        <w:t>ased</w:t>
      </w:r>
      <w:r w:rsidRPr="0091711A">
        <w:t xml:space="preserve"> practice manuals for special education teachers: </w:t>
      </w:r>
    </w:p>
    <w:p w14:paraId="7756059F" w14:textId="77777777" w:rsidR="0093470E" w:rsidRPr="00D0025D" w:rsidRDefault="0093470E" w:rsidP="005A0A24">
      <w:pPr>
        <w:ind w:left="800" w:right="126"/>
        <w:rPr>
          <w:i/>
        </w:rPr>
      </w:pPr>
      <w:r w:rsidRPr="00DB07D0">
        <w:rPr>
          <w:i/>
        </w:rPr>
        <w:t>In this project, there was an extensive effort to solicit critiques by the teachers for the ESM (effective strategies manuals). This procedure allowed teachers to see the manuals change as a result of their input, adding to the degree of ownership they developed for the project. In addition, teachers suggested changes that resulted from their experience and sometimes appeared to be in conﬂict with the research.</w:t>
      </w:r>
      <w:r w:rsidRPr="00D0025D">
        <w:rPr>
          <w:i/>
        </w:rPr>
        <w:t xml:space="preserve"> </w:t>
      </w:r>
      <w:r w:rsidRPr="00D0025D">
        <w:rPr>
          <w:i/>
        </w:rPr>
        <w:fldChar w:fldCharType="begin" w:fldLock="1"/>
      </w:r>
      <w:r w:rsidRPr="00D0025D">
        <w:rPr>
          <w:i/>
        </w:rPr>
        <w:instrText>ADDIN CSL_CITATION { "citationItems" : [ { "id" : "ITEM-1", "itemData" : { "DOI" : "10.1016/j.tate.2006.07.005", "ISBN" : "0742-051X", "ISSN" : "0742051X", "abstract" : "This article describes a process developed to increase the use of evidence-based instructional strategies by teachers of students in special education programs in a middle school and high school. The project developed a working partnership between university researchers and parents, teachers and administrators of students in special education programs. The partnership produced manuals for the teachers that outlined effective strategies for teaching reading, encouraging family involvement, providing academic feedback, and engaging in positive behavior support in the classroom. The results of assessing implementation fidelity, implications of the study, and future research issues are presented. \u00a9 2006 Elsevier Ltd. All rights reserved.", "author" : [ { "dropping-particle" : "", "family" : "Duchnowski", "given" : "Albert J.", "non-dropping-particle" : "", "parse-names" : false, "suffix" : "" }, { "dropping-particle" : "", "family" : "Kutash", "given" : "Krista", "non-dropping-particle" : "", "parse-names" : false, "suffix" : "" }, { "dropping-particle" : "", "family" : "Sheffield", "given" : "Susan", "non-dropping-particle" : "", "parse-names" : false, "suffix" : "" }, { "dropping-particle" : "", "family" : "Vaughn", "given" : "Bobbie", "non-dropping-particle" : "", "parse-names" : false, "suffix" : "" } ], "container-title" : "Teaching and Teacher Education", "id" : "ITEM-1", "issue" : "7", "issued" : { "date-parts" : [ [ "2006" ] ] }, "page" : "838-847", "title" : "Increasing the use of evidence-based strategies by special education teachers: A collaborative approach", "type" : "article-journal", "volume" : "22" }, "locator" : "845", "uris" : [ "http://www.mendeley.com/documents/?uuid=d7c35098-f6f2-4385-afb5-b64a7d9ef9e9" ] } ], "mendeley" : { "formattedCitation" : "(Duchnowski, Kutash, Sheffield, &amp; Vaughn, 2006, p. 845)", "plainTextFormattedCitation" : "(Duchnowski, Kutash, Sheffield, &amp; Vaughn, 2006, p. 845)", "previouslyFormattedCitation" : "(Duchnowski, Kutash, Sheffield, &amp; Vaughn, 2006, p. 845)" }, "properties" : {  }, "schema" : "https://github.com/citation-style-language/schema/raw/master/csl-citation.json" }</w:instrText>
      </w:r>
      <w:r w:rsidRPr="00D0025D">
        <w:rPr>
          <w:i/>
        </w:rPr>
        <w:fldChar w:fldCharType="separate"/>
      </w:r>
      <w:r w:rsidRPr="00DB07D0">
        <w:rPr>
          <w:i/>
          <w:noProof/>
        </w:rPr>
        <w:t>(Duchnowski, Kutash, Sheffield, &amp; Vaughn, 2006, p. 845)</w:t>
      </w:r>
      <w:r w:rsidRPr="00D0025D">
        <w:rPr>
          <w:i/>
        </w:rPr>
        <w:fldChar w:fldCharType="end"/>
      </w:r>
    </w:p>
    <w:p w14:paraId="3A229DFF" w14:textId="77777777" w:rsidR="0093470E" w:rsidRPr="0091711A" w:rsidRDefault="0093470E" w:rsidP="0093470E">
      <w:r w:rsidRPr="0091711A">
        <w:t xml:space="preserve">This collaboration also supports effective contextualisation of evidence resources to the specific needs of the intended end-user. Resources that are effectively contextualised use appropriate language and provide practical applications to assist policy and practice change based on the evidence. This includes actionable knowledge as noted in the synthesis of evidence section. </w:t>
      </w:r>
    </w:p>
    <w:p w14:paraId="5D141594" w14:textId="3A4DAC69" w:rsidR="0093470E" w:rsidRPr="0091711A" w:rsidRDefault="0093470E" w:rsidP="0093470E">
      <w:pPr>
        <w:rPr>
          <w:rFonts w:ascii="Calibri" w:hAnsi="Calibri"/>
        </w:rPr>
      </w:pPr>
      <w:r w:rsidRPr="0091711A">
        <w:rPr>
          <w:rFonts w:ascii="Calibri" w:hAnsi="Calibri"/>
        </w:rPr>
        <w:t>Stakeholders consulted from the medical area used policy briefs and evidence papers as their strategies for disseminating knowledge. They have their own dissemination processes. The stakeholders</w:t>
      </w:r>
      <w:r w:rsidR="00D0025D">
        <w:rPr>
          <w:rFonts w:ascii="Calibri" w:hAnsi="Calibri"/>
        </w:rPr>
        <w:t>’</w:t>
      </w:r>
      <w:r w:rsidRPr="0091711A">
        <w:rPr>
          <w:rFonts w:ascii="Calibri" w:hAnsi="Calibri"/>
        </w:rPr>
        <w:t xml:space="preserve"> evidence-based papers are put into grey literature so that they are accessed by practitioners. Webinars and round tables</w:t>
      </w:r>
      <w:r w:rsidR="00606935">
        <w:rPr>
          <w:rFonts w:ascii="Calibri" w:hAnsi="Calibri"/>
        </w:rPr>
        <w:t xml:space="preserve"> are also used for knowledge dissemination. </w:t>
      </w:r>
    </w:p>
    <w:p w14:paraId="668CB5B7" w14:textId="77777777" w:rsidR="0093470E" w:rsidRPr="0091711A" w:rsidRDefault="0093470E" w:rsidP="0093470E">
      <w:pPr>
        <w:rPr>
          <w:rFonts w:ascii="Calibri" w:hAnsi="Calibri"/>
        </w:rPr>
      </w:pPr>
      <w:r w:rsidRPr="0091711A">
        <w:rPr>
          <w:rFonts w:ascii="Calibri" w:hAnsi="Calibri"/>
        </w:rPr>
        <w:t xml:space="preserve">For </w:t>
      </w:r>
      <w:r w:rsidR="0095393D" w:rsidRPr="0091711A">
        <w:rPr>
          <w:rFonts w:ascii="Calibri" w:hAnsi="Calibri"/>
        </w:rPr>
        <w:t>many</w:t>
      </w:r>
      <w:r w:rsidRPr="0091711A">
        <w:rPr>
          <w:rFonts w:ascii="Calibri" w:hAnsi="Calibri"/>
        </w:rPr>
        <w:t xml:space="preserve"> respondents, the</w:t>
      </w:r>
      <w:r w:rsidR="0095393D">
        <w:rPr>
          <w:rFonts w:ascii="Calibri" w:hAnsi="Calibri"/>
        </w:rPr>
        <w:t xml:space="preserve"> knowledge translation</w:t>
      </w:r>
      <w:r w:rsidRPr="0091711A">
        <w:rPr>
          <w:rFonts w:ascii="Calibri" w:hAnsi="Calibri"/>
        </w:rPr>
        <w:t xml:space="preserve"> strategies used depend on the purposes of the message they want to convey. For some when they are disseminating research, they use online platforms and social platforms for key messages to bring the high-level decision makers together—this assists in moving the discussion forward, as well as bringing stakeholders together. </w:t>
      </w:r>
    </w:p>
    <w:p w14:paraId="3F241D59" w14:textId="77777777" w:rsidR="0093470E" w:rsidRDefault="0093470E" w:rsidP="00716D4E">
      <w:pPr>
        <w:pStyle w:val="NumberedHeading3"/>
      </w:pPr>
      <w:bookmarkStart w:id="101" w:name="_Toc509950648"/>
      <w:r w:rsidRPr="00E16853">
        <w:t>Role of knowledge brokers</w:t>
      </w:r>
      <w:bookmarkEnd w:id="101"/>
    </w:p>
    <w:p w14:paraId="6786C070" w14:textId="5C6B55BC" w:rsidR="0093470E" w:rsidRDefault="0093470E" w:rsidP="0093470E">
      <w:pPr>
        <w:rPr>
          <w:sz w:val="22"/>
        </w:rPr>
      </w:pPr>
      <w:r w:rsidRPr="0091711A">
        <w:lastRenderedPageBreak/>
        <w:t xml:space="preserve">A brokerage role (which may be assumed by the institution that reviews evidence) can support knowledge translation. This role includes tailoring and targeting the dissemination of knowledge to the intended end-user group, which is the next step after developing contextualised and appropriate evidence resources. In practice, this may involve identifying specific resources of relevance to a particular group of end-users and </w:t>
      </w:r>
      <w:r w:rsidR="00C36BD8" w:rsidRPr="0091711A">
        <w:rPr>
          <w:b/>
          <w:noProof/>
          <w:sz w:val="18"/>
          <w:lang w:val="en-US" w:eastAsia="en-US"/>
        </w:rPr>
        <mc:AlternateContent>
          <mc:Choice Requires="wps">
            <w:drawing>
              <wp:anchor distT="0" distB="0" distL="114300" distR="114300" simplePos="0" relativeHeight="251703296" behindDoc="0" locked="0" layoutInCell="1" allowOverlap="1" wp14:anchorId="1705F008" wp14:editId="2A9E7E5D">
                <wp:simplePos x="0" y="0"/>
                <wp:positionH relativeFrom="column">
                  <wp:posOffset>2538095</wp:posOffset>
                </wp:positionH>
                <wp:positionV relativeFrom="paragraph">
                  <wp:posOffset>0</wp:posOffset>
                </wp:positionV>
                <wp:extent cx="3110865" cy="8801100"/>
                <wp:effectExtent l="0" t="0" r="13335" b="19050"/>
                <wp:wrapSquare wrapText="bothSides"/>
                <wp:docPr id="8" name="Text Box 8" descr="Box 3: The Teaching and Learning Toolkit"/>
                <wp:cNvGraphicFramePr/>
                <a:graphic xmlns:a="http://schemas.openxmlformats.org/drawingml/2006/main">
                  <a:graphicData uri="http://schemas.microsoft.com/office/word/2010/wordprocessingShape">
                    <wps:wsp>
                      <wps:cNvSpPr txBox="1"/>
                      <wps:spPr>
                        <a:xfrm>
                          <a:off x="0" y="0"/>
                          <a:ext cx="3110865" cy="8801100"/>
                        </a:xfrm>
                        <a:prstGeom prst="rect">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8195EDB" w14:textId="77777777" w:rsidR="00CF668F" w:rsidRPr="005A0A24" w:rsidRDefault="00CF668F" w:rsidP="00B85109">
                            <w:pPr>
                              <w:pStyle w:val="Pull-outBodyCopy"/>
                              <w:jc w:val="center"/>
                              <w:rPr>
                                <w:b/>
                                <w:sz w:val="17"/>
                                <w:szCs w:val="17"/>
                              </w:rPr>
                            </w:pPr>
                            <w:bookmarkStart w:id="102" w:name="_Toc509449825"/>
                            <w:r w:rsidRPr="005A0A24">
                              <w:rPr>
                                <w:b/>
                                <w:sz w:val="17"/>
                                <w:szCs w:val="17"/>
                              </w:rPr>
                              <w:t>Box 3: The Teaching and Learning Toolkit</w:t>
                            </w:r>
                            <w:bookmarkEnd w:id="102"/>
                          </w:p>
                          <w:p w14:paraId="5FF207D7" w14:textId="1DD82D14" w:rsidR="00CF668F" w:rsidRPr="005A0A24" w:rsidRDefault="00CF668F" w:rsidP="0093470E">
                            <w:pPr>
                              <w:rPr>
                                <w:sz w:val="17"/>
                                <w:szCs w:val="17"/>
                              </w:rPr>
                            </w:pPr>
                            <w:r w:rsidRPr="005A0A24">
                              <w:rPr>
                                <w:sz w:val="17"/>
                                <w:szCs w:val="17"/>
                              </w:rPr>
                              <w:t>The Education Endowment Foundation (EEF) is a UK-based foundation that aims to improve the educational achievement of economically disadvantaged students. One way in which EEF achieves this aim is through their creation of online toolkits to translate evidence for use by educators. They have developed a Teaching and Learning Toolkit targeting primary and secondary education, as well as an Early Years Toolkit targeting early childhood educators. The Toolkits are online tools that summarise education research</w:t>
                            </w:r>
                            <w:r w:rsidRPr="005A0A24">
                              <w:rPr>
                                <w:b/>
                                <w:sz w:val="17"/>
                                <w:szCs w:val="17"/>
                              </w:rPr>
                              <w:t xml:space="preserve"> </w:t>
                            </w:r>
                            <w:r w:rsidRPr="005A0A24">
                              <w:rPr>
                                <w:sz w:val="17"/>
                                <w:szCs w:val="17"/>
                              </w:rPr>
                              <w:t>and appraise</w:t>
                            </w:r>
                            <w:r w:rsidRPr="005A0A24">
                              <w:rPr>
                                <w:b/>
                                <w:sz w:val="17"/>
                                <w:szCs w:val="17"/>
                              </w:rPr>
                              <w:t xml:space="preserve"> </w:t>
                            </w:r>
                            <w:r w:rsidRPr="005A0A24">
                              <w:rPr>
                                <w:sz w:val="17"/>
                                <w:szCs w:val="17"/>
                              </w:rPr>
                              <w:t>specific interventions and actions to make it easy for teachers and school leaders to make decisions about educational approaches.</w:t>
                            </w:r>
                            <w:r w:rsidRPr="005A0A24">
                              <w:rPr>
                                <w:b/>
                                <w:sz w:val="17"/>
                                <w:szCs w:val="17"/>
                              </w:rPr>
                              <w:t xml:space="preserve"> </w:t>
                            </w:r>
                            <w:r w:rsidRPr="005A0A24">
                              <w:rPr>
                                <w:sz w:val="17"/>
                                <w:szCs w:val="17"/>
                              </w:rPr>
                              <w:t xml:space="preserve">The Toolkit focuses on collecting evidence for various educational approaches, such as behaviour interventions, arts participation, or assigning homework, and presents summaries of these approaches in terms of average impact on learning, strength of supporting evidence, and cost of implementation—thereby </w:t>
                            </w:r>
                            <w:proofErr w:type="spellStart"/>
                            <w:r w:rsidRPr="005A0A24">
                              <w:rPr>
                                <w:sz w:val="17"/>
                                <w:szCs w:val="17"/>
                              </w:rPr>
                              <w:t>operationalising</w:t>
                            </w:r>
                            <w:proofErr w:type="spellEnd"/>
                            <w:r w:rsidRPr="005A0A24">
                              <w:rPr>
                                <w:sz w:val="17"/>
                                <w:szCs w:val="17"/>
                              </w:rPr>
                              <w:t xml:space="preserve"> and disseminating educational research to enable evidence-based practice.</w:t>
                            </w:r>
                          </w:p>
                          <w:p w14:paraId="5C71676A" w14:textId="1A431C45" w:rsidR="00CF668F" w:rsidRDefault="00CF668F" w:rsidP="0093470E">
                            <w:pPr>
                              <w:rPr>
                                <w:sz w:val="17"/>
                                <w:szCs w:val="17"/>
                              </w:rPr>
                            </w:pPr>
                            <w:r w:rsidRPr="005A0A24">
                              <w:rPr>
                                <w:sz w:val="17"/>
                                <w:szCs w:val="17"/>
                              </w:rPr>
                              <w:t xml:space="preserve">A technical appendix is also provided which details the search terms utilised to source evidence, the number of studies (primary and secondary research) synthesised, a statement about the </w:t>
                            </w:r>
                            <w:proofErr w:type="spellStart"/>
                            <w:r w:rsidRPr="005A0A24">
                              <w:rPr>
                                <w:sz w:val="17"/>
                                <w:szCs w:val="17"/>
                              </w:rPr>
                              <w:t>recency</w:t>
                            </w:r>
                            <w:proofErr w:type="spellEnd"/>
                            <w:r w:rsidRPr="005A0A24">
                              <w:rPr>
                                <w:sz w:val="17"/>
                                <w:szCs w:val="17"/>
                              </w:rPr>
                              <w:t xml:space="preserve"> of the research, and an overall judgement of the evidence quality (EEF, 2018). This judgement is informed by the study design and the technical design characteristics including risk of bias and effect size magnitude. Using all this information, an overall rating is given for the quality of the evidence (strong, moderate, weak). An estimated cost of implementation per student is also provided for some practices with an accompanying judgement of the size of the cost considering the magnitude of impact this practice has been shown to yield. Links to current research projects funded by the EEF that are related to these practices are also provided in the evidence summaries. </w:t>
                            </w:r>
                          </w:p>
                          <w:p w14:paraId="67D5C6C2" w14:textId="5CFFCD3C" w:rsidR="00CF668F" w:rsidRPr="005A0A24" w:rsidRDefault="00CF668F" w:rsidP="0093470E">
                            <w:pPr>
                              <w:rPr>
                                <w:sz w:val="17"/>
                                <w:szCs w:val="17"/>
                              </w:rPr>
                            </w:pPr>
                            <w:r w:rsidRPr="005A0A24">
                              <w:rPr>
                                <w:sz w:val="17"/>
                                <w:szCs w:val="17"/>
                              </w:rPr>
                              <w:t>Additionally, further resources are available on the website, for example existing literature reviews, interviews with researchers, or the evidence reviews used by EEF to create the evidence summaries (EEF, 2018b).  The Teaching and Learning Toolkit is used by more than half of all school leaders in the UK (EEF, 2016). In addition to summarising current evidence, the online Toolkit also provides in-depth guides on how to use and appraise the Toolkit, as well as information explaining each of the aspects that approaches are graded on (i.e. attainment/impact, evidence strength, and cost). Although the Toolkit exists as an online database, paper communications, such as reports or guides regarding current evidence are also mailed out to individual schools.</w:t>
                            </w:r>
                          </w:p>
                          <w:p w14:paraId="0F36E542" w14:textId="77777777" w:rsidR="00CF668F" w:rsidRPr="005A0A24" w:rsidRDefault="00CF668F" w:rsidP="0093470E">
                            <w:pPr>
                              <w:rPr>
                                <w:sz w:val="17"/>
                                <w:szCs w:val="17"/>
                              </w:rPr>
                            </w:pPr>
                            <w:r w:rsidRPr="005A0A24">
                              <w:rPr>
                                <w:sz w:val="17"/>
                                <w:szCs w:val="17"/>
                              </w:rPr>
                              <w:t xml:space="preserve">EEF’s Teaching and Learning Toolkit has “inspired an Australian version” (EEF, 2016), which is run by Evidence for Learning, an organisation supported by Social Ventures Australia, Commonwealth Bank of Australia, and EEF. The Australian Toolkit has an additional module that specifically summarises Australasian educational evidence to facilitate localised evidence-based practice. The Education Endowment Fund is governed by a Chairman and Advisory Board, along with seven Trustees, who guide EEF to meet its charitable objects. EEF is an independent charity originally founded in 2011 by The Sutton Trust with £125 million in grant money from the UK Department of Education. </w:t>
                            </w:r>
                          </w:p>
                          <w:p w14:paraId="4805D437" w14:textId="77777777" w:rsidR="00CF668F" w:rsidRPr="005A0A24" w:rsidRDefault="00CF668F" w:rsidP="0093470E">
                            <w:pPr>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alt="Description: Box 3: The Teaching and Learning Toolkit" style="position:absolute;margin-left:199.85pt;margin-top:0;width:244.95pt;height:69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" filled="f" strokecolor="#094183 [3204]">
                <v:textbox>
                  <w:txbxContent>
                    <w:p w14:paraId="68195EDB" w14:textId="77777777" w:rsidR="00CF668F" w:rsidRPr="005A0A24" w:rsidRDefault="00CF668F" w:rsidP="00B85109">
                      <w:pPr>
                        <w:pStyle w:val="Pull-outBodyCopy"/>
                        <w:jc w:val="center"/>
                        <w:rPr>
                          <w:b/>
                          <w:sz w:val="17"/>
                          <w:szCs w:val="17"/>
                        </w:rPr>
                      </w:pPr>
                      <w:bookmarkStart w:id="106" w:name="_Toc509449825"/>
                      <w:r w:rsidRPr="005A0A24">
                        <w:rPr>
                          <w:b/>
                          <w:sz w:val="17"/>
                          <w:szCs w:val="17"/>
                        </w:rPr>
                        <w:t>Box 3: The Teaching and Learning Toolkit</w:t>
                      </w:r>
                      <w:bookmarkEnd w:id="106"/>
                    </w:p>
                    <w:p w14:paraId="5FF207D7" w14:textId="1DD82D14" w:rsidR="00CF668F" w:rsidRPr="005A0A24" w:rsidRDefault="00CF668F" w:rsidP="0093470E">
                      <w:pPr>
                        <w:rPr>
                          <w:sz w:val="17"/>
                          <w:szCs w:val="17"/>
                        </w:rPr>
                      </w:pPr>
                      <w:r w:rsidRPr="005A0A24">
                        <w:rPr>
                          <w:sz w:val="17"/>
                          <w:szCs w:val="17"/>
                        </w:rPr>
                        <w:t>The Education Endowment Foundation (EEF) is a UK-based foundation that aims to improve the educational achievement of economically disadvantaged students. One way in which EEF achieves this aim is through their creation of online toolkits to translate evidence for use by educators. They have developed a Teaching and Learning Toolkit targeting primary and secondary education, as well as an Early Years Toolkit targeting early childhood educators. The Toolkits are online tools that summarise education research</w:t>
                      </w:r>
                      <w:r w:rsidRPr="005A0A24">
                        <w:rPr>
                          <w:b/>
                          <w:sz w:val="17"/>
                          <w:szCs w:val="17"/>
                        </w:rPr>
                        <w:t xml:space="preserve"> </w:t>
                      </w:r>
                      <w:r w:rsidRPr="005A0A24">
                        <w:rPr>
                          <w:sz w:val="17"/>
                          <w:szCs w:val="17"/>
                        </w:rPr>
                        <w:t>and appraise</w:t>
                      </w:r>
                      <w:r w:rsidRPr="005A0A24">
                        <w:rPr>
                          <w:b/>
                          <w:sz w:val="17"/>
                          <w:szCs w:val="17"/>
                        </w:rPr>
                        <w:t xml:space="preserve"> </w:t>
                      </w:r>
                      <w:r w:rsidRPr="005A0A24">
                        <w:rPr>
                          <w:sz w:val="17"/>
                          <w:szCs w:val="17"/>
                        </w:rPr>
                        <w:t>specific interventions and actions to make it easy for teachers and school leaders to make decisions about educational approaches.</w:t>
                      </w:r>
                      <w:r w:rsidRPr="005A0A24">
                        <w:rPr>
                          <w:b/>
                          <w:sz w:val="17"/>
                          <w:szCs w:val="17"/>
                        </w:rPr>
                        <w:t xml:space="preserve"> </w:t>
                      </w:r>
                      <w:r w:rsidRPr="005A0A24">
                        <w:rPr>
                          <w:sz w:val="17"/>
                          <w:szCs w:val="17"/>
                        </w:rPr>
                        <w:t xml:space="preserve">The Toolkit focuses on collecting evidence for various educational approaches, such as behaviour interventions, arts participation, or assigning homework, and presents summaries of these approaches in terms of average impact on learning, strength of supporting evidence, and cost of implementation—thereby </w:t>
                      </w:r>
                      <w:proofErr w:type="spellStart"/>
                      <w:r w:rsidRPr="005A0A24">
                        <w:rPr>
                          <w:sz w:val="17"/>
                          <w:szCs w:val="17"/>
                        </w:rPr>
                        <w:t>operationalising</w:t>
                      </w:r>
                      <w:proofErr w:type="spellEnd"/>
                      <w:r w:rsidRPr="005A0A24">
                        <w:rPr>
                          <w:sz w:val="17"/>
                          <w:szCs w:val="17"/>
                        </w:rPr>
                        <w:t xml:space="preserve"> and disseminating educational research to enable evidence-based practice.</w:t>
                      </w:r>
                    </w:p>
                    <w:p w14:paraId="5C71676A" w14:textId="1A431C45" w:rsidR="00CF668F" w:rsidRDefault="00CF668F" w:rsidP="0093470E">
                      <w:pPr>
                        <w:rPr>
                          <w:sz w:val="17"/>
                          <w:szCs w:val="17"/>
                        </w:rPr>
                      </w:pPr>
                      <w:r w:rsidRPr="005A0A24">
                        <w:rPr>
                          <w:sz w:val="17"/>
                          <w:szCs w:val="17"/>
                        </w:rPr>
                        <w:t xml:space="preserve">A technical appendix is also provided which details the search terms utilised to source evidence, the number of studies (primary and secondary research) synthesised, a statement about the </w:t>
                      </w:r>
                      <w:proofErr w:type="spellStart"/>
                      <w:r w:rsidRPr="005A0A24">
                        <w:rPr>
                          <w:sz w:val="17"/>
                          <w:szCs w:val="17"/>
                        </w:rPr>
                        <w:t>recency</w:t>
                      </w:r>
                      <w:proofErr w:type="spellEnd"/>
                      <w:r w:rsidRPr="005A0A24">
                        <w:rPr>
                          <w:sz w:val="17"/>
                          <w:szCs w:val="17"/>
                        </w:rPr>
                        <w:t xml:space="preserve"> of the research, and an overall judgement of the evidence quality (EEF, 2018). This judgement is informed by the study design and the technical design characteristics including risk of bias and effect size magnitude. Using all this information, an overall rating is given for the quality of the evidence (strong, moderate, weak). An estimated cost of implementation per student is also provided for some practices with an accompanying judgement of the size of the cost considering the magnitude of impact this practice has been shown to yield. Links to current research projects funded by the EEF that are related to these practices are also provided in the evidence summaries. </w:t>
                      </w:r>
                    </w:p>
                    <w:p w14:paraId="67D5C6C2" w14:textId="5CFFCD3C" w:rsidR="00CF668F" w:rsidRPr="005A0A24" w:rsidRDefault="00CF668F" w:rsidP="0093470E">
                      <w:pPr>
                        <w:rPr>
                          <w:sz w:val="17"/>
                          <w:szCs w:val="17"/>
                        </w:rPr>
                      </w:pPr>
                      <w:r w:rsidRPr="005A0A24">
                        <w:rPr>
                          <w:sz w:val="17"/>
                          <w:szCs w:val="17"/>
                        </w:rPr>
                        <w:t>Additionally, further resources are available on the website, for example existing literature reviews, interviews with researchers, or the evidence reviews used by EEF to create the evidence summaries (EEF, 2018b).  The Teaching and Learning Toolkit is used by more than half of all school leaders in the UK (EEF, 2016). In addition to summarising current evidence, the online Toolkit also provides in-depth guides on how to use and appraise the Toolkit, as well as information explaining each of the aspects that approaches are graded on (i.e. attainment/impact, evidence strength, and cost). Although the Toolkit exists as an online database, paper communications, such as reports or guides regarding current evidence are also mailed out to individual schools.</w:t>
                      </w:r>
                    </w:p>
                    <w:p w14:paraId="0F36E542" w14:textId="77777777" w:rsidR="00CF668F" w:rsidRPr="005A0A24" w:rsidRDefault="00CF668F" w:rsidP="0093470E">
                      <w:pPr>
                        <w:rPr>
                          <w:sz w:val="17"/>
                          <w:szCs w:val="17"/>
                        </w:rPr>
                      </w:pPr>
                      <w:r w:rsidRPr="005A0A24">
                        <w:rPr>
                          <w:sz w:val="17"/>
                          <w:szCs w:val="17"/>
                        </w:rPr>
                        <w:t xml:space="preserve">EEF’s Teaching and Learning Toolkit has “inspired an Australian version” (EEF, 2016), which is run by Evidence for Learning, an organisation supported by Social Ventures Australia, Commonwealth Bank of Australia, and EEF. The Australian Toolkit has an additional module that specifically summarises Australasian educational evidence to facilitate localised evidence-based practice. The Education Endowment Fund is governed by a Chairman and Advisory Board, along with seven Trustees, who guide EEF to meet its charitable objects. EEF is an independent charity originally founded in 2011 by The Sutton Trust with £125 million in grant money from the UK Department of Education. </w:t>
                      </w:r>
                    </w:p>
                    <w:p w14:paraId="4805D437" w14:textId="77777777" w:rsidR="00CF668F" w:rsidRPr="005A0A24" w:rsidRDefault="00CF668F" w:rsidP="0093470E">
                      <w:pPr>
                        <w:rPr>
                          <w:sz w:val="17"/>
                          <w:szCs w:val="17"/>
                        </w:rPr>
                      </w:pPr>
                    </w:p>
                  </w:txbxContent>
                </v:textbox>
                <w10:wrap type="square"/>
              </v:shape>
            </w:pict>
          </mc:Fallback>
        </mc:AlternateContent>
      </w:r>
      <w:r w:rsidRPr="0091711A">
        <w:t xml:space="preserve">disseminating the resources to them effectively </w:t>
      </w:r>
      <w:r w:rsidRPr="0091711A">
        <w:fldChar w:fldCharType="begin" w:fldLock="1"/>
      </w:r>
      <w:r w:rsidRPr="0091711A">
        <w:instrText>ADDIN CSL_CITATION { "citationItems" : [ { "id" : "ITEM-1", "itemData" : { "DOI" : "10.1093/heapro/dam017", "ISBN" : "0957-4824, 0957-4824", "ISSN" : "09574824", "PMID" : "17596543", "abstract" : "Governments and other public health agencies have become increasingly interested in evidence-informed policy and practice. Translating research evidence into programmatic change has proved challenging and the evidence around how to effectively promote and facilitate this process is still relatively limited. This paper presents the findings from an evaluation of a series of evidence-based health promotion resources commissioned by the Victorian Department of Human Services. The evaluation used qualitative methods to explore how practitioners for whom the resources were intended, viewed and used them. Document and literature review and analysis, and a series of key informant interviews and focus groups were conducted. The findings clearly demonstrate that the resources are unlikely to act as agents for change unless they are linked to a knowledge management process that includes practitioner engagement. This paper also considers the potential role of knowledge brokers in helping to identify and translate evidence into practice.", "author" : [ { "dropping-particle" : "", "family" : "Armstrong", "given" : "Rebecca", "non-dropping-particle" : "", "parse-names" : false, "suffix" : "" }, { "dropping-particle" : "", "family" : "Waters", "given" : "Elizabeth", "non-dropping-particle" : "", "parse-names" : false, "suffix" : "" }, { "dropping-particle" : "", "family" : "Crockett", "given" : "Belinda", "non-dropping-particle" : "", "parse-names" : false, "suffix" : "" }, { "dropping-particle" : "", "family" : "Keleher", "given" : "Helen", "non-dropping-particle" : "", "parse-names" : false, "suffix" : "" } ], "container-title" : "Health Promotion International", "id" : "ITEM-1", "issue" : "3", "issued" : { "date-parts" : [ [ "2007" ] ] }, "page" : "254-260", "title" : "The nature of evidence resources and knowledge translation for health promotion practitioners", "type" : "article-journal", "volume" : "22" }, "uris" : [ "http://www.mendeley.com/documents/?uuid=3455b167-3c21-4364-9e5e-c6fa25b7fef2" ] } ], "mendeley" : { "formattedCitation" : "(Armstrong, Waters, Crockett, &amp; Keleher, 2007)", "plainTextFormattedCitation" : "(Armstrong, Waters, Crockett, &amp; Keleher, 2007)", "previouslyFormattedCitation" : "(Armstrong, Waters, Crockett, &amp; Keleher, 2007)" }, "properties" : {  }, "schema" : "https://github.com/citation-style-language/schema/raw/master/csl-citation.json" }</w:instrText>
      </w:r>
      <w:r w:rsidRPr="0091711A">
        <w:fldChar w:fldCharType="separate"/>
      </w:r>
      <w:bookmarkStart w:id="103" w:name="_Hlk509231333"/>
      <w:r w:rsidRPr="0091711A">
        <w:rPr>
          <w:noProof/>
        </w:rPr>
        <w:t>(Armstrong, Waters, Crockett, &amp; Keleher, 2007</w:t>
      </w:r>
      <w:bookmarkEnd w:id="103"/>
      <w:r w:rsidRPr="0091711A">
        <w:rPr>
          <w:noProof/>
        </w:rPr>
        <w:t>)</w:t>
      </w:r>
      <w:r w:rsidRPr="0091711A">
        <w:fldChar w:fldCharType="end"/>
      </w:r>
      <w:r w:rsidRPr="00051930">
        <w:rPr>
          <w:sz w:val="22"/>
        </w:rPr>
        <w:t xml:space="preserve">. </w:t>
      </w:r>
      <w:r w:rsidRPr="0091711A">
        <w:t>This may be done automatically through a user sign-in online platform, semi-automatical</w:t>
      </w:r>
      <w:r w:rsidR="001D14EA">
        <w:t>ly by group email newsletters,</w:t>
      </w:r>
      <w:r w:rsidR="00D0025D">
        <w:t xml:space="preserve"> or</w:t>
      </w:r>
      <w:r w:rsidR="001D14EA">
        <w:t xml:space="preserve"> n</w:t>
      </w:r>
      <w:r w:rsidRPr="0091711A">
        <w:t xml:space="preserve">on-automatic methods of direct communication with individuals/groups is uncommon </w:t>
      </w:r>
      <w:r w:rsidRPr="0091711A">
        <w:fldChar w:fldCharType="begin" w:fldLock="1"/>
      </w:r>
      <w:r w:rsidRPr="0091711A">
        <w:instrText>ADDIN CSL_CITATION { "citationItems" : [ { "id" : "ITEM-1", "itemData" : { "DOI" : "10.1093/heapro/dam017", "ISBN" : "0957-4824, 0957-4824", "ISSN" : "09574824", "PMID" : "17596543", "abstract" : "Governments and other public health agencies have become increasingly interested in evidence-informed policy and practice. Translating research evidence into programmatic change has proved challenging and the evidence around how to effectively promote and facilitate this process is still relatively limited. This paper presents the findings from an evaluation of a series of evidence-based health promotion resources commissioned by the Victorian Department of Human Services. The evaluation used qualitative methods to explore how practitioners for whom the resources were intended, viewed and used them. Document and literature review and analysis, and a series of key informant interviews and focus groups were conducted. The findings clearly demonstrate that the resources are unlikely to act as agents for change unless they are linked to a knowledge management process that includes practitioner engagement. This paper also considers the potential role of knowledge brokers in helping to identify and translate evidence into practice.", "author" : [ { "dropping-particle" : "", "family" : "Armstrong", "given" : "Rebecca", "non-dropping-particle" : "", "parse-names" : false, "suffix" : "" }, { "dropping-particle" : "", "family" : "Waters", "given" : "Elizabeth", "non-dropping-particle" : "", "parse-names" : false, "suffix" : "" }, { "dropping-particle" : "", "family" : "Crockett", "given" : "Belinda", "non-dropping-particle" : "", "parse-names" : false, "suffix" : "" }, { "dropping-particle" : "", "family" : "Keleher", "given" : "Helen", "non-dropping-particle" : "", "parse-names" : false, "suffix" : "" } ], "container-title" : "Health Promotion International", "id" : "ITEM-1", "issue" : "3", "issued" : { "date-parts" : [ [ "2007" ] ] }, "page" : "254-260", "title" : "The nature of evidence resources and knowledge translation for health promotion practitioners", "type" : "article-journal", "volume" : "22" }, "uris" : [ "http://www.mendeley.com/documents/?uuid=3455b167-3c21-4364-9e5e-c6fa25b7fef2" ] } ], "mendeley" : { "formattedCitation" : "(Armstrong et al., 2007)", "plainTextFormattedCitation" : "(Armstrong et al., 2007)", "previouslyFormattedCitation" : "(Armstrong et al., 2007)" }, "properties" : {  }, "schema" : "https://github.com/citation-style-language/schema/raw/master/csl-citation.json" }</w:instrText>
      </w:r>
      <w:r w:rsidRPr="0091711A">
        <w:fldChar w:fldCharType="separate"/>
      </w:r>
      <w:r w:rsidRPr="0091711A">
        <w:rPr>
          <w:noProof/>
        </w:rPr>
        <w:t>(Armstrong et al., 2007)</w:t>
      </w:r>
      <w:r w:rsidRPr="0091711A">
        <w:fldChar w:fldCharType="end"/>
      </w:r>
      <w:r w:rsidRPr="0091711A">
        <w:t>.</w:t>
      </w:r>
    </w:p>
    <w:p w14:paraId="3791721D" w14:textId="77777777" w:rsidR="0093470E" w:rsidRPr="00E16853" w:rsidRDefault="0093470E" w:rsidP="00716D4E">
      <w:pPr>
        <w:pStyle w:val="NumberedHeading3"/>
      </w:pPr>
      <w:bookmarkStart w:id="104" w:name="_Toc509950649"/>
      <w:r w:rsidRPr="00E16853">
        <w:t>Strategies for disseminating evidence-based knowledge and practices</w:t>
      </w:r>
      <w:bookmarkEnd w:id="104"/>
      <w:r w:rsidRPr="00E16853">
        <w:t xml:space="preserve"> </w:t>
      </w:r>
    </w:p>
    <w:p w14:paraId="61D38BD0" w14:textId="77777777" w:rsidR="0093470E" w:rsidRPr="0091711A" w:rsidRDefault="0093470E" w:rsidP="0093470E">
      <w:r w:rsidRPr="0091711A">
        <w:t xml:space="preserve">Whilst both active and passive strategies to disseminate knowledge were evident within the review, active strategies tended to be more impactful. Active strategies are those that involve interaction, including web-based resources and databases of evidence information. </w:t>
      </w:r>
      <w:r w:rsidR="00D50D68">
        <w:t>Institutions</w:t>
      </w:r>
      <w:r w:rsidRPr="0091711A">
        <w:t xml:space="preserve"> that used this approach </w:t>
      </w:r>
      <w:r w:rsidR="00D50D68">
        <w:t>for</w:t>
      </w:r>
      <w:r w:rsidRPr="0091711A">
        <w:t xml:space="preserve"> dissemination </w:t>
      </w:r>
      <w:r w:rsidR="00D50D68">
        <w:t>had greater reach</w:t>
      </w:r>
      <w:r w:rsidRPr="0091711A">
        <w:t xml:space="preserve">, </w:t>
      </w:r>
      <w:r w:rsidR="00D50D68">
        <w:t>and were more</w:t>
      </w:r>
      <w:r w:rsidRPr="0091711A">
        <w:t xml:space="preserve"> likely to inform  practice or policy </w:t>
      </w:r>
      <w:r w:rsidRPr="0091711A">
        <w:fldChar w:fldCharType="begin" w:fldLock="1"/>
      </w:r>
      <w:r w:rsidRPr="0091711A">
        <w:instrText>ADDIN CSL_CITATION { "citationItems" : [ { "id" : "ITEM-1",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"ITEM-1",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"(LaRocca et al., 2012)", "plainTextFormattedCitation" : "(LaRocca et al., 2012)", "previouslyFormattedCitation" : "(LaRocca et al., 2012)" }, "properties" : {  }, "schema" : "https://github.com/citation-style-language/schema/raw/master/csl-citation.json" }</w:instrText>
      </w:r>
      <w:r w:rsidRPr="0091711A">
        <w:fldChar w:fldCharType="separate"/>
      </w:r>
      <w:r w:rsidRPr="0091711A">
        <w:rPr>
          <w:noProof/>
        </w:rPr>
        <w:t>(LaRocca et al., 2012)</w:t>
      </w:r>
      <w:r w:rsidRPr="0091711A">
        <w:fldChar w:fldCharType="end"/>
      </w:r>
      <w:r w:rsidRPr="0091711A">
        <w:t xml:space="preserve">. Armstrong et al. (2007) </w:t>
      </w:r>
      <w:r w:rsidRPr="0091711A">
        <w:rPr>
          <w:noProof/>
        </w:rPr>
        <w:t>analysed</w:t>
      </w:r>
      <w:r w:rsidRPr="0091711A">
        <w:t xml:space="preserve"> strategies used by the Victorian Department of Human Services to disseminate evidence-based health promotion resources and found that practitioners preferred active dissemination approaches with opportunities to explore local relevance. The authors also found that structured and deliberate dissemination strategies improved the use of resources by practitioners and enhanced translation of evidence into practice (Armstrong et al., 2007). Thus, multifaceted dissemination strategies and routes that are predominantly active can increase the likelihood that the knowledge will be used to inform decision making and practice </w:t>
      </w:r>
      <w:r w:rsidRPr="0091711A">
        <w:fldChar w:fldCharType="begin" w:fldLock="1"/>
      </w:r>
      <w:r w:rsidRPr="0091711A">
        <w:instrText>ADDIN CSL_CITATION { "citationItems" : [ { "id" : "ITEM-1", "itemData" : { "abstract" : "1. Definition. Guidelines are systematically developed evidence-based statements which assist providers, recipients and other stakeholders to make informed decisions about appropriate health interventions. Health interventions are defined broadly to include not only clinical procedures but also public health actions. Guidelines are formal advisory statements which should be robust enough to meet the unique circumstances and constraints of the specific situation to which they are being applied. The basic nature and intent of guidelines have also been expressed under other formats variously labeled as protocols, best practice, algorithms, consensus statements, expert committee recommendations, and integrated care pathways. This document refers to all formats with the basic nature and intent of guidelines. 2. WHO Mandate. In line with Article II of the Constitution, one of the core functions of WHO is setting, validating, monitoring and pursuing the proper implementation of norms and standards. In the performance of this function, WHO has been and will continue issuing recommendations for best practices given the current evidence i.e. guidelines. 3. Context. National and international organizations are increasingly issuing their own guidelines (Woolf, 1999). This leads to multiple guidelines on the same topic, which are not necessarily uniform in their process of development or consistent in their recommendations, but are widely circulated and increasingly available on the Internet. They are of growing interest to policy makers as well as to payers, providers and users of health services.", "author" : [ { "dropping-particle" : "", "family" : "WHO", "given" : "", "non-dropping-particle" : "", "parse-names" : false, "suffix" : "" } ], "container-title" : "Global Programme on Evidence for Health Policy", "id" : "ITEM-1", "issued" : { "date-parts" : [ [ "2003" ] ] }, "number-of-pages" : "1-24", "publisher-place" : "Geneva, Switzerland", "title" : "Guidelines for who guidelines", "type" : "report" }, "uris" : [ "http://www.mendeley.com/documents/?uuid=0f52369f-5022-404d-9190-d5b288e5204b" ] }, { "id" : "ITEM-2",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"ITEM-2", "issue" : "2", "issued" : { "date-parts" : [ [ "2012" ] ] }, "page" : "751", "title" : "The effectiveness of knowledge translation strategies used in public health: a systematic review (Structured abstract)", "type" : "article", "volume" : "12" }, "uris" : [ "http://www.mendeley.com/documents/?uuid=d1c367cf-0de9-4cd5-9d99-b4e10e72329f" ] }, { "id" : "ITEM-3",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"ITEM-3", "issued" : { "date-parts" : [ [ "2010" ] ] }, "title" : "A knowledge management tool for public health: health-evidence.ca", "type" : "article-journal" }, "uris" : [ "http://www.mendeley.com/documents/?uuid=aeeeb24c-b3a1-3922-a4f0-b14a6fd13b11" ] } ], "mendeley" : { "formattedCitation" : "(Dobbins, Decorby, et al., 2010; LaRocca et al., 2012; WHO, 2003)", "plainTextFormattedCitation" : "(Dobbins, Decorby, et al., 2010; LaRocca et al., 2012; WHO, 2003)", "previouslyFormattedCitation" : "(Dobbins, Decorby, et al., 2010; LaRocca et al., 2012; WHO, 2003)" }, "properties" : {  }, "schema" : "https://github.com/citation-style-language/schema/raw/master/csl-citation.json" }</w:instrText>
      </w:r>
      <w:r w:rsidRPr="0091711A">
        <w:fldChar w:fldCharType="separate"/>
      </w:r>
      <w:r w:rsidRPr="0091711A">
        <w:rPr>
          <w:noProof/>
        </w:rPr>
        <w:t>(Dobbins, Decorby, et al., 2010; LaRocca et al., 2012; WHO, 2003)</w:t>
      </w:r>
      <w:r w:rsidRPr="0091711A">
        <w:fldChar w:fldCharType="end"/>
      </w:r>
      <w:r w:rsidRPr="0091711A">
        <w:t xml:space="preserve">. </w:t>
      </w:r>
    </w:p>
    <w:p w14:paraId="0BA79D22" w14:textId="77777777" w:rsidR="0093470E" w:rsidRPr="00E16853" w:rsidRDefault="0093470E" w:rsidP="00716D4E">
      <w:pPr>
        <w:pStyle w:val="NumberedHeading3"/>
      </w:pPr>
      <w:bookmarkStart w:id="105" w:name="_Toc509950650"/>
      <w:r w:rsidRPr="00E16853">
        <w:t>Dissemination routes</w:t>
      </w:r>
      <w:bookmarkEnd w:id="105"/>
    </w:p>
    <w:p w14:paraId="3843CA6A" w14:textId="77777777" w:rsidR="0093470E" w:rsidRPr="00051930" w:rsidRDefault="0093470E" w:rsidP="0093470E">
      <w:pPr>
        <w:rPr>
          <w:sz w:val="22"/>
        </w:rPr>
      </w:pPr>
      <w:r w:rsidRPr="0091711A">
        <w:lastRenderedPageBreak/>
        <w:t xml:space="preserve">A variety of dissemination routes were reported in the literature, including face-to-face (workshops, meetings), academic journals and conferences, reports issued to funders, press releases, and newsletters. In a recent study on researchers’ strategies to disseminate evidence to public health practice settings, authors found that academic journals, academic conferences, and reports to funders were the top three dissemination routes. However, of these routes, those that offer opportunities for interaction such as face-to-face meetings with end users had the most impact on supporting evidence-informed practice and policy </w:t>
      </w:r>
      <w:r w:rsidRPr="0091711A">
        <w:fldChar w:fldCharType="begin" w:fldLock="1"/>
      </w:r>
      <w:r w:rsidRPr="0091711A">
        <w:instrText>ADDIN CSL_CITATION { "citationItems" : [ { "id" : "ITEM-1", "itemData" : { "DOI" : "10.1186/s12961-016-0113-4", "ISBN" : "1478-4505 (Electronic)\n1478-4505 (Linking)", "ISSN" : "14784505", "PMID" : "27282520", "abstract" : "BACKGROUND Evidence-based public health interventions, which research has demonstrated offer the most promise for improving the population's health, are not always utilized in practice settings. The extent to which dissemination from researchers to public health practice settings occurs is not widely understood. This study examines the extent to which public health researchers in the United States are disseminating their research findings to local and state public health departments. METHODS In a 2012, nationwide study, an online questionnaire was administered to 266 researchers from the National Institutes of Health, the Centers for Disease Control and Prevention, and universities to determine dissemination practices. Logistic regression analyses were used to examine the association between dissemination to state and/or local health departments and respondent characteristics, facilitators, and barriers to dissemination. RESULTS Slightly over half of the respondents (58%) disseminated their findings to local and/or state health departments. After adjusting for other respondent characteristics, respondents were more likely to disseminate their findings to health departments if they worked for a university Prevention Research Center or the Centers for Disease Control and Prevention, or received their degree more than 20 years ago. Those who had ever worked in a practice or policy setting, those who thought dissemination was important to their own research and/or to the work of their unit/department, and those who had expectations set by their employers and/or funding agencies were more likely to disseminate after adjusting for work place, graduate degree and/or fellowship in public health, and the year the highest academic degree was received. CONCLUSIONS There is still room for improvement in strengthening dissemination ties between researchers and public health practice settings, and decreasing the barriers researchers face during the dissemination process. Researchers could better utilize national programs or workshops, knowledge brokers, or opportunities provided through academic institutions to become more proficient in dissemination practices.", "author" : [ { "dropping-particle" : "", "family" : "McVay", "given" : "Allese B.", "non-dropping-particle" : "", "parse-names" : false, "suffix" : "" }, { "dropping-particle" : "", "family" : "Stamatakis", "given" : "Katherine A.", "non-dropping-particle" : "", "parse-names" : false, "suffix" : "" }, { "dropping-particle" : "", "family" : "Jacobs", "given" : "Julie A.", "non-dropping-particle" : "", "parse-names" : false, "suffix" : "" }, { "dropping-particle" : "", "family" : "Tabak", "given" : "Rachel G.", "non-dropping-particle" : "", "parse-names" : false, "suffix" : "" }, { "dropping-particle" : "", "family" : "Brownson", "given" : "Ross C.", "non-dropping-particle" : "", "parse-names" : false, "suffix" : "" } ], "container-title" : "Health Research Policy and Systems", "id" : "ITEM-1", "issue" : "1", "issued" : { "date-parts" : [ [ "2016" ] ] }, "page" : "1-9", "publisher" : "Health Research Policy and Systems", "title" : "The role of researchers in disseminating evidence to public health practice settings: A cross-sectional study", "type" : "article-journal", "volume" : "14" }, "uris" : [ "http://www.mendeley.com/documents/?uuid=c958a70b-996f-460c-82df-ac34ca3aff00" ] }, { "id" : "ITEM-2",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"ITEM-2",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"(LaRocca et al., 2012; McVay, Stamatakis, Jacobs, Tabak, &amp; Brownson, 2016)", "plainTextFormattedCitation" : "(LaRocca et al., 2012; McVay, Stamatakis, Jacobs, Tabak, &amp; Brownson, 2016)", "previouslyFormattedCitation" : "(LaRocca et al., 2012; McVay, Stamatakis, Jacobs, Tabak, &amp; Brownson, 2016)" }, "properties" : {  }, "schema" : "https://github.com/citation-style-language/schema/raw/master/csl-citation.json" }</w:instrText>
      </w:r>
      <w:r w:rsidRPr="0091711A">
        <w:fldChar w:fldCharType="separate"/>
      </w:r>
      <w:r w:rsidRPr="0091711A">
        <w:rPr>
          <w:noProof/>
        </w:rPr>
        <w:t xml:space="preserve">(LaRocca et al., 2012; </w:t>
      </w:r>
      <w:bookmarkStart w:id="106" w:name="_Hlk509231354"/>
      <w:r w:rsidRPr="0091711A">
        <w:rPr>
          <w:noProof/>
        </w:rPr>
        <w:t>McVay, Stamatakis, Jacobs, Tabak, &amp; Brownson, 2016)</w:t>
      </w:r>
      <w:bookmarkEnd w:id="106"/>
      <w:r w:rsidRPr="0091711A">
        <w:fldChar w:fldCharType="end"/>
      </w:r>
      <w:r w:rsidRPr="00051930">
        <w:rPr>
          <w:sz w:val="22"/>
        </w:rPr>
        <w:t xml:space="preserve">. </w:t>
      </w:r>
    </w:p>
    <w:p w14:paraId="1BB90CAB" w14:textId="77777777" w:rsidR="0093470E" w:rsidRPr="00E16853" w:rsidRDefault="0093470E" w:rsidP="00716D4E">
      <w:pPr>
        <w:pStyle w:val="NumberedHeading3"/>
      </w:pPr>
      <w:bookmarkStart w:id="107" w:name="_Toc509950651"/>
      <w:r w:rsidRPr="00E16853">
        <w:t>Ongoing monitoring and evaluation of knowledge translation</w:t>
      </w:r>
      <w:bookmarkEnd w:id="107"/>
    </w:p>
    <w:p w14:paraId="2527AC87" w14:textId="77777777" w:rsidR="0093470E" w:rsidRPr="0091711A" w:rsidRDefault="0093470E" w:rsidP="005A0A24">
      <w:pPr>
        <w:spacing w:after="0"/>
      </w:pPr>
      <w:r w:rsidRPr="0091711A">
        <w:t xml:space="preserve">While there is evidence about effective strategies and dissemination routes for knowledge translation, the degree that the specific strategies are working should be the subject of ongoing monitoring and evaluation, as the needs and context of the intended user groups are not fixed. Knowledge translation should be current, evolving and responsive, which requires continuous monitoring and feedback to ensure that the translation process remains adaptive and barriers to uptake are addressed </w:t>
      </w:r>
      <w:r w:rsidRPr="0091711A">
        <w:fldChar w:fldCharType="begin" w:fldLock="1"/>
      </w:r>
      <w:r w:rsidRPr="0091711A">
        <w:instrText>ADDIN CSL_CITATION { "citationItems" : [ { "id" : "ITEM-1", "itemData" : { "DOI" : "10.1016/j.jsr.2011.08.005", "ISBN" : "1879-1247", "ISSN" : "00224375", "PMID" : "22152259", "abstract" : "Introduction: The concept of knowledge translation as defined by the Canadian Institutes for Health Research and the Knowledge to Action Cycle, described by Graham et al (Graham et al., 2006), are used to make a case for the importance of using a conceptual model to describe moving knowledge into action in the area of falls prevention. Method: There is a large body of research in the area of falls prevention. It would seem that in many areas it is clear what is needed to prevent falls and further syntheses can determine where the evidence is sufficiently robust to warrant its implementation as well as where the gaps are that require further basic research. Conclusion: The phases of the action cycle highlight seven areas that should be paid attention to in order to maximize chances of successful implementation. Crown Copyright \u00a9 2011 Published by Elsevier Ltd. All rights reserved.", "author" : [ { "dropping-particle" : "", "family" : "Tetroe", "given" : "Jacqueline M.", "non-dropping-particle" : "", "parse-names" : false, "suffix" : "" }, { "dropping-particle" : "", "family" : "Graham", "given" : "Ian D.", "non-dropping-particle" : "", "parse-names" : false, "suffix" : "" }, { "dropping-particle" : "", "family" : "Scott", "given" : "Vicky", "non-dropping-particle" : "", "parse-names" : false, "suffix" : "" } ], "container-title" : "Journal of Safety Research", "id" : "ITEM-1", "issue" : "6", "issued" : { "date-parts" : [ [ "2011" ] ] }, "page" : "423-426", "publisher" : "National Safety Council and Elsevier Ltd", "title" : "What does it mean to transform knowledge into action in falls prevention research? Perspectives from the Canadian Institutes of Health Research", "type" : "article-journal", "volume" : "42" }, "uris" : [ "http://www.mendeley.com/documents/?uuid=f0a3e9a6-39d5-4171-b8a2-a139fd8f8174" ] } ], "mendeley" : { "formattedCitation" : "(Tetroe, Graham, &amp; Scott, 2011)", "plainTextFormattedCitation" : "(Tetroe, Graham, &amp; Scott, 2011)", "previouslyFormattedCitation" : "(Tetroe, Graham, &amp; Scott, 2011)" }, "properties" : {  }, "schema" : "https://github.com/citation-style-language/schema/raw/master/csl-citation.json" }</w:instrText>
      </w:r>
      <w:r w:rsidRPr="0091711A">
        <w:fldChar w:fldCharType="separate"/>
      </w:r>
      <w:bookmarkStart w:id="108" w:name="_Hlk509231362"/>
      <w:r w:rsidRPr="0091711A">
        <w:rPr>
          <w:noProof/>
        </w:rPr>
        <w:t>(Tetroe, Graham, &amp; Scott, 2011</w:t>
      </w:r>
      <w:bookmarkEnd w:id="108"/>
      <w:r w:rsidRPr="0091711A">
        <w:rPr>
          <w:noProof/>
        </w:rPr>
        <w:t>)</w:t>
      </w:r>
      <w:r w:rsidRPr="0091711A">
        <w:fldChar w:fldCharType="end"/>
      </w:r>
      <w:r w:rsidRPr="0091711A">
        <w:t>.</w:t>
      </w:r>
    </w:p>
    <w:p w14:paraId="7E12778E" w14:textId="77777777" w:rsidR="0093470E" w:rsidRPr="00E16853" w:rsidRDefault="0093470E" w:rsidP="0093470E"/>
    <w:p w14:paraId="25816B7D" w14:textId="77777777" w:rsidR="0093470E" w:rsidRPr="00E16853" w:rsidRDefault="0093470E" w:rsidP="007674CF">
      <w:pPr>
        <w:pStyle w:val="NumberedHeading2"/>
      </w:pPr>
      <w:bookmarkStart w:id="109" w:name="_Toc508637957"/>
      <w:bookmarkStart w:id="110" w:name="_Toc509950652"/>
      <w:r w:rsidRPr="00E16853">
        <w:t>Function 4: Utilisation</w:t>
      </w:r>
      <w:bookmarkEnd w:id="109"/>
      <w:bookmarkEnd w:id="110"/>
      <w:r w:rsidRPr="00E16853">
        <w:t xml:space="preserve"> </w:t>
      </w:r>
    </w:p>
    <w:p w14:paraId="71055946" w14:textId="77777777" w:rsidR="0093470E" w:rsidRPr="0091711A" w:rsidRDefault="0093470E" w:rsidP="0093470E">
      <w:r w:rsidRPr="0091711A">
        <w:t>Explicit efforts to support research utilisation are a necessary role of research and evidence institutions. Quality practice in this area of functioning is characterised by engaging with end-users, systematising feedback mechanisms and creating connections with current debates in policy and practice</w:t>
      </w:r>
      <w:r w:rsidR="000C2B54">
        <w:t xml:space="preserve">. </w:t>
      </w:r>
      <w:r w:rsidRPr="0091711A">
        <w:t xml:space="preserve">The final function of the Evidence into Action Model is focussed on utilisation for institutions that support evidence-informed policy and practice. It is closely related to and dependent on the knowledge translation function, but it also has a distinct relationship to evidence-informed policy and practice. For instance, even if there are effective knowledge translation practices, a poor-quality strategy or infrastructure to support utilisation could prevent evidence-informed policy and practice from occurring. The rapid synthesis identified several characteristics of effective utilisation infrastructures and strategies that support evidence-informed policy and practice. These include: an intentional and evidence-based process of infrastructure development; incorporation of feedback loops into the infrastructure; sustained funding to enable ongoing functionality and forecasting; and a quality knowledge management strategy. </w:t>
      </w:r>
    </w:p>
    <w:p w14:paraId="753EBB7A" w14:textId="77777777" w:rsidR="00F674C4" w:rsidRPr="0091711A" w:rsidRDefault="0093470E" w:rsidP="0093470E">
      <w:pPr>
        <w:sectPr w:rsidR="00F674C4" w:rsidRPr="0091711A" w:rsidSect="008C52B2">
          <w:pgSz w:w="11906" w:h="16838"/>
          <w:pgMar w:top="1440" w:right="1440" w:bottom="1440" w:left="1440" w:header="708" w:footer="708" w:gutter="0"/>
          <w:cols w:space="708"/>
          <w:titlePg/>
          <w:docGrid w:linePitch="360"/>
        </w:sectPr>
      </w:pPr>
      <w:r w:rsidRPr="0091711A">
        <w:t xml:space="preserve">The final function of the evidence into action model for institutions that support evidence-informed policy and practice is focussed on utilisation. It is closely related to and dependent on the knowledge translation function, however, it also has a distinct relationship to evidence-informed policy and practice. For instance, even if effective knowledge translation is implemented, a poor-quality strategy and infrastructure to support utilisation can prevent evidence-informed policy and practice from occurring. Characteristics of effective utilisation infrastructures and strategies that support evidence-informed policy and practice based on the literature review findings include: an intentional and evidence-based process of developing the infrastructure; incorporation of feedback loops into infrastructure; sustained funding to enable ongoing functionality and forecasting; and a quality knowledge management strategy. </w:t>
      </w:r>
    </w:p>
    <w:p w14:paraId="02AB2AA4" w14:textId="77777777" w:rsidR="00F674C4" w:rsidRDefault="00F674C4" w:rsidP="0093470E">
      <w:pPr>
        <w:rPr>
          <w:sz w:val="22"/>
        </w:rPr>
      </w:pPr>
      <w:r>
        <w:rPr>
          <w:noProof/>
          <w:lang w:val="en-US" w:eastAsia="en-US"/>
        </w:rPr>
        <w:lastRenderedPageBreak/>
        <w:drawing>
          <wp:inline distT="0" distB="0" distL="0" distR="0" wp14:anchorId="063F329A" wp14:editId="4D2E199D">
            <wp:extent cx="8657112" cy="4900806"/>
            <wp:effectExtent l="0" t="0" r="0" b="0"/>
            <wp:docPr id="19" name="Picture 19" descr="This figure shows the relationship between the characteristics of an effective research and evidence institute and: the implementation challenges faced; the utilisation infrastructure/platform chosen; and the knowledge translation and outcomes achie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9429" t="22527" r="8869" b="23729"/>
                    <a:stretch/>
                  </pic:blipFill>
                  <pic:spPr bwMode="auto">
                    <a:xfrm>
                      <a:off x="0" y="0"/>
                      <a:ext cx="8685458" cy="4916853"/>
                    </a:xfrm>
                    <a:prstGeom prst="rect">
                      <a:avLst/>
                    </a:prstGeom>
                    <a:ln>
                      <a:noFill/>
                    </a:ln>
                    <a:extLst>
                      <a:ext uri="{53640926-AAD7-44D8-BBD7-CCE9431645EC}">
                        <a14:shadowObscured xmlns:a14="http://schemas.microsoft.com/office/drawing/2010/main"/>
                      </a:ext>
                    </a:extLst>
                  </pic:spPr>
                </pic:pic>
              </a:graphicData>
            </a:graphic>
          </wp:inline>
        </w:drawing>
      </w:r>
    </w:p>
    <w:p w14:paraId="7B8F77AB" w14:textId="35A6917E" w:rsidR="00F674C4" w:rsidRDefault="00FC1720" w:rsidP="00813AA6">
      <w:pPr>
        <w:pStyle w:val="Caption2"/>
        <w:rPr>
          <w:sz w:val="22"/>
        </w:rPr>
      </w:pPr>
      <w:bookmarkStart w:id="111" w:name="_Toc509848445"/>
      <w:bookmarkStart w:id="112" w:name="_Toc509950653"/>
      <w:bookmarkStart w:id="113" w:name="_Toc509951282"/>
      <w:r>
        <w:t xml:space="preserve">Figure </w:t>
      </w:r>
      <w:fldSimple w:instr=" SEQ Figure \* ARABIC ">
        <w:r w:rsidR="004240AA">
          <w:rPr>
            <w:noProof/>
          </w:rPr>
          <w:t>9</w:t>
        </w:r>
      </w:fldSimple>
      <w:r>
        <w:t>: Role of maximising research utilisation in supporting EIP in reviewed research and evidence institutions</w:t>
      </w:r>
      <w:bookmarkEnd w:id="111"/>
      <w:bookmarkEnd w:id="112"/>
      <w:bookmarkEnd w:id="113"/>
    </w:p>
    <w:p w14:paraId="49EECDC3" w14:textId="77777777" w:rsidR="00F674C4" w:rsidRDefault="00F674C4" w:rsidP="0093470E">
      <w:pPr>
        <w:rPr>
          <w:sz w:val="22"/>
        </w:rPr>
        <w:sectPr w:rsidR="00F674C4" w:rsidSect="008C52B2">
          <w:pgSz w:w="16838" w:h="11906" w:orient="landscape"/>
          <w:pgMar w:top="1440" w:right="1440" w:bottom="1440" w:left="1440" w:header="708" w:footer="708" w:gutter="0"/>
          <w:cols w:space="708"/>
          <w:titlePg/>
          <w:docGrid w:linePitch="360"/>
        </w:sectPr>
      </w:pPr>
    </w:p>
    <w:p w14:paraId="69589F4F" w14:textId="77777777" w:rsidR="0093470E" w:rsidRPr="0091711A" w:rsidRDefault="0093470E" w:rsidP="0093470E">
      <w:r w:rsidRPr="0091711A">
        <w:lastRenderedPageBreak/>
        <w:t xml:space="preserve">However, evidence did vary with respect to the level of consistency and strength for each of the themes associated with utilisation. The table below details an assessment of the strength of evidence associated with the findings in relation to utilisation that can support evidence-informed practice. As noted in the table, the evidence is variable overall, with strong evidence apparent for the importance of feedback, and moderate evidence for sustainability, practicality of user-platform and practitioner participation. The reviewed evidence did not include much detail about systematically assessing organisational barriers to utilisation. </w:t>
      </w:r>
    </w:p>
    <w:p w14:paraId="07E48201" w14:textId="5DE05C9C" w:rsidR="0093470E" w:rsidRPr="00E16853" w:rsidRDefault="0093470E" w:rsidP="00813AA6">
      <w:pPr>
        <w:pStyle w:val="Caption2"/>
      </w:pPr>
      <w:bookmarkStart w:id="114" w:name="_Toc509845976"/>
      <w:bookmarkStart w:id="115" w:name="_Toc509950654"/>
      <w:bookmarkStart w:id="116" w:name="_Toc509951292"/>
      <w:r>
        <w:t xml:space="preserve">Table </w:t>
      </w:r>
      <w:fldSimple w:instr=" SEQ Table \* ARABIC ">
        <w:r w:rsidR="004240AA">
          <w:rPr>
            <w:noProof/>
          </w:rPr>
          <w:t>6</w:t>
        </w:r>
      </w:fldSimple>
      <w:r>
        <w:t xml:space="preserve">: </w:t>
      </w:r>
      <w:r w:rsidRPr="006820FE">
        <w:t>Strength of evidence for findings as</w:t>
      </w:r>
      <w:r>
        <w:t>sociated with utilisation</w:t>
      </w:r>
      <w:bookmarkEnd w:id="114"/>
      <w:bookmarkEnd w:id="115"/>
      <w:bookmarkEnd w:id="116"/>
    </w:p>
    <w:tbl>
      <w:tblPr>
        <w:tblStyle w:val="TableGrid"/>
        <w:tblW w:w="9000" w:type="dxa"/>
        <w:tblLayout w:type="fixed"/>
        <w:tblLook w:val="04A0" w:firstRow="1" w:lastRow="0" w:firstColumn="1" w:lastColumn="0" w:noHBand="0" w:noVBand="1"/>
        <w:tblDescription w:val="This table sets out the strength of evidence for five themes associated with utilisation, rating them from emerging, moderate, to comprehensive. The evidence for the importance of sustainability was moderate. The evidence for the importance of feedback was comprehensive. The evidence for the importance of practicality of program was moderate. The evidence for the importance of organisational barriers was emerging. The evidence for the importance of participation of practitioners was moderate."/>
      </w:tblPr>
      <w:tblGrid>
        <w:gridCol w:w="2200"/>
        <w:gridCol w:w="3182"/>
        <w:gridCol w:w="1018"/>
        <w:gridCol w:w="1100"/>
        <w:gridCol w:w="1500"/>
      </w:tblGrid>
      <w:tr w:rsidR="0093470E" w:rsidRPr="00051930" w14:paraId="58594E88"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00" w:type="dxa"/>
            <w:noWrap/>
          </w:tcPr>
          <w:p w14:paraId="645C0DD8" w14:textId="77777777" w:rsidR="0093470E" w:rsidRPr="00051930" w:rsidRDefault="0093470E" w:rsidP="007674CF">
            <w:pPr>
              <w:pStyle w:val="NoSpacing"/>
              <w:rPr>
                <w:lang w:val="en-US"/>
              </w:rPr>
            </w:pPr>
            <w:r w:rsidRPr="00051930">
              <w:rPr>
                <w:lang w:val="en-US"/>
              </w:rPr>
              <w:t>Theme</w:t>
            </w:r>
          </w:p>
        </w:tc>
        <w:tc>
          <w:tcPr>
            <w:tcW w:w="3182" w:type="dxa"/>
            <w:noWrap/>
          </w:tcPr>
          <w:p w14:paraId="3A8BFB20"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Key components</w:t>
            </w:r>
          </w:p>
        </w:tc>
        <w:tc>
          <w:tcPr>
            <w:tcW w:w="1018" w:type="dxa"/>
            <w:noWrap/>
          </w:tcPr>
          <w:p w14:paraId="272DC46E"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Emerging</w:t>
            </w:r>
          </w:p>
        </w:tc>
        <w:tc>
          <w:tcPr>
            <w:tcW w:w="1100" w:type="dxa"/>
          </w:tcPr>
          <w:p w14:paraId="21D58695"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 xml:space="preserve">Moderate </w:t>
            </w:r>
          </w:p>
        </w:tc>
        <w:tc>
          <w:tcPr>
            <w:tcW w:w="1500" w:type="dxa"/>
            <w:noWrap/>
          </w:tcPr>
          <w:p w14:paraId="1798B4B5" w14:textId="77777777" w:rsidR="0093470E" w:rsidRPr="00051930" w:rsidRDefault="0093470E" w:rsidP="007674CF">
            <w:pPr>
              <w:pStyle w:val="NoSpacing"/>
              <w:cnfStyle w:val="100000000000" w:firstRow="1" w:lastRow="0" w:firstColumn="0" w:lastColumn="0" w:oddVBand="0" w:evenVBand="0" w:oddHBand="0" w:evenHBand="0" w:firstRowFirstColumn="0" w:firstRowLastColumn="0" w:lastRowFirstColumn="0" w:lastRowLastColumn="0"/>
              <w:rPr>
                <w:lang w:val="en-US"/>
              </w:rPr>
            </w:pPr>
            <w:r w:rsidRPr="00051930">
              <w:rPr>
                <w:lang w:val="en-US"/>
              </w:rPr>
              <w:t>Comprehensive</w:t>
            </w:r>
          </w:p>
        </w:tc>
      </w:tr>
      <w:tr w:rsidR="00C902B8" w:rsidRPr="00051930" w14:paraId="61D7FD54" w14:textId="77777777" w:rsidTr="005A0A24">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200" w:type="dxa"/>
            <w:tcBorders>
              <w:bottom w:val="single" w:sz="4" w:space="0" w:color="auto"/>
              <w:right w:val="single" w:sz="4" w:space="0" w:color="auto"/>
            </w:tcBorders>
            <w:noWrap/>
            <w:hideMark/>
          </w:tcPr>
          <w:p w14:paraId="75269BE2" w14:textId="77777777" w:rsidR="00C902B8" w:rsidRPr="00051930" w:rsidRDefault="00C902B8" w:rsidP="007674CF">
            <w:pPr>
              <w:pStyle w:val="NoSpacing"/>
              <w:rPr>
                <w:lang w:val="en-US"/>
              </w:rPr>
            </w:pPr>
            <w:r w:rsidRPr="00051930">
              <w:rPr>
                <w:rFonts w:ascii="Calibri" w:eastAsia="Times New Roman" w:hAnsi="Calibri"/>
                <w:color w:val="000000"/>
              </w:rPr>
              <w:t>Sustainability</w:t>
            </w:r>
          </w:p>
        </w:tc>
        <w:tc>
          <w:tcPr>
            <w:tcW w:w="3182" w:type="dxa"/>
            <w:tcBorders>
              <w:left w:val="single" w:sz="4" w:space="0" w:color="auto"/>
              <w:bottom w:val="single" w:sz="4" w:space="0" w:color="auto"/>
              <w:right w:val="single" w:sz="4" w:space="0" w:color="auto"/>
            </w:tcBorders>
            <w:noWrap/>
            <w:hideMark/>
          </w:tcPr>
          <w:p w14:paraId="65371D31" w14:textId="77777777" w:rsidR="00C902B8" w:rsidRPr="00051930" w:rsidRDefault="00C902B8" w:rsidP="00550723">
            <w:pPr>
              <w:pStyle w:val="NoSpacing"/>
              <w:numPr>
                <w:ilvl w:val="0"/>
                <w:numId w:val="42"/>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rFonts w:ascii="Calibri" w:eastAsia="Times New Roman" w:hAnsi="Calibri"/>
                <w:color w:val="000000"/>
              </w:rPr>
              <w:t>Strategic funding</w:t>
            </w:r>
          </w:p>
          <w:p w14:paraId="0E67D6D1" w14:textId="77777777" w:rsidR="00C902B8" w:rsidRPr="00051930" w:rsidRDefault="00C902B8" w:rsidP="00550723">
            <w:pPr>
              <w:pStyle w:val="NoSpacing"/>
              <w:numPr>
                <w:ilvl w:val="0"/>
                <w:numId w:val="42"/>
              </w:numPr>
              <w:ind w:left="340" w:hanging="227"/>
              <w:cnfStyle w:val="000000100000" w:firstRow="0" w:lastRow="0" w:firstColumn="0" w:lastColumn="0" w:oddVBand="0" w:evenVBand="0" w:oddHBand="1" w:evenHBand="0" w:firstRowFirstColumn="0" w:firstRowLastColumn="0" w:lastRowFirstColumn="0" w:lastRowLastColumn="0"/>
              <w:rPr>
                <w:lang w:val="en-US"/>
              </w:rPr>
            </w:pPr>
            <w:r w:rsidRPr="00051930">
              <w:rPr>
                <w:rFonts w:ascii="Calibri" w:eastAsia="Times New Roman" w:hAnsi="Calibri"/>
                <w:color w:val="000000"/>
              </w:rPr>
              <w:t>Sustained funding model for long-term planning and functioning</w:t>
            </w:r>
          </w:p>
        </w:tc>
        <w:tc>
          <w:tcPr>
            <w:tcW w:w="1018" w:type="dxa"/>
            <w:tcBorders>
              <w:left w:val="single" w:sz="4" w:space="0" w:color="auto"/>
              <w:bottom w:val="single" w:sz="4" w:space="0" w:color="auto"/>
              <w:right w:val="single" w:sz="4" w:space="0" w:color="auto"/>
            </w:tcBorders>
            <w:noWrap/>
            <w:hideMark/>
          </w:tcPr>
          <w:p w14:paraId="40A8C6A0"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100" w:type="dxa"/>
            <w:tcBorders>
              <w:left w:val="single" w:sz="4" w:space="0" w:color="auto"/>
              <w:bottom w:val="single" w:sz="4" w:space="0" w:color="auto"/>
              <w:right w:val="single" w:sz="4" w:space="0" w:color="auto"/>
            </w:tcBorders>
            <w:shd w:val="clear" w:color="auto" w:fill="2F88F0" w:themeFill="accent1" w:themeFillTint="99"/>
          </w:tcPr>
          <w:p w14:paraId="25D8B288" w14:textId="22DFDDF1"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500" w:type="dxa"/>
            <w:tcBorders>
              <w:left w:val="single" w:sz="4" w:space="0" w:color="auto"/>
              <w:bottom w:val="single" w:sz="4" w:space="0" w:color="auto"/>
            </w:tcBorders>
            <w:noWrap/>
            <w:hideMark/>
          </w:tcPr>
          <w:p w14:paraId="0545CD0C"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r w:rsidRPr="00051930">
              <w:rPr>
                <w:lang w:val="en-US"/>
              </w:rPr>
              <w:t> </w:t>
            </w:r>
          </w:p>
        </w:tc>
      </w:tr>
      <w:tr w:rsidR="00C902B8" w:rsidRPr="00051930" w14:paraId="4F1E286C" w14:textId="77777777" w:rsidTr="005A0A24">
        <w:trPr>
          <w:cnfStyle w:val="000000010000" w:firstRow="0" w:lastRow="0" w:firstColumn="0" w:lastColumn="0" w:oddVBand="0" w:evenVBand="0" w:oddHBand="0" w:evenHBand="1" w:firstRowFirstColumn="0" w:firstRowLastColumn="0" w:lastRowFirstColumn="0" w:lastRowLastColumn="0"/>
          <w:trHeight w:val="1490"/>
        </w:trPr>
        <w:tc>
          <w:tcPr>
            <w:cnfStyle w:val="001000000000" w:firstRow="0" w:lastRow="0" w:firstColumn="1" w:lastColumn="0" w:oddVBand="0" w:evenVBand="0" w:oddHBand="0" w:evenHBand="0" w:firstRowFirstColumn="0" w:firstRowLastColumn="0" w:lastRowFirstColumn="0" w:lastRowLastColumn="0"/>
            <w:tcW w:w="2200" w:type="dxa"/>
            <w:tcBorders>
              <w:top w:val="single" w:sz="4" w:space="0" w:color="auto"/>
              <w:bottom w:val="single" w:sz="4" w:space="0" w:color="auto"/>
              <w:right w:val="single" w:sz="4" w:space="0" w:color="auto"/>
            </w:tcBorders>
          </w:tcPr>
          <w:p w14:paraId="361E73A8" w14:textId="77777777" w:rsidR="00C902B8" w:rsidRPr="00051930" w:rsidRDefault="00C902B8" w:rsidP="007674CF">
            <w:pPr>
              <w:pStyle w:val="NoSpacing"/>
              <w:rPr>
                <w:lang w:val="en-US"/>
              </w:rPr>
            </w:pPr>
            <w:r w:rsidRPr="00051930">
              <w:rPr>
                <w:rFonts w:ascii="Calibri" w:eastAsia="Times New Roman" w:hAnsi="Calibri"/>
                <w:color w:val="000000"/>
              </w:rPr>
              <w:t>Feedback</w:t>
            </w:r>
          </w:p>
        </w:tc>
        <w:tc>
          <w:tcPr>
            <w:tcW w:w="3182" w:type="dxa"/>
            <w:tcBorders>
              <w:top w:val="single" w:sz="4" w:space="0" w:color="auto"/>
              <w:left w:val="single" w:sz="4" w:space="0" w:color="auto"/>
              <w:bottom w:val="single" w:sz="4" w:space="0" w:color="auto"/>
              <w:right w:val="single" w:sz="4" w:space="0" w:color="auto"/>
            </w:tcBorders>
            <w:noWrap/>
          </w:tcPr>
          <w:p w14:paraId="4947BC56" w14:textId="77777777" w:rsidR="00C902B8" w:rsidRPr="00051930" w:rsidRDefault="00C902B8" w:rsidP="00550723">
            <w:pPr>
              <w:pStyle w:val="NoSpacing"/>
              <w:numPr>
                <w:ilvl w:val="0"/>
                <w:numId w:val="43"/>
              </w:numPr>
              <w:ind w:left="340" w:hanging="227"/>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Platform includes systemised feedback</w:t>
            </w:r>
          </w:p>
          <w:p w14:paraId="601113F2" w14:textId="77777777" w:rsidR="00C902B8" w:rsidRPr="00051930" w:rsidRDefault="00C902B8" w:rsidP="00550723">
            <w:pPr>
              <w:pStyle w:val="NoSpacing"/>
              <w:numPr>
                <w:ilvl w:val="0"/>
                <w:numId w:val="43"/>
              </w:numPr>
              <w:ind w:left="340" w:hanging="227"/>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Opportunity for users to provide feedback to REIs</w:t>
            </w:r>
          </w:p>
        </w:tc>
        <w:tc>
          <w:tcPr>
            <w:tcW w:w="1018" w:type="dxa"/>
            <w:tcBorders>
              <w:top w:val="single" w:sz="4" w:space="0" w:color="auto"/>
              <w:left w:val="single" w:sz="4" w:space="0" w:color="auto"/>
              <w:bottom w:val="single" w:sz="4" w:space="0" w:color="auto"/>
              <w:right w:val="single" w:sz="4" w:space="0" w:color="auto"/>
            </w:tcBorders>
          </w:tcPr>
          <w:p w14:paraId="0A37098D"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c>
          <w:tcPr>
            <w:tcW w:w="1100" w:type="dxa"/>
            <w:tcBorders>
              <w:top w:val="single" w:sz="4" w:space="0" w:color="auto"/>
              <w:left w:val="single" w:sz="4" w:space="0" w:color="auto"/>
              <w:bottom w:val="single" w:sz="4" w:space="0" w:color="auto"/>
              <w:right w:val="single" w:sz="4" w:space="0" w:color="auto"/>
            </w:tcBorders>
          </w:tcPr>
          <w:p w14:paraId="7C762981" w14:textId="77777777"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c>
          <w:tcPr>
            <w:tcW w:w="1500" w:type="dxa"/>
            <w:tcBorders>
              <w:top w:val="single" w:sz="4" w:space="0" w:color="auto"/>
              <w:left w:val="single" w:sz="4" w:space="0" w:color="auto"/>
              <w:bottom w:val="single" w:sz="4" w:space="0" w:color="auto"/>
            </w:tcBorders>
            <w:shd w:val="clear" w:color="auto" w:fill="2F88F0" w:themeFill="accent1" w:themeFillTint="99"/>
          </w:tcPr>
          <w:p w14:paraId="5C233E69" w14:textId="01521BFB" w:rsidR="00C902B8" w:rsidRPr="00051930" w:rsidRDefault="00C902B8"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r>
      <w:tr w:rsidR="00C902B8" w:rsidRPr="00051930" w14:paraId="1D14689D" w14:textId="77777777" w:rsidTr="005A0A24">
        <w:trPr>
          <w:cnfStyle w:val="000000100000" w:firstRow="0" w:lastRow="0" w:firstColumn="0" w:lastColumn="0" w:oddVBand="0" w:evenVBand="0" w:oddHBand="1" w:evenHBand="0" w:firstRowFirstColumn="0" w:firstRowLastColumn="0" w:lastRowFirstColumn="0" w:lastRowLastColumn="0"/>
          <w:trHeight w:val="1608"/>
        </w:trPr>
        <w:tc>
          <w:tcPr>
            <w:cnfStyle w:val="001000000000" w:firstRow="0" w:lastRow="0" w:firstColumn="1" w:lastColumn="0" w:oddVBand="0" w:evenVBand="0" w:oddHBand="0" w:evenHBand="0" w:firstRowFirstColumn="0" w:firstRowLastColumn="0" w:lastRowFirstColumn="0" w:lastRowLastColumn="0"/>
            <w:tcW w:w="2200" w:type="dxa"/>
            <w:tcBorders>
              <w:top w:val="single" w:sz="4" w:space="0" w:color="auto"/>
              <w:bottom w:val="single" w:sz="4" w:space="0" w:color="auto"/>
              <w:right w:val="single" w:sz="4" w:space="0" w:color="auto"/>
            </w:tcBorders>
          </w:tcPr>
          <w:p w14:paraId="53018EC0" w14:textId="77777777" w:rsidR="00C902B8" w:rsidRPr="00051930" w:rsidRDefault="00C902B8" w:rsidP="007674CF">
            <w:pPr>
              <w:pStyle w:val="NoSpacing"/>
              <w:rPr>
                <w:lang w:val="en-US"/>
              </w:rPr>
            </w:pPr>
            <w:r w:rsidRPr="00051930">
              <w:rPr>
                <w:rFonts w:ascii="Calibri" w:eastAsia="Times New Roman" w:hAnsi="Calibri"/>
                <w:color w:val="000000"/>
              </w:rPr>
              <w:t>Practicality of program</w:t>
            </w:r>
          </w:p>
        </w:tc>
        <w:tc>
          <w:tcPr>
            <w:tcW w:w="3182" w:type="dxa"/>
            <w:tcBorders>
              <w:top w:val="single" w:sz="4" w:space="0" w:color="auto"/>
              <w:left w:val="single" w:sz="4" w:space="0" w:color="auto"/>
              <w:bottom w:val="single" w:sz="4" w:space="0" w:color="auto"/>
              <w:right w:val="single" w:sz="4" w:space="0" w:color="auto"/>
            </w:tcBorders>
            <w:noWrap/>
          </w:tcPr>
          <w:p w14:paraId="7DCE3B94" w14:textId="77777777" w:rsidR="00C902B8" w:rsidRPr="00051930" w:rsidRDefault="00C902B8" w:rsidP="00550723">
            <w:pPr>
              <w:pStyle w:val="NoSpacing"/>
              <w:numPr>
                <w:ilvl w:val="0"/>
                <w:numId w:val="44"/>
              </w:numPr>
              <w:ind w:left="340" w:hanging="227"/>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Content is of practical relevance to users</w:t>
            </w:r>
          </w:p>
          <w:p w14:paraId="6BD0A92E" w14:textId="77777777" w:rsidR="00C902B8" w:rsidRPr="00051930" w:rsidRDefault="00C902B8" w:rsidP="00550723">
            <w:pPr>
              <w:pStyle w:val="NoSpacing"/>
              <w:numPr>
                <w:ilvl w:val="0"/>
                <w:numId w:val="44"/>
              </w:numPr>
              <w:ind w:left="340" w:hanging="227"/>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Accessibility and efficiency of program, clear information provided</w:t>
            </w:r>
          </w:p>
        </w:tc>
        <w:tc>
          <w:tcPr>
            <w:tcW w:w="1018" w:type="dxa"/>
            <w:tcBorders>
              <w:top w:val="single" w:sz="4" w:space="0" w:color="auto"/>
              <w:left w:val="single" w:sz="4" w:space="0" w:color="auto"/>
              <w:bottom w:val="single" w:sz="4" w:space="0" w:color="auto"/>
              <w:right w:val="single" w:sz="4" w:space="0" w:color="auto"/>
            </w:tcBorders>
          </w:tcPr>
          <w:p w14:paraId="3EF732D6"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100" w:type="dxa"/>
            <w:tcBorders>
              <w:top w:val="single" w:sz="4" w:space="0" w:color="auto"/>
              <w:left w:val="single" w:sz="4" w:space="0" w:color="auto"/>
              <w:bottom w:val="single" w:sz="4" w:space="0" w:color="auto"/>
              <w:right w:val="single" w:sz="4" w:space="0" w:color="auto"/>
            </w:tcBorders>
            <w:shd w:val="clear" w:color="auto" w:fill="2F88F0" w:themeFill="accent1" w:themeFillTint="99"/>
          </w:tcPr>
          <w:p w14:paraId="2C660F97" w14:textId="46080CDA"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500" w:type="dxa"/>
            <w:tcBorders>
              <w:top w:val="single" w:sz="4" w:space="0" w:color="auto"/>
              <w:left w:val="single" w:sz="4" w:space="0" w:color="auto"/>
              <w:bottom w:val="single" w:sz="4" w:space="0" w:color="auto"/>
            </w:tcBorders>
          </w:tcPr>
          <w:p w14:paraId="6270D125"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r>
      <w:tr w:rsidR="0093470E" w:rsidRPr="00051930" w14:paraId="6B393F4D" w14:textId="77777777" w:rsidTr="005A0A24">
        <w:trPr>
          <w:cnfStyle w:val="000000010000" w:firstRow="0" w:lastRow="0" w:firstColumn="0" w:lastColumn="0" w:oddVBand="0" w:evenVBand="0" w:oddHBand="0" w:evenHBand="1"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2200" w:type="dxa"/>
            <w:tcBorders>
              <w:top w:val="single" w:sz="4" w:space="0" w:color="auto"/>
              <w:bottom w:val="single" w:sz="4" w:space="0" w:color="auto"/>
              <w:right w:val="single" w:sz="4" w:space="0" w:color="auto"/>
            </w:tcBorders>
          </w:tcPr>
          <w:p w14:paraId="32FDFF4A" w14:textId="77777777" w:rsidR="0093470E" w:rsidRPr="00051930" w:rsidRDefault="0093470E" w:rsidP="007674CF">
            <w:pPr>
              <w:pStyle w:val="NoSpacing"/>
              <w:rPr>
                <w:rFonts w:ascii="Calibri" w:eastAsia="Times New Roman" w:hAnsi="Calibri"/>
                <w:color w:val="000000"/>
              </w:rPr>
            </w:pPr>
            <w:r w:rsidRPr="00051930">
              <w:rPr>
                <w:rFonts w:ascii="Calibri" w:eastAsia="Times New Roman" w:hAnsi="Calibri"/>
                <w:color w:val="000000"/>
              </w:rPr>
              <w:t>Organisational barriers</w:t>
            </w:r>
          </w:p>
        </w:tc>
        <w:tc>
          <w:tcPr>
            <w:tcW w:w="3182" w:type="dxa"/>
            <w:tcBorders>
              <w:top w:val="single" w:sz="4" w:space="0" w:color="auto"/>
              <w:left w:val="single" w:sz="4" w:space="0" w:color="auto"/>
              <w:bottom w:val="single" w:sz="4" w:space="0" w:color="auto"/>
              <w:right w:val="single" w:sz="4" w:space="0" w:color="auto"/>
            </w:tcBorders>
            <w:noWrap/>
          </w:tcPr>
          <w:p w14:paraId="553792D2" w14:textId="71FFB516" w:rsidR="0093470E" w:rsidRPr="00051930" w:rsidRDefault="0093470E" w:rsidP="00550723">
            <w:pPr>
              <w:pStyle w:val="NoSpacing"/>
              <w:numPr>
                <w:ilvl w:val="0"/>
                <w:numId w:val="45"/>
              </w:numPr>
              <w:ind w:left="340" w:hanging="227"/>
              <w:cnfStyle w:val="000000010000" w:firstRow="0" w:lastRow="0" w:firstColumn="0" w:lastColumn="0" w:oddVBand="0" w:evenVBand="0" w:oddHBand="0" w:evenHBand="1"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Organisational barriers: culture</w:t>
            </w:r>
            <w:r w:rsidR="00DA20D0">
              <w:rPr>
                <w:rFonts w:ascii="Calibri" w:eastAsia="Times New Roman" w:hAnsi="Calibri"/>
                <w:color w:val="000000"/>
              </w:rPr>
              <w:t>;</w:t>
            </w:r>
            <w:r w:rsidRPr="00051930">
              <w:rPr>
                <w:rFonts w:ascii="Calibri" w:eastAsia="Times New Roman" w:hAnsi="Calibri"/>
                <w:color w:val="000000"/>
              </w:rPr>
              <w:t xml:space="preserve"> promotion</w:t>
            </w:r>
            <w:r w:rsidR="00DA20D0">
              <w:rPr>
                <w:rFonts w:ascii="Calibri" w:eastAsia="Times New Roman" w:hAnsi="Calibri"/>
                <w:color w:val="000000"/>
              </w:rPr>
              <w:t>;</w:t>
            </w:r>
            <w:r w:rsidRPr="00051930">
              <w:rPr>
                <w:rFonts w:ascii="Calibri" w:eastAsia="Times New Roman" w:hAnsi="Calibri"/>
                <w:color w:val="000000"/>
              </w:rPr>
              <w:t xml:space="preserve"> lack of qualified staff to deliver programs</w:t>
            </w:r>
            <w:r w:rsidR="00DA20D0">
              <w:rPr>
                <w:rFonts w:ascii="Calibri" w:eastAsia="Times New Roman" w:hAnsi="Calibri"/>
                <w:color w:val="000000"/>
              </w:rPr>
              <w:t>;</w:t>
            </w:r>
            <w:r w:rsidRPr="00051930">
              <w:rPr>
                <w:rFonts w:ascii="Calibri" w:eastAsia="Times New Roman" w:hAnsi="Calibri"/>
                <w:color w:val="000000"/>
              </w:rPr>
              <w:t xml:space="preserve"> communication channels</w:t>
            </w:r>
          </w:p>
        </w:tc>
        <w:tc>
          <w:tcPr>
            <w:tcW w:w="1018" w:type="dxa"/>
            <w:tcBorders>
              <w:top w:val="single" w:sz="4" w:space="0" w:color="auto"/>
              <w:left w:val="single" w:sz="4" w:space="0" w:color="auto"/>
              <w:bottom w:val="single" w:sz="4" w:space="0" w:color="auto"/>
              <w:right w:val="single" w:sz="4" w:space="0" w:color="auto"/>
            </w:tcBorders>
            <w:shd w:val="clear" w:color="auto" w:fill="2F88F0" w:themeFill="accent1" w:themeFillTint="99"/>
          </w:tcPr>
          <w:p w14:paraId="5008736E" w14:textId="3DE1E887" w:rsidR="0093470E" w:rsidRPr="00051930" w:rsidRDefault="0093470E"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c>
          <w:tcPr>
            <w:tcW w:w="1100" w:type="dxa"/>
            <w:tcBorders>
              <w:top w:val="single" w:sz="4" w:space="0" w:color="auto"/>
              <w:left w:val="single" w:sz="4" w:space="0" w:color="auto"/>
              <w:bottom w:val="single" w:sz="4" w:space="0" w:color="auto"/>
              <w:right w:val="single" w:sz="4" w:space="0" w:color="auto"/>
            </w:tcBorders>
          </w:tcPr>
          <w:p w14:paraId="6F412770" w14:textId="77777777" w:rsidR="0093470E" w:rsidRPr="00051930" w:rsidRDefault="0093470E"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c>
          <w:tcPr>
            <w:tcW w:w="1500" w:type="dxa"/>
            <w:tcBorders>
              <w:top w:val="single" w:sz="4" w:space="0" w:color="auto"/>
              <w:left w:val="single" w:sz="4" w:space="0" w:color="auto"/>
              <w:bottom w:val="single" w:sz="4" w:space="0" w:color="auto"/>
            </w:tcBorders>
          </w:tcPr>
          <w:p w14:paraId="3192E3C8" w14:textId="77777777" w:rsidR="0093470E" w:rsidRPr="00051930" w:rsidRDefault="0093470E" w:rsidP="007674CF">
            <w:pPr>
              <w:pStyle w:val="NoSpacing"/>
              <w:cnfStyle w:val="000000010000" w:firstRow="0" w:lastRow="0" w:firstColumn="0" w:lastColumn="0" w:oddVBand="0" w:evenVBand="0" w:oddHBand="0" w:evenHBand="1" w:firstRowFirstColumn="0" w:firstRowLastColumn="0" w:lastRowFirstColumn="0" w:lastRowLastColumn="0"/>
              <w:rPr>
                <w:lang w:val="en-US"/>
              </w:rPr>
            </w:pPr>
          </w:p>
        </w:tc>
      </w:tr>
      <w:tr w:rsidR="00C902B8" w:rsidRPr="00051930" w14:paraId="2957E14E" w14:textId="77777777" w:rsidTr="005A0A24">
        <w:trPr>
          <w:cnfStyle w:val="000000100000" w:firstRow="0" w:lastRow="0" w:firstColumn="0" w:lastColumn="0" w:oddVBand="0" w:evenVBand="0" w:oddHBand="1" w:evenHBand="0" w:firstRowFirstColumn="0" w:firstRowLastColumn="0" w:lastRowFirstColumn="0" w:lastRowLastColumn="0"/>
          <w:trHeight w:val="2678"/>
        </w:trPr>
        <w:tc>
          <w:tcPr>
            <w:cnfStyle w:val="001000000000" w:firstRow="0" w:lastRow="0" w:firstColumn="1" w:lastColumn="0" w:oddVBand="0" w:evenVBand="0" w:oddHBand="0" w:evenHBand="0" w:firstRowFirstColumn="0" w:firstRowLastColumn="0" w:lastRowFirstColumn="0" w:lastRowLastColumn="0"/>
            <w:tcW w:w="2200" w:type="dxa"/>
            <w:tcBorders>
              <w:top w:val="single" w:sz="4" w:space="0" w:color="auto"/>
              <w:right w:val="single" w:sz="4" w:space="0" w:color="auto"/>
            </w:tcBorders>
          </w:tcPr>
          <w:p w14:paraId="0E3E7066" w14:textId="77777777" w:rsidR="00C902B8" w:rsidRPr="00051930" w:rsidRDefault="00C902B8" w:rsidP="007674CF">
            <w:pPr>
              <w:pStyle w:val="NoSpacing"/>
              <w:rPr>
                <w:rFonts w:ascii="Calibri" w:eastAsia="Times New Roman" w:hAnsi="Calibri"/>
                <w:color w:val="000000"/>
              </w:rPr>
            </w:pPr>
            <w:r w:rsidRPr="00051930">
              <w:rPr>
                <w:rFonts w:ascii="Calibri" w:eastAsia="Times New Roman" w:hAnsi="Calibri"/>
                <w:color w:val="000000"/>
              </w:rPr>
              <w:t>Participation of practitioners</w:t>
            </w:r>
          </w:p>
        </w:tc>
        <w:tc>
          <w:tcPr>
            <w:tcW w:w="3182" w:type="dxa"/>
            <w:tcBorders>
              <w:top w:val="single" w:sz="4" w:space="0" w:color="auto"/>
              <w:left w:val="single" w:sz="4" w:space="0" w:color="auto"/>
              <w:right w:val="single" w:sz="4" w:space="0" w:color="auto"/>
            </w:tcBorders>
            <w:noWrap/>
          </w:tcPr>
          <w:p w14:paraId="0C6AC39D" w14:textId="77777777" w:rsidR="00C902B8" w:rsidRPr="00051930" w:rsidRDefault="00C902B8" w:rsidP="00550723">
            <w:pPr>
              <w:pStyle w:val="NoSpacing"/>
              <w:numPr>
                <w:ilvl w:val="0"/>
                <w:numId w:val="45"/>
              </w:numPr>
              <w:ind w:left="340" w:hanging="227"/>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Practitioners' lack of awareness of platform</w:t>
            </w:r>
          </w:p>
          <w:p w14:paraId="76DF073E" w14:textId="77777777" w:rsidR="00C902B8" w:rsidRPr="00051930" w:rsidRDefault="00C902B8" w:rsidP="00550723">
            <w:pPr>
              <w:pStyle w:val="NoSpacing"/>
              <w:numPr>
                <w:ilvl w:val="0"/>
                <w:numId w:val="45"/>
              </w:numPr>
              <w:ind w:left="340" w:hanging="227"/>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Participation is important for increasing the relevance, effectiveness and utility of decisions</w:t>
            </w:r>
          </w:p>
          <w:p w14:paraId="6525D1FA" w14:textId="79D31176" w:rsidR="00C902B8" w:rsidRPr="00051930" w:rsidRDefault="00C902B8" w:rsidP="00550723">
            <w:pPr>
              <w:pStyle w:val="NoSpacing"/>
              <w:numPr>
                <w:ilvl w:val="0"/>
                <w:numId w:val="45"/>
              </w:numPr>
              <w:ind w:left="340" w:hanging="227"/>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051930">
              <w:rPr>
                <w:rFonts w:ascii="Calibri" w:eastAsia="Times New Roman" w:hAnsi="Calibri"/>
                <w:color w:val="000000"/>
              </w:rPr>
              <w:t>Practitioners</w:t>
            </w:r>
            <w:r w:rsidR="00DA20D0">
              <w:rPr>
                <w:rFonts w:ascii="Calibri" w:eastAsia="Times New Roman" w:hAnsi="Calibri"/>
                <w:color w:val="000000"/>
              </w:rPr>
              <w:t>’</w:t>
            </w:r>
            <w:r w:rsidRPr="00051930">
              <w:rPr>
                <w:rFonts w:ascii="Calibri" w:eastAsia="Times New Roman" w:hAnsi="Calibri"/>
                <w:color w:val="000000"/>
              </w:rPr>
              <w:t xml:space="preserve"> lack of ownership, participation or availability </w:t>
            </w:r>
          </w:p>
        </w:tc>
        <w:tc>
          <w:tcPr>
            <w:tcW w:w="1018" w:type="dxa"/>
            <w:tcBorders>
              <w:top w:val="single" w:sz="4" w:space="0" w:color="auto"/>
              <w:left w:val="single" w:sz="4" w:space="0" w:color="auto"/>
              <w:right w:val="single" w:sz="4" w:space="0" w:color="auto"/>
            </w:tcBorders>
          </w:tcPr>
          <w:p w14:paraId="76F558C8"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100" w:type="dxa"/>
            <w:tcBorders>
              <w:top w:val="single" w:sz="4" w:space="0" w:color="auto"/>
              <w:left w:val="single" w:sz="4" w:space="0" w:color="auto"/>
              <w:right w:val="single" w:sz="4" w:space="0" w:color="auto"/>
            </w:tcBorders>
            <w:shd w:val="clear" w:color="auto" w:fill="2F88F0" w:themeFill="accent1" w:themeFillTint="99"/>
          </w:tcPr>
          <w:p w14:paraId="3D5BDF40" w14:textId="1EA2667A"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c>
          <w:tcPr>
            <w:tcW w:w="1500" w:type="dxa"/>
            <w:tcBorders>
              <w:top w:val="single" w:sz="4" w:space="0" w:color="auto"/>
              <w:left w:val="single" w:sz="4" w:space="0" w:color="auto"/>
            </w:tcBorders>
          </w:tcPr>
          <w:p w14:paraId="089077FD" w14:textId="77777777" w:rsidR="00C902B8" w:rsidRPr="00051930" w:rsidRDefault="00C902B8" w:rsidP="007674CF">
            <w:pPr>
              <w:pStyle w:val="NoSpacing"/>
              <w:cnfStyle w:val="000000100000" w:firstRow="0" w:lastRow="0" w:firstColumn="0" w:lastColumn="0" w:oddVBand="0" w:evenVBand="0" w:oddHBand="1" w:evenHBand="0" w:firstRowFirstColumn="0" w:firstRowLastColumn="0" w:lastRowFirstColumn="0" w:lastRowLastColumn="0"/>
              <w:rPr>
                <w:lang w:val="en-US"/>
              </w:rPr>
            </w:pPr>
          </w:p>
        </w:tc>
      </w:tr>
    </w:tbl>
    <w:p w14:paraId="2B6B3040" w14:textId="77777777" w:rsidR="0093470E" w:rsidRDefault="0093470E" w:rsidP="0093470E"/>
    <w:p w14:paraId="4A26C298" w14:textId="77777777" w:rsidR="0093470E" w:rsidRPr="00E16853" w:rsidRDefault="0093470E" w:rsidP="00716D4E">
      <w:pPr>
        <w:pStyle w:val="NumberedHeading3"/>
      </w:pPr>
      <w:bookmarkStart w:id="117" w:name="_Toc509950655"/>
      <w:r w:rsidRPr="00E16853">
        <w:t>Evidence-based and intentional design of infrastructure</w:t>
      </w:r>
      <w:bookmarkEnd w:id="117"/>
    </w:p>
    <w:p w14:paraId="4C0415AA" w14:textId="77777777" w:rsidR="0093470E" w:rsidRPr="0091711A" w:rsidRDefault="0093470E" w:rsidP="0093470E">
      <w:r w:rsidRPr="0091711A">
        <w:t xml:space="preserve">The reviewed literature on infrastructure and platforms that house synthesised evidence and knowledge translation products were </w:t>
      </w:r>
      <w:r w:rsidR="0095393D">
        <w:t>largely</w:t>
      </w:r>
      <w:r w:rsidRPr="0091711A">
        <w:t xml:space="preserve"> software-based or internet-based platforms. Platforms that were identified as effective were designed using systems theory and information technology systems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"mendeley" : { "formattedCitation" : "(Bain &amp; Swan, 2011)", "plainTextFormattedCitation" : "(Bain &amp; Swan, 2011)", "previouslyFormattedCitation" : "(Bain &amp; Swan, 2011)" }, "properties" : {  }, "schema" : "https://github.com/citation-style-language/schema/raw/master/csl-citation.json" }</w:instrText>
      </w:r>
      <w:r w:rsidRPr="0091711A">
        <w:fldChar w:fldCharType="separate"/>
      </w:r>
      <w:r w:rsidRPr="0091711A">
        <w:rPr>
          <w:noProof/>
        </w:rPr>
        <w:t>(Bain &amp; Swan, 2011)</w:t>
      </w:r>
      <w:r w:rsidRPr="0091711A">
        <w:fldChar w:fldCharType="end"/>
      </w:r>
      <w:r w:rsidRPr="0091711A">
        <w:t xml:space="preserve">. </w:t>
      </w:r>
    </w:p>
    <w:p w14:paraId="53BFE96F" w14:textId="77777777" w:rsidR="0093470E" w:rsidRPr="0091711A" w:rsidRDefault="0093470E" w:rsidP="0093470E">
      <w:r w:rsidRPr="0091711A">
        <w:lastRenderedPageBreak/>
        <w:t xml:space="preserve">Furthermore, these infrastructures include the ability to be tailored to the individual user. This ensures that knowledge translation is specific and responsive to context and need, and increases the likelihood that the </w:t>
      </w:r>
      <w:r w:rsidR="008865E8">
        <w:rPr>
          <w:noProof/>
          <w:lang w:val="en-US" w:eastAsia="en-US"/>
        </w:rPr>
        <mc:AlternateContent>
          <mc:Choice Requires="wps">
            <w:drawing>
              <wp:anchor distT="45720" distB="45720" distL="114300" distR="114300" simplePos="0" relativeHeight="251705344" behindDoc="0" locked="0" layoutInCell="1" allowOverlap="1" wp14:anchorId="26D4EF63" wp14:editId="682A0A6F">
                <wp:simplePos x="0" y="0"/>
                <wp:positionH relativeFrom="column">
                  <wp:posOffset>2223770</wp:posOffset>
                </wp:positionH>
                <wp:positionV relativeFrom="paragraph">
                  <wp:posOffset>0</wp:posOffset>
                </wp:positionV>
                <wp:extent cx="3490595" cy="8229600"/>
                <wp:effectExtent l="0" t="0" r="14605" b="19050"/>
                <wp:wrapSquare wrapText="bothSides"/>
                <wp:docPr id="217" name="Text Box 2" descr="Box 4: Stakeholder Input into Research Priorities and Knowledge Utilisation Strateg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8229600"/>
                        </a:xfrm>
                        <a:prstGeom prst="rect">
                          <a:avLst/>
                        </a:prstGeom>
                        <a:solidFill>
                          <a:srgbClr val="FFFFFF"/>
                        </a:solidFill>
                        <a:ln w="9525">
                          <a:solidFill>
                            <a:srgbClr val="000000"/>
                          </a:solidFill>
                          <a:miter lim="800000"/>
                          <a:headEnd/>
                          <a:tailEnd/>
                        </a:ln>
                      </wps:spPr>
                      <wps:txbx>
                        <w:txbxContent>
                          <w:p w14:paraId="1B1784CA" w14:textId="77777777" w:rsidR="00CF668F" w:rsidRPr="005A0A24" w:rsidRDefault="00CF668F" w:rsidP="008865E8">
                            <w:pPr>
                              <w:pStyle w:val="Pull-outBodyCopy"/>
                              <w:jc w:val="center"/>
                              <w:rPr>
                                <w:b/>
                                <w:sz w:val="17"/>
                                <w:szCs w:val="17"/>
                                <w:lang w:val="mi-NZ"/>
                              </w:rPr>
                            </w:pPr>
                            <w:r w:rsidRPr="005A0A24">
                              <w:rPr>
                                <w:b/>
                                <w:sz w:val="17"/>
                                <w:szCs w:val="17"/>
                                <w:lang w:val="mi-NZ"/>
                              </w:rPr>
                              <w:t>Box 4: Stakeholder Input into Research Priorities and Knowledge Utilisation Strategies</w:t>
                            </w:r>
                          </w:p>
                          <w:p w14:paraId="79D7B654" w14:textId="498FE561" w:rsidR="00CF668F" w:rsidRPr="005A0A24" w:rsidRDefault="00CF668F" w:rsidP="008865E8">
                            <w:pPr>
                              <w:rPr>
                                <w:sz w:val="18"/>
                                <w:szCs w:val="18"/>
                                <w:lang w:val="mi-NZ"/>
                              </w:rPr>
                            </w:pPr>
                            <w:r w:rsidRPr="005A0A24">
                              <w:rPr>
                                <w:sz w:val="18"/>
                                <w:szCs w:val="18"/>
                                <w:lang w:val="mi-NZ"/>
                              </w:rPr>
                              <w:t xml:space="preserve">The Centre for Education Statistics and Evaluation (CESE) based in the NSW Department of Education is a centre that focusses on the generation and synthesis of education data, conducts evaluation and provides up-to-date and accesible information to support evidence-informed practice and decision-making. The CESE is required to report to the Minister for Education, and while their work is largely policy-driven, their governance structure includes an advisory council which is made up of experts whose role is to give independent advice and oversight of the operations of CESE in regards to alignment with strategic priorities the members of this council are appointed by the NSW Minister for Education (CESE, 2017). </w:t>
                            </w:r>
                          </w:p>
                          <w:p w14:paraId="637AC0B4" w14:textId="77777777" w:rsidR="00CF668F" w:rsidRPr="005A0A24" w:rsidRDefault="00CF668F" w:rsidP="008865E8">
                            <w:pPr>
                              <w:rPr>
                                <w:sz w:val="18"/>
                                <w:szCs w:val="18"/>
                                <w:lang w:val="mi-NZ"/>
                              </w:rPr>
                            </w:pPr>
                            <w:r w:rsidRPr="005A0A24">
                              <w:rPr>
                                <w:sz w:val="18"/>
                                <w:szCs w:val="18"/>
                                <w:lang w:val="mi-NZ"/>
                              </w:rPr>
                              <w:t xml:space="preserve">As part of operations, CESE and other NSW Education departments consult with a range of stakeholders. Where the outcomes of these consultations suggest an area for further research should be prioritised and is warranted, the Minister for Education and CESE Advisory Council is informed and a decision is made on whether CESE can respond to the information needs identified by stakeholders (CESE, 2017). A set of criteria have been established to inform whether the Advisory Council will decide to invest in projects targeted towards addressing information needs. These criteria include: </w:t>
                            </w:r>
                          </w:p>
                          <w:p w14:paraId="773FB3E5"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 xml:space="preserve">Alignment to government priorities </w:t>
                            </w:r>
                          </w:p>
                          <w:p w14:paraId="61E557B8"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Alignement to CESE purpose and key responsibilities</w:t>
                            </w:r>
                          </w:p>
                          <w:p w14:paraId="36630DAE"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Feasibility of the project and CESE capacity to undertake it</w:t>
                            </w:r>
                          </w:p>
                          <w:p w14:paraId="11108BE7" w14:textId="6C172724" w:rsidR="00CF668F" w:rsidRPr="005A0A24" w:rsidRDefault="00CF668F" w:rsidP="005A0A24">
                            <w:pPr>
                              <w:pStyle w:val="ListParagraph"/>
                              <w:numPr>
                                <w:ilvl w:val="0"/>
                                <w:numId w:val="53"/>
                              </w:numPr>
                              <w:spacing w:line="240" w:lineRule="auto"/>
                              <w:contextualSpacing/>
                              <w:rPr>
                                <w:sz w:val="18"/>
                                <w:szCs w:val="18"/>
                                <w:lang w:val="mi-NZ"/>
                              </w:rPr>
                            </w:pPr>
                            <w:r w:rsidRPr="005A0A24">
                              <w:rPr>
                                <w:sz w:val="18"/>
                                <w:szCs w:val="18"/>
                                <w:lang w:val="mi-NZ"/>
                              </w:rPr>
                              <w:t xml:space="preserve">Other considerations (funded by COAG, innovative project, project in partnership with other agencies) </w:t>
                            </w:r>
                          </w:p>
                          <w:p w14:paraId="42D3DF88" w14:textId="77777777" w:rsidR="00CF668F" w:rsidRPr="005A0A24" w:rsidRDefault="00CF668F" w:rsidP="00D16BFC">
                            <w:pPr>
                              <w:spacing w:after="0"/>
                              <w:rPr>
                                <w:sz w:val="18"/>
                                <w:szCs w:val="18"/>
                                <w:lang w:val="mi-NZ"/>
                              </w:rPr>
                            </w:pPr>
                            <w:r w:rsidRPr="005A0A24">
                              <w:rPr>
                                <w:sz w:val="18"/>
                                <w:szCs w:val="18"/>
                                <w:lang w:val="mi-NZ"/>
                              </w:rPr>
                              <w:t xml:space="preserve">In addition to the provision of stakeholder input into identifying information needs, the CESE have developed a variety of comprehensive tools designed to support evidence utilisation in practice: </w:t>
                            </w:r>
                          </w:p>
                          <w:p w14:paraId="55332A3D"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School Excellence Framework</w:t>
                            </w:r>
                            <w:r w:rsidRPr="005A0A24">
                              <w:rPr>
                                <w:rFonts w:ascii="Calibri" w:eastAsia="Times New Roman" w:hAnsi="Calibri" w:cs="Times New Roman"/>
                                <w:color w:val="000000"/>
                                <w:sz w:val="18"/>
                                <w:szCs w:val="18"/>
                              </w:rPr>
                              <w:t xml:space="preserve"> which summarises effective practices based on research however the link to the research is not in the framework</w:t>
                            </w:r>
                          </w:p>
                          <w:p w14:paraId="26E84B17"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Evaluation Resource Hub</w:t>
                            </w:r>
                            <w:r w:rsidRPr="005A0A24">
                              <w:rPr>
                                <w:rFonts w:ascii="Calibri" w:eastAsia="Times New Roman" w:hAnsi="Calibri" w:cs="Times New Roman"/>
                                <w:color w:val="000000"/>
                                <w:sz w:val="18"/>
                                <w:szCs w:val="18"/>
                              </w:rPr>
                              <w:t xml:space="preserve"> which includes a capacity development component, evaluation tools are explained and applied to practical education contexts</w:t>
                            </w:r>
                          </w:p>
                          <w:p w14:paraId="38957E88"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Evaluation Repository</w:t>
                            </w:r>
                            <w:r w:rsidRPr="005A0A24">
                              <w:rPr>
                                <w:rFonts w:ascii="Calibri" w:eastAsia="Times New Roman" w:hAnsi="Calibri" w:cs="Times New Roman"/>
                                <w:color w:val="000000"/>
                                <w:sz w:val="18"/>
                                <w:szCs w:val="18"/>
                              </w:rPr>
                              <w:t xml:space="preserve"> a library of evaluations, with accompanying judgements about the quality using an evidence hierarchy </w:t>
                            </w:r>
                          </w:p>
                          <w:p w14:paraId="5A2404B1" w14:textId="37A0AFCD"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Effective Practices in Teaching and Learning</w:t>
                            </w:r>
                            <w:r w:rsidRPr="005A0A24">
                              <w:rPr>
                                <w:rFonts w:ascii="Calibri" w:eastAsia="Times New Roman" w:hAnsi="Calibri" w:cs="Times New Roman"/>
                                <w:color w:val="000000"/>
                                <w:sz w:val="18"/>
                                <w:szCs w:val="18"/>
                              </w:rPr>
                              <w:t xml:space="preserve"> - this is a link to the Teaching and Learning toolkit based on the Education Endowment Foundation’s resource and housed by Social Ventures Australia </w:t>
                            </w:r>
                          </w:p>
                          <w:p w14:paraId="32D4D99C" w14:textId="77777777" w:rsidR="00CF668F" w:rsidRPr="005A0A24" w:rsidRDefault="00CF668F" w:rsidP="008865E8">
                            <w:pPr>
                              <w:spacing w:before="100" w:beforeAutospacing="1" w:after="100" w:afterAutospacing="1"/>
                              <w:rPr>
                                <w:rFonts w:ascii="Calibri" w:eastAsia="Times New Roman" w:hAnsi="Calibri" w:cs="Times New Roman"/>
                                <w:color w:val="000000"/>
                                <w:sz w:val="18"/>
                                <w:szCs w:val="18"/>
                              </w:rPr>
                            </w:pPr>
                            <w:r w:rsidRPr="005A0A24">
                              <w:rPr>
                                <w:rFonts w:ascii="Calibri" w:eastAsia="Times New Roman" w:hAnsi="Calibri" w:cs="Times New Roman"/>
                                <w:color w:val="000000"/>
                                <w:sz w:val="18"/>
                                <w:szCs w:val="18"/>
                              </w:rPr>
                              <w:t xml:space="preserve">Overall, there is a significant emphasis placed on, where possible, ensuring evidence generation and synthesis is informed by stakeholder information needs, and stakeholders are supported to use evidence in their context via the evidence utilisation tools.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alt="Description: Box 4: Stakeholder Input into Research Priorities and Knowledge Utilisation Strategies" style="position:absolute;margin-left:175.1pt;margin-top:0;width:274.85pt;height:9in;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">
                <v:textbox>
                  <w:txbxContent>
                    <w:p w14:paraId="1B1784CA" w14:textId="77777777" w:rsidR="00CF668F" w:rsidRPr="005A0A24" w:rsidRDefault="00CF668F" w:rsidP="008865E8">
                      <w:pPr>
                        <w:pStyle w:val="Pull-outBodyCopy"/>
                        <w:jc w:val="center"/>
                        <w:rPr>
                          <w:b/>
                          <w:sz w:val="17"/>
                          <w:szCs w:val="17"/>
                          <w:lang w:val="mi-NZ"/>
                        </w:rPr>
                      </w:pPr>
                      <w:r w:rsidRPr="005A0A24">
                        <w:rPr>
                          <w:b/>
                          <w:sz w:val="17"/>
                          <w:szCs w:val="17"/>
                          <w:lang w:val="mi-NZ"/>
                        </w:rPr>
                        <w:t>Box 4: Stakeholder Input into Research Priorities and Knowledge Utilisation Strategies</w:t>
                      </w:r>
                    </w:p>
                    <w:p w14:paraId="79D7B654" w14:textId="498FE561" w:rsidR="00CF668F" w:rsidRPr="005A0A24" w:rsidRDefault="00CF668F" w:rsidP="008865E8">
                      <w:pPr>
                        <w:rPr>
                          <w:sz w:val="18"/>
                          <w:szCs w:val="18"/>
                          <w:lang w:val="mi-NZ"/>
                        </w:rPr>
                      </w:pPr>
                      <w:r w:rsidRPr="005A0A24">
                        <w:rPr>
                          <w:sz w:val="18"/>
                          <w:szCs w:val="18"/>
                          <w:lang w:val="mi-NZ"/>
                        </w:rPr>
                        <w:t xml:space="preserve">The Centre for Education Statistics and Evaluation (CESE) based in the NSW Department of Education is a centre that focusses on the generation and synthesis of education data, conducts evaluation and provides up-to-date and accesible information to support evidence-informed practice and decision-making. The CESE is required to report to the Minister for Education, and while their work is largely policy-driven, their governance structure includes an advisory council which is made up of experts whose role is to give independent advice and oversight of the operations of CESE in regards to alignment with strategic priorities the members of this council are appointed by the NSW Minister for Education (CESE, 2017). </w:t>
                      </w:r>
                    </w:p>
                    <w:p w14:paraId="637AC0B4" w14:textId="77777777" w:rsidR="00CF668F" w:rsidRPr="005A0A24" w:rsidRDefault="00CF668F" w:rsidP="008865E8">
                      <w:pPr>
                        <w:rPr>
                          <w:sz w:val="18"/>
                          <w:szCs w:val="18"/>
                          <w:lang w:val="mi-NZ"/>
                        </w:rPr>
                      </w:pPr>
                      <w:r w:rsidRPr="005A0A24">
                        <w:rPr>
                          <w:sz w:val="18"/>
                          <w:szCs w:val="18"/>
                          <w:lang w:val="mi-NZ"/>
                        </w:rPr>
                        <w:t xml:space="preserve">As part of operations, CESE and other NSW Education departments consult with a range of stakeholders. Where the outcomes of these consultations suggest an area for further research should be prioritised and is warranted, the Minister for Education and CESE Advisory Council is informed and a decision is made on whether CESE can respond to the information needs identified by stakeholders (CESE, 2017). A set of criteria have been established to inform whether the Advisory Council will decide to invest in projects targeted towards addressing information needs. These criteria include: </w:t>
                      </w:r>
                    </w:p>
                    <w:p w14:paraId="773FB3E5"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 xml:space="preserve">Alignment to government priorities </w:t>
                      </w:r>
                    </w:p>
                    <w:p w14:paraId="61E557B8"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Alignement to CESE purpose and key responsibilities</w:t>
                      </w:r>
                    </w:p>
                    <w:p w14:paraId="36630DAE" w14:textId="77777777" w:rsidR="00CF668F" w:rsidRPr="005A0A24" w:rsidRDefault="00CF668F" w:rsidP="008865E8">
                      <w:pPr>
                        <w:pStyle w:val="ListParagraph"/>
                        <w:numPr>
                          <w:ilvl w:val="0"/>
                          <w:numId w:val="53"/>
                        </w:numPr>
                        <w:spacing w:after="0" w:line="240" w:lineRule="auto"/>
                        <w:contextualSpacing/>
                        <w:rPr>
                          <w:sz w:val="18"/>
                          <w:szCs w:val="18"/>
                          <w:lang w:val="mi-NZ"/>
                        </w:rPr>
                      </w:pPr>
                      <w:r w:rsidRPr="005A0A24">
                        <w:rPr>
                          <w:sz w:val="18"/>
                          <w:szCs w:val="18"/>
                          <w:lang w:val="mi-NZ"/>
                        </w:rPr>
                        <w:t>Feasibility of the project and CESE capacity to undertake it</w:t>
                      </w:r>
                    </w:p>
                    <w:p w14:paraId="11108BE7" w14:textId="6C172724" w:rsidR="00CF668F" w:rsidRPr="005A0A24" w:rsidRDefault="00CF668F" w:rsidP="005A0A24">
                      <w:pPr>
                        <w:pStyle w:val="ListParagraph"/>
                        <w:numPr>
                          <w:ilvl w:val="0"/>
                          <w:numId w:val="53"/>
                        </w:numPr>
                        <w:spacing w:line="240" w:lineRule="auto"/>
                        <w:contextualSpacing/>
                        <w:rPr>
                          <w:sz w:val="18"/>
                          <w:szCs w:val="18"/>
                          <w:lang w:val="mi-NZ"/>
                        </w:rPr>
                      </w:pPr>
                      <w:r w:rsidRPr="005A0A24">
                        <w:rPr>
                          <w:sz w:val="18"/>
                          <w:szCs w:val="18"/>
                          <w:lang w:val="mi-NZ"/>
                        </w:rPr>
                        <w:t xml:space="preserve">Other considerations (funded by COAG, innovative project, project in partnership with other agencies) </w:t>
                      </w:r>
                    </w:p>
                    <w:p w14:paraId="42D3DF88" w14:textId="77777777" w:rsidR="00CF668F" w:rsidRPr="005A0A24" w:rsidRDefault="00CF668F" w:rsidP="00D16BFC">
                      <w:pPr>
                        <w:spacing w:after="0"/>
                        <w:rPr>
                          <w:sz w:val="18"/>
                          <w:szCs w:val="18"/>
                          <w:lang w:val="mi-NZ"/>
                        </w:rPr>
                      </w:pPr>
                      <w:r w:rsidRPr="005A0A24">
                        <w:rPr>
                          <w:sz w:val="18"/>
                          <w:szCs w:val="18"/>
                          <w:lang w:val="mi-NZ"/>
                        </w:rPr>
                        <w:t xml:space="preserve">In addition to the provision of stakeholder input into identifying information needs, the CESE have developed a variety of comprehensive tools designed to support evidence utilisation in practice: </w:t>
                      </w:r>
                    </w:p>
                    <w:p w14:paraId="55332A3D"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School Excellence Framework</w:t>
                      </w:r>
                      <w:r w:rsidRPr="005A0A24">
                        <w:rPr>
                          <w:rFonts w:ascii="Calibri" w:eastAsia="Times New Roman" w:hAnsi="Calibri" w:cs="Times New Roman"/>
                          <w:color w:val="000000"/>
                          <w:sz w:val="18"/>
                          <w:szCs w:val="18"/>
                        </w:rPr>
                        <w:t xml:space="preserve"> which summarises effective practices based on research however the link to the research is not in the framework</w:t>
                      </w:r>
                    </w:p>
                    <w:p w14:paraId="26E84B17"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Evaluation Resource Hub</w:t>
                      </w:r>
                      <w:r w:rsidRPr="005A0A24">
                        <w:rPr>
                          <w:rFonts w:ascii="Calibri" w:eastAsia="Times New Roman" w:hAnsi="Calibri" w:cs="Times New Roman"/>
                          <w:color w:val="000000"/>
                          <w:sz w:val="18"/>
                          <w:szCs w:val="18"/>
                        </w:rPr>
                        <w:t xml:space="preserve"> which includes a capacity development component, evaluation tools are explained and applied to practical education contexts</w:t>
                      </w:r>
                    </w:p>
                    <w:p w14:paraId="38957E88" w14:textId="77777777"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Evaluation Repository</w:t>
                      </w:r>
                      <w:r w:rsidRPr="005A0A24">
                        <w:rPr>
                          <w:rFonts w:ascii="Calibri" w:eastAsia="Times New Roman" w:hAnsi="Calibri" w:cs="Times New Roman"/>
                          <w:color w:val="000000"/>
                          <w:sz w:val="18"/>
                          <w:szCs w:val="18"/>
                        </w:rPr>
                        <w:t xml:space="preserve"> a library of evaluations, with accompanying judgements about the quality using an evidence hierarchy </w:t>
                      </w:r>
                    </w:p>
                    <w:p w14:paraId="5A2404B1" w14:textId="37A0AFCD" w:rsidR="00CF668F" w:rsidRPr="005A0A24" w:rsidRDefault="00CF668F" w:rsidP="00D16BFC">
                      <w:pPr>
                        <w:numPr>
                          <w:ilvl w:val="0"/>
                          <w:numId w:val="52"/>
                        </w:numPr>
                        <w:spacing w:before="100" w:beforeAutospacing="1" w:after="100" w:afterAutospacing="1" w:line="240" w:lineRule="auto"/>
                        <w:rPr>
                          <w:rFonts w:ascii="Calibri" w:eastAsia="Times New Roman" w:hAnsi="Calibri" w:cs="Times New Roman"/>
                          <w:color w:val="000000"/>
                          <w:sz w:val="18"/>
                          <w:szCs w:val="18"/>
                        </w:rPr>
                      </w:pPr>
                      <w:r w:rsidRPr="005A0A24">
                        <w:rPr>
                          <w:rFonts w:ascii="Calibri" w:eastAsia="Times New Roman" w:hAnsi="Calibri" w:cs="Times New Roman"/>
                          <w:i/>
                          <w:iCs/>
                          <w:color w:val="000000"/>
                          <w:sz w:val="18"/>
                          <w:szCs w:val="18"/>
                        </w:rPr>
                        <w:t>Effective Practices in Teaching and Learning</w:t>
                      </w:r>
                      <w:r w:rsidRPr="005A0A24">
                        <w:rPr>
                          <w:rFonts w:ascii="Calibri" w:eastAsia="Times New Roman" w:hAnsi="Calibri" w:cs="Times New Roman"/>
                          <w:color w:val="000000"/>
                          <w:sz w:val="18"/>
                          <w:szCs w:val="18"/>
                        </w:rPr>
                        <w:t xml:space="preserve"> - this is a link to the Teaching and Learning toolkit based on the Education Endowment Foundation’s resource and housed by Social Ventures Australia </w:t>
                      </w:r>
                    </w:p>
                    <w:p w14:paraId="32D4D99C" w14:textId="77777777" w:rsidR="00CF668F" w:rsidRPr="005A0A24" w:rsidRDefault="00CF668F" w:rsidP="008865E8">
                      <w:pPr>
                        <w:spacing w:before="100" w:beforeAutospacing="1" w:after="100" w:afterAutospacing="1"/>
                        <w:rPr>
                          <w:rFonts w:ascii="Calibri" w:eastAsia="Times New Roman" w:hAnsi="Calibri" w:cs="Times New Roman"/>
                          <w:color w:val="000000"/>
                          <w:sz w:val="18"/>
                          <w:szCs w:val="18"/>
                        </w:rPr>
                      </w:pPr>
                      <w:r w:rsidRPr="005A0A24">
                        <w:rPr>
                          <w:rFonts w:ascii="Calibri" w:eastAsia="Times New Roman" w:hAnsi="Calibri" w:cs="Times New Roman"/>
                          <w:color w:val="000000"/>
                          <w:sz w:val="18"/>
                          <w:szCs w:val="18"/>
                        </w:rPr>
                        <w:t xml:space="preserve">Overall, there is a significant emphasis placed on, where possible, ensuring evidence generation and synthesis is informed by stakeholder information needs, and stakeholders are supported to use evidence in their context via the evidence utilisation tools. </w:t>
                      </w:r>
                    </w:p>
                  </w:txbxContent>
                </v:textbox>
                <w10:wrap type="square"/>
              </v:shape>
            </w:pict>
          </mc:Fallback>
        </mc:AlternateContent>
      </w:r>
      <w:r w:rsidRPr="0091711A">
        <w:t xml:space="preserve">user will continue to engage in the infrastructure if they are receiving information that is relevant to them and their practice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"ITEM-2",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"ITEM-2", "issued" : { "date-parts" : [ [ "2010" ] ] }, "title" : "A knowledge management tool for public health: health-evidence.ca", "type" : "article-journal" }, "uris" : [ "http://www.mendeley.com/documents/?uuid=aeeeb24c-b3a1-3922-a4f0-b14a6fd13b11" ] }, { "id" : "ITEM-3",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"ITEM-3",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"(Bain &amp; Swan, 2011; Dobbins, Decorby, et al., 2010; LaRocca et al., 2012)", "plainTextFormattedCitation" : "(Bain &amp; Swan, 2011; Dobbins, Decorby, et al., 2010; LaRocca et al., 2012)", "previouslyFormattedCitation" : "(Bain &amp; Swan, 2011; Dobbins, Decorby, et al., 2010; LaRocca et al., 2012)" }, "properties" : {  }, "schema" : "https://github.com/citation-style-language/schema/raw/master/csl-citation.json" }</w:instrText>
      </w:r>
      <w:r w:rsidRPr="0091711A">
        <w:fldChar w:fldCharType="separate"/>
      </w:r>
      <w:r w:rsidRPr="0091711A">
        <w:rPr>
          <w:noProof/>
        </w:rPr>
        <w:t>(Bain &amp; Swan, 2011; Dobbins, Decorby, et al., 2010; LaRocca et al., 2012)</w:t>
      </w:r>
      <w:r w:rsidRPr="0091711A">
        <w:fldChar w:fldCharType="end"/>
      </w:r>
      <w:r w:rsidRPr="0091711A">
        <w:t xml:space="preserve">. </w:t>
      </w:r>
    </w:p>
    <w:p w14:paraId="046B1687" w14:textId="3151E177" w:rsidR="0093470E" w:rsidRPr="0091711A" w:rsidRDefault="0093470E" w:rsidP="0093470E">
      <w:r w:rsidRPr="0091711A">
        <w:t xml:space="preserve">On an operational level, a critical aspect to the design of utilisation infrastructure and platforms is to ensure there is controlled vocabulary within the system that is known to and used by the intended user(s). This is important for searching functionality and also for the feedback and social nature of effective utilisation infrastructures, as noted in more detail below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"mendeley" : { "formattedCitation" : "(Bain &amp; Swan, 2011)", "plainTextFormattedCitation" : "(Bain &amp; Swan, 2011)", "previouslyFormattedCitation" : "(Bain &amp; Swan, 2011)" }, "properties" : {  }, "schema" : "https://github.com/citation-style-language/schema/raw/master/csl-citation.json" }</w:instrText>
      </w:r>
      <w:r w:rsidRPr="0091711A">
        <w:fldChar w:fldCharType="separate"/>
      </w:r>
      <w:r w:rsidRPr="0091711A">
        <w:rPr>
          <w:noProof/>
        </w:rPr>
        <w:t>(Bain &amp; Swan, 2011)</w:t>
      </w:r>
      <w:r w:rsidRPr="0091711A">
        <w:fldChar w:fldCharType="end"/>
      </w:r>
      <w:r w:rsidR="00DA20D0">
        <w:t>.</w:t>
      </w:r>
      <w:r w:rsidRPr="0091711A">
        <w:t xml:space="preserve"> Essentially, controlled vocabulary</w:t>
      </w:r>
      <w:r w:rsidR="00DA20D0">
        <w:t xml:space="preserve"> is</w:t>
      </w:r>
      <w:r w:rsidRPr="0091711A">
        <w:t xml:space="preserve"> necessary for the infrastructures to be accessible and usable by the intended user group. </w:t>
      </w:r>
    </w:p>
    <w:p w14:paraId="1B4BEC4C" w14:textId="77777777" w:rsidR="0093470E" w:rsidRPr="0091711A" w:rsidRDefault="0093470E" w:rsidP="0093470E">
      <w:r w:rsidRPr="0091711A">
        <w:t xml:space="preserve">Finally, infrastructure designs that are more effective at supporting evidence-informed policy and practice include structural features for ease of use, including help boxes, search tips, relevant case examples of evidence-informed practice, policy and decision-making and easy access to technical support </w:t>
      </w:r>
      <w:r w:rsidRPr="0091711A">
        <w:fldChar w:fldCharType="begin" w:fldLock="1"/>
      </w:r>
      <w:r w:rsidRPr="0091711A">
        <w:instrText>ADDIN CSL_CITATION { "citationItems" : [ { "id" : "ITEM-1",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"title" : "A knowledge management tool for public health: health-evidence.ca", "type" : "article-journal" }, "uris" : [ "http://www.mendeley.com/documents/?uuid=aeeeb24c-b3a1-3922-a4f0-b14a6fd13b11" ] }, { "id" : "ITEM-2",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"ITEM-2", "issue" : "2", "issued" : { "date-parts" : [ [ "2012" ] ] }, "page" : "751", "title" : "The effectiveness of knowledge translation strategies used in public health: a systematic review (Structured abstract)", "type" : "article", "volume" : "12" }, "uris" : [ "http://www.mendeley.com/documents/?uuid=d1c367cf-0de9-4cd5-9d99-b4e10e72329f" ] }, { "id" : "ITEM-3",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"ITEM-3",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"mendeley" : { "formattedCitation" : "(Bain &amp; Swan, 2011; Dobbins, Decorby, et al., 2010; LaRocca et al., 2012)", "plainTextFormattedCitation" : "(Bain &amp; Swan, 2011; Dobbins, Decorby, et al., 2010; LaRocca et al., 2012)", "previouslyFormattedCitation" : "(Bain &amp; Swan, 2011; Dobbins, Decorby, et al., 2010; LaRocca et al., 2012)" }, "properties" : {  }, "schema" : "https://github.com/citation-style-language/schema/raw/master/csl-citation.json" }</w:instrText>
      </w:r>
      <w:r w:rsidRPr="0091711A">
        <w:fldChar w:fldCharType="separate"/>
      </w:r>
      <w:r w:rsidRPr="0091711A">
        <w:rPr>
          <w:noProof/>
        </w:rPr>
        <w:t>(Bain &amp; Swan, 2011; Dobbins, Decorby, et al., 2010; LaRocca et al., 2012)</w:t>
      </w:r>
      <w:r w:rsidRPr="0091711A">
        <w:fldChar w:fldCharType="end"/>
      </w:r>
      <w:r w:rsidRPr="0091711A">
        <w:t xml:space="preserve">. </w:t>
      </w:r>
    </w:p>
    <w:p w14:paraId="4AB4DC60" w14:textId="77777777" w:rsidR="0093470E" w:rsidRPr="00E16853" w:rsidRDefault="0093470E" w:rsidP="00716D4E">
      <w:pPr>
        <w:pStyle w:val="NumberedHeading3"/>
      </w:pPr>
      <w:bookmarkStart w:id="118" w:name="_Toc509950656"/>
      <w:r w:rsidRPr="00E16853">
        <w:t>Feedback loops in utilisation infrastructure</w:t>
      </w:r>
      <w:bookmarkEnd w:id="118"/>
    </w:p>
    <w:p w14:paraId="177734A1" w14:textId="77777777" w:rsidR="0093470E" w:rsidRPr="0091711A" w:rsidRDefault="0093470E" w:rsidP="0093470E">
      <w:r w:rsidRPr="0091711A">
        <w:t xml:space="preserve">The literature on the importance of feedback is well-developed and has been applied to the design of infrastructures that support knowledge translation and evidence-informed policy and practice. Infrastructure and platforms that include built-in feedback mechanisms can ensure that users are prompted to provide feedback, and this feedback is used to improve the infrastructure to ensure that it is more user-friendly and aligned to needs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"ITEM-2",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"ITEM-2", "issued" : { "date-parts" : [ [ "2010" ] ] }, "title" : "A knowledge management tool for public health: health-evidence.ca", "type" : "article-journal" }, "uris" : [ "http://www.mendeley.com/documents/?uuid=aeeeb24c-b3a1-3922-a4f0-b14a6fd13b11" ] } ], "mendeley" : { "formattedCitation" : "(Bain &amp; Swan, 2011; Dobbins, Decorby, et al., 2010)", "plainTextFormattedCitation" : "(Bain &amp; Swan, 2011; Dobbins, Decorby, et al., 2010)", "previouslyFormattedCitation" : "(Bain &amp; Swan, 2011; Dobbins, Decorby, et al., 2010)" }, "properties" : {  }, "schema" : "https://github.com/citation-style-language/schema/raw/master/csl-citation.json" }</w:instrText>
      </w:r>
      <w:r w:rsidRPr="0091711A">
        <w:fldChar w:fldCharType="separate"/>
      </w:r>
      <w:r w:rsidRPr="0091711A">
        <w:rPr>
          <w:noProof/>
        </w:rPr>
        <w:t>(Bain &amp; Swan, 2011; Dobbins, Decorby, et al., 2010)</w:t>
      </w:r>
      <w:r w:rsidRPr="0091711A">
        <w:fldChar w:fldCharType="end"/>
      </w:r>
      <w:r w:rsidRPr="0091711A">
        <w:t xml:space="preserve">. </w:t>
      </w:r>
    </w:p>
    <w:p w14:paraId="532AD197" w14:textId="77777777" w:rsidR="0093470E" w:rsidRPr="0091711A" w:rsidRDefault="0093470E" w:rsidP="0093470E">
      <w:r w:rsidRPr="0091711A">
        <w:lastRenderedPageBreak/>
        <w:t xml:space="preserve">In addition to improving the infrastructures, users also need to contribute through feedback to the content/evidence housed by the infrastructure. This may be done by having discussion forums or options for users to upload case stories or their experiences of applying the evidence to their context. This supports effective knowledge management as it enables knowledge to be socialised if other users are able to comment and add to the case stories and experiences </w:t>
      </w:r>
      <w:r w:rsidRPr="0091711A">
        <w:fldChar w:fldCharType="begin" w:fldLock="1"/>
      </w:r>
      <w:r w:rsidRPr="0091711A">
        <w:instrText>ADDIN CSL_CITATION { "citationItems" : [ { "id" : "ITEM-1",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"title" : "A knowledge management tool for public health: health-evidence.ca", "type" : "article-journal" }, "uris" : [ "http://www.mendeley.com/documents/?uuid=aeeeb24c-b3a1-3922-a4f0-b14a6fd13b11" ] }, { "id" : "ITEM-2",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"ITEM-2",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"ITEM-3", "itemData" : { "abstract" : "1. Definition. Guidelines are systematically developed evidence-based statements which assist providers, recipients and other stakeholders to make informed decisions about appropriate health interventions. Health interventions are defined broadly to include not only clinical procedures but also public health actions. Guidelines are formal advisory statements which should be robust enough to meet the unique circumstances and constraints of the specific situation to which they are being applied. The basic nature and intent of guidelines have also been expressed under other formats variously labeled as protocols, best practice, algorithms, consensus statements, expert committee recommendations, and integrated care pathways. This document refers to all formats with the basic nature and intent of guidelines. 2. WHO Mandate. In line with Article II of the Constitution, one of the core functions of WHO is setting, validating, monitoring and pursuing the proper implementation of norms and standards. In the performance of this function, WHO has been and will continue issuing recommendations for best practices given the current evidence i.e. guidelines. 3. Context. National and international organizations are increasingly issuing their own guidelines (Woolf, 1999). This leads to multiple guidelines on the same topic, which are not necessarily uniform in their process of development or consistent in their recommendations, but are widely circulated and increasingly available on the Internet. They are of growing interest to policy makers as well as to payers, providers and users of health services.", "author" : [ { "dropping-particle" : "", "family" : "WHO", "given" : "", "non-dropping-particle" : "", "parse-names" : false, "suffix" : "" } ], "container-title" : "Global Programme on Evidence for Health Policy", "id" : "ITEM-3", "issued" : { "date-parts" : [ [ "2003" ] ] }, "number-of-pages" : "1-24", "publisher-place" : "Geneva, Switzerland", "title" : "Guidelines for who guidelines", "type" : "report" }, "uris" : [ "http://www.mendeley.com/documents/?uuid=0f52369f-5022-404d-9190-d5b288e5204b" ] } ], "mendeley" : { "formattedCitation" : "(Bain &amp; Swan, 2011; Dobbins, Decorby, et al., 2010; WHO, 2003)", "plainTextFormattedCitation" : "(Bain &amp; Swan, 2011; Dobbins, Decorby, et al., 2010; WHO, 2003)", "previouslyFormattedCitation" : "(Bain &amp; Swan, 2011; Dobbins, Decorby, et al., 2010; WHO, 2003)" }, "properties" : {  }, "schema" : "https://github.com/citation-style-language/schema/raw/master/csl-citation.json" }</w:instrText>
      </w:r>
      <w:r w:rsidRPr="0091711A">
        <w:fldChar w:fldCharType="separate"/>
      </w:r>
      <w:r w:rsidRPr="0091711A">
        <w:rPr>
          <w:noProof/>
        </w:rPr>
        <w:t>(Bain &amp; Swan, 2011; Dobbins, Decorby, et al., 2010; WHO, 2003)</w:t>
      </w:r>
      <w:r w:rsidRPr="0091711A">
        <w:fldChar w:fldCharType="end"/>
      </w:r>
      <w:r w:rsidRPr="0091711A">
        <w:t>.</w:t>
      </w:r>
    </w:p>
    <w:p w14:paraId="2CB7642D" w14:textId="6A9BF171" w:rsidR="0093470E" w:rsidRPr="0091711A" w:rsidRDefault="0093470E" w:rsidP="0093470E">
      <w:r w:rsidRPr="0091711A">
        <w:t>Therefore, there is a feedback loop from the user to the infrastructure designers, to those who review and synthesise the evidence, and then to the researchers gathering the evidence. Secondly</w:t>
      </w:r>
      <w:r w:rsidR="009E1044">
        <w:t>,</w:t>
      </w:r>
      <w:r w:rsidRPr="0091711A">
        <w:t xml:space="preserve"> there is also a feedback loop through the infrastructure where users are able to talk to other users and share their knowledge and views on the evidence and, ideally, add to the evidence </w:t>
      </w:r>
      <w:r w:rsidRPr="0091711A">
        <w:fldChar w:fldCharType="begin" w:fldLock="1"/>
      </w:r>
      <w:r w:rsidRPr="0091711A">
        <w:instrText>ADDIN CSL_CITATION { "citationItems" : [ { "id" : "ITEM-1",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"title" : "A knowledge management tool for public health: health-evidence.ca", "type" : "article-journal" }, "uris" : [ "http://www.mendeley.com/documents/?uuid=aeeeb24c-b3a1-3922-a4f0-b14a6fd13b11" ] }, { "id" : "ITEM-2",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"ITEM-2",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"mendeley" : { "formattedCitation" : "(Burns &amp; Schuller, 2007; Dobbins, Decorby, et al., 2010)", "plainTextFormattedCitation" : "(Burns &amp; Schuller, 2007; Dobbins, Decorby, et al., 2010)", "previouslyFormattedCitation" : "(Burns &amp; Schuller, 2007; Dobbins, Decorby, et al., 2010)" }, "properties" : {  }, "schema" : "https://github.com/citation-style-language/schema/raw/master/csl-citation.json" }</w:instrText>
      </w:r>
      <w:r w:rsidRPr="0091711A">
        <w:fldChar w:fldCharType="separate"/>
      </w:r>
      <w:r w:rsidRPr="0091711A">
        <w:rPr>
          <w:noProof/>
        </w:rPr>
        <w:t>(Burns &amp; Schuller, 2007; Dobbins, Decorby, et al., 2010)</w:t>
      </w:r>
      <w:r w:rsidRPr="0091711A">
        <w:fldChar w:fldCharType="end"/>
      </w:r>
      <w:r w:rsidRPr="0091711A">
        <w:t xml:space="preserve">. </w:t>
      </w:r>
    </w:p>
    <w:p w14:paraId="128ACF6B" w14:textId="77777777" w:rsidR="0093470E" w:rsidRPr="00550723" w:rsidRDefault="0093470E" w:rsidP="00C34A88">
      <w:pPr>
        <w:widowControl w:val="0"/>
        <w:autoSpaceDE w:val="0"/>
        <w:autoSpaceDN w:val="0"/>
        <w:adjustRightInd w:val="0"/>
        <w:ind w:left="800"/>
        <w:rPr>
          <w:rFonts w:cs="Arial"/>
          <w:i/>
          <w:sz w:val="18"/>
          <w:szCs w:val="20"/>
        </w:rPr>
      </w:pPr>
      <w:r w:rsidRPr="00550723">
        <w:rPr>
          <w:rFonts w:cs="Arial"/>
          <w:i/>
        </w:rPr>
        <w:t xml:space="preserve">To be deemed legitimate by teachers, any feedback system must meet the challenge of providing accurate, multi-sourced and multi-method feedback in an ongoing and timely manner for use at multiple levels in the school. </w:t>
      </w:r>
      <w:r w:rsidRPr="00550723">
        <w:rPr>
          <w:rFonts w:cs="Arial"/>
          <w:i/>
        </w:rPr>
        <w:fldChar w:fldCharType="begin" w:fldLock="1"/>
      </w:r>
      <w:r w:rsidRPr="00550723">
        <w:rPr>
          <w:rFonts w:cs="Arial"/>
          <w:i/>
        </w:rPr>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"locator" : "682", "uris" : [ "http://www.mendeley.com/documents/?uuid=9fd92786-4624-43b1-823d-90f4fbf90647" ] } ], "mendeley" : { "formattedCitation" : "(Bain &amp; Swan, 2011, p. 682)", "plainTextFormattedCitation" : "(Bain &amp; Swan, 2011, p. 682)", "previouslyFormattedCitation" : "(Bain &amp; Swan, 2011, p. 682)" }, "properties" : {  }, "schema" : "https://github.com/citation-style-language/schema/raw/master/csl-citation.json" }</w:instrText>
      </w:r>
      <w:r w:rsidRPr="00550723">
        <w:rPr>
          <w:rFonts w:cs="Arial"/>
          <w:i/>
        </w:rPr>
        <w:fldChar w:fldCharType="separate"/>
      </w:r>
      <w:r w:rsidRPr="00550723">
        <w:rPr>
          <w:rFonts w:cs="Arial"/>
          <w:i/>
          <w:noProof/>
        </w:rPr>
        <w:t>(Bain &amp; Swan, 2011, p. 682)</w:t>
      </w:r>
      <w:r w:rsidRPr="00550723">
        <w:rPr>
          <w:rFonts w:cs="Arial"/>
          <w:i/>
        </w:rPr>
        <w:fldChar w:fldCharType="end"/>
      </w:r>
    </w:p>
    <w:p w14:paraId="7243F0C5" w14:textId="77777777" w:rsidR="0093470E" w:rsidRPr="00E16853" w:rsidRDefault="0093470E" w:rsidP="00716D4E">
      <w:pPr>
        <w:pStyle w:val="NumberedHeading3"/>
      </w:pPr>
      <w:bookmarkStart w:id="119" w:name="_Toc509950657"/>
      <w:r w:rsidRPr="00E16853">
        <w:t>Sustained funding to enable forecasting</w:t>
      </w:r>
      <w:bookmarkEnd w:id="119"/>
    </w:p>
    <w:p w14:paraId="3378988C" w14:textId="41D81FB2" w:rsidR="0093470E" w:rsidRPr="0091711A" w:rsidRDefault="0093470E" w:rsidP="0093470E">
      <w:pPr>
        <w:rPr>
          <w:lang w:eastAsia="ko-KR"/>
        </w:rPr>
      </w:pPr>
      <w:r w:rsidRPr="0091711A">
        <w:t>Critically, utilisation infrastructure and platforms can only be effective if there is sustained funding and resourcing for ongoing improvement and delivery. Technological change is constant</w:t>
      </w:r>
      <w:r w:rsidR="003F7862">
        <w:t>,</w:t>
      </w:r>
      <w:r w:rsidRPr="0091711A">
        <w:t xml:space="preserve"> and ensuring the infrastructure keeps pace with updated technology specifications, and that recent evidence is uploaded with limited delay post-publication, is critical for ensuring ongoing by the desired end-user </w:t>
      </w:r>
      <w:r w:rsidRPr="0091711A">
        <w:fldChar w:fldCharType="begin" w:fldLock="1"/>
      </w:r>
      <w:r w:rsidRPr="0091711A">
        <w:instrText xml:space="preserve">ADDIN CSL_CITATION { "citationItems" : [ { "id" : "ITEM-1", "itemData" : { "DOI" : "10.1186/1471-2458-10-496", "abstract" : "Background: The ultimate goal of knowledge translation and exchange (KTE) activities is to facilitate incorporation of research knowledge into program and policy development decision making. Evidence-informed decision making involves translation of the best available evidence from a systematically collected, appraised, and analyzed body of knowledge. Knowledge management (KM) is emerging as a key factor contributing to the realization of evidence-informed public health decision making. The goal of health-evidence.ca is to promote evidence-informed public health decision making through facilitation of decision maker access to, retrieval, and use of the best available synthesized research evidence evaluating the effectiveness of public health interventions. Methods: The systematic reviews that populate health evidence.ca are identified through an extensive search (1985-present) of 7 electronic databases: MEDLINE, EMBASE, CINAHL, PsycINFO, Sociological Abstracts, BIOSIS, and SportDiscus; handsearching of over 20 journals; and reference list searches of all relevant reviews. Reviews are assessed for relevance and quality by two independent reviewers. Commonly-used public health terms are used to assign key words to each review, and project staff members compose short summaries highlighting results and implications for policy and practice. Results: As of June 2010, there are 1913 reviews in the health-evidence.ca registry in 21 public health and health promotion topic areas. Of these, 78% have been assessed as being of strong or moderate methodological quality. Health-evidence.ca receives approximately 35,000 visits per year, 20,596 of which are unique visitors, representing approximately 100 visits per day. Just under half of all visitors return to the site, with the average user spending six minutes and visiting seven pages per visit. Public health nurses, program managers, health promotion workers, researchers, and program coordinators are among the largest groups of registered users, followed by librarians, dieticians, medical officers of health, and nutritionists. The majority of users (67%) access the website from direct traffic (e.g., have the health-evidence.ca webpage bookmarked, or type it directly into their browser). Conclusions: Consistent use of health-evidence.ca and particularly the searching for reviews that correspond with current public health priorities illustrates that health-evidence.ca may be playing an important role in achieving evid\u2026", "author" : [ { "dropping-particle" : "", "family" : "Dobbins", "given" : "Maureen", "non-dropping-particle" : "", "parse-names" : false, "suffix" : "" }, { "dropping-particle" : "", "family" : "Decorby", "given" : "Kara", "non-dropping-particle" : "", "parse-names" : false, "suffix" : "" }, { "dropping-particle" : "", "family" : "Robeson", "given" : "Paula", "non-dropping-particle" : "", "parse-names" : false, "suffix" : "" }, { "dropping-particle" : "", "family" : "Husson", "given" : "Heather", "non-dropping-particle" : "", "parse-names" : false, "suffix" : "" }, { "dropping-particle" : "", "family" : "Tirilis", "given" : "Daiva", "non-dropping-particle" : "", "parse-names" : false, "suffix" : "" }, { "dropping-particle" : "", "family" : "Greco", "given" : "Lori", "non-dropping-particle" : "", "parse-names" : false, "suffix" : "" } ], "container-title" : "BMC Public Health", "id" : "ITEM-1", "issued" : { "date-parts" : [ [ "2010" ] ] }, "title" : "A knowledge management tool for public health: health-evidence.ca", "type" : "article-journal" }, "uris" : [ "http://www.mendeley.com/documents/?uuid=aeeeb24c-b3a1-3922-a4f0-b14a6fd13b11" ] }, { "id" : "ITEM-2",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w:instrText>
      </w:r>
      <w:r w:rsidRPr="0091711A">
        <w:rPr>
          <w:lang w:eastAsia="ko-KR"/>
        </w:rPr>
        <w:instrText>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"ITEM-2",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"mendeley" : { "formattedCitation" : "(Bain &amp; Swan, 2011; Dobbins, Decorby, et al., 2010)", "plainTextFormattedCitation" : "(Bain &amp; Swan, 2011; Dobbins, Decorby, et al., 2010)", "previouslyFormattedCitation" : "(Bain &amp; Swan, 2011; Dobbins, Decorby, et al., 2010)" }, "properties" : {  }, "schema" : "https://github.com/citation-style-language/schema/raw/master/csl-citation.json" }</w:instrText>
      </w:r>
      <w:r w:rsidRPr="0091711A">
        <w:fldChar w:fldCharType="separate"/>
      </w:r>
      <w:r w:rsidRPr="0091711A">
        <w:rPr>
          <w:noProof/>
          <w:lang w:eastAsia="ko-KR"/>
        </w:rPr>
        <w:t>(Bain &amp; Swan, 2011; Dobbins, Decorby, et al., 2010)</w:t>
      </w:r>
      <w:r w:rsidRPr="0091711A">
        <w:fldChar w:fldCharType="end"/>
      </w:r>
      <w:r w:rsidR="003F7862">
        <w:t>.</w:t>
      </w:r>
      <w:r w:rsidRPr="0091711A">
        <w:rPr>
          <w:lang w:eastAsia="ko-KR"/>
        </w:rPr>
        <w:t xml:space="preserve">  </w:t>
      </w:r>
    </w:p>
    <w:p w14:paraId="34810AC0" w14:textId="77777777" w:rsidR="0093470E" w:rsidRPr="0091711A" w:rsidRDefault="0093470E" w:rsidP="0093470E">
      <w:r w:rsidRPr="0091711A">
        <w:rPr>
          <w:lang w:eastAsia="ko-KR"/>
        </w:rPr>
        <w:t xml:space="preserve">Not only is it necessary for the utilisation infrastructure to keep pace with technology and evidence as it is becoming available, it is also important for the infrastructure to facilitate the monitoring of current and future information needs for policymakers and practitioners. For instance, identifying issues on the policy agenda and ensuring that evidence summaries are available on those issues is important for informing the policy debate and resulting policy decision or indecision </w:t>
      </w:r>
      <w:r w:rsidRPr="0091711A">
        <w:fldChar w:fldCharType="begin" w:fldLock="1"/>
      </w:r>
      <w:r w:rsidRPr="0091711A">
        <w:rPr>
          <w:lang w:eastAsia="ko-KR"/>
        </w:rPr>
        <w:instrText>ADDIN CSL_CITATIO</w:instrText>
      </w:r>
      <w:r w:rsidRPr="0091711A">
        <w:instrText>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"ITEM-2", "itemData" : { "ISBN" : "9789264033665", "author" : [ { "dropping-particle" : "", "family" : "Burns", "given" : "Tracey", "non-dropping-particle" : "", "parse-names" : false, "suffix" : "" }, { "dropping-particle" : "", "family" : "Schuller", "given" : "Tom", "non-dropping-particle" : "", "parse-names" : false, "suffix" : "" } ], "container-title" : "The Evidence Agenda", "id" : "ITEM-2", "issued" : { "date-parts" : [ [ "2007" ] ] }, "publisher" : "OECD Centre for Educational Research and Innovation", "title" : "Chapter 1 The Evidence Agenda Part One : Setting the Stage : The Evidence Agenda and Methodological Issues", "type" : "book" }, "uris" : [ "http://www.mendeley.com/documents/?uuid=62819c63-9f27-4828-8ef9-b8ae2e3e432b" ] }, { "id" : "ITEM-3", "itemData" : { "ISBN" : "9789248502408 (Portuguese)", "abstract" : "World conference on determinants of health 19-21 October 2011", "author" : [ { "dropping-particle" : "", "family" : "WHO", "given" : "", "non-dropping-particle" : "", "parse-names" : false, "suffix" : "" } ], "id" : "ITEM-3", "issued" : { "date-parts" : [ [ "2011" ] ] }, "page" : "56", "title" : "Closing the gap: policy into practice on social determinants of health", "type" : "article-journal" }, "uris" : [ "http://www.mendeley.com/documents/?uuid=ea5b20c1-3cb7-4e04-9b2c-701924bd925e" ] } ], "mendeley" : { "formattedCitation" : "(Bain &amp; Swan, 2011; Burns &amp; Schuller, 2007; WHO, 2011)", "plainTextFormattedCitation" : "(Bain &amp; Swan, 2011; Burns &amp; Schuller, 2007; WHO, 2011)", "previouslyFormattedCitation" : "(Bain &amp; Swan, 2011; Burns &amp; Schuller, 2007; WHO, 2011)" }, "properties" : {  }, "schema" : "https://github.com/citation-style-language/schema/raw/master/csl-citation.json" }</w:instrText>
      </w:r>
      <w:r w:rsidRPr="0091711A">
        <w:fldChar w:fldCharType="separate"/>
      </w:r>
      <w:r w:rsidRPr="0091711A">
        <w:rPr>
          <w:noProof/>
        </w:rPr>
        <w:t>(Bain &amp; Swan, 2011; Burns &amp; Schuller, 2007; WHO, 2011)</w:t>
      </w:r>
      <w:r w:rsidRPr="0091711A">
        <w:fldChar w:fldCharType="end"/>
      </w:r>
      <w:r w:rsidRPr="0091711A">
        <w:t xml:space="preserve">. However, operationally, this requires that the infrastructure and those staffing it remain current and responsive to needs, and utilise input from the user through a feedback mechanism to find out what those needs (current or future) may be. The ability to produce relevant evidence during or prior to a policy debate is also likely to increase utilisation in general, given that the issue is on the public’s mind as well as policymakers, and hence it is an important opportunity for an institution to broaden its reach through an effective utilisation infrastructure or platform </w:t>
      </w:r>
      <w:r w:rsidRPr="0091711A">
        <w:fldChar w:fldCharType="begin" w:fldLock="1"/>
      </w:r>
      <w:r w:rsidRPr="0091711A">
        <w:instrText>ADDIN CSL_CITATION { "citationItems" : [ { "id" : "ITEM-1", "itemData" : { "author" : [ { "dropping-particle" : "", "family" : "Volmink", "given" : "J", "non-dropping-particle" : "", "parse-names" : false, "suffix" : "" }, { "dropping-particle" : "", "family" : "Siegfried", "given" : "N", "non-dropping-particle" : "", "parse-names" : false, "suffix" : "" }, { "dropping-particle" : "", "family" : "Robertson", "given" : "K", "non-dropping-particle" : "", "parse-names" : false, "suffix" : "" }, { "dropping-particle" : "", "family" : "Gulmezoglu", "given" : "A M", "non-dropping-particle" : "", "parse-names" : false, "suffix" : "" } ], "container-title" : "Bulletin of the World Health Organization", "id" : "ITEM-1", "issue" : "10", "issued" : { "date-parts" : [ [ "2004" ] ] }, "page" : "778-783", "title" : "Research synthesis and disseminating as a bridge to knowledge management: the Cochrane Collaboration ", "type" : "article-journal", "volume" : "82 " }, "uris" : [ "http://www.mendeley.com/documents/?uuid=159cc2a7-df4f-416b-9022-55c63d27f7c1" ] } ], "mendeley" : { "formattedCitation" : "(Volmink et al., 2004)", "plainTextFormattedCitation" : "(Volmink et al., 2004)", "previouslyFormattedCitation" : "(Volmink et al., 2004)" }, "properties" : {  }, "schema" : "https://github.com/citation-style-language/schema/raw/master/csl-citation.json" }</w:instrText>
      </w:r>
      <w:r w:rsidRPr="0091711A">
        <w:fldChar w:fldCharType="separate"/>
      </w:r>
      <w:r w:rsidRPr="0091711A">
        <w:rPr>
          <w:noProof/>
        </w:rPr>
        <w:t>(Volmink et al., 2004)</w:t>
      </w:r>
      <w:r w:rsidRPr="0091711A">
        <w:fldChar w:fldCharType="end"/>
      </w:r>
      <w:r w:rsidRPr="0091711A">
        <w:t xml:space="preserve">. This is where, again, collaboration with the user, practitioners and policymakers is helpful. </w:t>
      </w:r>
    </w:p>
    <w:p w14:paraId="55864410" w14:textId="77777777" w:rsidR="0093470E" w:rsidRPr="00E16853" w:rsidRDefault="0093470E" w:rsidP="00716D4E">
      <w:pPr>
        <w:pStyle w:val="NumberedHeading3"/>
      </w:pPr>
      <w:bookmarkStart w:id="120" w:name="_Toc509950658"/>
      <w:r w:rsidRPr="00E16853">
        <w:t>Quality knowledge management strategy</w:t>
      </w:r>
      <w:bookmarkEnd w:id="120"/>
    </w:p>
    <w:p w14:paraId="1AEDEB43" w14:textId="68266CDD" w:rsidR="0093470E" w:rsidRPr="0091711A" w:rsidRDefault="0093470E" w:rsidP="0093470E">
      <w:r w:rsidRPr="0091711A">
        <w:t xml:space="preserve">Finally, effective utilisation infrastructure and platforms are based on quality knowledge management strategies. Briefly, knowledge management is the ‘creation, capture, and use of records, databases, and other information to achieve organizational objectives’ </w:t>
      </w:r>
      <w:r w:rsidRPr="0091711A">
        <w:fldChar w:fldCharType="begin" w:fldLock="1"/>
      </w:r>
      <w:r w:rsidRPr="0091711A">
        <w:instrText>ADDIN CSL_CITATION { "citationItems" : [ { "id" : "ITEM-1", "itemData" : { "author" : [ { "dropping-particle" : "", "family" : "Klinger", "given" : "D.", "non-dropping-particle" : "", "parse-names" : false, "suffix" : "" }, { "dropping-particle" : "", "family" : "Sabet", "given" : "M.", "non-dropping-particle" : "", "parse-names" : false, "suffix" : "" } ], "container-title" : "Comparative Technology Transfer and Society", "id" : "ITEM-1", "issue" : "3", "issued" : { "date-parts" : [ [ "2005" ] ] }, "page" : "199-210", "title" : "Knowledge management, organizational learning, innovation diffusion and adoption, and technology transfer: What they mean and why they matter", "type" : "article-journal", "volume" : "3" }, "locator" : "201", "uris" : [ "http://www.mendeley.com/documents/?uuid=332e54b7-f21b-42da-a822-cf53ed22bbe2" ] } ], "mendeley" : { "formattedCitation" : "(Klinger &amp; Sabet, 2005, p. 201)", "plainTextFormattedCitation" : "(Klinger &amp; Sabet, 2005, p. 201)", "previouslyFormattedCitation" : "(Klinger &amp; Sabet, 2005, p. 201)" }, "properties" : {  }, "schema" : "https://github.com/citation-style-language/schema/raw/master/csl-citation.json" }</w:instrText>
      </w:r>
      <w:r w:rsidRPr="0091711A">
        <w:fldChar w:fldCharType="separate"/>
      </w:r>
      <w:r w:rsidRPr="0091711A">
        <w:rPr>
          <w:noProof/>
        </w:rPr>
        <w:t>(Klinger &amp; Sabet, 2005, p. 201)</w:t>
      </w:r>
      <w:r w:rsidRPr="0091711A">
        <w:fldChar w:fldCharType="end"/>
      </w:r>
      <w:r w:rsidRPr="0091711A">
        <w:t xml:space="preserve">. A transparent knowledge management strategy that is used to underpin a technological infrastructure or platform for research utilisation incorporates both the technical and social processes involved in knowledge translation. Therefore, it must embed active knowledge translation in line with a set of objectives set by the governing organisation or institution </w:t>
      </w:r>
      <w:r w:rsidRPr="0091711A">
        <w:fldChar w:fldCharType="begin" w:fldLock="1"/>
      </w:r>
      <w:r w:rsidRPr="0091711A">
        <w:instrText>ADDIN CSL_CITATION { "citationItems" : [ { "id" : "ITEM-1", "itemData" : { "DOI" : "10.1007/s11423-011-9201-x", "ISBN" : "1142301192", "ISSN" : "10421629", "PMID" : "65491732", "abstract" : "Attempts at school reform and improvement have experienced difficulty cre- ating and implementing feedback systems that energize and sustain change efforts. If the call for reform at all levels of education is to be met, attention must be given to establishing effective feedback mechanisms in educational institutions as they embark on improvement efforts. The purpose of this article is to describe application of an educational design metaphor to create a Knowledge Management System that provides teachers with timely and constructive feedback about their professional practice. This system includes the way in which a corpus of professional knowledge about differentiated content and instruction, classroom grouping, evidence-based practice and classroom management can be embedded in a set of tools that provides multiple stakeholders (teachers, students, administrators) the opportunity to generate feedback about instructional practice. Use of the approach is discussed within the broader context of Knowledge Management as a vehicle to extend the role of feedback in school reform and improvement within a long term pilot application in one school.", "author" : [ { "dropping-particle" : "", "family" : "Bain", "given" : "Alan", "non-dropping-particle" : "", "parse-names" : false, "suffix" : "" }, { "dropping-particle" : "", "family" : "Swan", "given" : "Gerry", "non-dropping-particle" : "", "parse-names" : false, "suffix" : "" } ], "container-title" : "Educational Technology Research and Development", "id" : "ITEM-1", "issue" : "5", "issued" : { "date-parts" : [ [ "2011" ] ] }, "page" : "673-685", "title" : "Technology enhanced feedback tools as a knowledge management mechanism for supporting professional growth and school reform", "type" : "article-journal", "volume" : "59" }, "uris" : [ "http://www.mendeley.com/documents/?uuid=9fd92786-4624-43b1-823d-90f4fbf90647" ] }, { "id" : "ITEM-2", "itemData" : { "author" : [ { "dropping-particle" : "", "family" : "LaRocca", "given" : "R", "non-dropping-particle" : "", "parse-names" : false, "suffix" : "" }, { "dropping-particle" : "", "family" : "Yost", "given" : "J", "non-dropping-particle" : "", "parse-names" : false, "suffix" : "" }, { "dropping-particle" : "", "family" : "Dobbins", "given" : "M", "non-dropping-particle" : "", "parse-names" : false, "suffix" : "" }, { "dropping-particle" : "", "family" : "Ciliska", "given" : "D", "non-dropping-particle" : "", "parse-names" : false, "suffix" : "" }, { "dropping-particle" : "", "family" : "Butt", "given" : "M", "non-dropping-particle" : "", "parse-names" : false, "suffix" : "" } ], "container-title" : "BMC Public Health", "id" : "ITEM-2", "issue" : "2", "issued" : { "date-parts" : [ [ "2012" ] ] }, "page" : "751", "title" : "The effectiveness of knowledge translation strategies used in public health: a systematic review (Structured abstract)", "type" : "article", "volume" : "12" }, "uris" : [ "http://www.mendeley.com/documents/?uuid=d1c367cf-0de9-4cd5-9d99-b4e10e72329f" ] } ], "mendeley" : { "formattedCitation" : "(Bain &amp; Swan, 2011; LaRocca et al., 2012)", "plainTextFormattedCitation" : "(Bain &amp; Swan, 2011; LaRocca et al., 2012)", "previouslyFormattedCitation" : "(Bain &amp; Swan, 2011; LaRocca et al., 2012)" }, "properties" : {  }, "schema" : "https://github.com/citation-style-language/schema/raw/master/csl-citation.json" }</w:instrText>
      </w:r>
      <w:r w:rsidRPr="0091711A">
        <w:fldChar w:fldCharType="separate"/>
      </w:r>
      <w:r w:rsidRPr="0091711A">
        <w:rPr>
          <w:noProof/>
        </w:rPr>
        <w:t>(Bain &amp; Swan, 2011; LaRocca et al., 2012)</w:t>
      </w:r>
      <w:r w:rsidRPr="0091711A">
        <w:fldChar w:fldCharType="end"/>
      </w:r>
      <w:r w:rsidR="001730F1">
        <w:t>.</w:t>
      </w:r>
    </w:p>
    <w:p w14:paraId="34672DD3" w14:textId="77777777" w:rsidR="007674CF" w:rsidRPr="0091711A" w:rsidRDefault="007674CF" w:rsidP="0093470E">
      <w:pPr>
        <w:sectPr w:rsidR="007674CF" w:rsidRPr="0091711A" w:rsidSect="008C52B2">
          <w:pgSz w:w="11906" w:h="16838"/>
          <w:pgMar w:top="1440" w:right="1440" w:bottom="1440" w:left="1440" w:header="708" w:footer="708" w:gutter="0"/>
          <w:cols w:space="708"/>
          <w:titlePg/>
          <w:docGrid w:linePitch="360"/>
        </w:sectPr>
      </w:pPr>
    </w:p>
    <w:p w14:paraId="7555D23D" w14:textId="77777777" w:rsidR="00B85109" w:rsidRDefault="007674CF" w:rsidP="007674CF">
      <w:pPr>
        <w:pStyle w:val="NumberedHeading2"/>
      </w:pPr>
      <w:bookmarkStart w:id="121" w:name="_Toc509950659"/>
      <w:r>
        <w:lastRenderedPageBreak/>
        <w:t xml:space="preserve">Summary of </w:t>
      </w:r>
      <w:r w:rsidR="004D22D7">
        <w:t>rapid synthesis</w:t>
      </w:r>
      <w:r>
        <w:t xml:space="preserve"> findings</w:t>
      </w:r>
      <w:bookmarkEnd w:id="121"/>
    </w:p>
    <w:p w14:paraId="786F5F26" w14:textId="0DD24902" w:rsidR="007674CF" w:rsidRDefault="004D22D7" w:rsidP="0093470E">
      <w:pPr>
        <w:rPr>
          <w:sz w:val="22"/>
        </w:rPr>
      </w:pPr>
      <w:r w:rsidRPr="004D22D7">
        <w:t xml:space="preserve">The rapid synthesis </w:t>
      </w:r>
      <w:r>
        <w:t>findings provid</w:t>
      </w:r>
      <w:r w:rsidR="003F7862">
        <w:t>e</w:t>
      </w:r>
      <w:r>
        <w:t xml:space="preserve"> information about the current practice and recommended practice in the four function areas for institutions to conduct in the pursuit of supporting evidence-informed practice. The main findings for each question posed for the rapid synthesis are outlined in the table below. While the findings illustrated insights for all the posed questions, there was little information across all reviewed institutions about the detailed </w:t>
      </w:r>
      <w:proofErr w:type="spellStart"/>
      <w:r>
        <w:t>operationalisation</w:t>
      </w:r>
      <w:proofErr w:type="spellEnd"/>
      <w:r>
        <w:t xml:space="preserve"> of the functions, and </w:t>
      </w:r>
      <w:r w:rsidR="00D4101D">
        <w:t>consequently</w:t>
      </w:r>
      <w:r>
        <w:t xml:space="preserve"> for this lack of detail there was also limited information about what ‘good practice’ looks like. Largely, this is likely because there are few research and evidence institutions across the sectors and countries examined that perform all four functions.</w:t>
      </w:r>
      <w:r w:rsidR="003F7862">
        <w:t xml:space="preserve"> </w:t>
      </w:r>
    </w:p>
    <w:p w14:paraId="63A231B5" w14:textId="5B6AA6DE" w:rsidR="007674CF" w:rsidRDefault="004D22D7" w:rsidP="00813AA6">
      <w:pPr>
        <w:pStyle w:val="Caption2"/>
        <w:rPr>
          <w:sz w:val="22"/>
        </w:rPr>
      </w:pPr>
      <w:bookmarkStart w:id="122" w:name="_Toc509845977"/>
      <w:bookmarkStart w:id="123" w:name="_Toc509950660"/>
      <w:bookmarkStart w:id="124" w:name="_Toc509951293"/>
      <w:r>
        <w:t xml:space="preserve">Table </w:t>
      </w:r>
      <w:fldSimple w:instr=" SEQ Table \* ARABIC ">
        <w:r w:rsidR="004240AA">
          <w:rPr>
            <w:noProof/>
          </w:rPr>
          <w:t>7</w:t>
        </w:r>
      </w:fldSimple>
      <w:r>
        <w:t>: Summary of synthesis findings</w:t>
      </w:r>
      <w:bookmarkEnd w:id="122"/>
      <w:bookmarkEnd w:id="123"/>
      <w:bookmarkEnd w:id="124"/>
    </w:p>
    <w:tbl>
      <w:tblPr>
        <w:tblStyle w:val="TableGrid"/>
        <w:tblW w:w="0" w:type="auto"/>
        <w:tblLook w:val="04A0" w:firstRow="1" w:lastRow="0" w:firstColumn="1" w:lastColumn="0" w:noHBand="0" w:noVBand="1"/>
        <w:tblDescription w:val="Question: What is the effectiveness of research and evidence institutions at achieving evidence-informed practice? Little evidence of the effectiveness of Research and Evidence Institutions was found in the sources reviewed. Of those sources that did report effectiveness, Research and Evidence Institutions impact was measured largely by use or access statistics to online platforms. While clinical medicine studies were not included in the synthesis, among sources reviewed, references were made to clinical contexts where evidence-informed practice was evident, and a direct impact was captured (e.g. reduced post-surgical infection rates).&#10;&#10;Question: What are the governance structures and characteristics of research and evidence institutions  and how do they influence impact? Among the research and evidence institutions reported in reviewed sources, and the case examples provided, the majority had an advisory council or committee represented by content experts, practitioners and other stakeholders. Also, many of them created a governance and reporting structure which maintained some distance with policymakers, for instance several had an executive officer or board that was independent from government. The influence of ‘independence from government’ was raised a number of times in reviewed sources, with authors claiming this was important because it would help to maintain the rigour of the evidence generation and synthesis process, and would ensure knowledge is disseminated in a balanced way, where the receiver obtains unbiased knowledge and is able to make an informed decision about how to use the knowledge to inform their practice. It was also suggested that the ‘reach’ of the knowledge dissemination may be greater if the institution can ensure that the knowledge being shared is unbiased.&#10;Question: What are the functions of Research and Evidence Institutions aiming to achieve evidence-informed practice and how do they influence impact?  The synthesis of included sources clearly articulated four functions of Research and Evidence Institutions that support evidence-informed practice, including:&#10;• Generating evidence&#10;• Synthesising evidence&#10;• Knowledge transfer, brokering and management&#10;• Maximising utilisation of knowledge in practice environments&#10;&#10;Question: What is the functionality of Research and Evidence Institutions aiming to achieve evidence-informed practice and how does this influence impact? The synthesis of included sources highlighted that the above four functions were necessary for Research and Evidence Institutions to have optimal functionality for supporting evidence-informed practice. While most reviewed Research and Evidence Institutions did not have all four functions, it was claimed that their effectiveness could be improved if they did.&#10;&#10;Question: What approaches/criteria/systems are used grade evidence in research and evidence institutions aiming to achieve evidence-informed practice and how do they influence impact? While limited detail was given about the approaches/criteria/systems for grading evidence in reviewed Research and Evidence Institutions, of those that did report information there was a common theme that grading evidence for the purposes of informing practice needed to be more holistic than grading methods that may be used in systematic reviews and meta-analyses, such as the Cochrane Collaboration Risk of Bias tools, as an example. It was claimed that in addition to examining methodological risk, consideration about implementation cost and difficulty, as well as contextual concerns, were critical for the evidence synthesis to be useful and applicable to the practitioner. Several authors of studies agreed that synthesis methods need to be improved to meet this need, however the grading methods used by the Education Endowment Foundation were reported as an example that addresses a number of these recommendations. Finally, several authors agreed that the grading evidence process could be significantly improved if practitioners were involved in the process, to the point where they are making decisions and setting criteria for the quality of evidence.&#10;&#10;Question: What techniques/methods are used to collate and synthesise research by Research and Evidence Institutions aiming to achieve evidence-informed practice and do they influence impact? Little information was found in reviews sources about specific techniques/methods used for research collation and synthesis, however systematic review techniques, and where possible meta-analysis, was favoured as an accurate approach to synthesise large bodies of evidence and generate actionable knowledge in the process.&#10;&#10;Question: What platforms are used to share knowledge in Research and Evidence Institutions aiming to achieve evidence-informed practice and how do these influence impact? Of the few reviewed Research and Evidence Institutions that included information about knowledge sharing platforms, all utilised an online infrastructure, for many it was websites that users could log on to. However, a large proportion of knowledge sharing was reported to occur via more active methods such as email newsletters. Platforms that were ‘intentionally designed’, where the design of the platforms is driven by the intention that it will support evidence-informed practice, were reported to be more impactful at reaching desired audiences, and translating and disseminating knowledge in an accessible way.&#10;&#10;Question: To what extent does the user have an input into the platform and how does this influence impact? The research and evidence institutions platforms reviewed that incorporated user input all noted the importance of this input in improving the actionability of knowledge and the applicability of knowledge to practice, often user input was valued in checking that the right language was being used to reach the intended audience. However, in a more procedural sense, user input was also valued with respect to platform design, checking whether the infrastructure was user-friendly and user-centric.&#10;&#10;Question: What approaches/methods are being used to support knowledge translation in Research and Evidence Institutions aiming to achieve evidence-informed practice and how do they influence impact? The reviewed sources discussed a number of knowledge translation methods. There was universal agreement that active translation strategies were more effective at reaching the intended end-user, and reach could also be enhanced if a representative of the intended end-user was involved in the translation process. This involvement usually involved checking the language of the knowledge being disseminated, and advising on communication mediums that the end-user would use when making decisions about their practice, for instance, where educators go to get ideas and examples of lesson plans and assessment tasks. Active translation strategies, where the end-user has been involved in creating the knowledge translation product (newsletter, resource, webpage), were more effective at reaching and being relevant to the end-user."/>
      </w:tblPr>
      <w:tblGrid>
        <w:gridCol w:w="3999"/>
        <w:gridCol w:w="9951"/>
      </w:tblGrid>
      <w:tr w:rsidR="007674CF" w:rsidRPr="002F1BA7" w14:paraId="2790759C" w14:textId="77777777" w:rsidTr="00CF66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99" w:type="dxa"/>
          </w:tcPr>
          <w:p w14:paraId="6059E529" w14:textId="77777777" w:rsidR="007674CF" w:rsidRPr="002F1BA7" w:rsidRDefault="007674CF" w:rsidP="007674CF">
            <w:pPr>
              <w:rPr>
                <w:b w:val="0"/>
                <w:bCs/>
                <w:lang w:val="mi-NZ"/>
              </w:rPr>
            </w:pPr>
            <w:r w:rsidRPr="002F1BA7">
              <w:rPr>
                <w:bCs/>
                <w:lang w:val="mi-NZ"/>
              </w:rPr>
              <w:t>Question</w:t>
            </w:r>
          </w:p>
        </w:tc>
        <w:tc>
          <w:tcPr>
            <w:tcW w:w="9951" w:type="dxa"/>
          </w:tcPr>
          <w:p w14:paraId="73B9521F" w14:textId="77777777" w:rsidR="007674CF" w:rsidRPr="002F1BA7" w:rsidRDefault="007674CF" w:rsidP="007674CF">
            <w:pPr>
              <w:cnfStyle w:val="100000000000" w:firstRow="1" w:lastRow="0" w:firstColumn="0" w:lastColumn="0" w:oddVBand="0" w:evenVBand="0" w:oddHBand="0" w:evenHBand="0" w:firstRowFirstColumn="0" w:firstRowLastColumn="0" w:lastRowFirstColumn="0" w:lastRowLastColumn="0"/>
              <w:rPr>
                <w:b w:val="0"/>
                <w:bCs/>
                <w:lang w:val="mi-NZ"/>
              </w:rPr>
            </w:pPr>
            <w:r w:rsidRPr="002F1BA7">
              <w:rPr>
                <w:bCs/>
                <w:lang w:val="mi-NZ"/>
              </w:rPr>
              <w:t>Summary of findings</w:t>
            </w:r>
          </w:p>
        </w:tc>
      </w:tr>
      <w:tr w:rsidR="007674CF" w14:paraId="62E17B71"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6BFCAF5F" w14:textId="77777777" w:rsidR="007674CF" w:rsidRDefault="007674CF" w:rsidP="007674CF">
            <w:pPr>
              <w:rPr>
                <w:lang w:val="mi-NZ"/>
              </w:rPr>
            </w:pPr>
            <w:r>
              <w:rPr>
                <w:lang w:val="mi-NZ"/>
              </w:rPr>
              <w:t>What is the effectiveness of REI at achieving evidence-informed practice?</w:t>
            </w:r>
          </w:p>
        </w:tc>
        <w:tc>
          <w:tcPr>
            <w:tcW w:w="9951" w:type="dxa"/>
          </w:tcPr>
          <w:p w14:paraId="57E0B736" w14:textId="041375AF" w:rsidR="007674CF" w:rsidRDefault="007674CF" w:rsidP="007674CF">
            <w:pPr>
              <w:cnfStyle w:val="000000100000" w:firstRow="0" w:lastRow="0" w:firstColumn="0" w:lastColumn="0" w:oddVBand="0" w:evenVBand="0" w:oddHBand="1" w:evenHBand="0" w:firstRowFirstColumn="0" w:firstRowLastColumn="0" w:lastRowFirstColumn="0" w:lastRowLastColumn="0"/>
              <w:rPr>
                <w:lang w:val="mi-NZ"/>
              </w:rPr>
            </w:pPr>
            <w:r>
              <w:rPr>
                <w:lang w:val="mi-NZ"/>
              </w:rPr>
              <w:t xml:space="preserve">Little evidence of the effectiveness of REIs was found in the sources reviewed. Of those sources that did report effectiveness, REIs impact was measured largely by use or access statistics to online platforms. While clinical medicine studies were not included in the </w:t>
            </w:r>
            <w:r w:rsidR="00257E96">
              <w:rPr>
                <w:lang w:val="mi-NZ"/>
              </w:rPr>
              <w:t>synthesis</w:t>
            </w:r>
            <w:r>
              <w:rPr>
                <w:lang w:val="mi-NZ"/>
              </w:rPr>
              <w:t>, among sources reviewed</w:t>
            </w:r>
            <w:r w:rsidR="003F7862">
              <w:rPr>
                <w:lang w:val="mi-NZ"/>
              </w:rPr>
              <w:t>,</w:t>
            </w:r>
            <w:r>
              <w:rPr>
                <w:lang w:val="mi-NZ"/>
              </w:rPr>
              <w:t xml:space="preserve"> references were made to clinical contexts where evidence-informed practice was evident, and a direct impact was captured (e.g., reduced post-surgical infection rates). </w:t>
            </w:r>
          </w:p>
        </w:tc>
      </w:tr>
      <w:tr w:rsidR="007674CF" w14:paraId="555D6A83" w14:textId="77777777" w:rsidTr="007674CF">
        <w:trPr>
          <w:cnfStyle w:val="000000010000" w:firstRow="0" w:lastRow="0" w:firstColumn="0" w:lastColumn="0" w:oddVBand="0" w:evenVBand="0" w:oddHBand="0" w:evenHBand="1" w:firstRowFirstColumn="0" w:firstRowLastColumn="0" w:lastRowFirstColumn="0" w:lastRowLastColumn="0"/>
          <w:trHeight w:val="2558"/>
        </w:trPr>
        <w:tc>
          <w:tcPr>
            <w:cnfStyle w:val="001000000000" w:firstRow="0" w:lastRow="0" w:firstColumn="1" w:lastColumn="0" w:oddVBand="0" w:evenVBand="0" w:oddHBand="0" w:evenHBand="0" w:firstRowFirstColumn="0" w:firstRowLastColumn="0" w:lastRowFirstColumn="0" w:lastRowLastColumn="0"/>
            <w:tcW w:w="3999" w:type="dxa"/>
          </w:tcPr>
          <w:p w14:paraId="7F497C4F" w14:textId="77777777" w:rsidR="007674CF" w:rsidRDefault="007674CF" w:rsidP="007674CF">
            <w:pPr>
              <w:rPr>
                <w:lang w:val="mi-NZ"/>
              </w:rPr>
            </w:pPr>
            <w:r>
              <w:rPr>
                <w:lang w:val="mi-NZ"/>
              </w:rPr>
              <w:t>What are the governance structures and characteristics of REI and how do they influence impact?</w:t>
            </w:r>
          </w:p>
        </w:tc>
        <w:tc>
          <w:tcPr>
            <w:tcW w:w="9951" w:type="dxa"/>
          </w:tcPr>
          <w:p w14:paraId="4132CFDF" w14:textId="5D8F2E51" w:rsidR="007674CF" w:rsidRDefault="007674CF" w:rsidP="007674CF">
            <w:pPr>
              <w:cnfStyle w:val="000000010000" w:firstRow="0" w:lastRow="0" w:firstColumn="0" w:lastColumn="0" w:oddVBand="0" w:evenVBand="0" w:oddHBand="0" w:evenHBand="1" w:firstRowFirstColumn="0" w:firstRowLastColumn="0" w:lastRowFirstColumn="0" w:lastRowLastColumn="0"/>
              <w:rPr>
                <w:lang w:val="mi-NZ"/>
              </w:rPr>
            </w:pPr>
            <w:r>
              <w:rPr>
                <w:lang w:val="mi-NZ"/>
              </w:rPr>
              <w:t>Among the REI reported in reviewed sources, and the case examples provided</w:t>
            </w:r>
            <w:r w:rsidR="003F7862">
              <w:rPr>
                <w:lang w:val="mi-NZ"/>
              </w:rPr>
              <w:t>,</w:t>
            </w:r>
            <w:r>
              <w:rPr>
                <w:lang w:val="mi-NZ"/>
              </w:rPr>
              <w:t xml:space="preserve"> the majority had an advisory council or committee represented by content experts, practitioners and other stakeholders. Also, many of them created a governance and reporting structure which maintained some distance with policymakers, for instance several had an executive officer or board that was independent from government. The influence of ‘independence from government’ was raised a number of times in reviewed sources, with authors claiming this was important because it would help to maintain the rigour of the evidence generation and synthesis process, and would ensure knowledge is disseminated in a balanced way, where the receiver obtains unbiased knowledge and is able to make an informed decision about how to use the knowledge to inform their practice. It was also suggested that the ‘reach’ of the knowledge dissemination may be greater if the institution can ensure that the knowledge being shared is unbiased. </w:t>
            </w:r>
          </w:p>
        </w:tc>
      </w:tr>
      <w:tr w:rsidR="007674CF" w14:paraId="5F51E358"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7BCC0EE2" w14:textId="77777777" w:rsidR="007674CF" w:rsidRDefault="007674CF" w:rsidP="007674CF">
            <w:pPr>
              <w:rPr>
                <w:lang w:val="mi-NZ"/>
              </w:rPr>
            </w:pPr>
            <w:r>
              <w:rPr>
                <w:lang w:val="mi-NZ"/>
              </w:rPr>
              <w:t>What are the functions of REIs aiming to achieve evidence-informed practice and how do they influence impact?</w:t>
            </w:r>
          </w:p>
        </w:tc>
        <w:tc>
          <w:tcPr>
            <w:tcW w:w="9951" w:type="dxa"/>
          </w:tcPr>
          <w:p w14:paraId="5E63F880" w14:textId="77777777" w:rsidR="007674CF" w:rsidRDefault="007674CF" w:rsidP="007674CF">
            <w:pPr>
              <w:cnfStyle w:val="000000100000" w:firstRow="0" w:lastRow="0" w:firstColumn="0" w:lastColumn="0" w:oddVBand="0" w:evenVBand="0" w:oddHBand="1" w:evenHBand="0" w:firstRowFirstColumn="0" w:firstRowLastColumn="0" w:lastRowFirstColumn="0" w:lastRowLastColumn="0"/>
              <w:rPr>
                <w:lang w:val="mi-NZ"/>
              </w:rPr>
            </w:pPr>
            <w:r>
              <w:rPr>
                <w:lang w:val="mi-NZ"/>
              </w:rPr>
              <w:t xml:space="preserve">The </w:t>
            </w:r>
            <w:r w:rsidR="00257E96">
              <w:rPr>
                <w:lang w:val="mi-NZ"/>
              </w:rPr>
              <w:t>synthesis</w:t>
            </w:r>
            <w:r>
              <w:rPr>
                <w:lang w:val="mi-NZ"/>
              </w:rPr>
              <w:t xml:space="preserve"> of included sources clearly articulated four functions of REIs that support evidence-informed practice, including:</w:t>
            </w:r>
          </w:p>
          <w:p w14:paraId="3C411ED7" w14:textId="77777777" w:rsidR="007674CF" w:rsidRDefault="007674CF" w:rsidP="00375CD8">
            <w:pPr>
              <w:pStyle w:val="ListParagraph"/>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lang w:val="mi-NZ"/>
              </w:rPr>
            </w:pPr>
            <w:r>
              <w:rPr>
                <w:lang w:val="mi-NZ"/>
              </w:rPr>
              <w:t>Generating evidence</w:t>
            </w:r>
          </w:p>
          <w:p w14:paraId="2948FDDE" w14:textId="77777777" w:rsidR="007674CF" w:rsidRDefault="007674CF" w:rsidP="00375CD8">
            <w:pPr>
              <w:pStyle w:val="ListParagraph"/>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lang w:val="mi-NZ"/>
              </w:rPr>
            </w:pPr>
            <w:r>
              <w:rPr>
                <w:lang w:val="mi-NZ"/>
              </w:rPr>
              <w:t>Synthesising evidence</w:t>
            </w:r>
          </w:p>
          <w:p w14:paraId="703FE65E" w14:textId="77777777" w:rsidR="007674CF" w:rsidRDefault="007674CF" w:rsidP="00375CD8">
            <w:pPr>
              <w:pStyle w:val="ListParagraph"/>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lang w:val="mi-NZ"/>
              </w:rPr>
            </w:pPr>
            <w:r>
              <w:rPr>
                <w:lang w:val="mi-NZ"/>
              </w:rPr>
              <w:t>Knowledge transfer, brokering and management</w:t>
            </w:r>
          </w:p>
          <w:p w14:paraId="5E75913E" w14:textId="77777777" w:rsidR="007674CF" w:rsidRPr="001B703D" w:rsidRDefault="007674CF" w:rsidP="00375CD8">
            <w:pPr>
              <w:pStyle w:val="ListParagraph"/>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lang w:val="mi-NZ"/>
              </w:rPr>
            </w:pPr>
            <w:r>
              <w:rPr>
                <w:lang w:val="mi-NZ"/>
              </w:rPr>
              <w:t xml:space="preserve">Maximising utilisation of knowledge in practice environments </w:t>
            </w:r>
          </w:p>
        </w:tc>
      </w:tr>
      <w:tr w:rsidR="007674CF" w14:paraId="21892B15"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638B8F6B" w14:textId="77777777" w:rsidR="007674CF" w:rsidRDefault="007674CF" w:rsidP="007674CF">
            <w:pPr>
              <w:rPr>
                <w:lang w:val="mi-NZ"/>
              </w:rPr>
            </w:pPr>
            <w:r>
              <w:rPr>
                <w:lang w:val="mi-NZ"/>
              </w:rPr>
              <w:t xml:space="preserve">What is the functionality of REIs aiming to </w:t>
            </w:r>
            <w:r>
              <w:rPr>
                <w:lang w:val="mi-NZ"/>
              </w:rPr>
              <w:lastRenderedPageBreak/>
              <w:t>achieve evidence-informed practice and how does this influence impact?</w:t>
            </w:r>
          </w:p>
        </w:tc>
        <w:tc>
          <w:tcPr>
            <w:tcW w:w="9951" w:type="dxa"/>
          </w:tcPr>
          <w:p w14:paraId="7C09DDA6" w14:textId="57479071" w:rsidR="007674CF" w:rsidRDefault="007674CF" w:rsidP="007674CF">
            <w:pPr>
              <w:cnfStyle w:val="000000010000" w:firstRow="0" w:lastRow="0" w:firstColumn="0" w:lastColumn="0" w:oddVBand="0" w:evenVBand="0" w:oddHBand="0" w:evenHBand="1" w:firstRowFirstColumn="0" w:firstRowLastColumn="0" w:lastRowFirstColumn="0" w:lastRowLastColumn="0"/>
              <w:rPr>
                <w:lang w:val="mi-NZ"/>
              </w:rPr>
            </w:pPr>
            <w:r>
              <w:rPr>
                <w:lang w:val="mi-NZ"/>
              </w:rPr>
              <w:lastRenderedPageBreak/>
              <w:t xml:space="preserve">The </w:t>
            </w:r>
            <w:r w:rsidR="00257E96">
              <w:rPr>
                <w:lang w:val="mi-NZ"/>
              </w:rPr>
              <w:t>synthesis</w:t>
            </w:r>
            <w:r>
              <w:rPr>
                <w:lang w:val="mi-NZ"/>
              </w:rPr>
              <w:t xml:space="preserve"> of included sources highlighted that the above four functions were necessary for REIs to have optimal </w:t>
            </w:r>
            <w:r>
              <w:rPr>
                <w:lang w:val="mi-NZ"/>
              </w:rPr>
              <w:lastRenderedPageBreak/>
              <w:t xml:space="preserve">functionality for supporting evidence-informed practice. While most reviewed REIs did not have all four functions, it was claimed that their effectiveness could be improved if they did. </w:t>
            </w:r>
          </w:p>
        </w:tc>
      </w:tr>
      <w:tr w:rsidR="007674CF" w14:paraId="39B12F66" w14:textId="77777777" w:rsidTr="007674CF">
        <w:trPr>
          <w:cnfStyle w:val="000000100000" w:firstRow="0" w:lastRow="0" w:firstColumn="0" w:lastColumn="0" w:oddVBand="0" w:evenVBand="0" w:oddHBand="1" w:evenHBand="0" w:firstRowFirstColumn="0" w:firstRowLastColumn="0" w:lastRowFirstColumn="0" w:lastRowLastColumn="0"/>
          <w:trHeight w:val="2674"/>
        </w:trPr>
        <w:tc>
          <w:tcPr>
            <w:cnfStyle w:val="001000000000" w:firstRow="0" w:lastRow="0" w:firstColumn="1" w:lastColumn="0" w:oddVBand="0" w:evenVBand="0" w:oddHBand="0" w:evenHBand="0" w:firstRowFirstColumn="0" w:firstRowLastColumn="0" w:lastRowFirstColumn="0" w:lastRowLastColumn="0"/>
            <w:tcW w:w="3999" w:type="dxa"/>
          </w:tcPr>
          <w:p w14:paraId="26468F2F" w14:textId="77777777" w:rsidR="007674CF" w:rsidRDefault="007674CF" w:rsidP="007674CF">
            <w:pPr>
              <w:rPr>
                <w:lang w:val="mi-NZ"/>
              </w:rPr>
            </w:pPr>
            <w:r>
              <w:rPr>
                <w:lang w:val="mi-NZ"/>
              </w:rPr>
              <w:lastRenderedPageBreak/>
              <w:t>What approaches/criteria/systems are used grade evidence in REI aiming to achieve evidence-informed practice and how do they influence impact?</w:t>
            </w:r>
          </w:p>
        </w:tc>
        <w:tc>
          <w:tcPr>
            <w:tcW w:w="9951" w:type="dxa"/>
          </w:tcPr>
          <w:p w14:paraId="7BEFCDA5" w14:textId="2D61924E" w:rsidR="007674CF" w:rsidRDefault="007674CF" w:rsidP="007674CF">
            <w:pPr>
              <w:cnfStyle w:val="000000100000" w:firstRow="0" w:lastRow="0" w:firstColumn="0" w:lastColumn="0" w:oddVBand="0" w:evenVBand="0" w:oddHBand="1" w:evenHBand="0" w:firstRowFirstColumn="0" w:firstRowLastColumn="0" w:lastRowFirstColumn="0" w:lastRowLastColumn="0"/>
              <w:rPr>
                <w:lang w:val="mi-NZ"/>
              </w:rPr>
            </w:pPr>
            <w:r>
              <w:rPr>
                <w:lang w:val="mi-NZ"/>
              </w:rPr>
              <w:t>While limited detail was given about the approaches/criteria/systems for grading evidence in reviewed REIs, of those that did report information there was a common theme that grading evidence for the purposes of informing practice needed to be more holistic than grading methods that may be used in systematic reviews and meta-analyses, such as the Cochrane Collaboration Risk of Bias tools, as an example. It was claimed that in addition to examining methodological risk, consideration about implementation cost and difficulty, as well as contextual concerns</w:t>
            </w:r>
            <w:r w:rsidR="003F7862">
              <w:rPr>
                <w:lang w:val="mi-NZ"/>
              </w:rPr>
              <w:t>,</w:t>
            </w:r>
            <w:r>
              <w:rPr>
                <w:lang w:val="mi-NZ"/>
              </w:rPr>
              <w:t xml:space="preserve"> w</w:t>
            </w:r>
            <w:r w:rsidR="003F7862">
              <w:rPr>
                <w:lang w:val="mi-NZ"/>
              </w:rPr>
              <w:t>ere</w:t>
            </w:r>
            <w:r>
              <w:rPr>
                <w:lang w:val="mi-NZ"/>
              </w:rPr>
              <w:t xml:space="preserve"> critical for the evidence synthesis to be useful and applicable to the practitioner. Several authors of studies agreed that synthesis methods need to be improved to meet this need, however the grading methods used by the Education Endowment Foundation were reported as an example that addresses a number of these recommendations. Finally, several authors agreed that the grading evidence process could be significantly improved if practitioners were involved in the process, to the point where they ar</w:t>
            </w:r>
            <w:r w:rsidR="003F7862">
              <w:rPr>
                <w:lang w:val="mi-NZ"/>
              </w:rPr>
              <w:t>e</w:t>
            </w:r>
            <w:r>
              <w:rPr>
                <w:lang w:val="mi-NZ"/>
              </w:rPr>
              <w:t xml:space="preserve"> making decisions and setting criteria for the quality of evidence. </w:t>
            </w:r>
          </w:p>
        </w:tc>
      </w:tr>
      <w:tr w:rsidR="007674CF" w14:paraId="1375E314"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5D742AA7" w14:textId="77777777" w:rsidR="007674CF" w:rsidRDefault="007674CF" w:rsidP="007674CF">
            <w:pPr>
              <w:rPr>
                <w:lang w:val="mi-NZ"/>
              </w:rPr>
            </w:pPr>
            <w:r>
              <w:rPr>
                <w:lang w:val="mi-NZ"/>
              </w:rPr>
              <w:t>What techniques/methods are used to collate and synthesise research by REIs aiming to achieve evidence-informed practice and do they influence impact?</w:t>
            </w:r>
          </w:p>
        </w:tc>
        <w:tc>
          <w:tcPr>
            <w:tcW w:w="9951" w:type="dxa"/>
          </w:tcPr>
          <w:p w14:paraId="4C953743" w14:textId="1336741C" w:rsidR="007674CF" w:rsidRDefault="007674CF" w:rsidP="007674CF">
            <w:pPr>
              <w:cnfStyle w:val="000000010000" w:firstRow="0" w:lastRow="0" w:firstColumn="0" w:lastColumn="0" w:oddVBand="0" w:evenVBand="0" w:oddHBand="0" w:evenHBand="1" w:firstRowFirstColumn="0" w:firstRowLastColumn="0" w:lastRowFirstColumn="0" w:lastRowLastColumn="0"/>
              <w:rPr>
                <w:lang w:val="mi-NZ"/>
              </w:rPr>
            </w:pPr>
            <w:r>
              <w:rPr>
                <w:lang w:val="mi-NZ"/>
              </w:rPr>
              <w:t>Little information was found in reviews sources about specific techniques/methods used for research collation and synthesis, however systematic review techniques, and where possible meta-analysis</w:t>
            </w:r>
            <w:r w:rsidR="003F7862">
              <w:rPr>
                <w:lang w:val="mi-NZ"/>
              </w:rPr>
              <w:t>,</w:t>
            </w:r>
            <w:r>
              <w:rPr>
                <w:lang w:val="mi-NZ"/>
              </w:rPr>
              <w:t xml:space="preserve"> was favoured as an accurate approach to synthesise large bodies of evidence and generat</w:t>
            </w:r>
            <w:r w:rsidR="000E2D54">
              <w:rPr>
                <w:lang w:val="mi-NZ"/>
              </w:rPr>
              <w:t>e</w:t>
            </w:r>
            <w:r>
              <w:rPr>
                <w:lang w:val="mi-NZ"/>
              </w:rPr>
              <w:t xml:space="preserve"> actionable knowledge in the process. </w:t>
            </w:r>
          </w:p>
        </w:tc>
      </w:tr>
      <w:tr w:rsidR="007674CF" w14:paraId="1440D20C" w14:textId="77777777" w:rsidTr="007674CF">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3999" w:type="dxa"/>
          </w:tcPr>
          <w:p w14:paraId="2C9532A9" w14:textId="77777777" w:rsidR="007674CF" w:rsidRDefault="007674CF" w:rsidP="007674CF">
            <w:pPr>
              <w:rPr>
                <w:lang w:val="mi-NZ"/>
              </w:rPr>
            </w:pPr>
            <w:r>
              <w:rPr>
                <w:lang w:val="mi-NZ"/>
              </w:rPr>
              <w:t>What platforms are used to share knowledge in REIs aiming to achieve evidence-informed practice and how do these influence impact?</w:t>
            </w:r>
          </w:p>
        </w:tc>
        <w:tc>
          <w:tcPr>
            <w:tcW w:w="9951" w:type="dxa"/>
          </w:tcPr>
          <w:p w14:paraId="72C5404D" w14:textId="77777777" w:rsidR="007674CF" w:rsidRDefault="007674CF" w:rsidP="007674CF">
            <w:pPr>
              <w:cnfStyle w:val="000000100000" w:firstRow="0" w:lastRow="0" w:firstColumn="0" w:lastColumn="0" w:oddVBand="0" w:evenVBand="0" w:oddHBand="1" w:evenHBand="0" w:firstRowFirstColumn="0" w:firstRowLastColumn="0" w:lastRowFirstColumn="0" w:lastRowLastColumn="0"/>
              <w:rPr>
                <w:lang w:val="mi-NZ"/>
              </w:rPr>
            </w:pPr>
            <w:r>
              <w:rPr>
                <w:lang w:val="mi-NZ"/>
              </w:rPr>
              <w:t xml:space="preserve">Of the few reviewed REIs that included information about knowledge sharing platforms, all utilised an online infrastructure, for many it was websites that users could log on to. However, a large proportion of knowledge sharing was reported to occur via more active methods such as email newsletters. Platforms that were ‘intentionally designed’, where the design of the platforms is driven by the intention that it will support evidence-informed practice, were reported to be more impactful at reaching desired audiences, and translating and disseminating knowledge in an accessible way. </w:t>
            </w:r>
          </w:p>
        </w:tc>
      </w:tr>
      <w:tr w:rsidR="007674CF" w14:paraId="72C83BC4" w14:textId="77777777" w:rsidTr="007674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15C6C471" w14:textId="77777777" w:rsidR="007674CF" w:rsidRDefault="007674CF" w:rsidP="007674CF">
            <w:pPr>
              <w:rPr>
                <w:lang w:val="mi-NZ"/>
              </w:rPr>
            </w:pPr>
            <w:r>
              <w:rPr>
                <w:lang w:val="mi-NZ"/>
              </w:rPr>
              <w:t>To what extent does the user have an input into the platform and how does this influence impact?</w:t>
            </w:r>
          </w:p>
        </w:tc>
        <w:tc>
          <w:tcPr>
            <w:tcW w:w="9951" w:type="dxa"/>
          </w:tcPr>
          <w:p w14:paraId="056AF1BB" w14:textId="2B110B5F" w:rsidR="007674CF" w:rsidRDefault="007674CF" w:rsidP="007674CF">
            <w:pPr>
              <w:cnfStyle w:val="000000010000" w:firstRow="0" w:lastRow="0" w:firstColumn="0" w:lastColumn="0" w:oddVBand="0" w:evenVBand="0" w:oddHBand="0" w:evenHBand="1" w:firstRowFirstColumn="0" w:firstRowLastColumn="0" w:lastRowFirstColumn="0" w:lastRowLastColumn="0"/>
              <w:rPr>
                <w:lang w:val="mi-NZ"/>
              </w:rPr>
            </w:pPr>
            <w:r>
              <w:rPr>
                <w:lang w:val="mi-NZ"/>
              </w:rPr>
              <w:t xml:space="preserve">The REI platforms reviewed that incorporated user input all noted the importance of this input in improving the actionability of knowledge and the applicability of knowledge to practice, often user input was valued in checking that the right language was being used to reach the intended audience. However, in a more procedural sense, user input was also valued with respect to platform design, checking whether the infrastructure was user-friendly and </w:t>
            </w:r>
            <w:r w:rsidR="000E2D54">
              <w:rPr>
                <w:lang w:val="mi-NZ"/>
              </w:rPr>
              <w:t>user-</w:t>
            </w:r>
            <w:r>
              <w:rPr>
                <w:lang w:val="mi-NZ"/>
              </w:rPr>
              <w:t xml:space="preserve">centric. </w:t>
            </w:r>
          </w:p>
        </w:tc>
      </w:tr>
      <w:tr w:rsidR="007674CF" w14:paraId="2B4F26DC" w14:textId="77777777" w:rsidTr="00767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9" w:type="dxa"/>
          </w:tcPr>
          <w:p w14:paraId="06A9CE2F" w14:textId="77777777" w:rsidR="007674CF" w:rsidRDefault="007674CF" w:rsidP="007674CF">
            <w:pPr>
              <w:rPr>
                <w:lang w:val="mi-NZ"/>
              </w:rPr>
            </w:pPr>
            <w:r>
              <w:rPr>
                <w:lang w:val="mi-NZ"/>
              </w:rPr>
              <w:lastRenderedPageBreak/>
              <w:t xml:space="preserve">What approaches/methods are being used to support knowledge translation in REIs aiming to achieve evidence-informed practice and how do they influence impact? </w:t>
            </w:r>
          </w:p>
        </w:tc>
        <w:tc>
          <w:tcPr>
            <w:tcW w:w="9951" w:type="dxa"/>
          </w:tcPr>
          <w:p w14:paraId="3B579DD7" w14:textId="545252B5" w:rsidR="007674CF" w:rsidRDefault="007674CF" w:rsidP="007674CF">
            <w:pPr>
              <w:cnfStyle w:val="000000100000" w:firstRow="0" w:lastRow="0" w:firstColumn="0" w:lastColumn="0" w:oddVBand="0" w:evenVBand="0" w:oddHBand="1" w:evenHBand="0" w:firstRowFirstColumn="0" w:firstRowLastColumn="0" w:lastRowFirstColumn="0" w:lastRowLastColumn="0"/>
              <w:rPr>
                <w:lang w:val="mi-NZ"/>
              </w:rPr>
            </w:pPr>
            <w:r>
              <w:rPr>
                <w:lang w:val="mi-NZ"/>
              </w:rPr>
              <w:t>The reviewed sources discussed a number of knowledge translation methods</w:t>
            </w:r>
            <w:r w:rsidR="000E2D54">
              <w:rPr>
                <w:lang w:val="mi-NZ"/>
              </w:rPr>
              <w:t>.</w:t>
            </w:r>
            <w:r>
              <w:rPr>
                <w:lang w:val="mi-NZ"/>
              </w:rPr>
              <w:t xml:space="preserve"> </w:t>
            </w:r>
            <w:r w:rsidR="000E2D54">
              <w:rPr>
                <w:lang w:val="mi-NZ"/>
              </w:rPr>
              <w:t>T</w:t>
            </w:r>
            <w:r>
              <w:rPr>
                <w:lang w:val="mi-NZ"/>
              </w:rPr>
              <w:t>here was universal agreement that active translation strategies were more effective at reaching the intended end-user, and reach could also be enhanced if a representative of the intended end-user was involved in the translation process. This involvement usually involved checking the language of the knowledge being disseminated, and advising on communication mediums that the end-user would use when making decisions about their practice</w:t>
            </w:r>
            <w:r w:rsidR="000E2D54">
              <w:rPr>
                <w:lang w:val="mi-NZ"/>
              </w:rPr>
              <w:t>,</w:t>
            </w:r>
            <w:r>
              <w:rPr>
                <w:lang w:val="mi-NZ"/>
              </w:rPr>
              <w:t xml:space="preserve"> </w:t>
            </w:r>
            <w:r w:rsidR="000E2D54">
              <w:rPr>
                <w:lang w:val="mi-NZ"/>
              </w:rPr>
              <w:t>f</w:t>
            </w:r>
            <w:r>
              <w:rPr>
                <w:lang w:val="mi-NZ"/>
              </w:rPr>
              <w:t>or instance</w:t>
            </w:r>
            <w:r w:rsidR="000E2D54">
              <w:rPr>
                <w:lang w:val="mi-NZ"/>
              </w:rPr>
              <w:t>,</w:t>
            </w:r>
            <w:r>
              <w:rPr>
                <w:lang w:val="mi-NZ"/>
              </w:rPr>
              <w:t xml:space="preserve"> where educators go to get ideas and examples of lesson plans and assessment tasks. Active translation strategies, where the end-user has been involved in creating the knowledge translation product (newsletter, resource, webpage)</w:t>
            </w:r>
            <w:r w:rsidR="000E2D54">
              <w:rPr>
                <w:lang w:val="mi-NZ"/>
              </w:rPr>
              <w:t>,</w:t>
            </w:r>
            <w:r>
              <w:rPr>
                <w:lang w:val="mi-NZ"/>
              </w:rPr>
              <w:t xml:space="preserve"> were more effective at reaching and being relevant to the end-user. </w:t>
            </w:r>
          </w:p>
        </w:tc>
      </w:tr>
    </w:tbl>
    <w:p w14:paraId="16929307" w14:textId="77777777" w:rsidR="004D22D7" w:rsidRPr="00E16853" w:rsidRDefault="004D22D7" w:rsidP="004D22D7">
      <w:pPr>
        <w:pStyle w:val="NumberedHeading2"/>
      </w:pPr>
      <w:bookmarkStart w:id="125" w:name="_Toc508637967"/>
      <w:bookmarkStart w:id="126" w:name="_Toc509950661"/>
      <w:r w:rsidRPr="00E16853">
        <w:t>Limitations to the current evidence base</w:t>
      </w:r>
      <w:bookmarkEnd w:id="125"/>
      <w:bookmarkEnd w:id="126"/>
    </w:p>
    <w:p w14:paraId="15A1A292" w14:textId="536D65ED" w:rsidR="00B85109" w:rsidRDefault="00D4101D" w:rsidP="0093470E">
      <w:r>
        <w:t xml:space="preserve">The paucity of literature </w:t>
      </w:r>
      <w:r w:rsidR="00284A28">
        <w:t>documenting the</w:t>
      </w:r>
      <w:r>
        <w:t xml:space="preserve"> efficacy of evidence-informed practice in education has been referred to throughout this report</w:t>
      </w:r>
      <w:r w:rsidR="000E2D54">
        <w:t>.</w:t>
      </w:r>
      <w:r>
        <w:t xml:space="preserve"> </w:t>
      </w:r>
      <w:r w:rsidR="000E2D54">
        <w:t>T</w:t>
      </w:r>
      <w:r>
        <w:t>his is a significant limitation of the</w:t>
      </w:r>
      <w:r w:rsidR="000E2D54">
        <w:t xml:space="preserve"> current</w:t>
      </w:r>
      <w:r>
        <w:t xml:space="preserve"> evidence, particularly in education. Another under-researched area includes strategies to support research utilisation in education policy and practice. The focus on the literature reviewed in this synthesis was focussed on developing platforms that have large reach and are user-friendly, but beyond the ‘platform’, little knowledge exists about efforts to support beneficiaries to implement evidence-informed practice beyond practice guidelines. </w:t>
      </w:r>
      <w:r w:rsidR="003F379B">
        <w:t xml:space="preserve">Finally, another significant limitation worthy of mention is examples of quality assessment criteria that are inclusive of all research methodology. </w:t>
      </w:r>
      <w:r w:rsidR="00992219">
        <w:t>Traditional approaches to quality assessment largely rely on identifying bias associated with study design and chosen methods</w:t>
      </w:r>
      <w:r w:rsidR="000E2D54">
        <w:t>.</w:t>
      </w:r>
      <w:r w:rsidR="00992219">
        <w:t xml:space="preserve"> </w:t>
      </w:r>
      <w:r w:rsidR="000E2D54">
        <w:t>H</w:t>
      </w:r>
      <w:r w:rsidR="00992219">
        <w:t>owever</w:t>
      </w:r>
      <w:r w:rsidR="000E2D54">
        <w:t>,</w:t>
      </w:r>
      <w:r w:rsidR="00992219">
        <w:t xml:space="preserve"> if all study methods are advocated to be included in evidence synthesis, traditional quality assessment approaches</w:t>
      </w:r>
      <w:r w:rsidR="000E2D54">
        <w:t xml:space="preserve"> would</w:t>
      </w:r>
      <w:r w:rsidR="00992219">
        <w:t xml:space="preserve"> have limited utility, therefore further examples of criteria that are more nuanced to allow for all study methodology, but still sensitive to check for rigour</w:t>
      </w:r>
      <w:r w:rsidR="000E2D54">
        <w:t>,</w:t>
      </w:r>
      <w:r w:rsidR="00992219">
        <w:t xml:space="preserve"> </w:t>
      </w:r>
      <w:r w:rsidR="000E2D54">
        <w:t xml:space="preserve">are </w:t>
      </w:r>
      <w:r w:rsidR="00992219">
        <w:t xml:space="preserve">necessary. </w:t>
      </w:r>
      <w:r w:rsidR="001A1BC7">
        <w:t>Finally, as has been documented</w:t>
      </w:r>
      <w:r w:rsidR="000E2D54">
        <w:t>,</w:t>
      </w:r>
      <w:r w:rsidR="001A1BC7">
        <w:t xml:space="preserve"> comparatively small amounts of Australian-based evidence </w:t>
      </w:r>
      <w:r w:rsidR="005F186A">
        <w:t>were in</w:t>
      </w:r>
      <w:r w:rsidR="001A1BC7">
        <w:t xml:space="preserve"> this synthesis, and more research based in Australia will offer more contextually relevant evidence</w:t>
      </w:r>
      <w:r w:rsidR="000E2D54">
        <w:t>.</w:t>
      </w:r>
      <w:r w:rsidR="001A1BC7">
        <w:t xml:space="preserve"> </w:t>
      </w:r>
      <w:r w:rsidR="000E2D54">
        <w:t>T</w:t>
      </w:r>
      <w:r w:rsidR="001A1BC7">
        <w:t>his is not to suggest that international evidence is not relevant</w:t>
      </w:r>
      <w:r w:rsidR="000E2D54">
        <w:t>;</w:t>
      </w:r>
      <w:r w:rsidR="001A1BC7">
        <w:t xml:space="preserve"> however, local evidence will offer a richer perspective about what works in Australia and will be easier for beneficiaries to utilise in their practice.</w:t>
      </w:r>
    </w:p>
    <w:p w14:paraId="74E66FEF" w14:textId="77777777" w:rsidR="007674CF" w:rsidRDefault="007674CF" w:rsidP="0093470E">
      <w:pPr>
        <w:sectPr w:rsidR="007674CF" w:rsidSect="008C52B2">
          <w:pgSz w:w="16838" w:h="11906" w:orient="landscape"/>
          <w:pgMar w:top="1440" w:right="1440" w:bottom="1440" w:left="1440" w:header="708" w:footer="708" w:gutter="0"/>
          <w:cols w:space="708"/>
          <w:titlePg/>
          <w:docGrid w:linePitch="360"/>
        </w:sectPr>
      </w:pPr>
    </w:p>
    <w:p w14:paraId="760EA282" w14:textId="2FC06B2C" w:rsidR="0093470E" w:rsidRDefault="005D0608" w:rsidP="00EC3DE6">
      <w:pPr>
        <w:pStyle w:val="NumberedHeading1"/>
        <w:ind w:left="700" w:hanging="700"/>
      </w:pPr>
      <w:bookmarkStart w:id="127" w:name="_Toc508637963"/>
      <w:bookmarkStart w:id="128" w:name="_Toc509950662"/>
      <w:r>
        <w:lastRenderedPageBreak/>
        <w:t>Broader c</w:t>
      </w:r>
      <w:r w:rsidR="0093470E" w:rsidRPr="007674CF">
        <w:t xml:space="preserve">onsiderations for an </w:t>
      </w:r>
      <w:r>
        <w:t>e</w:t>
      </w:r>
      <w:r w:rsidR="0093470E" w:rsidRPr="007674CF">
        <w:t xml:space="preserve">ducational </w:t>
      </w:r>
      <w:r>
        <w:t>institution in the Australian c</w:t>
      </w:r>
      <w:r w:rsidR="0093470E" w:rsidRPr="007674CF">
        <w:t>ontext</w:t>
      </w:r>
      <w:bookmarkEnd w:id="127"/>
      <w:bookmarkEnd w:id="128"/>
      <w:r w:rsidR="0093470E" w:rsidRPr="007674CF">
        <w:t xml:space="preserve"> </w:t>
      </w:r>
    </w:p>
    <w:p w14:paraId="2A7D57E7" w14:textId="05C39591" w:rsidR="008D1DDC" w:rsidRDefault="0093470E" w:rsidP="0093470E">
      <w:r w:rsidRPr="0091711A">
        <w:t xml:space="preserve">The description and explanation of the functions in the Evidence into Action Model are based on the findings of the </w:t>
      </w:r>
      <w:r w:rsidR="008D1DDC">
        <w:t>rapid synthesis</w:t>
      </w:r>
      <w:r w:rsidRPr="0091711A">
        <w:t>, and articulate quality functions and functionality under ‘ideal’ conditions. Thus, it is important to identify and discuss pertinent considerations for implementing and embedding an institution that performs these functions into the national Australian education context.</w:t>
      </w:r>
      <w:r w:rsidR="00191B89" w:rsidRPr="00191B89">
        <w:rPr>
          <w:rFonts w:ascii="Times" w:eastAsiaTheme="minorHAnsi" w:hAnsi="Times" w:cs="Times"/>
          <w:color w:val="000000"/>
          <w:sz w:val="26"/>
          <w:szCs w:val="26"/>
          <w:lang w:val="en-US" w:eastAsia="en-US"/>
        </w:rPr>
        <w:t xml:space="preserve"> </w:t>
      </w:r>
      <w:r w:rsidR="00191B89" w:rsidRPr="00191B89">
        <w:rPr>
          <w:lang w:val="en-US"/>
        </w:rPr>
        <w:t xml:space="preserve">The multilevel structures of </w:t>
      </w:r>
      <w:r w:rsidR="00191B89">
        <w:rPr>
          <w:lang w:val="en-US"/>
        </w:rPr>
        <w:t xml:space="preserve">our </w:t>
      </w:r>
      <w:r w:rsidR="00191B89" w:rsidRPr="00191B89">
        <w:rPr>
          <w:lang w:val="en-US"/>
        </w:rPr>
        <w:t xml:space="preserve">educational landscape </w:t>
      </w:r>
      <w:r w:rsidR="00191B89">
        <w:rPr>
          <w:lang w:val="en-US"/>
        </w:rPr>
        <w:t>encourage</w:t>
      </w:r>
      <w:r w:rsidR="00191B89" w:rsidRPr="00191B89">
        <w:rPr>
          <w:lang w:val="en-US"/>
        </w:rPr>
        <w:t xml:space="preserve"> </w:t>
      </w:r>
      <w:r w:rsidR="00191B89">
        <w:rPr>
          <w:lang w:val="en-US"/>
        </w:rPr>
        <w:t>the</w:t>
      </w:r>
      <w:r w:rsidR="00191B89" w:rsidRPr="00191B89">
        <w:rPr>
          <w:lang w:val="en-US"/>
        </w:rPr>
        <w:t xml:space="preserve"> development of diverse, and at times con</w:t>
      </w:r>
      <w:r w:rsidR="00191B89">
        <w:rPr>
          <w:lang w:val="en-US"/>
        </w:rPr>
        <w:t>flicting</w:t>
      </w:r>
      <w:r w:rsidR="00191B89" w:rsidRPr="00191B89">
        <w:rPr>
          <w:lang w:val="en-US"/>
        </w:rPr>
        <w:t xml:space="preserve"> views about what represents good practice. </w:t>
      </w:r>
      <w:r w:rsidR="00191B89">
        <w:rPr>
          <w:lang w:val="en-US"/>
        </w:rPr>
        <w:t>Ensuring that structures and resources are in place that afford engagement</w:t>
      </w:r>
      <w:r w:rsidR="00191B89" w:rsidRPr="00191B89">
        <w:rPr>
          <w:lang w:val="en-US"/>
        </w:rPr>
        <w:t xml:space="preserve"> with evidence and </w:t>
      </w:r>
      <w:r w:rsidR="00191B89">
        <w:rPr>
          <w:lang w:val="en-US"/>
        </w:rPr>
        <w:t>collaborate</w:t>
      </w:r>
      <w:r w:rsidR="00191B89" w:rsidRPr="00191B89">
        <w:rPr>
          <w:lang w:val="en-US"/>
        </w:rPr>
        <w:t xml:space="preserve"> in ways that encourage and enable shared understandings. </w:t>
      </w:r>
      <w:r w:rsidR="000E2D54">
        <w:t xml:space="preserve"> </w:t>
      </w:r>
      <w:r w:rsidR="00191B89">
        <w:t xml:space="preserve">Subsequently, </w:t>
      </w:r>
      <w:r w:rsidR="00676B47">
        <w:t>the utilisation</w:t>
      </w:r>
      <w:r w:rsidR="000E2D54">
        <w:t>-focused</w:t>
      </w:r>
      <w:r w:rsidR="00676B47">
        <w:t xml:space="preserve"> foundation of the institution will rely on a shared responsibility by the beneficiaries. </w:t>
      </w:r>
      <w:r w:rsidR="00703C8E">
        <w:t xml:space="preserve"> It is acknowledged that what has been recommended is complex and has major repercussions for funding and accountability.</w:t>
      </w:r>
    </w:p>
    <w:p w14:paraId="25A20A5E" w14:textId="77777777" w:rsidR="0093470E" w:rsidRPr="00E16853" w:rsidRDefault="0093470E" w:rsidP="00E833DA">
      <w:pPr>
        <w:pStyle w:val="Heading3"/>
        <w:rPr>
          <w:rFonts w:asciiTheme="minorHAnsi" w:hAnsiTheme="minorHAnsi"/>
        </w:rPr>
      </w:pPr>
      <w:bookmarkStart w:id="129" w:name="_Toc508637964"/>
      <w:bookmarkStart w:id="130" w:name="_Toc509950663"/>
      <w:r w:rsidRPr="00E16853">
        <w:rPr>
          <w:rFonts w:asciiTheme="minorHAnsi" w:hAnsiTheme="minorHAnsi"/>
        </w:rPr>
        <w:t>Governance</w:t>
      </w:r>
      <w:bookmarkEnd w:id="129"/>
      <w:bookmarkEnd w:id="130"/>
    </w:p>
    <w:p w14:paraId="54747CA2" w14:textId="77777777" w:rsidR="0093470E" w:rsidRPr="0091711A" w:rsidRDefault="0093470E" w:rsidP="0093470E">
      <w:r w:rsidRPr="0091711A">
        <w:t xml:space="preserve">The findings of the literature review universally concluded that there is a need for evidence institutions to remain independent from and yet still have a connection to government </w:t>
      </w:r>
      <w:r w:rsidRPr="0091711A">
        <w:fldChar w:fldCharType="begin" w:fldLock="1"/>
      </w:r>
      <w:r w:rsidRPr="0091711A">
        <w:instrText>ADDIN CSL_CITATION { "citationItems" : [ { "id" : "ITEM-1", "itemData" : { "author" : [ { "dropping-particle" : "", "family" : "Trucano", "given" : "M.", "non-dropping-particle" : "", "parse-names" : false, "suffix" : "" }, { "dropping-particle" : "", "family" : "Dykes", "given" : "G.", "non-dropping-particle" : "", "parse-names" : false, "suffix" : "" } ], "id" : "ITEM-1", "issued" : { "date-parts" : [ [ "2017" ] ] }, "title" : "Building and Sustaining National Educational Technology Agencies", "type" : "article-journal" }, "uris" : [ "http://www.mendeley.com/documents/?uuid=9d5b3493-5ecd-4662-b892-290b8c7164a9" ] } ], "mendeley" : { "formattedCitation" : "(Trucano &amp; Dykes, 2017)", "plainTextFormattedCitation" : "(Trucano &amp; Dykes, 2017)", "previouslyFormattedCitation" : "(Trucano &amp; Dykes, 2017)" }, "properties" : {  }, "schema" : "https://github.com/citation-style-language/schema/raw/master/csl-citation.json" }</w:instrText>
      </w:r>
      <w:r w:rsidRPr="0091711A">
        <w:fldChar w:fldCharType="separate"/>
      </w:r>
      <w:r w:rsidRPr="0091711A">
        <w:rPr>
          <w:noProof/>
        </w:rPr>
        <w:t>(Trucano &amp; Dykes, 2017)</w:t>
      </w:r>
      <w:r w:rsidRPr="0091711A">
        <w:fldChar w:fldCharType="end"/>
      </w:r>
      <w:r w:rsidRPr="0091711A">
        <w:t xml:space="preserve">. Independence is required for the institution to be considered apolitical, and ensure that outputs are considered trustworthy and without vested interest in a particular political position </w:t>
      </w:r>
      <w:r w:rsidRPr="0091711A">
        <w:fldChar w:fldCharType="begin" w:fldLock="1"/>
      </w:r>
      <w:r w:rsidRPr="0091711A">
        <w:instrText>ADDIN CSL_CITATION { "citationItems" : [ { "id" : "ITEM-1", "itemData" : { "ISBN" : "9789231041839", "author" : [ { "dropping-particle" : "", "family" : "UNESCO", "given" : "", "non-dropping-particle" : "", "parse-names" : false, "suffix" : "" }, { "dropping-particle" : "", "family" : "European Commission", "given" : "", "non-dropping-particle" : "", "parse-names" : false, "suffix" : "" } ], "id" : "ITEM-1", "issued" : { "date-parts" : [ [ "2010" ] ] }, "number-of-pages" : "117", "publisher" : "UNESCO", "publisher-place" : "Paris, France", "title" : "National Bioethics Committees in Action", "type" : "book" }, "uris" : [ "http://www.mendeley.com/documents/?uuid=dcb2a5a0-ca41-4f4d-8103-108001cb4148" ] } ], "mendeley" : { "formattedCitation" : "(UNESCO &amp; European Commission, 2010)", "plainTextFormattedCitation" : "(UNESCO &amp; European Commission, 2010)", "previouslyFormattedCitation" : "(UNESCO &amp; European Commission, 2010)" }, "properties" : {  }, "schema" : "https://github.com/citation-style-language/schema/raw/master/csl-citation.json" }</w:instrText>
      </w:r>
      <w:r w:rsidRPr="0091711A">
        <w:fldChar w:fldCharType="separate"/>
      </w:r>
      <w:r w:rsidRPr="0091711A">
        <w:rPr>
          <w:noProof/>
        </w:rPr>
        <w:t>(</w:t>
      </w:r>
      <w:bookmarkStart w:id="131" w:name="_Hlk509231442"/>
      <w:r w:rsidRPr="0091711A">
        <w:rPr>
          <w:noProof/>
        </w:rPr>
        <w:t>UNESCO &amp; European Commission, 2010</w:t>
      </w:r>
      <w:bookmarkEnd w:id="131"/>
      <w:r w:rsidRPr="0091711A">
        <w:rPr>
          <w:noProof/>
        </w:rPr>
        <w:t>)</w:t>
      </w:r>
      <w:r w:rsidRPr="0091711A">
        <w:fldChar w:fldCharType="end"/>
      </w:r>
      <w:r w:rsidRPr="0091711A">
        <w:t xml:space="preserve">. However, maintaining closeness to the government can facilitate collaboration with policymakers and accordingly result in more politically relevant and useful evidence generation and synthesis </w:t>
      </w:r>
      <w:r w:rsidRPr="0091711A">
        <w:fldChar w:fldCharType="begin" w:fldLock="1"/>
      </w:r>
      <w:r w:rsidRPr="0091711A">
        <w:instrText>ADDIN CSL_CITATION { "citationItems" : [ { "id" : "ITEM-1", "itemData" : { "DOI" : "10.1596/978-0-8213-9469-4", "ISBN" : "978-0-8213-9469-4", "author" : [ { "dropping-particle" : "", "family" : "Maeda", "given" : "Akiko", "non-dropping-particle" : "", "parse-names" : false, "suffix" : "" }, { "dropping-particle" : "", "family" : "Norris Harrit", "given" : "Margareta", "non-dropping-particle" : "", "parse-names" : false, "suffix" : "" }, { "dropping-particle" : "", "family" : "Mabuchi", "given" : "Shunsuke", "non-dropping-particle" : "", "parse-names" : false, "suffix" : "" }, { "dropping-particle" : "", "family" : "Siadat", "given" : "Banafsheh", "non-dropping-particle" : "", "parse-names" : false, "suffix" : "" }, { "dropping-particle" : "", "family" : "Nagpal", "given" : "Somil", "non-dropping-particle" : "", "parse-names" : false, "suffix" : "" } ], "id" : "ITEM-1", "issued" : { "date-parts" : [ [ "2012" ] ] }, "title" : "Creating Evidence for Better Health Financing Decisions", "type" : "book" }, "uris" : [ "http://www.mendeley.com/documents/?uuid=add348bc-9c98-488f-ad97-3dc94c639eb7" ] } ], "mendeley" : { "formattedCitation" : "(Maeda, Norris Harrit, Mabuchi, Siadat, &amp; Nagpal, 2012)", "plainTextFormattedCitation" : "(Maeda, Norris Harrit, Mabuchi, Siadat, &amp; Nagpal, 2012)", "previouslyFormattedCitation" : "(Maeda, Norris Harrit, Mabuchi, Siadat, &amp; Nagpal, 2012)" }, "properties" : {  }, "schema" : "https://github.com/citation-style-language/schema/raw/master/csl-citation.json" }</w:instrText>
      </w:r>
      <w:r w:rsidRPr="0091711A">
        <w:fldChar w:fldCharType="separate"/>
      </w:r>
      <w:r w:rsidRPr="0091711A">
        <w:rPr>
          <w:noProof/>
        </w:rPr>
        <w:t>(</w:t>
      </w:r>
      <w:bookmarkStart w:id="132" w:name="_Hlk509231452"/>
      <w:r w:rsidRPr="0091711A">
        <w:rPr>
          <w:noProof/>
        </w:rPr>
        <w:t>Maeda, Norris Harrit, Mabuchi, Siadat, &amp; Nagpal, 2012</w:t>
      </w:r>
      <w:bookmarkEnd w:id="132"/>
      <w:r w:rsidRPr="0091711A">
        <w:rPr>
          <w:noProof/>
        </w:rPr>
        <w:t>)</w:t>
      </w:r>
      <w:r w:rsidRPr="0091711A">
        <w:fldChar w:fldCharType="end"/>
      </w:r>
      <w:r w:rsidRPr="0091711A">
        <w:t>.</w:t>
      </w:r>
    </w:p>
    <w:p w14:paraId="13DE2D71" w14:textId="21B1873C" w:rsidR="0093470E" w:rsidRPr="0091711A" w:rsidRDefault="0093470E" w:rsidP="0093470E">
      <w:r w:rsidRPr="0091711A">
        <w:t>The tension between independence and connection with government is particularly relevant for Australia, where an institution would likely require government funding to continue to function sustainably. It should be noted that achieving a balance is considered possible—as an example</w:t>
      </w:r>
      <w:r w:rsidR="000E2D54">
        <w:t>,</w:t>
      </w:r>
      <w:r w:rsidRPr="0091711A">
        <w:t xml:space="preserve"> the Education Endowment Foundation (EEF) in the UK started with an initial £125 million grant from the UK Department of Education</w:t>
      </w:r>
      <w:r w:rsidR="000E2D54">
        <w:t>,</w:t>
      </w:r>
      <w:r w:rsidRPr="0091711A">
        <w:t xml:space="preserve"> and while there are contributions from other sources, this grant continues to support the foundation </w:t>
      </w:r>
      <w:r w:rsidRPr="0091711A">
        <w:fldChar w:fldCharType="begin" w:fldLock="1"/>
      </w:r>
      <w:r w:rsidRPr="0091711A">
        <w:instrText>ADDIN CSL_CITATION { "citationItems" : [ { "id" : "ITEM-1", "itemData" : { "author" : [ { "dropping-particle" : "", "family" : "Education Endowment Foundation", "given" : "", "non-dropping-particle" : "", "parse-names" : false, "suffix" : "" } ], "id" : "ITEM-1", "issued" : { "date-parts" : [ [ "2015" ] ] }, "publisher-place" : "London", "title" : "Annual Report 2015 Education Endowment Foundation", "type" : "report" }, "uris" : [ "http://www.mendeley.com/documents/?uuid=05ef6c92-f5d7-432a-a26f-99daf5c33f7a" ] } ], "mendeley" : { "formattedCitation" : "(Education Endowment Foundation, 2015)", "plainTextFormattedCitation" : "(Education Endowment Foundation, 2015)", "previouslyFormattedCitation" : "(Education Endowment Foundation, 2015)" }, "properties" : {  }, "schema" : "https://github.com/citation-style-language/schema/raw/master/csl-citation.json" }</w:instrText>
      </w:r>
      <w:r w:rsidRPr="0091711A">
        <w:fldChar w:fldCharType="separate"/>
      </w:r>
      <w:r w:rsidRPr="0091711A">
        <w:rPr>
          <w:noProof/>
        </w:rPr>
        <w:t>(Education Endowment Foundation, 2015)</w:t>
      </w:r>
      <w:r w:rsidRPr="0091711A">
        <w:fldChar w:fldCharType="end"/>
      </w:r>
      <w:r w:rsidRPr="0091711A">
        <w:t>. However, the institution, and its operations are not reliant on annual government funding and can operate independently from the Department of Education. This is in large part due to the functional governance board, where the institution is accountable to its board rather than the Department of Education. The EEF structure offers an example of how government involvement and independence is possible through a functional board.</w:t>
      </w:r>
    </w:p>
    <w:p w14:paraId="4D8212AE" w14:textId="0B1173CE" w:rsidR="0093470E" w:rsidRPr="0091711A" w:rsidRDefault="0093470E" w:rsidP="0093470E">
      <w:r w:rsidRPr="0091711A">
        <w:t>Another example of a governance structure is also from the UK</w:t>
      </w:r>
      <w:r w:rsidR="000E2D54">
        <w:t>.</w:t>
      </w:r>
      <w:r w:rsidRPr="0091711A">
        <w:t xml:space="preserve"> </w:t>
      </w:r>
      <w:r w:rsidR="000E2D54">
        <w:t>T</w:t>
      </w:r>
      <w:r w:rsidRPr="0091711A">
        <w:t xml:space="preserve">he National Institute for Health and Care Excellence (NICE) receives annual funding by the Department of Health. However, its operations remain independent where priorities and decisions are made by a functional board with advisory input from the Citizen’s Council </w:t>
      </w:r>
      <w:r w:rsidRPr="0091711A">
        <w:fldChar w:fldCharType="begin" w:fldLock="1"/>
      </w:r>
      <w:r w:rsidRPr="0091711A">
        <w:instrText>ADDIN CSL_CITATION { "citationItems" : [ { "id" : "ITEM-1", "itemData" : { "DOI" : "10.1332/174426415X14430058455412", "ISSN" : "17442648", "author" : [ { "dropping-particle" : "", "family" : "Hawkins", "given" : "Benjamin", "non-dropping-particle" : "", "parse-names" : false, "suffix" : "" }, { "dropping-particle" : "", "family" : "Parkhurst", "given" : "Justin", "non-dropping-particle" : "", "parse-names" : false, "suffix" : "" } ], "container-title" : "Evidence &amp; Policy: A Journal of Research, Debate and Practice", "id" : "ITEM-1", "issue" : "4", "issued" : { "date-parts" : [ [ "2016" ] ] }, "page" : "575-592", "title" : "The 'good governance' of evidence in health policy", "type" : "article-journal", "volume" : "12" }, "uris" : [ "http://www.mendeley.com/documents/?uuid=0df1808d-2a76-4192-8325-b99544f98d8a" ] } ], "mendeley" : { "formattedCitation" : "(Hawkins &amp; Parkhurst, 2016)", "plainTextFormattedCitation" : "(Hawkins &amp; Parkhurst, 2016)", "previouslyFormattedCitation" : "(Hawkins &amp; Parkhurst, 2016)" }, "properties" : {  }, "schema" : "https://github.com/citation-style-language/schema/raw/master/csl-citation.json" }</w:instrText>
      </w:r>
      <w:r w:rsidRPr="0091711A">
        <w:fldChar w:fldCharType="separate"/>
      </w:r>
      <w:r w:rsidRPr="0091711A">
        <w:rPr>
          <w:noProof/>
        </w:rPr>
        <w:t>(</w:t>
      </w:r>
      <w:bookmarkStart w:id="133" w:name="_Hlk509231467"/>
      <w:r w:rsidRPr="0091711A">
        <w:rPr>
          <w:noProof/>
        </w:rPr>
        <w:t>Hawkins &amp; Parkhurst, 2016</w:t>
      </w:r>
      <w:bookmarkEnd w:id="133"/>
      <w:r w:rsidRPr="0091711A">
        <w:rPr>
          <w:noProof/>
        </w:rPr>
        <w:t>)</w:t>
      </w:r>
      <w:r w:rsidRPr="0091711A">
        <w:fldChar w:fldCharType="end"/>
      </w:r>
      <w:r w:rsidRPr="0091711A">
        <w:t xml:space="preserve">. The Citizen’s Council is comprised of 30 members from the sector and public </w:t>
      </w:r>
      <w:r w:rsidRPr="0091711A">
        <w:fldChar w:fldCharType="begin" w:fldLock="1"/>
      </w:r>
      <w:r w:rsidRPr="0091711A">
        <w:instrText>ADDIN CSL_CITATION { "citationItems" : [ { "id" : "ITEM-1", "itemData" : { "author" : [ { "dropping-particle" : "", "family" : "Sorenson", "given" : "Corinna", "non-dropping-particle" : "", "parse-names" : false, "suffix" : "" }, { "dropping-particle" : "", "family" : "Drummond", "given" : "Michael", "non-dropping-particle" : "", "parse-names" : false, "suffix" : "" }, { "dropping-particle" : "", "family" : "Kanavos", "given" : "Panos", "non-dropping-particle" : "", "parse-names" : false, "suffix" : "" } ], "id" : "ITEM-1", "issued" : { "date-parts" : [ [ "2008" ] ] }, "number-of-pages" : "1-180", "title" : "Ensuring Value for Money in Health Care: The role of health technology assessment in the European Union", "type" : "report" }, "uris" : [ "http://www.mendeley.com/documents/?uuid=763120cb-d91c-4bb0-897a-2c93f92be7de" ] } ], "mendeley" : { "formattedCitation" : "(Sorenson, Drummond, &amp; Kanavos, 2008)", "plainTextFormattedCitation" : "(Sorenson, Drummond, &amp; Kanavos, 2008)", "previouslyFormattedCitation" : "(Sorenson, Drummond, &amp; Kanavos, 2008)" }, "properties" : {  }, "schema" : "https://github.com/citation-style-language/schema/raw/master/csl-citation.json" }</w:instrText>
      </w:r>
      <w:r w:rsidRPr="0091711A">
        <w:fldChar w:fldCharType="separate"/>
      </w:r>
      <w:bookmarkStart w:id="134" w:name="_Hlk509231475"/>
      <w:r w:rsidRPr="0091711A">
        <w:rPr>
          <w:noProof/>
        </w:rPr>
        <w:t>(Sorenson, Drummond, &amp; Kanavos, 2008</w:t>
      </w:r>
      <w:bookmarkEnd w:id="134"/>
      <w:r w:rsidRPr="0091711A">
        <w:rPr>
          <w:noProof/>
        </w:rPr>
        <w:t>)</w:t>
      </w:r>
      <w:r w:rsidRPr="0091711A">
        <w:fldChar w:fldCharType="end"/>
      </w:r>
      <w:r w:rsidRPr="0091711A">
        <w:t xml:space="preserve">. Such leadership and governance structures help to mitigate the potential disconnect between funder goals and end-user needs while maintaining independence and receiving necessary funding sustainable functioning. Prioritising transparency, stakeholder participants and evaluation and accountability are all avenues to ensure independence is maintained with annual government funding </w:t>
      </w:r>
      <w:r w:rsidRPr="0091711A">
        <w:fldChar w:fldCharType="begin" w:fldLock="1"/>
      </w:r>
      <w:r w:rsidRPr="0091711A">
        <w:instrText>ADDIN CSL_CITATION { "citationItems" : [ { "id" : "ITEM-1", "itemData" : { "author" : [ { "dropping-particle" : "", "family" : "Sorenson", "given" : "Corinna", "non-dropping-particle" : "", "parse-names" : false, "suffix" : "" }, { "dropping-particle" : "", "family" : "Drummond", "given" : "Michael", "non-dropping-particle" : "", "parse-names" : false, "suffix" : "" }, { "dropping-particle" : "", "family" : "Kanavos", "given" : "Panos", "non-dropping-particle" : "", "parse-names" : false, "suffix" : "" } ], "id" : "ITEM-1", "issued" : { "date-parts" : [ [ "2008" ] ] }, "number-of-pages" : "1-180", "title" : "Ensuring Value for Money in Health Care: The role of health technology assessment in the European Union", "type" : "report" }, "uris" : [ "http://www.mendeley.com/documents/?uuid=763120cb-d91c-4bb0-897a-2c93f92be7de" ] } ], "mendeley" : { "formattedCitation" : "(Sorenson et al., 2008)", "plainTextFormattedCitation" : "(Sorenson et al., 2008)", "previouslyFormattedCitation" : "(Sorenson et al., 2008)" }, "properties" : {  }, "schema" : "https://github.com/citation-style-language/schema/raw/master/csl-citation.json" }</w:instrText>
      </w:r>
      <w:r w:rsidRPr="0091711A">
        <w:fldChar w:fldCharType="separate"/>
      </w:r>
      <w:r w:rsidRPr="0091711A">
        <w:rPr>
          <w:noProof/>
        </w:rPr>
        <w:t>(Sorenson et al., 2008)</w:t>
      </w:r>
      <w:r w:rsidRPr="0091711A">
        <w:fldChar w:fldCharType="end"/>
      </w:r>
      <w:r w:rsidRPr="0091711A">
        <w:t xml:space="preserve">. </w:t>
      </w:r>
    </w:p>
    <w:p w14:paraId="121373C2" w14:textId="77777777" w:rsidR="0093470E" w:rsidRPr="00E16853" w:rsidRDefault="0093470E" w:rsidP="00E833DA">
      <w:pPr>
        <w:pStyle w:val="Heading3"/>
        <w:rPr>
          <w:rFonts w:asciiTheme="minorHAnsi" w:hAnsiTheme="minorHAnsi"/>
        </w:rPr>
      </w:pPr>
      <w:bookmarkStart w:id="135" w:name="_Toc508637965"/>
      <w:bookmarkStart w:id="136" w:name="_Toc509950664"/>
      <w:r w:rsidRPr="00E16853">
        <w:rPr>
          <w:rFonts w:asciiTheme="minorHAnsi" w:hAnsiTheme="minorHAnsi"/>
        </w:rPr>
        <w:t>Federalism and the Australian education context</w:t>
      </w:r>
      <w:bookmarkEnd w:id="135"/>
      <w:bookmarkEnd w:id="136"/>
      <w:r w:rsidRPr="00E16853">
        <w:rPr>
          <w:rFonts w:asciiTheme="minorHAnsi" w:hAnsiTheme="minorHAnsi"/>
        </w:rPr>
        <w:t xml:space="preserve"> </w:t>
      </w:r>
    </w:p>
    <w:p w14:paraId="0F4C8517" w14:textId="3794611B" w:rsidR="0093470E" w:rsidRPr="0091711A" w:rsidRDefault="0093470E" w:rsidP="0093470E">
      <w:r w:rsidRPr="0091711A">
        <w:t xml:space="preserve">Particularly relevant to the Australian context is the role that Federal </w:t>
      </w:r>
      <w:r w:rsidR="000E2D54">
        <w:t>G</w:t>
      </w:r>
      <w:r w:rsidRPr="0091711A">
        <w:t xml:space="preserve">overnment and the State and Territory Governments would play in such an institution. Lessons from the US indicate that when there are relatively autonomous state governments, clear roles and responsibilities are critical </w:t>
      </w:r>
      <w:r w:rsidRPr="0091711A">
        <w:fldChar w:fldCharType="begin" w:fldLock="1"/>
      </w:r>
      <w:r w:rsidRPr="0091711A">
        <w:instrText>ADDIN CSL_CITATION { "citationItems" : [ { "id" : "ITEM-1", "itemData" : { "ISBN" : "9781464810589", "author" : [ { "dropping-particle" : "", "family" : "Abdul-hamid", "given" : "Husein", "non-dropping-particle" : "", "parse-names" : false, "suffix" : "" }, { "dropping-particle" : "", "family" : "Mintz", "given" : "Sarah", "non-dropping-particle" : "", "parse-names" : false, "suffix" : "" }, { "dropping-particle" : "", "family" : "Saraogi", "given" : "Namrata", "non-dropping-particle" : "", "parse-names" : false, "suffix" : "" } ], "id" : "ITEM-1", "issued" : { "date-parts" : [ [ "2017" ] ] }, "publisher" : "World Bank", "publisher-place" : "Washington DC, USA", "title" : "From Compliance to Learning: A System for Harnessing the Power of Data in the State of Maryland", "type" : "book" }, "uris" : [ "http://www.mendeley.com/documents/?uuid=f551575c-c01e-44a7-823e-d2a8bfd0bff7" ] } ], "mendeley" : { "formattedCitation" : "(Abdul-hamid, Mintz, &amp; Saraogi, 2017)", "plainTextFormattedCitation" : "(Abdul-hamid, Mintz, &amp; Saraogi, 2017)", "previouslyFormattedCitation" : "(Abdul-hamid, Mintz, &amp; Saraogi, 2017)" }, "properties" : {  }, "schema" : "https://github.com/citation-style-language/schema/raw/master/csl-citation.json" }</w:instrText>
      </w:r>
      <w:r w:rsidRPr="0091711A">
        <w:fldChar w:fldCharType="separate"/>
      </w:r>
      <w:r w:rsidRPr="0091711A">
        <w:rPr>
          <w:noProof/>
        </w:rPr>
        <w:t>(</w:t>
      </w:r>
      <w:bookmarkStart w:id="137" w:name="_Hlk509231484"/>
      <w:r w:rsidRPr="0091711A">
        <w:rPr>
          <w:noProof/>
        </w:rPr>
        <w:t>Abdul-hamid, Mintz, &amp; Saraogi, 2017</w:t>
      </w:r>
      <w:bookmarkEnd w:id="137"/>
      <w:r w:rsidRPr="0091711A">
        <w:rPr>
          <w:noProof/>
        </w:rPr>
        <w:t>)</w:t>
      </w:r>
      <w:r w:rsidRPr="0091711A">
        <w:fldChar w:fldCharType="end"/>
      </w:r>
      <w:r w:rsidRPr="0091711A">
        <w:t>. Abdul-Hamid et al. (2017) notes:</w:t>
      </w:r>
    </w:p>
    <w:p w14:paraId="059A6BE5" w14:textId="77777777" w:rsidR="0093470E" w:rsidRPr="0091711A" w:rsidRDefault="0093470E" w:rsidP="00C34A88">
      <w:pPr>
        <w:ind w:left="800"/>
      </w:pPr>
      <w:r w:rsidRPr="0091711A">
        <w:rPr>
          <w:i/>
          <w:iCs/>
        </w:rPr>
        <w:t xml:space="preserve"> It is important that state and county </w:t>
      </w:r>
      <w:r w:rsidRPr="0091711A">
        <w:rPr>
          <w:i/>
          <w:iCs/>
          <w:noProof/>
        </w:rPr>
        <w:t>decision-makers</w:t>
      </w:r>
      <w:r w:rsidRPr="0091711A">
        <w:rPr>
          <w:i/>
          <w:iCs/>
        </w:rPr>
        <w:t xml:space="preserve"> support the strategy and that a committed group or steering committee be identified to carry the project forward. The steering committee </w:t>
      </w:r>
      <w:r w:rsidRPr="0091711A">
        <w:rPr>
          <w:i/>
          <w:iCs/>
        </w:rPr>
        <w:lastRenderedPageBreak/>
        <w:t>should have stakeholders from across the education system, consisting of both state and county officials, and teachers and principals.</w:t>
      </w:r>
    </w:p>
    <w:p w14:paraId="1029EDF0" w14:textId="525E2D47" w:rsidR="0093470E" w:rsidRPr="0091711A" w:rsidRDefault="00243467" w:rsidP="0093470E">
      <w:r>
        <w:t xml:space="preserve">It is also important for State and Territory </w:t>
      </w:r>
      <w:r w:rsidR="000E2D54">
        <w:t>G</w:t>
      </w:r>
      <w:r>
        <w:t xml:space="preserve">overnments to </w:t>
      </w:r>
      <w:r w:rsidR="0093470E" w:rsidRPr="0091711A">
        <w:t xml:space="preserve">have a role to play in contributing their contextual knowledge and expertise to the institution, which is critical for generating relevant evidence and supporting actionable knowledge translation to realise the goal of evidence-informed practice and policy. In addition, the other significant education sectors, namely Independent and Catholic Education, also have a role to play. </w:t>
      </w:r>
    </w:p>
    <w:p w14:paraId="2B113828" w14:textId="5FDC3620" w:rsidR="0093470E" w:rsidRPr="00E16853" w:rsidRDefault="0093470E" w:rsidP="00EC3DE6">
      <w:r w:rsidRPr="0091711A">
        <w:t xml:space="preserve">While the findings have illustrated the importance of collaborating with practitioners and policy-makers to support evidence-informed policy and practice, in the context of Australia, such collaboration can also help to ensure that all students and educators benefit equitably from evidence-informed policy and practice. Significant differences in educational outcomes exist for Indigenous and non-Indigenous students, those who experience socioeconomic disadvantage and those with language backgrounds other than English </w:t>
      </w:r>
      <w:r w:rsidRPr="0091711A">
        <w:fldChar w:fldCharType="begin" w:fldLock="1"/>
      </w:r>
      <w:r w:rsidRPr="0091711A">
        <w:instrText>ADDIN CSL_CITATION { "citationItems" : [ { "id" : "ITEM-1", "itemData" : { "abstract" : "There is no shortage of challenges in school education. Some of the biggest challenges we face can appear frustratingly intractable. Despite reform efforts, regular government reviews and ongoing calls for change, progress in addressing our most significant challenges is often slow and solutions continue to elude us. In this paper Professor Geoff Masters discusses five significant challenges facing school education.", "author" : [ { "dropping-particle" : "", "family" : "Masters", "given" : "Geoff", "non-dropping-particle" : "", "parse-names" : false, "suffix" : "" } ], "id" : "ITEM-1", "issue" : "May", "issued" : { "date-parts" : [ [ "2016" ] ] }, "title" : "Five Challenges in Australian School Education", "type" : "report" }, "uris" : [ "http://www.mendeley.com/documents/?uuid=3170d695-79ad-4dbd-93bf-b18c7a9d9bd0" ] } ], "mendeley" : { "formattedCitation" : "(Masters, 2016)", "plainTextFormattedCitation" : "(Masters, 2016)", "previouslyFormattedCitation" : "(Masters, 2016)" }, "properties" : {  }, "schema" : "https://github.com/citation-style-language/schema/raw/master/csl-citation.json" }</w:instrText>
      </w:r>
      <w:r w:rsidRPr="0091711A">
        <w:fldChar w:fldCharType="separate"/>
      </w:r>
      <w:r w:rsidRPr="0091711A">
        <w:rPr>
          <w:noProof/>
        </w:rPr>
        <w:t>(</w:t>
      </w:r>
      <w:bookmarkStart w:id="138" w:name="_Hlk509231492"/>
      <w:r w:rsidRPr="0091711A">
        <w:rPr>
          <w:noProof/>
        </w:rPr>
        <w:t>Masters, 2016</w:t>
      </w:r>
      <w:bookmarkEnd w:id="138"/>
      <w:r w:rsidRPr="0091711A">
        <w:rPr>
          <w:noProof/>
        </w:rPr>
        <w:t>)</w:t>
      </w:r>
      <w:r w:rsidRPr="0091711A">
        <w:fldChar w:fldCharType="end"/>
      </w:r>
      <w:r w:rsidRPr="0091711A">
        <w:t>. However, significant differences also exist for educators working in urban compared with very remote schools, and those with different levels of professional qualifications and number of years of teaching in their access to quality professional learning. Therefore, it is critical that if implemented, the evidence institution sought to reduce, instead of perpetuating, such inequalities. It is evident that educators, schools and other stakeholder organisations will be at varying levels of readiness to engage in the collaborative process of generating, synthesising, translating, disseminating and using evid</w:t>
      </w:r>
      <w:r w:rsidR="00EC3DE6">
        <w:t xml:space="preserve">ence to inform their practice. </w:t>
      </w:r>
    </w:p>
    <w:p w14:paraId="4EA431B8" w14:textId="77777777" w:rsidR="0093470E" w:rsidRPr="00E16853" w:rsidRDefault="0093470E" w:rsidP="00EC3DE6">
      <w:pPr>
        <w:pStyle w:val="Heading3"/>
        <w:rPr>
          <w:rFonts w:asciiTheme="minorHAnsi" w:hAnsiTheme="minorHAnsi"/>
        </w:rPr>
      </w:pPr>
      <w:bookmarkStart w:id="139" w:name="_Toc508637966"/>
      <w:bookmarkStart w:id="140" w:name="_Toc509950665"/>
      <w:r w:rsidRPr="00E16853">
        <w:rPr>
          <w:rFonts w:asciiTheme="minorHAnsi" w:hAnsiTheme="minorHAnsi"/>
        </w:rPr>
        <w:t>Existing system supports</w:t>
      </w:r>
      <w:bookmarkEnd w:id="139"/>
      <w:bookmarkEnd w:id="140"/>
      <w:r w:rsidRPr="00E16853">
        <w:rPr>
          <w:rFonts w:asciiTheme="minorHAnsi" w:hAnsiTheme="minorHAnsi"/>
        </w:rPr>
        <w:t xml:space="preserve"> </w:t>
      </w:r>
    </w:p>
    <w:p w14:paraId="0C143BDC" w14:textId="01FBDD9B" w:rsidR="0093470E" w:rsidRDefault="0093470E" w:rsidP="0093470E">
      <w:r w:rsidRPr="0091711A">
        <w:t xml:space="preserve">While there is not currently an institution that performs all the functions outlined in this report in Australia, there </w:t>
      </w:r>
      <w:r w:rsidR="003F7F29">
        <w:t>is</w:t>
      </w:r>
      <w:r w:rsidRPr="0091711A">
        <w:t xml:space="preserve"> </w:t>
      </w:r>
      <w:r w:rsidR="00855D8C">
        <w:t xml:space="preserve">a number </w:t>
      </w:r>
      <w:r w:rsidR="00925015">
        <w:t xml:space="preserve">of </w:t>
      </w:r>
      <w:r w:rsidR="00925015" w:rsidRPr="0091711A">
        <w:t>existing</w:t>
      </w:r>
      <w:r w:rsidRPr="0091711A">
        <w:t xml:space="preserve"> system structures and organisations that could support the development and functioning of such an institution, as well as evidence-informed policy and practice in education in general. Existing national education organisations, including but not limited to the Australian Curriculum Assessment and Reporting Authority (ACARA), the Australian Council for Educational Research (ACER) and the Australian Institute for Teaching and School Leadership (AITSL)</w:t>
      </w:r>
      <w:r w:rsidR="003F7F29">
        <w:t>,</w:t>
      </w:r>
      <w:r w:rsidRPr="0091711A">
        <w:t xml:space="preserve"> have roles which could support the reach and functioning of an evidence institution. As an example, AITSL, with its considerable reach to practitioners and existing online infrastructure for translating knowledge and disseminating evidence, could feasibly contribute expertise or could co-host an evidence dissemination platform within their existing infrastructure. We note the discussion of management in the recent Productivity Commission (2016) report on evidence in education in which they recommended ACARA be the sponsoring body </w:t>
      </w:r>
      <w:r w:rsidR="0014038A" w:rsidRPr="0091711A">
        <w:t>because of</w:t>
      </w:r>
      <w:r w:rsidRPr="0091711A">
        <w:t xml:space="preserve"> its current governance structure.</w:t>
      </w:r>
    </w:p>
    <w:p w14:paraId="675E44E6" w14:textId="1727C566" w:rsidR="000B773E" w:rsidRPr="000B773E" w:rsidRDefault="000B773E" w:rsidP="000B773E">
      <w:r w:rsidRPr="000B773E">
        <w:t>While ACARA</w:t>
      </w:r>
      <w:r w:rsidR="003F7F29">
        <w:t>,</w:t>
      </w:r>
      <w:r w:rsidR="00543419">
        <w:t xml:space="preserve"> for example, has a </w:t>
      </w:r>
      <w:r w:rsidRPr="000B773E">
        <w:t>governance structure where all players within the Australian education system are engaged</w:t>
      </w:r>
      <w:r w:rsidR="003F7F29">
        <w:t>,</w:t>
      </w:r>
      <w:r w:rsidRPr="000B773E">
        <w:t xml:space="preserve"> its primary function as an organisation </w:t>
      </w:r>
      <w:r w:rsidR="00543419" w:rsidRPr="000B773E">
        <w:t>however,</w:t>
      </w:r>
      <w:r w:rsidR="00543419">
        <w:t xml:space="preserve"> is to support reporting</w:t>
      </w:r>
      <w:r w:rsidRPr="000B773E">
        <w:t xml:space="preserve"> </w:t>
      </w:r>
      <w:r w:rsidR="00543419">
        <w:t xml:space="preserve">at a national level </w:t>
      </w:r>
      <w:r w:rsidRPr="000B773E">
        <w:t>that</w:t>
      </w:r>
      <w:r w:rsidR="003F7F29">
        <w:t xml:space="preserve"> is</w:t>
      </w:r>
      <w:r w:rsidRPr="000B773E">
        <w:t xml:space="preserve"> based on assessment and judgement. It builds summative information reporting at broad level on the impact of our curriculum and instruction on one aspect of the learning lives of student’s and the climate of schools. It is a generator of one form of evidence.</w:t>
      </w:r>
      <w:r w:rsidR="00543419">
        <w:t xml:space="preserve">  </w:t>
      </w:r>
      <w:r w:rsidRPr="000B773E">
        <w:t>However</w:t>
      </w:r>
      <w:r w:rsidR="00D4649E">
        <w:t>,</w:t>
      </w:r>
      <w:r w:rsidRPr="000B773E">
        <w:t xml:space="preserve"> to add the function of facilitating and supporting evidence informed practice would not only require a complete restructure but also a cultural shift in purpose, philosophy and paradigm preference which may interfere or detract from its</w:t>
      </w:r>
      <w:r w:rsidR="00543419">
        <w:t>’</w:t>
      </w:r>
      <w:r w:rsidRPr="000B773E">
        <w:t xml:space="preserve"> current critical function. This scenario may be true of our existing structures</w:t>
      </w:r>
      <w:r w:rsidR="003F7F29">
        <w:t>,</w:t>
      </w:r>
      <w:r w:rsidRPr="000B773E">
        <w:t xml:space="preserve"> whether private or public.</w:t>
      </w:r>
    </w:p>
    <w:p w14:paraId="7EE0017B" w14:textId="536A6C91" w:rsidR="000B773E" w:rsidRPr="000B773E" w:rsidRDefault="000B773E" w:rsidP="000B773E">
      <w:r w:rsidRPr="000B773E">
        <w:t>The governance structure of ACARA may provide a useful exemplar for the establishment of a governance for such an entity. Similarly, AITSL capacity and infra-structure that connects regularly with over 300,000 teachers can provide a template for connection and translation. While others such as SVA demonstrate that they are able to traverse the nature of public and private partnerships</w:t>
      </w:r>
      <w:r w:rsidR="003F7F29">
        <w:t>,</w:t>
      </w:r>
      <w:r w:rsidRPr="000B773E">
        <w:t xml:space="preserve"> </w:t>
      </w:r>
      <w:r w:rsidR="003F7F29">
        <w:t>i</w:t>
      </w:r>
      <w:r w:rsidRPr="000B773E">
        <w:t>t must be reiterated however, that not one of our existing structures can provide all that is required to ensure a true strategic platform to warrant the flow and connection of knowledge from its source to the classroom. Similarly, this holds true for Universities or commercial entities that often generate evidence but struggle to translate and encourage utilisation. As a number of stakeholders suggest ‘this cannot be the same old same old’ and importantly the governance structure will require a collaborative organisation that arises above political, economic and academic divisions</w:t>
      </w:r>
      <w:r w:rsidR="00676B47">
        <w:t>, hence the notion of shared responsibility</w:t>
      </w:r>
      <w:r w:rsidRPr="000B773E">
        <w:t xml:space="preserve">.  </w:t>
      </w:r>
    </w:p>
    <w:p w14:paraId="1DE6762C" w14:textId="41069AAE" w:rsidR="000B773E" w:rsidRPr="000B773E" w:rsidRDefault="000B773E" w:rsidP="000B773E">
      <w:r w:rsidRPr="000B773E">
        <w:t xml:space="preserve">A body that is a connector or a backbone organisation that guides a true collective impact is The Victorian Comprehensive Cancer Centre. It provides a useful exemplar of a partnership model, that ensures there is one </w:t>
      </w:r>
      <w:r w:rsidRPr="000B773E">
        <w:lastRenderedPageBreak/>
        <w:t>body at the helm and one concrete organisation where stakeholders (patients, researchers, funders and policy makers) are drawn. The fundamental premise of the VCCC is that integrated ‘organisations will gain far greater benefits in cancer more quickly than an individual organisation could achieve alone’. This does not mean separating the fundamental activities of an evidence</w:t>
      </w:r>
      <w:r w:rsidR="003F7F29">
        <w:t>-</w:t>
      </w:r>
      <w:r w:rsidRPr="000B773E">
        <w:t>base</w:t>
      </w:r>
      <w:r w:rsidR="003F7F29">
        <w:t>d</w:t>
      </w:r>
      <w:r w:rsidRPr="000B773E">
        <w:t xml:space="preserve"> institution</w:t>
      </w:r>
      <w:r w:rsidR="003F7F29">
        <w:t>,</w:t>
      </w:r>
      <w:r w:rsidRPr="000B773E">
        <w:t xml:space="preserve"> but more importantly connecting, supporting and housing the benefits of such partnerships.</w:t>
      </w:r>
    </w:p>
    <w:p w14:paraId="2D504077" w14:textId="133927C9" w:rsidR="000B773E" w:rsidRDefault="000B773E" w:rsidP="000B773E">
      <w:r w:rsidRPr="000B773E">
        <w:t xml:space="preserve">The idea of collective impact </w:t>
      </w:r>
      <w:r w:rsidR="00D4649E">
        <w:t>(</w:t>
      </w:r>
      <w:proofErr w:type="spellStart"/>
      <w:r w:rsidR="00925015">
        <w:rPr>
          <w:lang w:val="en-GB"/>
        </w:rPr>
        <w:t>Kania</w:t>
      </w:r>
      <w:proofErr w:type="spellEnd"/>
      <w:r w:rsidRPr="000B773E">
        <w:rPr>
          <w:lang w:val="en-GB"/>
        </w:rPr>
        <w:t xml:space="preserve"> &amp; Kramer</w:t>
      </w:r>
      <w:r w:rsidR="00925015">
        <w:rPr>
          <w:lang w:val="en-GB"/>
        </w:rPr>
        <w:t xml:space="preserve">, 2011) </w:t>
      </w:r>
      <w:r w:rsidRPr="000B773E">
        <w:t>is a beneficial framework for facilitating and achieving large</w:t>
      </w:r>
      <w:r w:rsidR="003F7F29">
        <w:t>-</w:t>
      </w:r>
      <w:r w:rsidRPr="000B773E">
        <w:t>scale change as well as providing guidance for a governance structure.  It is a structured and disciplined approach to bringing many organisations together to focus on a common agenda that results in long-lasting change. The figure below provides an illustrative example of the components of a collective impact structure.</w:t>
      </w:r>
    </w:p>
    <w:p w14:paraId="206581A7" w14:textId="77777777" w:rsidR="000B773E" w:rsidRPr="000B773E" w:rsidRDefault="000B773E" w:rsidP="000B773E">
      <w:pPr>
        <w:rPr>
          <w:lang w:val="en-GB"/>
        </w:rPr>
      </w:pPr>
    </w:p>
    <w:p w14:paraId="7AC5DDD5" w14:textId="77777777" w:rsidR="000B773E" w:rsidRPr="000B773E" w:rsidRDefault="000B773E" w:rsidP="000B773E">
      <w:r w:rsidRPr="000B773E">
        <w:rPr>
          <w:noProof/>
          <w:lang w:val="en-US" w:eastAsia="en-US"/>
        </w:rPr>
        <w:drawing>
          <wp:inline distT="0" distB="0" distL="0" distR="0" wp14:anchorId="77683145" wp14:editId="793A864D">
            <wp:extent cx="4318000" cy="3441700"/>
            <wp:effectExtent l="0" t="0" r="6350" b="6350"/>
            <wp:docPr id="5" name="Picture 5" descr="This figure shows a five-part structure for collective impact involving: developing a common agenda, common measures of progress, mutually reinforcing activities, a culture of communications and a strong backbone organis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18000" cy="3441700"/>
                    </a:xfrm>
                    <a:prstGeom prst="rect">
                      <a:avLst/>
                    </a:prstGeom>
                  </pic:spPr>
                </pic:pic>
              </a:graphicData>
            </a:graphic>
          </wp:inline>
        </w:drawing>
      </w:r>
    </w:p>
    <w:p w14:paraId="13DC34F5" w14:textId="77777777" w:rsidR="000B773E" w:rsidRPr="000B773E" w:rsidRDefault="000B773E" w:rsidP="000B773E"/>
    <w:p w14:paraId="4C16E851" w14:textId="6522D13B" w:rsidR="000B773E" w:rsidRPr="000B773E" w:rsidRDefault="000B773E" w:rsidP="00813AA6">
      <w:pPr>
        <w:pStyle w:val="CaptionFig"/>
      </w:pPr>
      <w:bookmarkStart w:id="141" w:name="_Toc509950666"/>
      <w:bookmarkStart w:id="142" w:name="_Toc509951283"/>
      <w:r>
        <w:t xml:space="preserve">Figure </w:t>
      </w:r>
      <w:fldSimple w:instr=" SEQ Figure \* ARABIC ">
        <w:r w:rsidR="004240AA">
          <w:rPr>
            <w:noProof/>
          </w:rPr>
          <w:t>10</w:t>
        </w:r>
      </w:fldSimple>
      <w:r>
        <w:t>:</w:t>
      </w:r>
      <w:r>
        <w:rPr>
          <w:noProof/>
        </w:rPr>
        <w:t xml:space="preserve"> A structure for a collective impact</w:t>
      </w:r>
      <w:bookmarkEnd w:id="141"/>
      <w:bookmarkEnd w:id="142"/>
    </w:p>
    <w:p w14:paraId="66877B30" w14:textId="3EEE3B4F" w:rsidR="000B773E" w:rsidRPr="000B773E" w:rsidRDefault="000B773E" w:rsidP="00E833DA">
      <w:r w:rsidRPr="000B773E">
        <w:t xml:space="preserve">Collective Impact and provides a five-part structured process for collective action. As detailed it involves developing a common agenda, common progress measures, mutually reinforcing, a culture of collaboration and communication, and a strong backbone organisation to manage the collaboration and understanding of impact. Collective Impact requires the development of evaluation methods among all involved parties to best understand the impact. </w:t>
      </w:r>
    </w:p>
    <w:p w14:paraId="7A21AA87" w14:textId="64CE2020" w:rsidR="0090428E" w:rsidRDefault="000B773E" w:rsidP="00925015">
      <w:pPr>
        <w:rPr>
          <w:lang w:val="en-GB"/>
        </w:rPr>
      </w:pPr>
      <w:r w:rsidRPr="000B773E">
        <w:t>The nature of the evidence</w:t>
      </w:r>
      <w:r w:rsidR="003F7F29">
        <w:t>-</w:t>
      </w:r>
      <w:r w:rsidRPr="000B773E">
        <w:t xml:space="preserve">informed institution established will need to ensure that the principles are upheld and strategic partnerships are formed, its governance will need to be functional and yet encourage collaboration. A guiding coalition will need to determine the functionality and accountability of any governance structure. Collective impact provides a useful foundation. </w:t>
      </w:r>
    </w:p>
    <w:p w14:paraId="238BDEFB" w14:textId="4413182F" w:rsidR="001D14EA" w:rsidRPr="00925015" w:rsidRDefault="00676B47" w:rsidP="001D14EA">
      <w:pPr>
        <w:rPr>
          <w:lang w:val="en-GB"/>
        </w:rPr>
      </w:pPr>
      <w:r>
        <w:rPr>
          <w:lang w:val="en-GB"/>
        </w:rPr>
        <w:t xml:space="preserve">One notable common element to collective impact across sectors is public private partnerships (PPPs). While PPPs are not </w:t>
      </w:r>
      <w:r w:rsidR="005F6632" w:rsidRPr="005F6632">
        <w:rPr>
          <w:lang w:val="en-GB"/>
        </w:rPr>
        <w:t>widespread</w:t>
      </w:r>
      <w:r>
        <w:rPr>
          <w:lang w:val="en-GB"/>
        </w:rPr>
        <w:t xml:space="preserve"> in education they do exist and are often encouraged by governments. </w:t>
      </w:r>
      <w:r w:rsidR="001D14EA">
        <w:rPr>
          <w:lang w:val="en-GB"/>
        </w:rPr>
        <w:t xml:space="preserve">The World Bank </w:t>
      </w:r>
      <w:r w:rsidR="001D14EA" w:rsidRPr="00925015">
        <w:rPr>
          <w:lang w:val="en-GB"/>
        </w:rPr>
        <w:t xml:space="preserve">defines a </w:t>
      </w:r>
      <w:r w:rsidR="001D14EA">
        <w:rPr>
          <w:lang w:val="en-GB"/>
        </w:rPr>
        <w:t>public private partnership</w:t>
      </w:r>
      <w:r w:rsidR="001D14EA" w:rsidRPr="00925015">
        <w:rPr>
          <w:lang w:val="en-GB"/>
        </w:rPr>
        <w:t xml:space="preserve"> as "a long-term contract between a private party and a government entity, for providing a public asset or service, in which the private party bears significant risk and management responsibility, and remuneration is linked to performance"</w:t>
      </w:r>
    </w:p>
    <w:p w14:paraId="36B9C7A1" w14:textId="5F40F3E7" w:rsidR="00326024" w:rsidRPr="00326024" w:rsidRDefault="00326024" w:rsidP="00326024">
      <w:pPr>
        <w:rPr>
          <w:lang w:val="en-US"/>
        </w:rPr>
      </w:pPr>
      <w:r w:rsidRPr="00326024">
        <w:rPr>
          <w:lang w:val="en-US"/>
        </w:rPr>
        <w:lastRenderedPageBreak/>
        <w:t xml:space="preserve">Across the globe governments are making decisions to engage the private sector in the delivery and resourcing of certain aspects of education that may have previously been delivered by the public sector. There is a </w:t>
      </w:r>
      <w:r w:rsidR="00676B47">
        <w:rPr>
          <w:lang w:val="en-US"/>
        </w:rPr>
        <w:t xml:space="preserve">growing </w:t>
      </w:r>
      <w:r w:rsidRPr="00326024">
        <w:rPr>
          <w:lang w:val="en-US"/>
        </w:rPr>
        <w:t xml:space="preserve">perspective that public-private partnerships can </w:t>
      </w:r>
      <w:r w:rsidR="005F6632" w:rsidRPr="005F6632">
        <w:rPr>
          <w:lang w:val="en-US"/>
        </w:rPr>
        <w:t>expedite</w:t>
      </w:r>
      <w:r w:rsidRPr="00326024">
        <w:rPr>
          <w:lang w:val="en-US"/>
        </w:rPr>
        <w:t xml:space="preserve"> certain </w:t>
      </w:r>
      <w:r w:rsidR="005F6632">
        <w:rPr>
          <w:lang w:val="en-US"/>
        </w:rPr>
        <w:t>improvements</w:t>
      </w:r>
      <w:r w:rsidR="003F7F29">
        <w:rPr>
          <w:lang w:val="en-US"/>
        </w:rPr>
        <w:t>,</w:t>
      </w:r>
      <w:r w:rsidRPr="00326024">
        <w:rPr>
          <w:lang w:val="en-US"/>
        </w:rPr>
        <w:t xml:space="preserve"> not only </w:t>
      </w:r>
      <w:r w:rsidR="005F6632">
        <w:rPr>
          <w:lang w:val="en-US"/>
        </w:rPr>
        <w:t xml:space="preserve">by </w:t>
      </w:r>
      <w:r w:rsidRPr="00326024">
        <w:rPr>
          <w:lang w:val="en-US"/>
        </w:rPr>
        <w:t xml:space="preserve">the quantity but the quality of education by </w:t>
      </w:r>
      <w:proofErr w:type="spellStart"/>
      <w:r w:rsidRPr="00326024">
        <w:rPr>
          <w:lang w:val="en-US"/>
        </w:rPr>
        <w:t>maximising</w:t>
      </w:r>
      <w:proofErr w:type="spellEnd"/>
      <w:r w:rsidRPr="00326024">
        <w:rPr>
          <w:lang w:val="en-US"/>
        </w:rPr>
        <w:t xml:space="preserve"> the advantages offered by the private sector. Governments that engage in such partnerships are generally driven</w:t>
      </w:r>
      <w:r w:rsidR="005F6632">
        <w:rPr>
          <w:lang w:val="en-US"/>
        </w:rPr>
        <w:t xml:space="preserve"> by </w:t>
      </w:r>
      <w:r w:rsidRPr="00326024">
        <w:rPr>
          <w:lang w:val="en-US"/>
        </w:rPr>
        <w:t xml:space="preserve">the goals improving quality and delivering education in the most </w:t>
      </w:r>
      <w:r w:rsidR="005F6632" w:rsidRPr="00326024">
        <w:rPr>
          <w:lang w:val="en-US"/>
        </w:rPr>
        <w:t>cost-effective</w:t>
      </w:r>
      <w:r w:rsidRPr="00326024">
        <w:rPr>
          <w:lang w:val="en-US"/>
        </w:rPr>
        <w:t xml:space="preserve"> manner. A recent report demonstrated some relative gains in effectiveness and efficiencies as a consequence of public and private partnerships</w:t>
      </w:r>
      <w:r w:rsidR="005F6632">
        <w:rPr>
          <w:lang w:val="en-US"/>
        </w:rPr>
        <w:t>.</w:t>
      </w:r>
      <w:r w:rsidRPr="00326024">
        <w:rPr>
          <w:lang w:val="en-US"/>
        </w:rPr>
        <w:t xml:space="preserve"> </w:t>
      </w:r>
      <w:r w:rsidR="005F6632">
        <w:rPr>
          <w:lang w:val="en-US"/>
        </w:rPr>
        <w:t>H</w:t>
      </w:r>
      <w:r w:rsidRPr="00326024">
        <w:rPr>
          <w:lang w:val="en-US"/>
        </w:rPr>
        <w:t>owever</w:t>
      </w:r>
      <w:r w:rsidR="005F6632">
        <w:rPr>
          <w:lang w:val="en-US"/>
        </w:rPr>
        <w:t>,</w:t>
      </w:r>
      <w:r w:rsidRPr="00326024">
        <w:rPr>
          <w:lang w:val="en-US"/>
        </w:rPr>
        <w:t xml:space="preserve"> it must be noted that there is not an abundance of evidence to demonstrate a </w:t>
      </w:r>
      <w:proofErr w:type="spellStart"/>
      <w:r w:rsidRPr="00326024">
        <w:rPr>
          <w:lang w:val="en-US"/>
        </w:rPr>
        <w:t>generalisable</w:t>
      </w:r>
      <w:proofErr w:type="spellEnd"/>
      <w:r w:rsidRPr="00326024">
        <w:rPr>
          <w:lang w:val="en-US"/>
        </w:rPr>
        <w:t xml:space="preserve"> positive impact. Furthermore, the review</w:t>
      </w:r>
      <w:r w:rsidR="003F7F29">
        <w:rPr>
          <w:lang w:val="en-US"/>
        </w:rPr>
        <w:t xml:space="preserve"> is</w:t>
      </w:r>
      <w:r w:rsidRPr="00326024">
        <w:rPr>
          <w:lang w:val="en-US"/>
        </w:rPr>
        <w:t xml:space="preserve"> related to developing countries. (Ark Education Partnerships Group, 2016). There is some suggestion that the establishment of an </w:t>
      </w:r>
      <w:r w:rsidR="005F6632">
        <w:rPr>
          <w:lang w:val="en-US"/>
        </w:rPr>
        <w:t xml:space="preserve">institution </w:t>
      </w:r>
      <w:r w:rsidR="001D14EA">
        <w:rPr>
          <w:lang w:val="en-US"/>
        </w:rPr>
        <w:t>to increase use of evidence</w:t>
      </w:r>
      <w:r w:rsidRPr="00326024">
        <w:rPr>
          <w:lang w:val="en-US"/>
        </w:rPr>
        <w:t xml:space="preserve"> and data linking may benefit from </w:t>
      </w:r>
      <w:r w:rsidR="005F6632">
        <w:rPr>
          <w:lang w:val="en-US"/>
        </w:rPr>
        <w:t xml:space="preserve">such </w:t>
      </w:r>
      <w:r w:rsidRPr="00326024">
        <w:rPr>
          <w:lang w:val="en-US"/>
        </w:rPr>
        <w:t xml:space="preserve">partnership with industry and the commercial sector. There is </w:t>
      </w:r>
      <w:r w:rsidR="00543419">
        <w:rPr>
          <w:lang w:val="en-US"/>
        </w:rPr>
        <w:t xml:space="preserve">also </w:t>
      </w:r>
      <w:r w:rsidRPr="00326024">
        <w:rPr>
          <w:lang w:val="en-US"/>
        </w:rPr>
        <w:t xml:space="preserve">a strong argument for exploring the worth of such </w:t>
      </w:r>
      <w:r w:rsidR="005F6632">
        <w:rPr>
          <w:lang w:val="en-US"/>
        </w:rPr>
        <w:t>PPPs</w:t>
      </w:r>
      <w:r w:rsidRPr="00326024">
        <w:rPr>
          <w:lang w:val="en-US"/>
        </w:rPr>
        <w:t xml:space="preserve">. </w:t>
      </w:r>
    </w:p>
    <w:p w14:paraId="7E852A0B" w14:textId="7F5BC4AD" w:rsidR="0093470E" w:rsidRPr="007D46D3" w:rsidRDefault="0093470E" w:rsidP="00E833DA">
      <w:pPr>
        <w:pStyle w:val="Heading3"/>
        <w:rPr>
          <w:rFonts w:asciiTheme="minorHAnsi" w:hAnsiTheme="minorHAnsi"/>
        </w:rPr>
      </w:pPr>
      <w:bookmarkStart w:id="143" w:name="_Toc509950667"/>
      <w:r w:rsidRPr="00E16853">
        <w:rPr>
          <w:rFonts w:asciiTheme="minorHAnsi" w:hAnsiTheme="minorHAnsi"/>
        </w:rPr>
        <w:t>Resourcing</w:t>
      </w:r>
      <w:bookmarkEnd w:id="143"/>
      <w:r w:rsidRPr="00E16853">
        <w:rPr>
          <w:rFonts w:asciiTheme="minorHAnsi" w:hAnsiTheme="minorHAnsi"/>
        </w:rPr>
        <w:t xml:space="preserve"> </w:t>
      </w:r>
    </w:p>
    <w:p w14:paraId="7B08FDFA" w14:textId="44E6BC19" w:rsidR="0090428E" w:rsidRDefault="005F6632" w:rsidP="0090428E">
      <w:r>
        <w:t xml:space="preserve"> As noted several times within this report</w:t>
      </w:r>
      <w:r w:rsidR="003F7F29">
        <w:t>,</w:t>
      </w:r>
      <w:r>
        <w:t xml:space="preserve"> resourcing has been identified as a common concern for many similar institutions across many sectors.  </w:t>
      </w:r>
      <w:r w:rsidR="00DA0804">
        <w:t>While the idea of shared responsibility for co funding and co-implementation has demonstrated some impact on research informed activities (Dobbins,2010). However, while</w:t>
      </w:r>
      <w:r>
        <w:t xml:space="preserve"> we suggest a targeted resourced and self-funding approach for the institution we acknowledge that core funding for set up and infra-structure is key for on</w:t>
      </w:r>
      <w:r w:rsidR="00DA0804">
        <w:t>going</w:t>
      </w:r>
      <w:r>
        <w:t xml:space="preserve"> sustainability. </w:t>
      </w:r>
      <w:r w:rsidR="00DA0804">
        <w:t xml:space="preserve">In attempting to understand the nature of this core funding </w:t>
      </w:r>
      <w:r w:rsidR="0090428E">
        <w:t xml:space="preserve">is first important to note that in this rapid synthesis, no directly comparable current or historical institution or model akin to the national evidence institution recommended was identified. Therefore, the considerations for the funding of this institution have been informed by international institutions and some local institutions that perform some of the functions outlined in the Evidence into Action model. </w:t>
      </w:r>
    </w:p>
    <w:p w14:paraId="230454EF" w14:textId="77777777" w:rsidR="0090428E" w:rsidRDefault="0090428E" w:rsidP="0090428E">
      <w:r>
        <w:t xml:space="preserve">In relation to the functioning of the recommended evidence institution, the categories of costs have been outlined in the figure below. The ‘infrastructure’ comprises the executive and governance of the institution, as well as its operations and daily functioning. The annual reports and financial statements from evidence institutions including EEF, AITSL, ACARA, ARC and SVA support these cost categories (EEF, </w:t>
      </w:r>
      <w:proofErr w:type="spellStart"/>
      <w:r>
        <w:t>n.da</w:t>
      </w:r>
      <w:proofErr w:type="spellEnd"/>
      <w:r>
        <w:t xml:space="preserve">; EEF, </w:t>
      </w:r>
      <w:proofErr w:type="spellStart"/>
      <w:r>
        <w:t>n.db</w:t>
      </w:r>
      <w:proofErr w:type="spellEnd"/>
      <w:r>
        <w:t xml:space="preserve">; EEF, </w:t>
      </w:r>
      <w:proofErr w:type="spellStart"/>
      <w:r>
        <w:t>n.dc</w:t>
      </w:r>
      <w:proofErr w:type="spellEnd"/>
      <w:r>
        <w:t xml:space="preserve">; Commonwealth of Australia, 2017; AITSL, </w:t>
      </w:r>
      <w:proofErr w:type="spellStart"/>
      <w:r>
        <w:t>n.d</w:t>
      </w:r>
      <w:proofErr w:type="spellEnd"/>
      <w:r>
        <w:t xml:space="preserve">; SVA, </w:t>
      </w:r>
      <w:proofErr w:type="spellStart"/>
      <w:r>
        <w:t>n.d.</w:t>
      </w:r>
      <w:proofErr w:type="spellEnd"/>
      <w:r>
        <w:t>). While the reporting of these costs was often not broken down by categories, it was indicated that costs were associated were each of the categories outlined in the figure.</w:t>
      </w:r>
      <w:r w:rsidRPr="003B3969">
        <w:t xml:space="preserve"> </w:t>
      </w:r>
    </w:p>
    <w:p w14:paraId="783B2B10" w14:textId="77777777" w:rsidR="0090428E" w:rsidRDefault="0090428E" w:rsidP="0090428E">
      <w:r>
        <w:rPr>
          <w:noProof/>
          <w:lang w:val="en-US" w:eastAsia="en-US"/>
        </w:rPr>
        <w:lastRenderedPageBreak/>
        <w:drawing>
          <wp:inline distT="0" distB="0" distL="0" distR="0" wp14:anchorId="2746D8AF" wp14:editId="5B82F1E6">
            <wp:extent cx="6515100" cy="5128895"/>
            <wp:effectExtent l="0" t="0" r="0" b="0"/>
            <wp:docPr id="9" name="Picture 9" descr="This figure shows the cost categories for the first 1-2 years to establish the infrastructure for a functioning research and evidence institution. These cost categories include, researchers, communications, information technology, administration, executive, governance and advisory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uments.lucidchart.com/documents/ebbeb6c0-bf57-4871-9e0f-ea8039f0307c/pages/0_0?a=1369&amp;x=100&amp;y=-6&amp;w=1080&amp;h=1002&amp;store=1&amp;accept=image%2F*&amp;auth=LCA%2022920232bb20f895893870c97263e4c7089152e8-ts%3D151899604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82491" cy="5181947"/>
                    </a:xfrm>
                    <a:prstGeom prst="rect">
                      <a:avLst/>
                    </a:prstGeom>
                    <a:noFill/>
                    <a:ln>
                      <a:noFill/>
                    </a:ln>
                  </pic:spPr>
                </pic:pic>
              </a:graphicData>
            </a:graphic>
          </wp:inline>
        </w:drawing>
      </w:r>
    </w:p>
    <w:p w14:paraId="10F007A4" w14:textId="0F00C485" w:rsidR="0090428E" w:rsidRDefault="0090428E" w:rsidP="00813AA6">
      <w:pPr>
        <w:pStyle w:val="CaptionFig"/>
      </w:pPr>
      <w:bookmarkStart w:id="144" w:name="_Toc509950668"/>
      <w:bookmarkStart w:id="145" w:name="_Toc509951284"/>
      <w:r>
        <w:t xml:space="preserve">Figure </w:t>
      </w:r>
      <w:fldSimple w:instr=" SEQ Figure \* ARABIC ">
        <w:r w:rsidR="004240AA">
          <w:rPr>
            <w:noProof/>
          </w:rPr>
          <w:t>11</w:t>
        </w:r>
      </w:fldSimple>
      <w:r>
        <w:t>: Cost categories</w:t>
      </w:r>
      <w:bookmarkEnd w:id="144"/>
      <w:bookmarkEnd w:id="145"/>
    </w:p>
    <w:p w14:paraId="6361D7BF" w14:textId="77777777" w:rsidR="0090428E" w:rsidRDefault="0090428E" w:rsidP="0090428E">
      <w:r>
        <w:t xml:space="preserve">In the case of SVA and EEF, funding was distributed and focussed specifically on setup and establishment of the institutions, as both EEF and the component of SVA tasked with evidence-synthesis (Evidence for Learning) were new, and hence there were costs associated with setting up and establishment (SVA, </w:t>
      </w:r>
      <w:proofErr w:type="spellStart"/>
      <w:r>
        <w:t>n.d.</w:t>
      </w:r>
      <w:proofErr w:type="spellEnd"/>
      <w:r>
        <w:t xml:space="preserve">). </w:t>
      </w:r>
    </w:p>
    <w:p w14:paraId="47C6CD37" w14:textId="77777777" w:rsidR="00813AA6" w:rsidRDefault="0090428E" w:rsidP="0090428E">
      <w:r>
        <w:t>In the case of EEF, specific operations funds were allocated in addition to the initial endowment given by the Department of Education (</w:t>
      </w:r>
      <w:r>
        <w:rPr>
          <w:rFonts w:ascii="Calibri" w:hAnsi="Calibri"/>
        </w:rPr>
        <w:t>£</w:t>
      </w:r>
      <w:r>
        <w:t>125 million for use over 15 years). The partner trusts, Sutton Trust and Impetus Trust</w:t>
      </w:r>
      <w:r w:rsidR="003F7F29">
        <w:t>,</w:t>
      </w:r>
      <w:r>
        <w:t xml:space="preserve"> gave instalments for the first three years of operation of EEF with the purpose of supporting setup and </w:t>
      </w:r>
      <w:r w:rsidR="00DA0804">
        <w:t>establishment and</w:t>
      </w:r>
      <w:r>
        <w:t xml:space="preserve"> establishing the foundation with a high level of functioning to encourage other organisations to donate to the foundation. The table below provides the payments given by each of the partner trusts in the first three years of establishment (EEF, </w:t>
      </w:r>
      <w:proofErr w:type="spellStart"/>
      <w:r>
        <w:t>n.da</w:t>
      </w:r>
      <w:proofErr w:type="spellEnd"/>
      <w:r>
        <w:t xml:space="preserve">; EEF, </w:t>
      </w:r>
      <w:proofErr w:type="spellStart"/>
      <w:r>
        <w:t>n.db</w:t>
      </w:r>
      <w:proofErr w:type="spellEnd"/>
      <w:r>
        <w:t xml:space="preserve">; EEF, </w:t>
      </w:r>
      <w:proofErr w:type="spellStart"/>
      <w:r>
        <w:t>n.dc</w:t>
      </w:r>
      <w:proofErr w:type="spellEnd"/>
      <w:r>
        <w:t>).</w:t>
      </w:r>
    </w:p>
    <w:p w14:paraId="262E3FC8" w14:textId="77777777" w:rsidR="00813AA6" w:rsidRDefault="00813AA6">
      <w:pPr>
        <w:spacing w:after="160" w:line="259" w:lineRule="auto"/>
      </w:pPr>
      <w:r>
        <w:br w:type="page"/>
      </w:r>
    </w:p>
    <w:p w14:paraId="73A70693" w14:textId="77777777" w:rsidR="00813AA6" w:rsidRDefault="00813AA6" w:rsidP="00813AA6">
      <w:pPr>
        <w:pStyle w:val="Caption2"/>
      </w:pPr>
      <w:bookmarkStart w:id="146" w:name="_Toc509950669"/>
      <w:bookmarkStart w:id="147" w:name="_Toc509951294"/>
    </w:p>
    <w:p w14:paraId="51103F8E" w14:textId="5912EAA9" w:rsidR="0090428E" w:rsidRDefault="0090428E" w:rsidP="00813AA6">
      <w:pPr>
        <w:pStyle w:val="Caption2"/>
      </w:pPr>
      <w:r>
        <w:t xml:space="preserve">Table </w:t>
      </w:r>
      <w:fldSimple w:instr=" SEQ Table \* ARABIC ">
        <w:r w:rsidR="004240AA">
          <w:rPr>
            <w:noProof/>
          </w:rPr>
          <w:t>8</w:t>
        </w:r>
      </w:fldSimple>
      <w:r>
        <w:t>: Operational funds via EEF Trust Partners</w:t>
      </w:r>
      <w:bookmarkEnd w:id="146"/>
      <w:bookmarkEnd w:id="147"/>
      <w:r>
        <w:t xml:space="preserve"> </w:t>
      </w:r>
    </w:p>
    <w:tbl>
      <w:tblPr>
        <w:tblStyle w:val="TableGrid"/>
        <w:tblW w:w="0" w:type="auto"/>
        <w:tblLook w:val="04A0" w:firstRow="1" w:lastRow="0" w:firstColumn="1" w:lastColumn="0" w:noHBand="0" w:noVBand="1"/>
        <w:tblDescription w:val="Year: 2011-2012, Funding source: Sutton Trust, Amount: £750,000&#10;Year 2011-2012, Funding source: Impetus Trust, Amount: £250,000&#10;Year 2012-2013, Funding source: Sutton Trust, Amount: £255,000&#10;Year 2012-2013, Funding source: Impetus Trust, Amount: £85,000&#10;Year 2013-2014, Funding source: Sutton Trust, Amount: £240,000&#10;Year 2013-2014, Funding source: Impetus Trust, Amount:£ 80,000"/>
      </w:tblPr>
      <w:tblGrid>
        <w:gridCol w:w="3005"/>
        <w:gridCol w:w="3005"/>
        <w:gridCol w:w="3006"/>
      </w:tblGrid>
      <w:tr w:rsidR="0090428E" w:rsidRPr="009C10C1" w14:paraId="2E7DD739" w14:textId="77777777" w:rsidTr="00CF66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77631548" w14:textId="77777777" w:rsidR="0090428E" w:rsidRPr="009C10C1" w:rsidRDefault="0090428E" w:rsidP="0090428E">
            <w:pPr>
              <w:rPr>
                <w:b w:val="0"/>
              </w:rPr>
            </w:pPr>
            <w:r w:rsidRPr="009C10C1">
              <w:t>Year</w:t>
            </w:r>
          </w:p>
        </w:tc>
        <w:tc>
          <w:tcPr>
            <w:tcW w:w="3005" w:type="dxa"/>
          </w:tcPr>
          <w:p w14:paraId="2F345E2C" w14:textId="77777777" w:rsidR="0090428E" w:rsidRPr="009C10C1" w:rsidRDefault="0090428E" w:rsidP="0090428E">
            <w:pPr>
              <w:cnfStyle w:val="100000000000" w:firstRow="1" w:lastRow="0" w:firstColumn="0" w:lastColumn="0" w:oddVBand="0" w:evenVBand="0" w:oddHBand="0" w:evenHBand="0" w:firstRowFirstColumn="0" w:firstRowLastColumn="0" w:lastRowFirstColumn="0" w:lastRowLastColumn="0"/>
              <w:rPr>
                <w:b w:val="0"/>
              </w:rPr>
            </w:pPr>
            <w:r w:rsidRPr="009C10C1">
              <w:t>Funding source</w:t>
            </w:r>
          </w:p>
        </w:tc>
        <w:tc>
          <w:tcPr>
            <w:tcW w:w="3006" w:type="dxa"/>
          </w:tcPr>
          <w:p w14:paraId="070D90EF" w14:textId="77777777" w:rsidR="0090428E" w:rsidRPr="009C10C1" w:rsidRDefault="0090428E" w:rsidP="0090428E">
            <w:pPr>
              <w:cnfStyle w:val="100000000000" w:firstRow="1" w:lastRow="0" w:firstColumn="0" w:lastColumn="0" w:oddVBand="0" w:evenVBand="0" w:oddHBand="0" w:evenHBand="0" w:firstRowFirstColumn="0" w:firstRowLastColumn="0" w:lastRowFirstColumn="0" w:lastRowLastColumn="0"/>
              <w:rPr>
                <w:b w:val="0"/>
              </w:rPr>
            </w:pPr>
            <w:r w:rsidRPr="009C10C1">
              <w:t>Amount</w:t>
            </w:r>
          </w:p>
        </w:tc>
      </w:tr>
      <w:tr w:rsidR="0090428E" w14:paraId="201A6C07" w14:textId="77777777" w:rsidTr="00904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CB67A9A" w14:textId="77777777" w:rsidR="0090428E" w:rsidRDefault="0090428E" w:rsidP="0090428E">
            <w:r>
              <w:t>2011-2012</w:t>
            </w:r>
          </w:p>
        </w:tc>
        <w:tc>
          <w:tcPr>
            <w:tcW w:w="3005" w:type="dxa"/>
          </w:tcPr>
          <w:p w14:paraId="6F8A3810"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Sutton Trust</w:t>
            </w:r>
          </w:p>
        </w:tc>
        <w:tc>
          <w:tcPr>
            <w:tcW w:w="3006" w:type="dxa"/>
          </w:tcPr>
          <w:p w14:paraId="2495C104"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£750, 000</w:t>
            </w:r>
          </w:p>
        </w:tc>
      </w:tr>
      <w:tr w:rsidR="0090428E" w14:paraId="34DB1A56" w14:textId="77777777" w:rsidTr="009042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0AF1D83" w14:textId="77777777" w:rsidR="0090428E" w:rsidRDefault="0090428E" w:rsidP="0090428E">
            <w:r>
              <w:t>2011-2012</w:t>
            </w:r>
          </w:p>
        </w:tc>
        <w:tc>
          <w:tcPr>
            <w:tcW w:w="3005" w:type="dxa"/>
          </w:tcPr>
          <w:p w14:paraId="490C03AE"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Impetus Trust</w:t>
            </w:r>
          </w:p>
        </w:tc>
        <w:tc>
          <w:tcPr>
            <w:tcW w:w="3006" w:type="dxa"/>
          </w:tcPr>
          <w:p w14:paraId="6CF602EC"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£250, 000</w:t>
            </w:r>
          </w:p>
        </w:tc>
      </w:tr>
      <w:tr w:rsidR="0090428E" w14:paraId="3B3BA5B9" w14:textId="77777777" w:rsidTr="00904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48E1FCB" w14:textId="77777777" w:rsidR="0090428E" w:rsidRDefault="0090428E" w:rsidP="0090428E">
            <w:r>
              <w:t>2012-2013</w:t>
            </w:r>
          </w:p>
        </w:tc>
        <w:tc>
          <w:tcPr>
            <w:tcW w:w="3005" w:type="dxa"/>
          </w:tcPr>
          <w:p w14:paraId="6B66A4AE"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Sutton Trust</w:t>
            </w:r>
          </w:p>
        </w:tc>
        <w:tc>
          <w:tcPr>
            <w:tcW w:w="3006" w:type="dxa"/>
          </w:tcPr>
          <w:p w14:paraId="5BC8A3AA"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£255, 000</w:t>
            </w:r>
          </w:p>
        </w:tc>
      </w:tr>
      <w:tr w:rsidR="0090428E" w14:paraId="47C7700E" w14:textId="77777777" w:rsidTr="009042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A51726F" w14:textId="77777777" w:rsidR="0090428E" w:rsidRDefault="0090428E" w:rsidP="0090428E">
            <w:r>
              <w:t>2012-2013</w:t>
            </w:r>
          </w:p>
        </w:tc>
        <w:tc>
          <w:tcPr>
            <w:tcW w:w="3005" w:type="dxa"/>
          </w:tcPr>
          <w:p w14:paraId="21A0106D"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Impetus Trust</w:t>
            </w:r>
          </w:p>
        </w:tc>
        <w:tc>
          <w:tcPr>
            <w:tcW w:w="3006" w:type="dxa"/>
          </w:tcPr>
          <w:p w14:paraId="14A2E211"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£85, 000</w:t>
            </w:r>
          </w:p>
        </w:tc>
      </w:tr>
      <w:tr w:rsidR="0090428E" w14:paraId="5D623C5E" w14:textId="77777777" w:rsidTr="00904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922A6AC" w14:textId="77777777" w:rsidR="0090428E" w:rsidRDefault="0090428E" w:rsidP="0090428E">
            <w:r>
              <w:t>2013-2014</w:t>
            </w:r>
          </w:p>
        </w:tc>
        <w:tc>
          <w:tcPr>
            <w:tcW w:w="3005" w:type="dxa"/>
          </w:tcPr>
          <w:p w14:paraId="5160E94D"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Sutton Trust</w:t>
            </w:r>
          </w:p>
        </w:tc>
        <w:tc>
          <w:tcPr>
            <w:tcW w:w="3006" w:type="dxa"/>
          </w:tcPr>
          <w:p w14:paraId="0DE3207E" w14:textId="77777777" w:rsidR="0090428E" w:rsidRDefault="0090428E" w:rsidP="0090428E">
            <w:pPr>
              <w:cnfStyle w:val="000000100000" w:firstRow="0" w:lastRow="0" w:firstColumn="0" w:lastColumn="0" w:oddVBand="0" w:evenVBand="0" w:oddHBand="1" w:evenHBand="0" w:firstRowFirstColumn="0" w:firstRowLastColumn="0" w:lastRowFirstColumn="0" w:lastRowLastColumn="0"/>
            </w:pPr>
            <w:r>
              <w:t>£240, 000</w:t>
            </w:r>
          </w:p>
        </w:tc>
      </w:tr>
      <w:tr w:rsidR="0090428E" w14:paraId="1E9E7401" w14:textId="77777777" w:rsidTr="009042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CB2BDA3" w14:textId="77777777" w:rsidR="0090428E" w:rsidRDefault="0090428E" w:rsidP="0090428E">
            <w:r>
              <w:t>2013-2014</w:t>
            </w:r>
          </w:p>
        </w:tc>
        <w:tc>
          <w:tcPr>
            <w:tcW w:w="3005" w:type="dxa"/>
          </w:tcPr>
          <w:p w14:paraId="1021E7BD"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Impetus Trust</w:t>
            </w:r>
          </w:p>
        </w:tc>
        <w:tc>
          <w:tcPr>
            <w:tcW w:w="3006" w:type="dxa"/>
          </w:tcPr>
          <w:p w14:paraId="7FC4091C" w14:textId="77777777" w:rsidR="0090428E" w:rsidRDefault="0090428E" w:rsidP="0090428E">
            <w:pPr>
              <w:cnfStyle w:val="000000010000" w:firstRow="0" w:lastRow="0" w:firstColumn="0" w:lastColumn="0" w:oddVBand="0" w:evenVBand="0" w:oddHBand="0" w:evenHBand="1" w:firstRowFirstColumn="0" w:firstRowLastColumn="0" w:lastRowFirstColumn="0" w:lastRowLastColumn="0"/>
            </w:pPr>
            <w:r>
              <w:t>£80, 000</w:t>
            </w:r>
          </w:p>
        </w:tc>
      </w:tr>
    </w:tbl>
    <w:p w14:paraId="3FD51584" w14:textId="77777777" w:rsidR="0090428E" w:rsidRDefault="0090428E" w:rsidP="0090428E"/>
    <w:p w14:paraId="6CA749E8" w14:textId="6917C62F" w:rsidR="0090428E" w:rsidRDefault="0090428E" w:rsidP="0090428E">
      <w:r>
        <w:t xml:space="preserve">As evident in the table, funds from the trust partners and indeed the initial investment by the government indicated an understanding of the need to front-load funds for establishment. For instance, the initial funding amounts from Sutton Trust and Impetus Trust in 2011-2012 were 51.5% greater than in 2013-2014. This idea of frontloading investment is used in other areas of education funding as well, and in fact was recommended in a recent Review of the Program for Students with Disabilities which was informed by the principles underpinning the needs-based funding recommended in the 2011 </w:t>
      </w:r>
      <w:proofErr w:type="spellStart"/>
      <w:r>
        <w:t>Gonski</w:t>
      </w:r>
      <w:proofErr w:type="spellEnd"/>
      <w:r>
        <w:t xml:space="preserve"> Review (O’Connor et al., 2015; </w:t>
      </w:r>
      <w:proofErr w:type="spellStart"/>
      <w:r>
        <w:t>Gonski</w:t>
      </w:r>
      <w:proofErr w:type="spellEnd"/>
      <w:r>
        <w:t xml:space="preserve"> et al., 2011). Frontloading investment is based on an understanding that not only will costs be higher in the earlier phases of establishing an institution</w:t>
      </w:r>
      <w:r w:rsidR="003F7F29">
        <w:t>,</w:t>
      </w:r>
      <w:r>
        <w:t xml:space="preserve"> </w:t>
      </w:r>
      <w:r w:rsidR="003F7F29">
        <w:t>t</w:t>
      </w:r>
      <w:r>
        <w:t xml:space="preserve">he returns and outputs are likely to be lower as operations are only just beginning. </w:t>
      </w:r>
    </w:p>
    <w:p w14:paraId="68CB4B21" w14:textId="77777777" w:rsidR="0090428E" w:rsidRDefault="0090428E" w:rsidP="00E833DA">
      <w:pPr>
        <w:pStyle w:val="Heading3"/>
      </w:pPr>
      <w:bookmarkStart w:id="148" w:name="_Toc509950670"/>
      <w:r>
        <w:t>Funding informed by needs and targets</w:t>
      </w:r>
      <w:bookmarkEnd w:id="148"/>
    </w:p>
    <w:p w14:paraId="5A0E28F2" w14:textId="3105E213" w:rsidR="0090428E" w:rsidRDefault="0090428E" w:rsidP="0090428E">
      <w:r>
        <w:t>In addition to front loading investment, setting key performance indicators (KPI) would also help to target funding and the work of the institutions. KPIs may also guide the budgeting process</w:t>
      </w:r>
      <w:r w:rsidR="003F7F29">
        <w:t>.</w:t>
      </w:r>
      <w:r>
        <w:t xml:space="preserve"> </w:t>
      </w:r>
      <w:r w:rsidR="003F7F29">
        <w:t>F</w:t>
      </w:r>
      <w:r>
        <w:t>or instance</w:t>
      </w:r>
      <w:r w:rsidR="003F7F29">
        <w:t>,</w:t>
      </w:r>
      <w:r>
        <w:t xml:space="preserve"> in response to a literacy target set by the Department of Education in the UK, the government topped up the initial endowment by £10 million in 2012 (EEF, </w:t>
      </w:r>
      <w:proofErr w:type="spellStart"/>
      <w:r>
        <w:t>n.db</w:t>
      </w:r>
      <w:proofErr w:type="spellEnd"/>
      <w:r>
        <w:t xml:space="preserve">). AITSL has also targeted the use and budgeting of funds towards enacting policy, for instance the TEMAG recommendations informed the work and funding of AITSL when they were released (AITSL, </w:t>
      </w:r>
      <w:proofErr w:type="spellStart"/>
      <w:r>
        <w:t>n.d</w:t>
      </w:r>
      <w:proofErr w:type="spellEnd"/>
      <w:r>
        <w:t xml:space="preserve">).  </w:t>
      </w:r>
    </w:p>
    <w:p w14:paraId="6C45C4B2" w14:textId="38C9DACC" w:rsidR="0090428E" w:rsidRDefault="0090428E" w:rsidP="0090428E">
      <w:r>
        <w:t xml:space="preserve">The targets established for an institution independent from government should be based on identified need. This highlights the need for ongoing consultation with beneficiaries </w:t>
      </w:r>
      <w:r w:rsidR="005D40DD">
        <w:t>(</w:t>
      </w:r>
      <w:r>
        <w:t>policy makers, educators, researchers, school leaders</w:t>
      </w:r>
      <w:r w:rsidR="005D40DD">
        <w:t>)</w:t>
      </w:r>
      <w:r>
        <w:t xml:space="preserve">, to ensure that the funding for the institution supports agility to be responsive to need, and the broader socio-political climate. Likely related to this, the periods for reviewing funding for EEF and AITSL as documented in annual reports appear to be relatively short, with government funding in the case of AITSL being reviewed annually. This makes recruiting and maintaining staffing difficult.  Similarly, for EEF, top-up funding from government for specific policy priorities was also reviewed annually, however targets for policy impact were often set for a three-year period (EEF, </w:t>
      </w:r>
      <w:proofErr w:type="spellStart"/>
      <w:r>
        <w:t>n.db</w:t>
      </w:r>
      <w:proofErr w:type="spellEnd"/>
      <w:r>
        <w:t xml:space="preserve">). Therefore, it is important to maintain the balance between ensuring funding is regularly reviewed to support agility and </w:t>
      </w:r>
      <w:proofErr w:type="spellStart"/>
      <w:r>
        <w:t>responsivity</w:t>
      </w:r>
      <w:proofErr w:type="spellEnd"/>
      <w:r>
        <w:t xml:space="preserve"> and ensure that realistic expectations for timeframes in which targets can be met are applied. This necessitates a sophisticated approach to monitoring financial performance. </w:t>
      </w:r>
    </w:p>
    <w:p w14:paraId="4B97D960" w14:textId="77777777" w:rsidR="0090428E" w:rsidRDefault="0090428E" w:rsidP="00E833DA">
      <w:pPr>
        <w:pStyle w:val="Heading3"/>
      </w:pPr>
      <w:bookmarkStart w:id="149" w:name="_Toc509950671"/>
      <w:r>
        <w:t>Pricing models for Australian government organisations</w:t>
      </w:r>
      <w:bookmarkEnd w:id="149"/>
    </w:p>
    <w:p w14:paraId="1B7B0355" w14:textId="37C26A4B" w:rsidR="0090428E" w:rsidRDefault="0090428E" w:rsidP="0090428E">
      <w:r>
        <w:t xml:space="preserve">The Australian government costing framework for educational institutions such as ACARA and AITSL, utilises a cost-recovery pricing model largely, where funds are ‘earmarked’ for the implementation of a particularly policy and related outcome (Department of Finance, 2015). Earmarked funding is similar to funding based on </w:t>
      </w:r>
      <w:r>
        <w:lastRenderedPageBreak/>
        <w:t>needs and targets, and such a model enables top-up funding to be embedded relatively easily to achieve specific policy outcomes</w:t>
      </w:r>
      <w:r w:rsidR="005D40DD">
        <w:t>,</w:t>
      </w:r>
      <w:r>
        <w:t xml:space="preserve"> and this model is support</w:t>
      </w:r>
      <w:r w:rsidR="005D40DD">
        <w:t>ed</w:t>
      </w:r>
      <w:r>
        <w:t xml:space="preserve"> by the evidence gathered in the rapid synthesis (</w:t>
      </w:r>
      <w:proofErr w:type="spellStart"/>
      <w:r>
        <w:t>Tortora</w:t>
      </w:r>
      <w:proofErr w:type="spellEnd"/>
      <w:r>
        <w:t xml:space="preserve"> &amp; </w:t>
      </w:r>
      <w:proofErr w:type="spellStart"/>
      <w:r>
        <w:t>Steensen</w:t>
      </w:r>
      <w:proofErr w:type="spellEnd"/>
      <w:r>
        <w:t>, 2014). Earmarking funding is widely conducted in other sectors, particularly international development (</w:t>
      </w:r>
      <w:proofErr w:type="spellStart"/>
      <w:r>
        <w:t>Tortora</w:t>
      </w:r>
      <w:proofErr w:type="spellEnd"/>
      <w:r>
        <w:t xml:space="preserve"> &amp; </w:t>
      </w:r>
      <w:proofErr w:type="spellStart"/>
      <w:r>
        <w:t>Steensen</w:t>
      </w:r>
      <w:proofErr w:type="spellEnd"/>
      <w:r>
        <w:t>, 2014). One example of earmarked funding in education in Australia, was the provision of funding for AITSL to act on the recommendations from the Teacher Education Ministerial Advisory Group (TEMAG), the proportion allocated is outlined in the table below (Commonwealth of Australia, 2017).</w:t>
      </w:r>
    </w:p>
    <w:p w14:paraId="593B83FB" w14:textId="25292606" w:rsidR="0090428E" w:rsidRDefault="0090428E" w:rsidP="00813AA6">
      <w:pPr>
        <w:pStyle w:val="Caption2"/>
      </w:pPr>
      <w:bookmarkStart w:id="150" w:name="_Toc509950672"/>
      <w:bookmarkStart w:id="151" w:name="_Toc509951295"/>
      <w:r>
        <w:t xml:space="preserve">Table </w:t>
      </w:r>
      <w:fldSimple w:instr=" SEQ Table \* ARABIC ">
        <w:r w:rsidR="004240AA">
          <w:rPr>
            <w:noProof/>
          </w:rPr>
          <w:t>9</w:t>
        </w:r>
      </w:fldSimple>
      <w:r>
        <w:t>: Funding for AITSL in response to TEMAG</w:t>
      </w:r>
      <w:bookmarkEnd w:id="150"/>
      <w:bookmarkEnd w:id="151"/>
    </w:p>
    <w:tbl>
      <w:tblPr>
        <w:tblStyle w:val="TableGrid"/>
        <w:tblW w:w="8784" w:type="dxa"/>
        <w:tblLook w:val="04A0" w:firstRow="1" w:lastRow="0" w:firstColumn="1" w:lastColumn="0" w:noHBand="0" w:noVBand="1"/>
        <w:tblDescription w:val="Year: 2016-17, $4.3 million, Year: 2017-18, $4.1 million, Year 2018-19, $3.7 million"/>
      </w:tblPr>
      <w:tblGrid>
        <w:gridCol w:w="2830"/>
        <w:gridCol w:w="1985"/>
        <w:gridCol w:w="1843"/>
        <w:gridCol w:w="2126"/>
      </w:tblGrid>
      <w:tr w:rsidR="00E833DA" w:rsidRPr="00E833DA" w14:paraId="11BF5577"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5B43258C" w14:textId="77777777" w:rsidR="0090428E" w:rsidRPr="00E833DA" w:rsidRDefault="0090428E" w:rsidP="0090428E">
            <w:pPr>
              <w:spacing w:after="0" w:line="240" w:lineRule="auto"/>
              <w:rPr>
                <w:rFonts w:ascii="Times New Roman" w:eastAsia="Times New Roman" w:hAnsi="Times New Roman" w:cs="Times New Roman"/>
                <w:sz w:val="24"/>
                <w:szCs w:val="24"/>
                <w:lang w:eastAsia="en-AU"/>
              </w:rPr>
            </w:pPr>
          </w:p>
        </w:tc>
        <w:tc>
          <w:tcPr>
            <w:tcW w:w="1985" w:type="dxa"/>
            <w:noWrap/>
            <w:hideMark/>
          </w:tcPr>
          <w:p w14:paraId="3A04653E" w14:textId="77777777" w:rsidR="0090428E" w:rsidRPr="00E833DA" w:rsidRDefault="0090428E" w:rsidP="0090428E">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2016-17 in $’000</w:t>
            </w:r>
          </w:p>
        </w:tc>
        <w:tc>
          <w:tcPr>
            <w:tcW w:w="1843" w:type="dxa"/>
            <w:noWrap/>
            <w:hideMark/>
          </w:tcPr>
          <w:p w14:paraId="55ACDF41" w14:textId="77777777" w:rsidR="0090428E" w:rsidRPr="00E833DA" w:rsidRDefault="0090428E" w:rsidP="0090428E">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2017-18 in $’000</w:t>
            </w:r>
          </w:p>
        </w:tc>
        <w:tc>
          <w:tcPr>
            <w:tcW w:w="2126" w:type="dxa"/>
            <w:noWrap/>
            <w:hideMark/>
          </w:tcPr>
          <w:p w14:paraId="63FD9162" w14:textId="77777777" w:rsidR="0090428E" w:rsidRPr="00E833DA" w:rsidRDefault="0090428E" w:rsidP="0090428E">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2018-2019 in $’000</w:t>
            </w:r>
          </w:p>
        </w:tc>
      </w:tr>
      <w:tr w:rsidR="0090428E" w:rsidRPr="00731EFC" w14:paraId="6CD0F4C6"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43E692E" w14:textId="77777777" w:rsidR="0090428E" w:rsidRPr="00731EFC"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AITSL response to </w:t>
            </w:r>
            <w:r w:rsidRPr="00731EFC">
              <w:rPr>
                <w:rFonts w:ascii="Calibri" w:eastAsia="Times New Roman" w:hAnsi="Calibri" w:cs="Times New Roman"/>
                <w:color w:val="000000"/>
                <w:lang w:eastAsia="en-AU"/>
              </w:rPr>
              <w:t>TEMAG</w:t>
            </w:r>
          </w:p>
        </w:tc>
        <w:tc>
          <w:tcPr>
            <w:tcW w:w="1985" w:type="dxa"/>
            <w:noWrap/>
            <w:hideMark/>
          </w:tcPr>
          <w:p w14:paraId="1955F755" w14:textId="77777777" w:rsidR="0090428E" w:rsidRPr="00731EFC"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 </w:t>
            </w:r>
            <w:r w:rsidRPr="00731EFC">
              <w:rPr>
                <w:rFonts w:ascii="Calibri" w:eastAsia="Times New Roman" w:hAnsi="Calibri" w:cs="Times New Roman"/>
                <w:color w:val="000000"/>
                <w:lang w:eastAsia="en-AU"/>
              </w:rPr>
              <w:t xml:space="preserve">4,300 </w:t>
            </w:r>
          </w:p>
        </w:tc>
        <w:tc>
          <w:tcPr>
            <w:tcW w:w="1843" w:type="dxa"/>
            <w:noWrap/>
            <w:hideMark/>
          </w:tcPr>
          <w:p w14:paraId="11FE47D5" w14:textId="77777777" w:rsidR="0090428E" w:rsidRPr="00731EFC"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 xml:space="preserve">4,100 </w:t>
            </w:r>
          </w:p>
        </w:tc>
        <w:tc>
          <w:tcPr>
            <w:tcW w:w="2126" w:type="dxa"/>
            <w:noWrap/>
            <w:hideMark/>
          </w:tcPr>
          <w:p w14:paraId="63166296" w14:textId="77777777" w:rsidR="0090428E" w:rsidRPr="00731EFC"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3,700</w:t>
            </w:r>
          </w:p>
        </w:tc>
      </w:tr>
    </w:tbl>
    <w:p w14:paraId="274B396E" w14:textId="77777777" w:rsidR="0090428E" w:rsidRDefault="0090428E" w:rsidP="0090428E"/>
    <w:p w14:paraId="0BE70136" w14:textId="32DBA1FF" w:rsidR="0090428E" w:rsidRDefault="0090428E" w:rsidP="0090428E">
      <w:r>
        <w:t xml:space="preserve">However, funding for operations, and set-up and establishment costs are more difficult to estimate as available budgets have not itemised these costs, </w:t>
      </w:r>
      <w:r w:rsidR="005D40DD">
        <w:t>but</w:t>
      </w:r>
      <w:r>
        <w:t xml:space="preserve">, using publicly available information the proportion of funding spent on employees and the cost of supplier services, which could include the cost of maintaining online infrastructures or databases as an example of these functions are outsourced. Budget figures have been obtained from 2016 – 2018 (Commonwealth of Australia, 2017). </w:t>
      </w:r>
    </w:p>
    <w:p w14:paraId="38263CB3" w14:textId="57FEC21B" w:rsidR="0090428E" w:rsidRDefault="0090428E" w:rsidP="00813AA6">
      <w:pPr>
        <w:pStyle w:val="Caption2"/>
      </w:pPr>
      <w:bookmarkStart w:id="152" w:name="_Toc509950673"/>
      <w:bookmarkStart w:id="153" w:name="_Toc509951296"/>
      <w:r>
        <w:t xml:space="preserve">Table </w:t>
      </w:r>
      <w:fldSimple w:instr=" SEQ Table \* ARABIC ">
        <w:r w:rsidR="004240AA">
          <w:rPr>
            <w:noProof/>
          </w:rPr>
          <w:t>10</w:t>
        </w:r>
      </w:fldSimple>
      <w:r>
        <w:t>: Australian Government Budget 2017-18: ACARA</w:t>
      </w:r>
      <w:bookmarkEnd w:id="152"/>
      <w:bookmarkEnd w:id="153"/>
    </w:p>
    <w:tbl>
      <w:tblPr>
        <w:tblStyle w:val="TableGrid"/>
        <w:tblW w:w="8784" w:type="dxa"/>
        <w:tblLook w:val="04A0" w:firstRow="1" w:lastRow="0" w:firstColumn="1" w:lastColumn="0" w:noHBand="0" w:noVBand="1"/>
        <w:tblDescription w:val="Funds from government were $13.8 million in 2016-17 and $15.3 million in 2017-18.&#10;Other funding sources were $14.5 million in 2016-17 and $34 million in 2017-18. &#10;Employee costs were $-13 million in 2016-17 and $-14.5 million in 2017-18.&#10;Suppliers costs were $-14.5 million in 2016-17 and $-13.7 million in 2017-18.&#10;The total balance was $629,000 in 2016-17 and $21 million in 2017-18. "/>
      </w:tblPr>
      <w:tblGrid>
        <w:gridCol w:w="4390"/>
        <w:gridCol w:w="2268"/>
        <w:gridCol w:w="2126"/>
      </w:tblGrid>
      <w:tr w:rsidR="00E833DA" w:rsidRPr="00E833DA" w14:paraId="3F640CD7"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2DF36ED4" w14:textId="77777777" w:rsidR="0090428E" w:rsidRPr="00E833DA" w:rsidRDefault="0090428E" w:rsidP="0090428E">
            <w:pPr>
              <w:spacing w:after="0" w:line="240" w:lineRule="auto"/>
              <w:rPr>
                <w:rFonts w:ascii="Times New Roman" w:eastAsia="Times New Roman" w:hAnsi="Times New Roman" w:cs="Times New Roman"/>
                <w:sz w:val="24"/>
                <w:szCs w:val="24"/>
                <w:lang w:eastAsia="en-AU"/>
              </w:rPr>
            </w:pPr>
          </w:p>
        </w:tc>
        <w:tc>
          <w:tcPr>
            <w:tcW w:w="2268" w:type="dxa"/>
            <w:noWrap/>
            <w:hideMark/>
          </w:tcPr>
          <w:p w14:paraId="6EEF7FA6"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2016-17 in $‘000</w:t>
            </w:r>
          </w:p>
        </w:tc>
        <w:tc>
          <w:tcPr>
            <w:tcW w:w="2126" w:type="dxa"/>
            <w:noWrap/>
            <w:hideMark/>
          </w:tcPr>
          <w:p w14:paraId="7500EBD4"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2017-18 in $‘000</w:t>
            </w:r>
          </w:p>
        </w:tc>
      </w:tr>
      <w:tr w:rsidR="0090428E" w:rsidRPr="00731EFC" w14:paraId="7DF3FD3B"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hideMark/>
          </w:tcPr>
          <w:p w14:paraId="7C4D7270" w14:textId="77777777" w:rsidR="0090428E" w:rsidRPr="00731EFC" w:rsidRDefault="0090428E" w:rsidP="0090428E">
            <w:pPr>
              <w:spacing w:after="0" w:line="240" w:lineRule="auto"/>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 xml:space="preserve">Funds from </w:t>
            </w:r>
            <w:r>
              <w:rPr>
                <w:rFonts w:ascii="Calibri" w:eastAsia="Times New Roman" w:hAnsi="Calibri" w:cs="Times New Roman"/>
                <w:color w:val="000000"/>
                <w:lang w:eastAsia="en-AU"/>
              </w:rPr>
              <w:t>government</w:t>
            </w:r>
          </w:p>
        </w:tc>
        <w:tc>
          <w:tcPr>
            <w:tcW w:w="2268" w:type="dxa"/>
            <w:noWrap/>
            <w:hideMark/>
          </w:tcPr>
          <w:p w14:paraId="422C26D4" w14:textId="77777777" w:rsidR="0090428E" w:rsidRPr="00731EFC"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13,797</w:t>
            </w:r>
          </w:p>
        </w:tc>
        <w:tc>
          <w:tcPr>
            <w:tcW w:w="2126" w:type="dxa"/>
            <w:noWrap/>
            <w:hideMark/>
          </w:tcPr>
          <w:p w14:paraId="32DA5B79" w14:textId="77777777" w:rsidR="0090428E" w:rsidRPr="00731EFC"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15,291</w:t>
            </w:r>
          </w:p>
        </w:tc>
      </w:tr>
      <w:tr w:rsidR="0090428E" w:rsidRPr="00731EFC" w14:paraId="42F75759"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hideMark/>
          </w:tcPr>
          <w:p w14:paraId="1446BD31" w14:textId="77777777" w:rsidR="0090428E" w:rsidRPr="00731EFC" w:rsidRDefault="0090428E" w:rsidP="0090428E">
            <w:pPr>
              <w:spacing w:after="0" w:line="240" w:lineRule="auto"/>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 xml:space="preserve">Other </w:t>
            </w:r>
            <w:r>
              <w:rPr>
                <w:rFonts w:ascii="Calibri" w:eastAsia="Times New Roman" w:hAnsi="Calibri" w:cs="Times New Roman"/>
                <w:color w:val="000000"/>
                <w:lang w:eastAsia="en-AU"/>
              </w:rPr>
              <w:t xml:space="preserve">funding </w:t>
            </w:r>
            <w:r w:rsidRPr="00731EFC">
              <w:rPr>
                <w:rFonts w:ascii="Calibri" w:eastAsia="Times New Roman" w:hAnsi="Calibri" w:cs="Times New Roman"/>
                <w:color w:val="000000"/>
                <w:lang w:eastAsia="en-AU"/>
              </w:rPr>
              <w:t>sources</w:t>
            </w:r>
          </w:p>
        </w:tc>
        <w:tc>
          <w:tcPr>
            <w:tcW w:w="2268" w:type="dxa"/>
            <w:noWrap/>
            <w:hideMark/>
          </w:tcPr>
          <w:p w14:paraId="78D4C4E8" w14:textId="77777777" w:rsidR="0090428E" w:rsidRPr="00731EFC"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14,464</w:t>
            </w:r>
          </w:p>
        </w:tc>
        <w:tc>
          <w:tcPr>
            <w:tcW w:w="2126" w:type="dxa"/>
            <w:noWrap/>
            <w:hideMark/>
          </w:tcPr>
          <w:p w14:paraId="1592FCC2" w14:textId="77777777" w:rsidR="0090428E" w:rsidRPr="00731EFC"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sidRPr="00731EFC">
              <w:rPr>
                <w:rFonts w:ascii="Calibri" w:eastAsia="Times New Roman" w:hAnsi="Calibri" w:cs="Times New Roman"/>
                <w:color w:val="000000"/>
                <w:lang w:eastAsia="en-AU"/>
              </w:rPr>
              <w:t>34,016</w:t>
            </w:r>
          </w:p>
        </w:tc>
      </w:tr>
      <w:tr w:rsidR="0090428E" w:rsidRPr="00731EFC" w14:paraId="43F3F578"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25DEC601" w14:textId="77777777" w:rsidR="0090428E" w:rsidRPr="00731EFC"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Employee costs (n=84[2016-17], 93[2017-18])</w:t>
            </w:r>
          </w:p>
        </w:tc>
        <w:tc>
          <w:tcPr>
            <w:tcW w:w="2268" w:type="dxa"/>
            <w:noWrap/>
          </w:tcPr>
          <w:p w14:paraId="6E5ED194" w14:textId="77777777" w:rsidR="0090428E" w:rsidRPr="002272C0"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lang w:eastAsia="en-AU"/>
              </w:rPr>
            </w:pPr>
            <w:r w:rsidRPr="002272C0">
              <w:rPr>
                <w:rFonts w:ascii="Calibri" w:hAnsi="Calibri"/>
                <w:color w:val="000000" w:themeColor="text1"/>
              </w:rPr>
              <w:t>-13,147</w:t>
            </w:r>
          </w:p>
        </w:tc>
        <w:tc>
          <w:tcPr>
            <w:tcW w:w="2126" w:type="dxa"/>
            <w:noWrap/>
          </w:tcPr>
          <w:p w14:paraId="469B03F7" w14:textId="77777777" w:rsidR="0090428E" w:rsidRPr="002272C0"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lang w:eastAsia="en-AU"/>
              </w:rPr>
            </w:pPr>
            <w:r w:rsidRPr="002272C0">
              <w:rPr>
                <w:rFonts w:ascii="Calibri" w:hAnsi="Calibri"/>
                <w:color w:val="000000" w:themeColor="text1"/>
              </w:rPr>
              <w:t>-14,500</w:t>
            </w:r>
          </w:p>
        </w:tc>
      </w:tr>
      <w:tr w:rsidR="0090428E" w:rsidRPr="00731EFC" w14:paraId="1CAFDBCA"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011CD52A" w14:textId="77777777" w:rsidR="0090428E"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Suppliers costs</w:t>
            </w:r>
          </w:p>
        </w:tc>
        <w:tc>
          <w:tcPr>
            <w:tcW w:w="2268" w:type="dxa"/>
            <w:noWrap/>
          </w:tcPr>
          <w:p w14:paraId="4A2A5432" w14:textId="77777777" w:rsidR="0090428E" w:rsidRPr="002272C0"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2272C0">
              <w:rPr>
                <w:rFonts w:ascii="Calibri" w:hAnsi="Calibri"/>
                <w:color w:val="000000" w:themeColor="text1"/>
              </w:rPr>
              <w:t>-14,485</w:t>
            </w:r>
          </w:p>
        </w:tc>
        <w:tc>
          <w:tcPr>
            <w:tcW w:w="2126" w:type="dxa"/>
            <w:noWrap/>
          </w:tcPr>
          <w:p w14:paraId="54ECD4E3" w14:textId="77777777" w:rsidR="0090428E" w:rsidRPr="002272C0"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2272C0">
              <w:rPr>
                <w:rFonts w:ascii="Calibri" w:hAnsi="Calibri"/>
                <w:color w:val="000000" w:themeColor="text1"/>
              </w:rPr>
              <w:t>-13,708</w:t>
            </w:r>
          </w:p>
        </w:tc>
      </w:tr>
      <w:tr w:rsidR="0090428E" w:rsidRPr="00731EFC" w14:paraId="50104146"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noWrap/>
          </w:tcPr>
          <w:p w14:paraId="218F8743" w14:textId="77777777" w:rsidR="0090428E"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Balance</w:t>
            </w:r>
          </w:p>
        </w:tc>
        <w:tc>
          <w:tcPr>
            <w:tcW w:w="2268" w:type="dxa"/>
            <w:noWrap/>
          </w:tcPr>
          <w:p w14:paraId="1A44D5A2" w14:textId="77777777" w:rsidR="0090428E"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FF0000"/>
              </w:rPr>
            </w:pPr>
            <w:r>
              <w:rPr>
                <w:rFonts w:ascii="Calibri" w:hAnsi="Calibri"/>
                <w:color w:val="000000"/>
              </w:rPr>
              <w:t>629</w:t>
            </w:r>
          </w:p>
        </w:tc>
        <w:tc>
          <w:tcPr>
            <w:tcW w:w="2126" w:type="dxa"/>
            <w:noWrap/>
          </w:tcPr>
          <w:p w14:paraId="5DC4557B" w14:textId="77777777" w:rsidR="0090428E"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FF0000"/>
              </w:rPr>
            </w:pPr>
            <w:r>
              <w:rPr>
                <w:rFonts w:ascii="Calibri" w:hAnsi="Calibri"/>
                <w:color w:val="000000"/>
              </w:rPr>
              <w:t>21,099</w:t>
            </w:r>
          </w:p>
        </w:tc>
      </w:tr>
    </w:tbl>
    <w:p w14:paraId="1AA5025C" w14:textId="77777777" w:rsidR="0090428E" w:rsidRDefault="0090428E" w:rsidP="0090428E"/>
    <w:p w14:paraId="4758346D" w14:textId="3D3A6D51" w:rsidR="0090428E" w:rsidRDefault="0090428E" w:rsidP="0090428E">
      <w:r>
        <w:t>Approximately, 47% of total funding is spent on employee remuneration and 51% is spent on supplier costs for ACARA with 84 and 93 employees in 2016-17 and 2017-18 respectively</w:t>
      </w:r>
      <w:r w:rsidR="005D40DD">
        <w:t>. T</w:t>
      </w:r>
      <w:r>
        <w:t>his leaves 2% of the remaining funding for all other costs ($565, 220.00) in 2016-17. Within this year</w:t>
      </w:r>
      <w:r w:rsidR="005D40DD">
        <w:t>,</w:t>
      </w:r>
      <w:r>
        <w:t xml:space="preserve"> the average cost per employee was $156,511.00. For the next financial year, there was a large increase in funding from other sources and hence the proportion of total funding spent on employee remuneration was lower at 29.4%, and 28% on supplier costs, leaving a larger proportion 43% for operational costs ($ 21,099,000.00) in 2017-18. In this financial year, the average cost per employee was like the previous year at $155,913.98. Therefore, additional funding received was not spent on employees or suppliers. </w:t>
      </w:r>
    </w:p>
    <w:p w14:paraId="36B3D4EB" w14:textId="7EFA9EFA" w:rsidR="00E264F4" w:rsidRDefault="0090428E" w:rsidP="00E264F4">
      <w:r>
        <w:t>For AITSL, who have different responsibilities to ACARA but receive somewhat similar proportions of government funding</w:t>
      </w:r>
      <w:r w:rsidR="005D40DD">
        <w:t>,</w:t>
      </w:r>
      <w:r>
        <w:t xml:space="preserve"> the proportions of funding spent on employees and suppliers were similar to ACARA. In 2016-17, approximately 55% of funding was spent on employee remuneration, and 44% was spent on supplier costs, leaving 1.1% for all other costs ($145,000.00). Within this year, the average cost per employee was $131,678.57. For the next financial year, funding amounts were relatively consistent, and 59% of total funds were spent on employees, and 40% on supplier costs. Average cost per employee was also consistent at $139,303.57.</w:t>
      </w:r>
      <w:r w:rsidR="00E264F4">
        <w:br w:type="page"/>
      </w:r>
    </w:p>
    <w:p w14:paraId="41819708" w14:textId="77777777" w:rsidR="001D14EA" w:rsidRDefault="001D14EA" w:rsidP="0090428E"/>
    <w:p w14:paraId="3725CF12" w14:textId="330BF78B" w:rsidR="0090428E" w:rsidRDefault="0090428E" w:rsidP="00813AA6">
      <w:pPr>
        <w:pStyle w:val="Caption2"/>
      </w:pPr>
      <w:bookmarkStart w:id="154" w:name="_Toc509950674"/>
      <w:bookmarkStart w:id="155" w:name="_Toc509951297"/>
      <w:r>
        <w:t xml:space="preserve">Table </w:t>
      </w:r>
      <w:fldSimple w:instr=" SEQ Table \* ARABIC ">
        <w:r w:rsidR="004240AA">
          <w:rPr>
            <w:noProof/>
          </w:rPr>
          <w:t>11</w:t>
        </w:r>
      </w:fldSimple>
      <w:r>
        <w:t>: Australian Government Budget 2017-18: AITSL</w:t>
      </w:r>
      <w:bookmarkEnd w:id="154"/>
      <w:bookmarkEnd w:id="155"/>
    </w:p>
    <w:tbl>
      <w:tblPr>
        <w:tblStyle w:val="TableGrid"/>
        <w:tblW w:w="8926" w:type="dxa"/>
        <w:tblLook w:val="04A0" w:firstRow="1" w:lastRow="0" w:firstColumn="1" w:lastColumn="0" w:noHBand="0" w:noVBand="1"/>
        <w:tblDescription w:val="Funding from government was $12.1 million in 2016-17 and $11.9 million in 2017-18.&#10;Funds from other sources were $1.3 million in 2016-17 and $1.4 million in 2017-18. &#10;&#10;Employee costs were $-7.4 million in 2016-17 and $-7.8 million in 2017-18. &#10;&#10;Supplier costs were $-5.9 million in 2016-17 and $-5.3 million in 2017-18.&#10;&#10;The total balance was $145,000 in 2016-17 and $132,000 in 2017-18. "/>
      </w:tblPr>
      <w:tblGrid>
        <w:gridCol w:w="3964"/>
        <w:gridCol w:w="2835"/>
        <w:gridCol w:w="2127"/>
      </w:tblGrid>
      <w:tr w:rsidR="00E833DA" w:rsidRPr="00E833DA" w14:paraId="3FDC7F9C"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085A767" w14:textId="77777777" w:rsidR="0090428E" w:rsidRPr="00E833DA" w:rsidRDefault="0090428E" w:rsidP="0090428E">
            <w:pPr>
              <w:spacing w:after="0" w:line="240" w:lineRule="auto"/>
              <w:rPr>
                <w:rFonts w:ascii="Times New Roman" w:eastAsia="Times New Roman" w:hAnsi="Times New Roman" w:cs="Times New Roman"/>
                <w:sz w:val="24"/>
                <w:szCs w:val="24"/>
                <w:lang w:eastAsia="en-AU"/>
              </w:rPr>
            </w:pPr>
          </w:p>
        </w:tc>
        <w:tc>
          <w:tcPr>
            <w:tcW w:w="2835" w:type="dxa"/>
            <w:noWrap/>
            <w:hideMark/>
          </w:tcPr>
          <w:p w14:paraId="6273E74B" w14:textId="77777777" w:rsidR="0090428E" w:rsidRPr="00E833DA" w:rsidRDefault="0090428E" w:rsidP="0090428E">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2016-2017 in $‘000</w:t>
            </w:r>
          </w:p>
        </w:tc>
        <w:tc>
          <w:tcPr>
            <w:tcW w:w="2127" w:type="dxa"/>
            <w:noWrap/>
            <w:hideMark/>
          </w:tcPr>
          <w:p w14:paraId="137D1006" w14:textId="77777777" w:rsidR="0090428E" w:rsidRPr="00E833DA" w:rsidRDefault="0090428E" w:rsidP="0090428E">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2017-18 in $‘000</w:t>
            </w:r>
          </w:p>
        </w:tc>
      </w:tr>
      <w:tr w:rsidR="0090428E" w:rsidRPr="007D5EFF" w14:paraId="50DFA7F8"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hideMark/>
          </w:tcPr>
          <w:p w14:paraId="09185DD0" w14:textId="77777777" w:rsidR="0090428E" w:rsidRPr="007D5EFF"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Funding from government</w:t>
            </w:r>
          </w:p>
        </w:tc>
        <w:tc>
          <w:tcPr>
            <w:tcW w:w="2835" w:type="dxa"/>
            <w:noWrap/>
            <w:hideMark/>
          </w:tcPr>
          <w:p w14:paraId="06D3BBC0" w14:textId="77777777" w:rsidR="0090428E" w:rsidRPr="007D5EFF"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12,061</w:t>
            </w:r>
            <w:r w:rsidRPr="007D5EFF">
              <w:rPr>
                <w:rFonts w:ascii="Calibri" w:eastAsia="Times New Roman" w:hAnsi="Calibri" w:cs="Times New Roman"/>
                <w:color w:val="000000"/>
                <w:lang w:eastAsia="en-AU"/>
              </w:rPr>
              <w:t xml:space="preserve"> </w:t>
            </w:r>
          </w:p>
        </w:tc>
        <w:tc>
          <w:tcPr>
            <w:tcW w:w="2127" w:type="dxa"/>
            <w:noWrap/>
            <w:hideMark/>
          </w:tcPr>
          <w:p w14:paraId="03D6574C" w14:textId="77777777" w:rsidR="0090428E" w:rsidRPr="007D5EFF"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 xml:space="preserve">11,861 </w:t>
            </w:r>
          </w:p>
        </w:tc>
      </w:tr>
      <w:tr w:rsidR="0090428E" w:rsidRPr="007D5EFF" w14:paraId="0689F9D9"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F3BB920" w14:textId="77777777" w:rsidR="0090428E" w:rsidRPr="007D5EFF" w:rsidRDefault="0090428E" w:rsidP="0090428E">
            <w:pPr>
              <w:spacing w:after="0" w:line="240" w:lineRule="auto"/>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Funds from other sources</w:t>
            </w:r>
          </w:p>
        </w:tc>
        <w:tc>
          <w:tcPr>
            <w:tcW w:w="2835" w:type="dxa"/>
            <w:noWrap/>
            <w:hideMark/>
          </w:tcPr>
          <w:p w14:paraId="2139C6E9" w14:textId="77777777" w:rsidR="0090428E" w:rsidRPr="007D5EFF" w:rsidRDefault="0090428E" w:rsidP="0090428E">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 xml:space="preserve">1,350 </w:t>
            </w:r>
          </w:p>
        </w:tc>
        <w:tc>
          <w:tcPr>
            <w:tcW w:w="2127" w:type="dxa"/>
            <w:noWrap/>
            <w:hideMark/>
          </w:tcPr>
          <w:p w14:paraId="40909AA8" w14:textId="77777777" w:rsidR="0090428E" w:rsidRPr="007D5EFF" w:rsidRDefault="0090428E" w:rsidP="0090428E">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 xml:space="preserve">1,376 </w:t>
            </w:r>
          </w:p>
        </w:tc>
      </w:tr>
      <w:tr w:rsidR="0090428E" w:rsidRPr="007D5EFF" w14:paraId="43AAE55F"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tcPr>
          <w:p w14:paraId="7642B300" w14:textId="77777777" w:rsidR="0090428E" w:rsidRPr="007D5EFF"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Employee costs (n= 56)</w:t>
            </w:r>
          </w:p>
        </w:tc>
        <w:tc>
          <w:tcPr>
            <w:tcW w:w="2835" w:type="dxa"/>
            <w:noWrap/>
          </w:tcPr>
          <w:p w14:paraId="77D9F78A" w14:textId="77777777" w:rsidR="0090428E" w:rsidRPr="002272C0"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lang w:eastAsia="en-AU"/>
              </w:rPr>
            </w:pPr>
            <w:r>
              <w:rPr>
                <w:rFonts w:ascii="Calibri" w:hAnsi="Calibri"/>
                <w:color w:val="000000" w:themeColor="text1"/>
              </w:rPr>
              <w:t>-</w:t>
            </w:r>
            <w:r w:rsidRPr="002272C0">
              <w:rPr>
                <w:rFonts w:ascii="Calibri" w:hAnsi="Calibri"/>
                <w:color w:val="000000" w:themeColor="text1"/>
              </w:rPr>
              <w:t xml:space="preserve">7,374 </w:t>
            </w:r>
          </w:p>
        </w:tc>
        <w:tc>
          <w:tcPr>
            <w:tcW w:w="2127" w:type="dxa"/>
            <w:noWrap/>
          </w:tcPr>
          <w:p w14:paraId="7FFA62BD" w14:textId="77777777" w:rsidR="0090428E" w:rsidRPr="002272C0"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lang w:eastAsia="en-AU"/>
              </w:rPr>
            </w:pPr>
            <w:r>
              <w:rPr>
                <w:rFonts w:ascii="Calibri" w:hAnsi="Calibri"/>
                <w:color w:val="000000" w:themeColor="text1"/>
              </w:rPr>
              <w:t>-</w:t>
            </w:r>
            <w:r w:rsidRPr="002272C0">
              <w:rPr>
                <w:rFonts w:ascii="Calibri" w:hAnsi="Calibri"/>
                <w:color w:val="000000" w:themeColor="text1"/>
              </w:rPr>
              <w:t xml:space="preserve">7,801 </w:t>
            </w:r>
          </w:p>
        </w:tc>
      </w:tr>
      <w:tr w:rsidR="0090428E" w:rsidRPr="007D5EFF" w14:paraId="52C4C96D"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tcPr>
          <w:p w14:paraId="0E2E38F8" w14:textId="77777777" w:rsidR="0090428E"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Suppliers costs</w:t>
            </w:r>
          </w:p>
        </w:tc>
        <w:tc>
          <w:tcPr>
            <w:tcW w:w="2835" w:type="dxa"/>
            <w:noWrap/>
          </w:tcPr>
          <w:p w14:paraId="1E4C3233" w14:textId="77777777" w:rsidR="0090428E" w:rsidRPr="002272C0" w:rsidRDefault="0090428E" w:rsidP="0090428E">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themeColor="text1"/>
                <w:lang w:eastAsia="en-AU"/>
              </w:rPr>
            </w:pPr>
            <w:r>
              <w:rPr>
                <w:rFonts w:ascii="Calibri" w:hAnsi="Calibri"/>
                <w:color w:val="000000" w:themeColor="text1"/>
              </w:rPr>
              <w:t>-</w:t>
            </w:r>
            <w:r w:rsidRPr="002272C0">
              <w:rPr>
                <w:rFonts w:ascii="Calibri" w:hAnsi="Calibri"/>
                <w:color w:val="000000" w:themeColor="text1"/>
              </w:rPr>
              <w:t xml:space="preserve">5,892 </w:t>
            </w:r>
          </w:p>
        </w:tc>
        <w:tc>
          <w:tcPr>
            <w:tcW w:w="2127" w:type="dxa"/>
            <w:noWrap/>
          </w:tcPr>
          <w:p w14:paraId="6C2E9987" w14:textId="77777777" w:rsidR="0090428E" w:rsidRPr="002272C0" w:rsidRDefault="0090428E" w:rsidP="0090428E">
            <w:pPr>
              <w:spacing w:after="0" w:line="240" w:lineRule="auto"/>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themeColor="text1"/>
                <w:lang w:eastAsia="en-AU"/>
              </w:rPr>
            </w:pPr>
            <w:r>
              <w:rPr>
                <w:rFonts w:ascii="Calibri" w:hAnsi="Calibri"/>
                <w:color w:val="000000" w:themeColor="text1"/>
              </w:rPr>
              <w:t>-</w:t>
            </w:r>
            <w:r w:rsidRPr="002272C0">
              <w:rPr>
                <w:rFonts w:ascii="Calibri" w:hAnsi="Calibri"/>
                <w:color w:val="000000" w:themeColor="text1"/>
              </w:rPr>
              <w:t xml:space="preserve">5,304 </w:t>
            </w:r>
          </w:p>
        </w:tc>
      </w:tr>
      <w:tr w:rsidR="0090428E" w:rsidRPr="007D5EFF" w14:paraId="16FF1C8E"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tcPr>
          <w:p w14:paraId="62703E53" w14:textId="77777777" w:rsidR="0090428E"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Balance</w:t>
            </w:r>
          </w:p>
        </w:tc>
        <w:tc>
          <w:tcPr>
            <w:tcW w:w="2835" w:type="dxa"/>
            <w:noWrap/>
          </w:tcPr>
          <w:p w14:paraId="0713ED4B" w14:textId="77777777" w:rsidR="0090428E" w:rsidRPr="007D5EFF"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hAnsi="Calibri"/>
                <w:color w:val="000000"/>
              </w:rPr>
              <w:t xml:space="preserve">145 </w:t>
            </w:r>
          </w:p>
        </w:tc>
        <w:tc>
          <w:tcPr>
            <w:tcW w:w="2127" w:type="dxa"/>
            <w:noWrap/>
          </w:tcPr>
          <w:p w14:paraId="22830262" w14:textId="77777777" w:rsidR="0090428E" w:rsidRPr="007D5EFF" w:rsidRDefault="0090428E" w:rsidP="0090428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hAnsi="Calibri"/>
                <w:color w:val="000000"/>
              </w:rPr>
              <w:t xml:space="preserve">132 </w:t>
            </w:r>
          </w:p>
        </w:tc>
      </w:tr>
    </w:tbl>
    <w:p w14:paraId="53F73AD8" w14:textId="77777777" w:rsidR="0090428E" w:rsidRDefault="0090428E" w:rsidP="0090428E"/>
    <w:p w14:paraId="4E994057" w14:textId="77777777" w:rsidR="0090428E" w:rsidRDefault="0090428E" w:rsidP="0090428E">
      <w:r>
        <w:t xml:space="preserve">To give an indication of education research funding, the Australian Research Council (ARC) budgets were examined. While ACARA and AITSL do commission some research and evaluation studies, it is not their remit to fund large programs of research. A review of the ARC budget and the National Competitive Grants Program Dataset was conducted to identify the number of discovery and linkage projects receiving funding across the financial years. It should be noted that while fellowships were included in the register they were funded by a combination of discovery and linkage funding and hence are not noted in the table below. </w:t>
      </w:r>
    </w:p>
    <w:p w14:paraId="68463B92" w14:textId="7E73EA95" w:rsidR="0090428E" w:rsidRDefault="0090428E" w:rsidP="00813AA6">
      <w:pPr>
        <w:pStyle w:val="Caption2"/>
      </w:pPr>
      <w:bookmarkStart w:id="156" w:name="_Toc509950675"/>
      <w:bookmarkStart w:id="157" w:name="_Toc509951298"/>
      <w:r>
        <w:t xml:space="preserve">Table </w:t>
      </w:r>
      <w:fldSimple w:instr=" SEQ Table \* ARABIC ">
        <w:r w:rsidR="004240AA">
          <w:rPr>
            <w:noProof/>
          </w:rPr>
          <w:t>12</w:t>
        </w:r>
      </w:fldSimple>
      <w:r>
        <w:t>: Australian Government Budget 2017-18: ARC</w:t>
      </w:r>
      <w:bookmarkEnd w:id="156"/>
      <w:bookmarkEnd w:id="157"/>
    </w:p>
    <w:tbl>
      <w:tblPr>
        <w:tblStyle w:val="TableGrid"/>
        <w:tblW w:w="0" w:type="auto"/>
        <w:tblLook w:val="04A0" w:firstRow="1" w:lastRow="0" w:firstColumn="1" w:lastColumn="0" w:noHBand="0" w:noVBand="1"/>
        <w:tblDescription w:val="Discovery grants were $483 million in 2016-17 for 827 projects, $494 million in 2017-8 for 830 projects, $495 million in 2018-19 for 197 projects, $513 million in 2019-20 with projects numbers not determined, and $524 million in 2020-21 with project numbers not determined. &#10;Linkage grants were $264 million in 2016-17 with 237 projects, $267 million in 2017-18 with 97 projects, $267 million in 2018-19 with 56 projects, $277 million in 2019-20 with projects numbers not determined, and $282 million in 2020-21 with project numbers not determined. &#10;&#10;Departmental expenses were $26 million in 2016-17, $25 million in 2017-18, $25 million in 2018-19, $24 million in 2019-20 and $24 million in 2020-21. "/>
      </w:tblPr>
      <w:tblGrid>
        <w:gridCol w:w="2263"/>
        <w:gridCol w:w="1418"/>
        <w:gridCol w:w="1423"/>
        <w:gridCol w:w="1412"/>
        <w:gridCol w:w="1137"/>
        <w:gridCol w:w="1363"/>
      </w:tblGrid>
      <w:tr w:rsidR="00E833DA" w:rsidRPr="00E833DA" w14:paraId="3FAA3DC7" w14:textId="77777777" w:rsidTr="00CF668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9683471" w14:textId="77777777" w:rsidR="0090428E" w:rsidRPr="00E833DA" w:rsidRDefault="0090428E" w:rsidP="0090428E">
            <w:pPr>
              <w:spacing w:after="0" w:line="240" w:lineRule="auto"/>
              <w:rPr>
                <w:rFonts w:ascii="Times New Roman" w:eastAsia="Times New Roman" w:hAnsi="Times New Roman" w:cs="Times New Roman"/>
                <w:sz w:val="24"/>
                <w:szCs w:val="24"/>
                <w:lang w:eastAsia="en-AU"/>
              </w:rPr>
            </w:pPr>
          </w:p>
        </w:tc>
        <w:tc>
          <w:tcPr>
            <w:tcW w:w="1418" w:type="dxa"/>
            <w:noWrap/>
            <w:hideMark/>
          </w:tcPr>
          <w:p w14:paraId="5DB0BC2C"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2016-17</w:t>
            </w:r>
          </w:p>
          <w:p w14:paraId="602FDE1E"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in $‘000</w:t>
            </w:r>
          </w:p>
        </w:tc>
        <w:tc>
          <w:tcPr>
            <w:tcW w:w="1423" w:type="dxa"/>
            <w:noWrap/>
            <w:hideMark/>
          </w:tcPr>
          <w:p w14:paraId="27690196"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2017-18</w:t>
            </w:r>
          </w:p>
          <w:p w14:paraId="026EA56C"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in $‘000</w:t>
            </w:r>
          </w:p>
        </w:tc>
        <w:tc>
          <w:tcPr>
            <w:tcW w:w="1412" w:type="dxa"/>
            <w:noWrap/>
            <w:hideMark/>
          </w:tcPr>
          <w:p w14:paraId="69CCD01D"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2018-2019</w:t>
            </w:r>
          </w:p>
          <w:p w14:paraId="7158C4FF"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in $‘000</w:t>
            </w:r>
          </w:p>
        </w:tc>
        <w:tc>
          <w:tcPr>
            <w:tcW w:w="1137" w:type="dxa"/>
            <w:noWrap/>
            <w:hideMark/>
          </w:tcPr>
          <w:p w14:paraId="758A6105"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2019-20</w:t>
            </w:r>
          </w:p>
          <w:p w14:paraId="58B8FCB8"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in $‘000</w:t>
            </w:r>
          </w:p>
        </w:tc>
        <w:tc>
          <w:tcPr>
            <w:tcW w:w="1363" w:type="dxa"/>
            <w:noWrap/>
            <w:hideMark/>
          </w:tcPr>
          <w:p w14:paraId="4BC3FB15"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2020-21</w:t>
            </w:r>
          </w:p>
          <w:p w14:paraId="38841F1C" w14:textId="77777777" w:rsidR="0090428E" w:rsidRPr="00E833DA" w:rsidRDefault="0090428E" w:rsidP="009042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AU"/>
              </w:rPr>
            </w:pPr>
            <w:r w:rsidRPr="00E833DA">
              <w:rPr>
                <w:rFonts w:ascii="Calibri" w:eastAsia="Times New Roman" w:hAnsi="Calibri" w:cs="Times New Roman"/>
                <w:lang w:eastAsia="en-AU"/>
              </w:rPr>
              <w:t>in $‘000</w:t>
            </w:r>
          </w:p>
        </w:tc>
      </w:tr>
      <w:tr w:rsidR="0090428E" w:rsidRPr="007D5EFF" w14:paraId="17E3E275"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vMerge w:val="restart"/>
            <w:noWrap/>
            <w:hideMark/>
          </w:tcPr>
          <w:p w14:paraId="0110D583" w14:textId="77777777" w:rsidR="0090428E" w:rsidRPr="007D5EFF" w:rsidRDefault="0090428E" w:rsidP="0090428E">
            <w:pPr>
              <w:spacing w:after="0" w:line="240" w:lineRule="auto"/>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Discovery grants</w:t>
            </w:r>
          </w:p>
        </w:tc>
        <w:tc>
          <w:tcPr>
            <w:tcW w:w="1418" w:type="dxa"/>
            <w:noWrap/>
            <w:hideMark/>
          </w:tcPr>
          <w:p w14:paraId="7DDBAA60"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482</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502</w:t>
            </w:r>
          </w:p>
        </w:tc>
        <w:tc>
          <w:tcPr>
            <w:tcW w:w="1423" w:type="dxa"/>
            <w:noWrap/>
            <w:hideMark/>
          </w:tcPr>
          <w:p w14:paraId="6F241005"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493,858</w:t>
            </w:r>
          </w:p>
        </w:tc>
        <w:tc>
          <w:tcPr>
            <w:tcW w:w="1412" w:type="dxa"/>
            <w:noWrap/>
            <w:hideMark/>
          </w:tcPr>
          <w:p w14:paraId="558791D1"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494</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856</w:t>
            </w:r>
          </w:p>
        </w:tc>
        <w:tc>
          <w:tcPr>
            <w:tcW w:w="1137" w:type="dxa"/>
            <w:noWrap/>
            <w:hideMark/>
          </w:tcPr>
          <w:p w14:paraId="4CF1DE75"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512,711</w:t>
            </w:r>
          </w:p>
        </w:tc>
        <w:tc>
          <w:tcPr>
            <w:tcW w:w="1363" w:type="dxa"/>
            <w:noWrap/>
            <w:hideMark/>
          </w:tcPr>
          <w:p w14:paraId="75F01F0B"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523</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737</w:t>
            </w:r>
          </w:p>
        </w:tc>
      </w:tr>
      <w:tr w:rsidR="0090428E" w:rsidRPr="007D5EFF" w14:paraId="00AB00AB"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vMerge/>
            <w:noWrap/>
          </w:tcPr>
          <w:p w14:paraId="1C7366EA" w14:textId="77777777" w:rsidR="0090428E" w:rsidRPr="007D5EFF" w:rsidRDefault="0090428E" w:rsidP="0090428E">
            <w:pPr>
              <w:spacing w:after="0" w:line="240" w:lineRule="auto"/>
              <w:rPr>
                <w:rFonts w:ascii="Calibri" w:eastAsia="Times New Roman" w:hAnsi="Calibri" w:cs="Times New Roman"/>
                <w:color w:val="000000"/>
                <w:lang w:eastAsia="en-AU"/>
              </w:rPr>
            </w:pPr>
          </w:p>
        </w:tc>
        <w:tc>
          <w:tcPr>
            <w:tcW w:w="1418" w:type="dxa"/>
            <w:noWrap/>
          </w:tcPr>
          <w:p w14:paraId="123FF2A2"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827 projects</w:t>
            </w:r>
          </w:p>
        </w:tc>
        <w:tc>
          <w:tcPr>
            <w:tcW w:w="1423" w:type="dxa"/>
            <w:noWrap/>
          </w:tcPr>
          <w:p w14:paraId="3A4BD93D"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830 projects</w:t>
            </w:r>
          </w:p>
        </w:tc>
        <w:tc>
          <w:tcPr>
            <w:tcW w:w="1412" w:type="dxa"/>
            <w:noWrap/>
          </w:tcPr>
          <w:p w14:paraId="0AD9CF55" w14:textId="77777777" w:rsidR="0090428E"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197 projects</w:t>
            </w:r>
          </w:p>
        </w:tc>
        <w:tc>
          <w:tcPr>
            <w:tcW w:w="1137" w:type="dxa"/>
            <w:noWrap/>
          </w:tcPr>
          <w:p w14:paraId="60F39F02"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ND</w:t>
            </w:r>
          </w:p>
        </w:tc>
        <w:tc>
          <w:tcPr>
            <w:tcW w:w="1363" w:type="dxa"/>
            <w:noWrap/>
          </w:tcPr>
          <w:p w14:paraId="7D27F33A" w14:textId="77777777" w:rsidR="0090428E"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ND</w:t>
            </w:r>
          </w:p>
        </w:tc>
      </w:tr>
      <w:tr w:rsidR="0090428E" w:rsidRPr="007D5EFF" w14:paraId="523DE48D"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vMerge w:val="restart"/>
            <w:noWrap/>
            <w:hideMark/>
          </w:tcPr>
          <w:p w14:paraId="3B4558B1" w14:textId="77777777" w:rsidR="0090428E" w:rsidRPr="007D5EFF" w:rsidRDefault="0090428E" w:rsidP="0090428E">
            <w:pPr>
              <w:spacing w:after="0" w:line="240" w:lineRule="auto"/>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Linkage</w:t>
            </w:r>
            <w:r>
              <w:rPr>
                <w:rFonts w:ascii="Calibri" w:eastAsia="Times New Roman" w:hAnsi="Calibri" w:cs="Times New Roman"/>
                <w:color w:val="000000"/>
                <w:lang w:eastAsia="en-AU"/>
              </w:rPr>
              <w:t xml:space="preserve"> grants</w:t>
            </w:r>
          </w:p>
        </w:tc>
        <w:tc>
          <w:tcPr>
            <w:tcW w:w="1418" w:type="dxa"/>
            <w:noWrap/>
            <w:hideMark/>
          </w:tcPr>
          <w:p w14:paraId="6E685D75"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264</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428</w:t>
            </w:r>
          </w:p>
        </w:tc>
        <w:tc>
          <w:tcPr>
            <w:tcW w:w="1423" w:type="dxa"/>
            <w:noWrap/>
            <w:hideMark/>
          </w:tcPr>
          <w:p w14:paraId="34D65108"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266</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768</w:t>
            </w:r>
          </w:p>
        </w:tc>
        <w:tc>
          <w:tcPr>
            <w:tcW w:w="1412" w:type="dxa"/>
            <w:noWrap/>
            <w:hideMark/>
          </w:tcPr>
          <w:p w14:paraId="1CEF7FBE"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267,334</w:t>
            </w:r>
          </w:p>
        </w:tc>
        <w:tc>
          <w:tcPr>
            <w:tcW w:w="1137" w:type="dxa"/>
            <w:noWrap/>
            <w:hideMark/>
          </w:tcPr>
          <w:p w14:paraId="2B045BB7"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sidRPr="007D5EFF">
              <w:rPr>
                <w:rFonts w:ascii="Calibri" w:eastAsia="Times New Roman" w:hAnsi="Calibri" w:cs="Times New Roman"/>
                <w:color w:val="000000"/>
                <w:lang w:eastAsia="en-AU"/>
              </w:rPr>
              <w:t>276</w:t>
            </w:r>
            <w:r>
              <w:rPr>
                <w:rFonts w:ascii="Calibri" w:eastAsia="Times New Roman" w:hAnsi="Calibri" w:cs="Times New Roman"/>
                <w:color w:val="000000"/>
                <w:lang w:eastAsia="en-AU"/>
              </w:rPr>
              <w:t>,</w:t>
            </w:r>
            <w:r w:rsidRPr="007D5EFF">
              <w:rPr>
                <w:rFonts w:ascii="Calibri" w:eastAsia="Times New Roman" w:hAnsi="Calibri" w:cs="Times New Roman"/>
                <w:color w:val="000000"/>
                <w:lang w:eastAsia="en-AU"/>
              </w:rPr>
              <w:t>968</w:t>
            </w:r>
          </w:p>
        </w:tc>
        <w:tc>
          <w:tcPr>
            <w:tcW w:w="1363" w:type="dxa"/>
            <w:noWrap/>
            <w:hideMark/>
          </w:tcPr>
          <w:p w14:paraId="613F3E17"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282,297</w:t>
            </w:r>
          </w:p>
        </w:tc>
      </w:tr>
      <w:tr w:rsidR="0090428E" w:rsidRPr="007D5EFF" w14:paraId="1DE057AC" w14:textId="77777777" w:rsidTr="00E833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vMerge/>
            <w:noWrap/>
          </w:tcPr>
          <w:p w14:paraId="2B75DA27" w14:textId="77777777" w:rsidR="0090428E" w:rsidRPr="007D5EFF" w:rsidRDefault="0090428E" w:rsidP="0090428E">
            <w:pPr>
              <w:spacing w:after="0" w:line="240" w:lineRule="auto"/>
              <w:rPr>
                <w:rFonts w:ascii="Calibri" w:eastAsia="Times New Roman" w:hAnsi="Calibri" w:cs="Times New Roman"/>
                <w:color w:val="000000"/>
                <w:lang w:eastAsia="en-AU"/>
              </w:rPr>
            </w:pPr>
          </w:p>
        </w:tc>
        <w:tc>
          <w:tcPr>
            <w:tcW w:w="1418" w:type="dxa"/>
            <w:noWrap/>
          </w:tcPr>
          <w:p w14:paraId="633ED758"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237 projects</w:t>
            </w:r>
          </w:p>
        </w:tc>
        <w:tc>
          <w:tcPr>
            <w:tcW w:w="1423" w:type="dxa"/>
            <w:noWrap/>
          </w:tcPr>
          <w:p w14:paraId="7CD82840"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97 projects</w:t>
            </w:r>
          </w:p>
        </w:tc>
        <w:tc>
          <w:tcPr>
            <w:tcW w:w="1412" w:type="dxa"/>
            <w:noWrap/>
          </w:tcPr>
          <w:p w14:paraId="0B8D24ED" w14:textId="77777777" w:rsidR="0090428E"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56 projects</w:t>
            </w:r>
          </w:p>
        </w:tc>
        <w:tc>
          <w:tcPr>
            <w:tcW w:w="1137" w:type="dxa"/>
            <w:noWrap/>
          </w:tcPr>
          <w:p w14:paraId="40CE4D5F" w14:textId="77777777" w:rsidR="0090428E" w:rsidRPr="007D5EFF"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ND</w:t>
            </w:r>
          </w:p>
        </w:tc>
        <w:tc>
          <w:tcPr>
            <w:tcW w:w="1363" w:type="dxa"/>
            <w:noWrap/>
          </w:tcPr>
          <w:p w14:paraId="457B14F8" w14:textId="77777777" w:rsidR="0090428E" w:rsidRDefault="0090428E" w:rsidP="0090428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ND</w:t>
            </w:r>
          </w:p>
        </w:tc>
      </w:tr>
      <w:tr w:rsidR="0090428E" w:rsidRPr="007D5EFF" w14:paraId="54E4AEDD" w14:textId="77777777" w:rsidTr="00E83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noWrap/>
          </w:tcPr>
          <w:p w14:paraId="42901256" w14:textId="77777777" w:rsidR="0090428E" w:rsidRPr="007D5EFF" w:rsidRDefault="0090428E" w:rsidP="0090428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Departmental expenses</w:t>
            </w:r>
          </w:p>
        </w:tc>
        <w:tc>
          <w:tcPr>
            <w:tcW w:w="1418" w:type="dxa"/>
            <w:noWrap/>
          </w:tcPr>
          <w:p w14:paraId="2C1C5791"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26, 262</w:t>
            </w:r>
          </w:p>
        </w:tc>
        <w:tc>
          <w:tcPr>
            <w:tcW w:w="1423" w:type="dxa"/>
            <w:noWrap/>
          </w:tcPr>
          <w:p w14:paraId="565825D9"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25, 311</w:t>
            </w:r>
          </w:p>
        </w:tc>
        <w:tc>
          <w:tcPr>
            <w:tcW w:w="1412" w:type="dxa"/>
            <w:noWrap/>
          </w:tcPr>
          <w:p w14:paraId="0EB0DD50"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24, 913</w:t>
            </w:r>
          </w:p>
        </w:tc>
        <w:tc>
          <w:tcPr>
            <w:tcW w:w="1137" w:type="dxa"/>
            <w:noWrap/>
          </w:tcPr>
          <w:p w14:paraId="3226F39F"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24, 479</w:t>
            </w:r>
          </w:p>
        </w:tc>
        <w:tc>
          <w:tcPr>
            <w:tcW w:w="1363" w:type="dxa"/>
            <w:noWrap/>
          </w:tcPr>
          <w:p w14:paraId="1B5CDF06" w14:textId="77777777" w:rsidR="0090428E" w:rsidRPr="007D5EFF" w:rsidRDefault="0090428E" w:rsidP="009042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rPr>
            </w:pPr>
            <w:r>
              <w:rPr>
                <w:rFonts w:ascii="Calibri" w:eastAsia="Times New Roman" w:hAnsi="Calibri" w:cs="Times New Roman"/>
                <w:color w:val="000000"/>
                <w:lang w:eastAsia="en-AU"/>
              </w:rPr>
              <w:t>24, 306</w:t>
            </w:r>
          </w:p>
        </w:tc>
      </w:tr>
    </w:tbl>
    <w:p w14:paraId="64152B46" w14:textId="77777777" w:rsidR="0090428E" w:rsidRDefault="0090428E" w:rsidP="0090428E"/>
    <w:p w14:paraId="1B2A1837" w14:textId="27C5279B" w:rsidR="0090428E" w:rsidRDefault="0090428E" w:rsidP="0090428E">
      <w:r>
        <w:t>While costs vary according to size and reach of each organisation</w:t>
      </w:r>
      <w:r w:rsidR="005D40DD">
        <w:t>,</w:t>
      </w:r>
      <w:r>
        <w:t xml:space="preserve"> the above figures provide a starting p</w:t>
      </w:r>
      <w:r w:rsidR="005D40DD">
        <w:t>oint</w:t>
      </w:r>
      <w:r>
        <w:t xml:space="preserve"> to estimate the potential cost of an evidence</w:t>
      </w:r>
      <w:r w:rsidR="005D40DD">
        <w:t>-</w:t>
      </w:r>
      <w:r>
        <w:t>based institution. Furthermore, there are lessons to</w:t>
      </w:r>
      <w:r w:rsidR="005D40DD">
        <w:t xml:space="preserve"> be</w:t>
      </w:r>
      <w:r>
        <w:t xml:space="preserve"> learned about setting targets, infrastructures and potential pitfalls of not realistically budgeting.</w:t>
      </w:r>
    </w:p>
    <w:p w14:paraId="38EFAC28" w14:textId="77777777" w:rsidR="0090428E" w:rsidRDefault="0090428E" w:rsidP="0090428E">
      <w:r>
        <w:t xml:space="preserve">It is interesting to note there is little information about collaborative activities, other that most interviewees would suggest that “collaboration comes at a cost.” </w:t>
      </w:r>
    </w:p>
    <w:p w14:paraId="5DAC3A85" w14:textId="77777777" w:rsidR="0090428E" w:rsidRDefault="0090428E" w:rsidP="00E833DA">
      <w:pPr>
        <w:pStyle w:val="Heading3"/>
      </w:pPr>
      <w:bookmarkStart w:id="158" w:name="_Toc509950676"/>
      <w:r>
        <w:t>Financial performance monitoring and accountability</w:t>
      </w:r>
      <w:bookmarkEnd w:id="158"/>
      <w:r>
        <w:t xml:space="preserve"> </w:t>
      </w:r>
    </w:p>
    <w:p w14:paraId="334DDECD" w14:textId="77777777" w:rsidR="0090428E" w:rsidRDefault="0090428E" w:rsidP="0090428E">
      <w:r>
        <w:t xml:space="preserve">While it has not been recommended for a national evidence institution to employ entirely market-oriented and competitive strategy, it has been recommended that the institution incorporate environmental forecasting. This also needs to be incorporated into financial performance monitoring and accountability, thus financial performance involves a combination of monitoring how funds are being used, as well as modelling future funding requirements to ensure that funders can be informed about top-up funding that may be needed for the target to be achieved within the specified timeframe. For this to occur, sophisticated financial analysis needs to be embedded in the infrastructure and functioning of the institution. In many ways, what is required is a well-developed executive that would be evident in a financial institution, such as an investment bank. While the goal for the institution should not be ‘profit’ in monetary terms, ‘profit’ can be thought of as evidence-based practice and improved student outcomes, and therefore making use of financial models and </w:t>
      </w:r>
      <w:r>
        <w:lastRenderedPageBreak/>
        <w:t xml:space="preserve">sophisticated modelling can be applied to forecast and predict additional resources that may be required to achieve the desired impact. Approaches such as impact investing may also be applied, which is being utilised at SVA (SVA, </w:t>
      </w:r>
      <w:proofErr w:type="spellStart"/>
      <w:r>
        <w:t>n.d.</w:t>
      </w:r>
      <w:proofErr w:type="spellEnd"/>
      <w:r>
        <w:t xml:space="preserve">). </w:t>
      </w:r>
    </w:p>
    <w:p w14:paraId="4D693A2F" w14:textId="30FBFAA7" w:rsidR="0090428E" w:rsidRDefault="0090428E" w:rsidP="0090428E">
      <w:r>
        <w:t>Operationally, it would be important to embed a sophisticated and ideally independent group to ensure high quality financial performance monitoring, modelling and accountability occurs regular</w:t>
      </w:r>
      <w:r w:rsidR="001D14EA">
        <w:t xml:space="preserve">ly throughout the operations - </w:t>
      </w:r>
      <w:r>
        <w:t>in addition to when external funders may commission external audits. EEF partners with Goldman Sachs as their independent group</w:t>
      </w:r>
      <w:r w:rsidR="005D40DD">
        <w:t>,</w:t>
      </w:r>
      <w:r>
        <w:t xml:space="preserve"> which is responsible for financial monitoring and reports to the CEO and executive governance group (EEF, </w:t>
      </w:r>
      <w:proofErr w:type="spellStart"/>
      <w:r>
        <w:t>n.da</w:t>
      </w:r>
      <w:proofErr w:type="spellEnd"/>
      <w:r>
        <w:t xml:space="preserve">; EEF, </w:t>
      </w:r>
      <w:proofErr w:type="spellStart"/>
      <w:r>
        <w:t>n.db</w:t>
      </w:r>
      <w:proofErr w:type="spellEnd"/>
      <w:r>
        <w:t xml:space="preserve">; EEF, </w:t>
      </w:r>
      <w:proofErr w:type="spellStart"/>
      <w:r>
        <w:t>n.dc</w:t>
      </w:r>
      <w:proofErr w:type="spellEnd"/>
      <w:r>
        <w:t xml:space="preserve">). </w:t>
      </w:r>
    </w:p>
    <w:p w14:paraId="58EA0380" w14:textId="101941AA" w:rsidR="0090428E" w:rsidRPr="007D46D3" w:rsidRDefault="0090428E" w:rsidP="00813AA6">
      <w:pPr>
        <w:pStyle w:val="Caption2"/>
      </w:pPr>
      <w:bookmarkStart w:id="159" w:name="_Toc509950677"/>
      <w:bookmarkStart w:id="160" w:name="_Toc509951299"/>
      <w:r>
        <w:t xml:space="preserve">Table </w:t>
      </w:r>
      <w:fldSimple w:instr=" SEQ Table \* ARABIC ">
        <w:r w:rsidR="004240AA">
          <w:rPr>
            <w:noProof/>
          </w:rPr>
          <w:t>13</w:t>
        </w:r>
      </w:fldSimple>
      <w:r>
        <w:t xml:space="preserve">: </w:t>
      </w:r>
      <w:r w:rsidRPr="007D46D3">
        <w:t>Suggested costs of needs-analysis/environmental forecasting</w:t>
      </w:r>
      <w:bookmarkEnd w:id="159"/>
      <w:bookmarkEnd w:id="160"/>
    </w:p>
    <w:tbl>
      <w:tblPr>
        <w:tblStyle w:val="TableGrid"/>
        <w:tblW w:w="0" w:type="auto"/>
        <w:tblLook w:val="04A0" w:firstRow="1" w:lastRow="0" w:firstColumn="1" w:lastColumn="0" w:noHBand="0" w:noVBand="1"/>
        <w:tblDescription w:val="Study type: Evidence reviews, estimated costs around $80,000.&#10;Study type: Developmental projects (pilot, feasibility studies, formative evaluation), estimated costs around $200,000. &#10;Study type: Efficacy studies, estimated costs around $500,000. &#10;Study type: Effectiveness studies, estimated costs around $1 million."/>
      </w:tblPr>
      <w:tblGrid>
        <w:gridCol w:w="4248"/>
        <w:gridCol w:w="4768"/>
      </w:tblGrid>
      <w:tr w:rsidR="0090428E" w:rsidRPr="00B0304C" w14:paraId="0098803D" w14:textId="77777777" w:rsidTr="00CF66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tcPr>
          <w:p w14:paraId="24952AF4" w14:textId="77777777" w:rsidR="0090428E" w:rsidRPr="00B0304C" w:rsidRDefault="0090428E" w:rsidP="0090428E">
            <w:pPr>
              <w:rPr>
                <w:b w:val="0"/>
              </w:rPr>
            </w:pPr>
            <w:r w:rsidRPr="00B0304C">
              <w:t>Study types</w:t>
            </w:r>
          </w:p>
        </w:tc>
        <w:tc>
          <w:tcPr>
            <w:tcW w:w="4768" w:type="dxa"/>
          </w:tcPr>
          <w:p w14:paraId="099DAA3C" w14:textId="77777777" w:rsidR="0090428E" w:rsidRPr="00B0304C" w:rsidRDefault="0090428E" w:rsidP="0090428E">
            <w:pPr>
              <w:jc w:val="center"/>
              <w:cnfStyle w:val="100000000000" w:firstRow="1" w:lastRow="0" w:firstColumn="0" w:lastColumn="0" w:oddVBand="0" w:evenVBand="0" w:oddHBand="0" w:evenHBand="0" w:firstRowFirstColumn="0" w:firstRowLastColumn="0" w:lastRowFirstColumn="0" w:lastRowLastColumn="0"/>
              <w:rPr>
                <w:b w:val="0"/>
              </w:rPr>
            </w:pPr>
            <w:r w:rsidRPr="00B0304C">
              <w:t>Estimated costs</w:t>
            </w:r>
          </w:p>
        </w:tc>
      </w:tr>
      <w:tr w:rsidR="0090428E" w14:paraId="787A6A95" w14:textId="77777777" w:rsidTr="00904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7C5FBA" w14:textId="77777777" w:rsidR="0090428E" w:rsidRDefault="0090428E" w:rsidP="0090428E">
            <w:r>
              <w:t xml:space="preserve">Evidence reviews </w:t>
            </w:r>
          </w:p>
        </w:tc>
        <w:tc>
          <w:tcPr>
            <w:tcW w:w="4768" w:type="dxa"/>
          </w:tcPr>
          <w:p w14:paraId="3F714BEC" w14:textId="77777777" w:rsidR="0090428E" w:rsidRDefault="0090428E" w:rsidP="0090428E">
            <w:pPr>
              <w:jc w:val="center"/>
              <w:cnfStyle w:val="000000100000" w:firstRow="0" w:lastRow="0" w:firstColumn="0" w:lastColumn="0" w:oddVBand="0" w:evenVBand="0" w:oddHBand="1" w:evenHBand="0" w:firstRowFirstColumn="0" w:firstRowLastColumn="0" w:lastRowFirstColumn="0" w:lastRowLastColumn="0"/>
            </w:pPr>
            <w:r>
              <w:t>~$80, 000.00</w:t>
            </w:r>
          </w:p>
        </w:tc>
      </w:tr>
      <w:tr w:rsidR="0090428E" w14:paraId="6CB103C4" w14:textId="77777777" w:rsidTr="009042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B57CBC5" w14:textId="77777777" w:rsidR="0090428E" w:rsidRDefault="0090428E" w:rsidP="0090428E">
            <w:r>
              <w:t>Developmental projects (pilot, feasibility studies, formative evaluation)</w:t>
            </w:r>
          </w:p>
        </w:tc>
        <w:tc>
          <w:tcPr>
            <w:tcW w:w="4768" w:type="dxa"/>
          </w:tcPr>
          <w:p w14:paraId="4230FEF0" w14:textId="77777777" w:rsidR="0090428E" w:rsidRDefault="0090428E" w:rsidP="0090428E">
            <w:pPr>
              <w:jc w:val="center"/>
              <w:cnfStyle w:val="000000010000" w:firstRow="0" w:lastRow="0" w:firstColumn="0" w:lastColumn="0" w:oddVBand="0" w:evenVBand="0" w:oddHBand="0" w:evenHBand="1" w:firstRowFirstColumn="0" w:firstRowLastColumn="0" w:lastRowFirstColumn="0" w:lastRowLastColumn="0"/>
            </w:pPr>
            <w:r>
              <w:t>~ $200, 000.00</w:t>
            </w:r>
          </w:p>
        </w:tc>
      </w:tr>
      <w:tr w:rsidR="0090428E" w14:paraId="4ECB827F" w14:textId="77777777" w:rsidTr="00904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DEA7A73" w14:textId="77777777" w:rsidR="0090428E" w:rsidRDefault="0090428E" w:rsidP="0090428E">
            <w:r>
              <w:t>Efficacy studies</w:t>
            </w:r>
          </w:p>
        </w:tc>
        <w:tc>
          <w:tcPr>
            <w:tcW w:w="4768" w:type="dxa"/>
          </w:tcPr>
          <w:p w14:paraId="07687E8C" w14:textId="77777777" w:rsidR="0090428E" w:rsidRDefault="0090428E" w:rsidP="0090428E">
            <w:pPr>
              <w:jc w:val="center"/>
              <w:cnfStyle w:val="000000100000" w:firstRow="0" w:lastRow="0" w:firstColumn="0" w:lastColumn="0" w:oddVBand="0" w:evenVBand="0" w:oddHBand="1" w:evenHBand="0" w:firstRowFirstColumn="0" w:firstRowLastColumn="0" w:lastRowFirstColumn="0" w:lastRowLastColumn="0"/>
            </w:pPr>
            <w:r>
              <w:t>~ $500, 000.00</w:t>
            </w:r>
          </w:p>
        </w:tc>
      </w:tr>
      <w:tr w:rsidR="0090428E" w14:paraId="2D42E7C1" w14:textId="77777777" w:rsidTr="009042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05A2078" w14:textId="77777777" w:rsidR="0090428E" w:rsidRDefault="0090428E" w:rsidP="0090428E">
            <w:r>
              <w:t>Effectiveness studies</w:t>
            </w:r>
          </w:p>
        </w:tc>
        <w:tc>
          <w:tcPr>
            <w:tcW w:w="4768" w:type="dxa"/>
          </w:tcPr>
          <w:p w14:paraId="4C9C8FBB" w14:textId="77777777" w:rsidR="0090428E" w:rsidRDefault="0090428E" w:rsidP="0090428E">
            <w:pPr>
              <w:jc w:val="center"/>
              <w:cnfStyle w:val="000000010000" w:firstRow="0" w:lastRow="0" w:firstColumn="0" w:lastColumn="0" w:oddVBand="0" w:evenVBand="0" w:oddHBand="0" w:evenHBand="1" w:firstRowFirstColumn="0" w:firstRowLastColumn="0" w:lastRowFirstColumn="0" w:lastRowLastColumn="0"/>
            </w:pPr>
            <w:r>
              <w:t>~$1, 000, 000.00</w:t>
            </w:r>
          </w:p>
        </w:tc>
      </w:tr>
    </w:tbl>
    <w:p w14:paraId="71A609B8" w14:textId="77777777" w:rsidR="0090428E" w:rsidRPr="00B0304C" w:rsidRDefault="0090428E" w:rsidP="0090428E">
      <w:pPr>
        <w:rPr>
          <w:b/>
        </w:rPr>
      </w:pPr>
    </w:p>
    <w:p w14:paraId="09CFC252" w14:textId="4DCBA8C4" w:rsidR="0090428E" w:rsidRDefault="0090428E" w:rsidP="0090428E">
      <w:r>
        <w:t xml:space="preserve">The Australian Paediatric Association, budgets $200,000.00 per needs-assessment study. The Association conducts a Delphi study with Association members and key researchers and medical professionals across the country. </w:t>
      </w:r>
    </w:p>
    <w:p w14:paraId="38A3879B" w14:textId="191647B7" w:rsidR="007D46D3" w:rsidRDefault="0090428E" w:rsidP="00EC3DE6">
      <w:r>
        <w:t>The Australian National Development Index has been awarded an Australian Communities Foundation Impact Fund for the purposes of establishing a community-research partnership to develop an index for social progress. The grant includes support establishment costs, and critically conducting a large scale national community engagement process. The funding for this project</w:t>
      </w:r>
      <w:r w:rsidR="005D40DD">
        <w:t xml:space="preserve"> is</w:t>
      </w:r>
      <w:r>
        <w:t xml:space="preserve"> delivered through the Impact Fund Grant, ARC grant and contributions from partners including the University of Melbourne comprising just over $1 mil</w:t>
      </w:r>
      <w:r w:rsidR="00EC3DE6">
        <w:t xml:space="preserve">lion (ANDI, </w:t>
      </w:r>
      <w:proofErr w:type="spellStart"/>
      <w:r w:rsidR="00EC3DE6">
        <w:t>n.da</w:t>
      </w:r>
      <w:proofErr w:type="spellEnd"/>
      <w:r w:rsidR="00EC3DE6">
        <w:t xml:space="preserve">; ANDI, </w:t>
      </w:r>
      <w:proofErr w:type="spellStart"/>
      <w:r w:rsidR="00EC3DE6">
        <w:t>n.db</w:t>
      </w:r>
      <w:proofErr w:type="spellEnd"/>
      <w:r w:rsidR="00EC3DE6">
        <w:t xml:space="preserve">). </w:t>
      </w:r>
    </w:p>
    <w:p w14:paraId="7DB8F5DF" w14:textId="77777777" w:rsidR="0090428E" w:rsidRDefault="0090428E" w:rsidP="00E833DA">
      <w:pPr>
        <w:pStyle w:val="Heading3"/>
      </w:pPr>
      <w:bookmarkStart w:id="161" w:name="_Toc509950678"/>
      <w:r>
        <w:t>Potential estimates of cost</w:t>
      </w:r>
      <w:bookmarkEnd w:id="161"/>
    </w:p>
    <w:p w14:paraId="3BBD62ED" w14:textId="22E69EB1" w:rsidR="00E264F4" w:rsidRDefault="0090428E" w:rsidP="0090428E">
      <w:r>
        <w:t xml:space="preserve">It is suggested that the process of set up and development </w:t>
      </w:r>
      <w:r w:rsidR="00102743">
        <w:t xml:space="preserve">which </w:t>
      </w:r>
      <w:r>
        <w:t>will involve core funding</w:t>
      </w:r>
      <w:r w:rsidR="00102743">
        <w:t>,</w:t>
      </w:r>
      <w:r>
        <w:t xml:space="preserve"> can be </w:t>
      </w:r>
      <w:r w:rsidRPr="00D36F59">
        <w:t>projected</w:t>
      </w:r>
      <w:r>
        <w:t xml:space="preserve"> based on information from several like organisations. While size and total depth of the institution cannot be </w:t>
      </w:r>
      <w:r w:rsidRPr="004D6E21">
        <w:t>projected</w:t>
      </w:r>
      <w:r>
        <w:t>; there are a number of activities and functions that can be considered core and will need to occur.  Estimates of cost can be made based from the review of other organisations and government costing sites; of course</w:t>
      </w:r>
      <w:r w:rsidR="005D40DD">
        <w:t>,</w:t>
      </w:r>
      <w:r>
        <w:t xml:space="preserve"> these estimates are just </w:t>
      </w:r>
      <w:r w:rsidRPr="004D6E21">
        <w:t>conjectures</w:t>
      </w:r>
      <w:r>
        <w:t xml:space="preserve">. It is suggested that early implementation phase of the institution will follow a number of stages from set-up, trialling systems leading to a functional organisation. Figure </w:t>
      </w:r>
      <w:r w:rsidR="00543419">
        <w:t>1</w:t>
      </w:r>
      <w:r>
        <w:t xml:space="preserve">2 </w:t>
      </w:r>
      <w:r w:rsidRPr="00833F1E">
        <w:t>propose</w:t>
      </w:r>
      <w:r>
        <w:t>s a possible pathway</w:t>
      </w:r>
      <w:r w:rsidR="00102743">
        <w:t>.</w:t>
      </w:r>
    </w:p>
    <w:p w14:paraId="0462B8BB" w14:textId="77777777" w:rsidR="00E264F4" w:rsidRDefault="00E264F4">
      <w:pPr>
        <w:spacing w:after="160" w:line="259" w:lineRule="auto"/>
      </w:pPr>
      <w:r>
        <w:br w:type="page"/>
      </w:r>
    </w:p>
    <w:p w14:paraId="3F474DDE" w14:textId="2D8323C7" w:rsidR="007D46D3" w:rsidRDefault="007D46D3" w:rsidP="0090428E">
      <w:r w:rsidRPr="00FA4C74">
        <w:rPr>
          <w:noProof/>
          <w:lang w:val="en-US" w:eastAsia="en-US"/>
        </w:rPr>
        <w:lastRenderedPageBreak/>
        <w:drawing>
          <wp:inline distT="0" distB="0" distL="0" distR="0" wp14:anchorId="1B0052E0" wp14:editId="62958383">
            <wp:extent cx="5731510" cy="3641090"/>
            <wp:effectExtent l="0" t="0" r="2540" b="0"/>
            <wp:docPr id="43" name="Picture 43" descr="This figure shows three phases  for a national evidence institution, with resourcing requirements rising through the set-up and interim phases before reducing slightly in the functioning phase. The reduction in the functioning phase is partially offset by the beginning of special projects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641090"/>
                    </a:xfrm>
                    <a:prstGeom prst="rect">
                      <a:avLst/>
                    </a:prstGeom>
                  </pic:spPr>
                </pic:pic>
              </a:graphicData>
            </a:graphic>
          </wp:inline>
        </w:drawing>
      </w:r>
    </w:p>
    <w:p w14:paraId="6B88F2B0" w14:textId="6472819D" w:rsidR="0090428E" w:rsidRDefault="007D46D3" w:rsidP="00813AA6">
      <w:pPr>
        <w:pStyle w:val="CaptionFig"/>
      </w:pPr>
      <w:bookmarkStart w:id="162" w:name="_Toc509848446"/>
      <w:bookmarkStart w:id="163" w:name="_Toc509950679"/>
      <w:bookmarkStart w:id="164" w:name="_Toc509951285"/>
      <w:r>
        <w:t xml:space="preserve">Figure </w:t>
      </w:r>
      <w:fldSimple w:instr=" SEQ Figure \* ARABIC ">
        <w:r w:rsidR="004240AA">
          <w:rPr>
            <w:noProof/>
          </w:rPr>
          <w:t>12</w:t>
        </w:r>
      </w:fldSimple>
      <w:r>
        <w:t>: Resourcing model for a national evidence institution</w:t>
      </w:r>
      <w:bookmarkEnd w:id="162"/>
      <w:bookmarkEnd w:id="163"/>
      <w:bookmarkEnd w:id="164"/>
    </w:p>
    <w:p w14:paraId="2A2595C9" w14:textId="6609D859" w:rsidR="00102743" w:rsidRDefault="00102743" w:rsidP="00102743">
      <w:r>
        <w:t>To add value, the institution will need to respond to environmental demand, involve extensive sessions with states and key stakeholders</w:t>
      </w:r>
      <w:r w:rsidR="005D40DD">
        <w:t>.</w:t>
      </w:r>
      <w:r>
        <w:t xml:space="preserve"> </w:t>
      </w:r>
      <w:r w:rsidR="005D40DD">
        <w:t>T</w:t>
      </w:r>
      <w:r>
        <w:t>his cost must be determined according to the specific target</w:t>
      </w:r>
      <w:r w:rsidR="005D40DD">
        <w:t>,</w:t>
      </w:r>
      <w:r>
        <w:t xml:space="preserve"> </w:t>
      </w:r>
      <w:r w:rsidR="005D40DD">
        <w:t>g</w:t>
      </w:r>
      <w:r>
        <w:t>iven the cost of needs</w:t>
      </w:r>
      <w:r w:rsidR="005D40DD">
        <w:t>-</w:t>
      </w:r>
      <w:r>
        <w:t>analyses, systematic reviews and potential models for translation and utilisation. As suggested, the institution</w:t>
      </w:r>
      <w:r w:rsidR="005D40DD">
        <w:t>,</w:t>
      </w:r>
      <w:r>
        <w:t xml:space="preserve"> while being funded to carry out core task and specific initiatives, also has the potential to be a funder of projects; such as innovations, key research and specific support systems for schools. To this, we add the all-important implementation guides </w:t>
      </w:r>
      <w:r w:rsidR="005D40DD">
        <w:t>that</w:t>
      </w:r>
      <w:r>
        <w:t xml:space="preserve"> ensur</w:t>
      </w:r>
      <w:r w:rsidR="005D40DD">
        <w:t>e,</w:t>
      </w:r>
      <w:r>
        <w:t xml:space="preserve"> via evaluation</w:t>
      </w:r>
      <w:r w:rsidR="005D40DD">
        <w:t>,</w:t>
      </w:r>
      <w:r>
        <w:t xml:space="preserve"> that they actually make a difference in schools. </w:t>
      </w:r>
    </w:p>
    <w:p w14:paraId="7EF0156F" w14:textId="77777777" w:rsidR="00102743" w:rsidRDefault="00102743" w:rsidP="00102743">
      <w:r>
        <w:t xml:space="preserve">The institution like many other research and practice institutions will have the potential to collaborate, support and partner with other groups. It is therefore suggested that the institution set a key performance indicator as sourcing competitive or philanthropic funding. </w:t>
      </w:r>
    </w:p>
    <w:p w14:paraId="551EDA42" w14:textId="77777777" w:rsidR="00E264F4" w:rsidRDefault="0090428E" w:rsidP="0093470E">
      <w:r>
        <w:t>To achieve a functional and eventually sustainable</w:t>
      </w:r>
      <w:r w:rsidR="005D40DD">
        <w:t xml:space="preserve"> organisation,</w:t>
      </w:r>
      <w:r>
        <w:t xml:space="preserve"> a targeted funding approach that is estimated based on environmental demand should be considered. While environment demand is key to utilisation, any organisation will require set up funds as well as ongoing infrastructure costs to ensure sustainability. Moving too quickly into applying a set of costs for organisational development and potential projects will waste valuable resources. Determining costs based up</w:t>
      </w:r>
      <w:r w:rsidR="005D40DD">
        <w:t>on</w:t>
      </w:r>
      <w:r>
        <w:t xml:space="preserve"> a targeted plan for set up, infrastructure, specific projects and potential funding opportunities as a funder and ‘</w:t>
      </w:r>
      <w:proofErr w:type="spellStart"/>
      <w:r>
        <w:t>fundee</w:t>
      </w:r>
      <w:proofErr w:type="spellEnd"/>
      <w:r>
        <w:t xml:space="preserve">’ is essential. </w:t>
      </w:r>
      <w:r w:rsidR="00041444">
        <w:t>Ultimately, the funding allocated to the institute has to respect the different phases, whilst also allowing the institute to conduct its key functions and responsibilities.</w:t>
      </w:r>
    </w:p>
    <w:p w14:paraId="16EC9C7A" w14:textId="77777777" w:rsidR="00E264F4" w:rsidRDefault="00E264F4">
      <w:pPr>
        <w:spacing w:after="160" w:line="259" w:lineRule="auto"/>
      </w:pPr>
      <w:r>
        <w:br w:type="page"/>
      </w:r>
    </w:p>
    <w:p w14:paraId="5E54BFF5" w14:textId="77777777" w:rsidR="0093470E" w:rsidRPr="00E16853" w:rsidRDefault="0093470E" w:rsidP="00E264F4">
      <w:pPr>
        <w:pStyle w:val="NumberedHeading1"/>
        <w:numPr>
          <w:ilvl w:val="0"/>
          <w:numId w:val="57"/>
        </w:numPr>
      </w:pPr>
      <w:bookmarkStart w:id="165" w:name="_Toc508637968"/>
      <w:r w:rsidRPr="00E16853">
        <w:lastRenderedPageBreak/>
        <w:tab/>
      </w:r>
      <w:bookmarkStart w:id="166" w:name="_Toc509950680"/>
      <w:bookmarkEnd w:id="165"/>
      <w:r w:rsidR="00DA7D2D">
        <w:t>Conclusions</w:t>
      </w:r>
      <w:bookmarkEnd w:id="166"/>
    </w:p>
    <w:p w14:paraId="74550573" w14:textId="62E35AE5" w:rsidR="0009016F" w:rsidRDefault="0093470E" w:rsidP="0093470E">
      <w:r w:rsidRPr="0091711A">
        <w:t xml:space="preserve">This report has </w:t>
      </w:r>
      <w:r w:rsidR="00A1107B">
        <w:t>provided an overview of the</w:t>
      </w:r>
      <w:r w:rsidRPr="0091711A">
        <w:t xml:space="preserve"> findings</w:t>
      </w:r>
      <w:r w:rsidR="00A1107B">
        <w:t xml:space="preserve"> of the rapid synthesis</w:t>
      </w:r>
      <w:r w:rsidRPr="0091711A">
        <w:t>, as well as presented a model for an institution that supports evidence-informed pract</w:t>
      </w:r>
      <w:r w:rsidR="009712C4">
        <w:t xml:space="preserve">ice and policy in Australia. </w:t>
      </w:r>
      <w:r w:rsidRPr="0091711A">
        <w:t xml:space="preserve">This rapid </w:t>
      </w:r>
      <w:r w:rsidR="009712C4">
        <w:t>synthesis</w:t>
      </w:r>
      <w:r w:rsidRPr="0091711A">
        <w:t xml:space="preserve"> has demonstrated that the evidence relating to evidence-based practice is variable in opinion, quality</w:t>
      </w:r>
      <w:r w:rsidR="007A23E9">
        <w:t>,</w:t>
      </w:r>
      <w:r w:rsidRPr="0091711A">
        <w:t xml:space="preserve"> and judgement of impact. However,</w:t>
      </w:r>
      <w:r w:rsidR="0009016F">
        <w:t xml:space="preserve"> </w:t>
      </w:r>
      <w:r w:rsidRPr="0091711A">
        <w:t>it is clear that the idea of establishing an institution to support evidence</w:t>
      </w:r>
      <w:r w:rsidR="007A23E9">
        <w:t>-</w:t>
      </w:r>
      <w:r w:rsidRPr="0091711A">
        <w:t>informed educational policy and pr</w:t>
      </w:r>
      <w:r w:rsidR="0009016F">
        <w:t>actice is accepted as necessary.</w:t>
      </w:r>
    </w:p>
    <w:p w14:paraId="7CBEF8BF" w14:textId="77777777" w:rsidR="0093470E" w:rsidRPr="0091711A" w:rsidRDefault="0009016F" w:rsidP="0093470E">
      <w:r>
        <w:t>T</w:t>
      </w:r>
      <w:r w:rsidR="0093470E" w:rsidRPr="0091711A">
        <w:t>o date, many institutions established internationally have yet to realise their full impact</w:t>
      </w:r>
      <w:r>
        <w:t xml:space="preserve"> potential</w:t>
      </w:r>
      <w:r w:rsidR="0093470E" w:rsidRPr="0091711A">
        <w:t xml:space="preserve">. We would argue that this is a consequence of a lack of </w:t>
      </w:r>
      <w:r>
        <w:t xml:space="preserve">evidence </w:t>
      </w:r>
      <w:r w:rsidR="0093470E" w:rsidRPr="0091711A">
        <w:t xml:space="preserve">utilisation by the education sector. We have therefore suggested that Australia can be a leader in the establishment of an evidence-based institution that travels the gamut of implementation and impact on the educational sector. The </w:t>
      </w:r>
      <w:r>
        <w:t>rapid synthesis has identified</w:t>
      </w:r>
      <w:r w:rsidR="0093470E" w:rsidRPr="0091711A">
        <w:t xml:space="preserve"> research, policy and the </w:t>
      </w:r>
      <w:r>
        <w:t>perspectives</w:t>
      </w:r>
      <w:r w:rsidR="0093470E" w:rsidRPr="0091711A">
        <w:t xml:space="preserve"> of educators, alternative sectors and industry to collate </w:t>
      </w:r>
      <w:r w:rsidR="005F186A" w:rsidRPr="0091711A">
        <w:t>several</w:t>
      </w:r>
      <w:r w:rsidR="0093470E" w:rsidRPr="0091711A">
        <w:t xml:space="preserve"> factors that appear to stimulate effectiveness and efficiency in evidence use within the sector.</w:t>
      </w:r>
    </w:p>
    <w:p w14:paraId="4559ADD9" w14:textId="4F175E41" w:rsidR="0093470E" w:rsidRDefault="0093470E" w:rsidP="0093470E">
      <w:r w:rsidRPr="0091711A">
        <w:t>These factors have been combined to propose the establishment and implementation of an institution designed to underpin educational practice, policy, research and community perspectives by providing not only rigorous information</w:t>
      </w:r>
      <w:r w:rsidR="007A23E9">
        <w:t>,</w:t>
      </w:r>
      <w:r w:rsidRPr="0091711A">
        <w:t xml:space="preserve"> but also </w:t>
      </w:r>
      <w:r w:rsidR="0009016F">
        <w:t>translating this</w:t>
      </w:r>
      <w:r w:rsidRPr="0091711A">
        <w:t xml:space="preserve"> information </w:t>
      </w:r>
      <w:r w:rsidR="0009016F">
        <w:t>in</w:t>
      </w:r>
      <w:r w:rsidRPr="0091711A">
        <w:t>to usable knowledge</w:t>
      </w:r>
      <w:r w:rsidR="007A23E9">
        <w:t>,</w:t>
      </w:r>
      <w:r w:rsidRPr="0091711A">
        <w:t xml:space="preserve"> and ultimately</w:t>
      </w:r>
      <w:r w:rsidR="007A23E9">
        <w:t>,</w:t>
      </w:r>
      <w:r w:rsidRPr="0091711A">
        <w:t xml:space="preserve"> impact on the learning lives of Australian students. </w:t>
      </w:r>
      <w:r>
        <w:br w:type="page"/>
      </w:r>
    </w:p>
    <w:p w14:paraId="1C6F3E6B" w14:textId="77777777" w:rsidR="0093470E" w:rsidRPr="00E16853" w:rsidRDefault="0093470E" w:rsidP="00E833DA">
      <w:pPr>
        <w:pStyle w:val="NumberedHeading1"/>
      </w:pPr>
      <w:bookmarkStart w:id="167" w:name="_Toc508637969"/>
      <w:r w:rsidRPr="00E16853">
        <w:lastRenderedPageBreak/>
        <w:tab/>
      </w:r>
      <w:bookmarkStart w:id="168" w:name="_Toc509950681"/>
      <w:r w:rsidRPr="00E16853">
        <w:t>References</w:t>
      </w:r>
      <w:bookmarkEnd w:id="167"/>
      <w:bookmarkEnd w:id="168"/>
    </w:p>
    <w:p w14:paraId="72BA4784" w14:textId="77777777" w:rsidR="00FA16EA" w:rsidRPr="00FA16EA" w:rsidRDefault="0093470E" w:rsidP="00FA16EA">
      <w:pPr>
        <w:widowControl w:val="0"/>
        <w:autoSpaceDE w:val="0"/>
        <w:autoSpaceDN w:val="0"/>
        <w:adjustRightInd w:val="0"/>
        <w:spacing w:line="240" w:lineRule="auto"/>
        <w:ind w:left="480" w:hanging="480"/>
        <w:rPr>
          <w:rFonts w:ascii="Calibri" w:hAnsi="Calibri" w:cs="Times New Roman"/>
          <w:noProof/>
          <w:szCs w:val="24"/>
        </w:rPr>
      </w:pPr>
      <w:r w:rsidRPr="00E16853">
        <w:fldChar w:fldCharType="begin" w:fldLock="1"/>
      </w:r>
      <w:r w:rsidRPr="00E16853">
        <w:instrText xml:space="preserve">ADDIN Mendeley Bibliography CSL_BIBLIOGRAPHY </w:instrText>
      </w:r>
      <w:r w:rsidRPr="00E16853">
        <w:fldChar w:fldCharType="separate"/>
      </w:r>
      <w:r w:rsidR="00FA16EA" w:rsidRPr="00FA16EA">
        <w:rPr>
          <w:rFonts w:ascii="Calibri" w:hAnsi="Calibri" w:cs="Times New Roman"/>
          <w:noProof/>
          <w:szCs w:val="24"/>
        </w:rPr>
        <w:t xml:space="preserve">Abdul-hamid, H., Mintz, S., &amp; Saraogi, N. (2017). </w:t>
      </w:r>
      <w:r w:rsidR="00FA16EA" w:rsidRPr="00FA16EA">
        <w:rPr>
          <w:rFonts w:ascii="Calibri" w:hAnsi="Calibri" w:cs="Times New Roman"/>
          <w:i/>
          <w:iCs/>
          <w:noProof/>
          <w:szCs w:val="24"/>
        </w:rPr>
        <w:t>From Compliance to Learning: A System for Harnessing the Power of Data in the State of Maryland</w:t>
      </w:r>
      <w:r w:rsidR="00FA16EA" w:rsidRPr="00FA16EA">
        <w:rPr>
          <w:rFonts w:ascii="Calibri" w:hAnsi="Calibri" w:cs="Times New Roman"/>
          <w:noProof/>
          <w:szCs w:val="24"/>
        </w:rPr>
        <w:t>. Washington DC, USA: World Bank.</w:t>
      </w:r>
    </w:p>
    <w:p w14:paraId="6F567914"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Armstrong, R., Waters, E., Crockett, B., &amp; Keleher, H. (2007). The nature of evidence resources and knowledge translation for health promotion practitioners. </w:t>
      </w:r>
      <w:r w:rsidRPr="00FA16EA">
        <w:rPr>
          <w:rFonts w:ascii="Calibri" w:hAnsi="Calibri" w:cs="Times New Roman"/>
          <w:i/>
          <w:iCs/>
          <w:noProof/>
          <w:szCs w:val="24"/>
        </w:rPr>
        <w:t>Health Promotion International</w:t>
      </w:r>
      <w:r w:rsidRPr="00FA16EA">
        <w:rPr>
          <w:rFonts w:ascii="Calibri" w:hAnsi="Calibri" w:cs="Times New Roman"/>
          <w:noProof/>
          <w:szCs w:val="24"/>
        </w:rPr>
        <w:t xml:space="preserve">, </w:t>
      </w:r>
      <w:r w:rsidRPr="00FA16EA">
        <w:rPr>
          <w:rFonts w:ascii="Calibri" w:hAnsi="Calibri" w:cs="Times New Roman"/>
          <w:i/>
          <w:iCs/>
          <w:noProof/>
          <w:szCs w:val="24"/>
        </w:rPr>
        <w:t>22</w:t>
      </w:r>
      <w:r w:rsidRPr="00FA16EA">
        <w:rPr>
          <w:rFonts w:ascii="Calibri" w:hAnsi="Calibri" w:cs="Times New Roman"/>
          <w:noProof/>
          <w:szCs w:val="24"/>
        </w:rPr>
        <w:t>(3), 254–260. https://doi.org/10.1093/heapro/dam017</w:t>
      </w:r>
    </w:p>
    <w:p w14:paraId="636FE448"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Bain, A., &amp; Swan, G. (2011). Technology enhanced feedback tools as a knowledge management mechanism for supporting professional growth and school reform. </w:t>
      </w:r>
      <w:r w:rsidRPr="00FA16EA">
        <w:rPr>
          <w:rFonts w:ascii="Calibri" w:hAnsi="Calibri" w:cs="Times New Roman"/>
          <w:i/>
          <w:iCs/>
          <w:noProof/>
          <w:szCs w:val="24"/>
        </w:rPr>
        <w:t>Educational Technology Research and Development</w:t>
      </w:r>
      <w:r w:rsidRPr="00FA16EA">
        <w:rPr>
          <w:rFonts w:ascii="Calibri" w:hAnsi="Calibri" w:cs="Times New Roman"/>
          <w:noProof/>
          <w:szCs w:val="24"/>
        </w:rPr>
        <w:t xml:space="preserve">, </w:t>
      </w:r>
      <w:r w:rsidRPr="00FA16EA">
        <w:rPr>
          <w:rFonts w:ascii="Calibri" w:hAnsi="Calibri" w:cs="Times New Roman"/>
          <w:i/>
          <w:iCs/>
          <w:noProof/>
          <w:szCs w:val="24"/>
        </w:rPr>
        <w:t>59</w:t>
      </w:r>
      <w:r w:rsidRPr="00FA16EA">
        <w:rPr>
          <w:rFonts w:ascii="Calibri" w:hAnsi="Calibri" w:cs="Times New Roman"/>
          <w:noProof/>
          <w:szCs w:val="24"/>
        </w:rPr>
        <w:t>(5), 673–685. https://doi.org/10.1007/s11423-011-9201-x</w:t>
      </w:r>
    </w:p>
    <w:p w14:paraId="56958D46"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Boaz, A., Grayson, L., Levitt, R., &amp; Solesbury, W. (2008). Does evidence-based policy work? Learning from the UK experience - Research Repository, </w:t>
      </w:r>
      <w:r w:rsidRPr="00FA16EA">
        <w:rPr>
          <w:rFonts w:ascii="Calibri" w:hAnsi="Calibri" w:cs="Times New Roman"/>
          <w:i/>
          <w:iCs/>
          <w:noProof/>
          <w:szCs w:val="24"/>
        </w:rPr>
        <w:t>4</w:t>
      </w:r>
      <w:r w:rsidRPr="00FA16EA">
        <w:rPr>
          <w:rFonts w:ascii="Calibri" w:hAnsi="Calibri" w:cs="Times New Roman"/>
          <w:noProof/>
          <w:szCs w:val="24"/>
        </w:rPr>
        <w:t>(2), 233–253. https://doi.org/10.1332/174426408784614680</w:t>
      </w:r>
    </w:p>
    <w:p w14:paraId="42599E95"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E833DA">
        <w:rPr>
          <w:rFonts w:ascii="Calibri" w:hAnsi="Calibri" w:cs="Times New Roman"/>
          <w:noProof/>
          <w:szCs w:val="24"/>
          <w:lang w:val="de-DE"/>
        </w:rPr>
        <w:t xml:space="preserve">Borenstein, M., Hedges, L., Higgins, J., &amp; Rothstein, H. (2009). </w:t>
      </w:r>
      <w:r w:rsidRPr="00FA16EA">
        <w:rPr>
          <w:rFonts w:ascii="Calibri" w:hAnsi="Calibri" w:cs="Times New Roman"/>
          <w:i/>
          <w:iCs/>
          <w:noProof/>
          <w:szCs w:val="24"/>
        </w:rPr>
        <w:t>Introduction to Meta-Analysis</w:t>
      </w:r>
      <w:r w:rsidRPr="00FA16EA">
        <w:rPr>
          <w:rFonts w:ascii="Calibri" w:hAnsi="Calibri" w:cs="Times New Roman"/>
          <w:noProof/>
          <w:szCs w:val="24"/>
        </w:rPr>
        <w:t>. West Sussex, United Kingdom: John Wiley &amp; Sons, Ltd.</w:t>
      </w:r>
    </w:p>
    <w:p w14:paraId="0325800B"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Burns, T., &amp; Schuller, T. (2007). </w:t>
      </w:r>
      <w:r w:rsidRPr="00FA16EA">
        <w:rPr>
          <w:rFonts w:ascii="Calibri" w:hAnsi="Calibri" w:cs="Times New Roman"/>
          <w:i/>
          <w:iCs/>
          <w:noProof/>
          <w:szCs w:val="24"/>
        </w:rPr>
        <w:t>Chapter 1 The Evidence Agenda Part One : Setting the Stage : The Evidence Agenda and Methodological Issues</w:t>
      </w:r>
      <w:r w:rsidRPr="00FA16EA">
        <w:rPr>
          <w:rFonts w:ascii="Calibri" w:hAnsi="Calibri" w:cs="Times New Roman"/>
          <w:noProof/>
          <w:szCs w:val="24"/>
        </w:rPr>
        <w:t xml:space="preserve">. </w:t>
      </w:r>
      <w:r w:rsidRPr="00FA16EA">
        <w:rPr>
          <w:rFonts w:ascii="Calibri" w:hAnsi="Calibri" w:cs="Times New Roman"/>
          <w:i/>
          <w:iCs/>
          <w:noProof/>
          <w:szCs w:val="24"/>
        </w:rPr>
        <w:t>The Evidence Agenda</w:t>
      </w:r>
      <w:r w:rsidRPr="00FA16EA">
        <w:rPr>
          <w:rFonts w:ascii="Calibri" w:hAnsi="Calibri" w:cs="Times New Roman"/>
          <w:noProof/>
          <w:szCs w:val="24"/>
        </w:rPr>
        <w:t>. OECD Centre for Educational Research and Innovation.</w:t>
      </w:r>
    </w:p>
    <w:p w14:paraId="50ADC52A" w14:textId="77777777" w:rsid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Carrier, N. (2017). How educational ideas catch on: the promotion of popular education innovations and the role of evidence. </w:t>
      </w:r>
      <w:r w:rsidRPr="00FA16EA">
        <w:rPr>
          <w:rFonts w:ascii="Calibri" w:hAnsi="Calibri" w:cs="Times New Roman"/>
          <w:i/>
          <w:iCs/>
          <w:noProof/>
          <w:szCs w:val="24"/>
        </w:rPr>
        <w:t>Educational Research</w:t>
      </w:r>
      <w:r w:rsidRPr="00FA16EA">
        <w:rPr>
          <w:rFonts w:ascii="Calibri" w:hAnsi="Calibri" w:cs="Times New Roman"/>
          <w:noProof/>
          <w:szCs w:val="24"/>
        </w:rPr>
        <w:t xml:space="preserve">, </w:t>
      </w:r>
      <w:r w:rsidRPr="00FA16EA">
        <w:rPr>
          <w:rFonts w:ascii="Calibri" w:hAnsi="Calibri" w:cs="Times New Roman"/>
          <w:i/>
          <w:iCs/>
          <w:noProof/>
          <w:szCs w:val="24"/>
        </w:rPr>
        <w:t>59</w:t>
      </w:r>
      <w:r w:rsidRPr="00FA16EA">
        <w:rPr>
          <w:rFonts w:ascii="Calibri" w:hAnsi="Calibri" w:cs="Times New Roman"/>
          <w:noProof/>
          <w:szCs w:val="24"/>
        </w:rPr>
        <w:t>(2), 228–240. https://doi.org/10.1080/00131881.2017.1310418</w:t>
      </w:r>
    </w:p>
    <w:p w14:paraId="3571CBAE" w14:textId="2DA1C751" w:rsidR="00FA16EA" w:rsidRPr="008865E8" w:rsidRDefault="00FA16EA" w:rsidP="00FA16EA">
      <w:pPr>
        <w:ind w:left="720" w:hanging="720"/>
        <w:rPr>
          <w:rFonts w:ascii="Calibri" w:eastAsia="Times New Roman" w:hAnsi="Calibri" w:cs="Times New Roman"/>
          <w:color w:val="000000"/>
        </w:rPr>
      </w:pPr>
      <w:r>
        <w:rPr>
          <w:rFonts w:ascii="Calibri" w:eastAsia="Times New Roman" w:hAnsi="Calibri" w:cs="Times New Roman"/>
          <w:color w:val="000000"/>
        </w:rPr>
        <w:t xml:space="preserve">Centre for Education Statistics and Evaluation [CESE], (2017). </w:t>
      </w:r>
      <w:r w:rsidRPr="00C90F36">
        <w:rPr>
          <w:rFonts w:ascii="Calibri" w:eastAsia="Times New Roman" w:hAnsi="Calibri" w:cs="Times New Roman"/>
          <w:i/>
          <w:iCs/>
          <w:color w:val="000000"/>
        </w:rPr>
        <w:t>CESE Advisory Council Charter</w:t>
      </w:r>
      <w:r>
        <w:rPr>
          <w:rFonts w:ascii="Calibri" w:eastAsia="Times New Roman" w:hAnsi="Calibri" w:cs="Times New Roman"/>
          <w:color w:val="000000"/>
        </w:rPr>
        <w:t xml:space="preserve">. Retrieved from </w:t>
      </w:r>
      <w:hyperlink r:id="rId28" w:tooltip="https://www.cese.nsw.gov.au/about-cese/advisory-council" w:history="1">
        <w:r w:rsidRPr="00D36610">
          <w:rPr>
            <w:rStyle w:val="Hyperlink"/>
            <w:rFonts w:ascii="Calibri" w:eastAsia="Times New Roman" w:hAnsi="Calibri" w:cs="Times New Roman"/>
          </w:rPr>
          <w:t>https://www.cese.nsw.gov.au/about-cese/advisory-council</w:t>
        </w:r>
      </w:hyperlink>
    </w:p>
    <w:p w14:paraId="699FA082" w14:textId="77777777" w:rsidR="00FA16EA" w:rsidRPr="00BA532C" w:rsidRDefault="00FA16EA" w:rsidP="00FA16EA">
      <w:pPr>
        <w:widowControl w:val="0"/>
        <w:autoSpaceDE w:val="0"/>
        <w:autoSpaceDN w:val="0"/>
        <w:adjustRightInd w:val="0"/>
        <w:spacing w:line="240" w:lineRule="auto"/>
        <w:ind w:left="480" w:hanging="480"/>
        <w:rPr>
          <w:rFonts w:ascii="Calibri" w:hAnsi="Calibri" w:cs="Times New Roman"/>
          <w:noProof/>
          <w:szCs w:val="24"/>
        </w:rPr>
      </w:pPr>
      <w:r>
        <w:rPr>
          <w:rFonts w:ascii="Calibri" w:hAnsi="Calibri" w:cs="Times New Roman"/>
          <w:noProof/>
          <w:szCs w:val="24"/>
        </w:rPr>
        <w:t>Productivity Commission</w:t>
      </w:r>
      <w:r w:rsidRPr="00BA532C">
        <w:rPr>
          <w:rFonts w:ascii="Calibri" w:hAnsi="Calibri" w:cs="Times New Roman"/>
          <w:noProof/>
          <w:szCs w:val="24"/>
        </w:rPr>
        <w:t xml:space="preserve">. (2016). </w:t>
      </w:r>
      <w:r w:rsidRPr="00BA532C">
        <w:rPr>
          <w:rFonts w:ascii="Calibri" w:hAnsi="Calibri" w:cs="Times New Roman"/>
          <w:i/>
          <w:iCs/>
          <w:noProof/>
          <w:szCs w:val="24"/>
        </w:rPr>
        <w:t>Productivity Commission Inquiry Report: National Evidence Base</w:t>
      </w:r>
      <w:r w:rsidRPr="00BA532C">
        <w:rPr>
          <w:rFonts w:ascii="Calibri" w:hAnsi="Calibri" w:cs="Times New Roman"/>
          <w:noProof/>
          <w:szCs w:val="24"/>
        </w:rPr>
        <w:t>. Retrieved from https://www.pc.gov.au/inquiries/completed/education-evidence/report/education-evidence-overview.pdf</w:t>
      </w:r>
    </w:p>
    <w:p w14:paraId="2BDD9450"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Daly, J., Willis, K., Small, R., Green, J., Welch, N., Kealy, M., &amp; Hughes, E. (2007). A hierarchy of evidence for assessing qualitative health research. </w:t>
      </w:r>
      <w:r w:rsidRPr="00FA16EA">
        <w:rPr>
          <w:rFonts w:ascii="Calibri" w:hAnsi="Calibri" w:cs="Times New Roman"/>
          <w:i/>
          <w:iCs/>
          <w:noProof/>
          <w:szCs w:val="24"/>
        </w:rPr>
        <w:t>Journal of Clinical Epidemiology</w:t>
      </w:r>
      <w:r w:rsidRPr="00FA16EA">
        <w:rPr>
          <w:rFonts w:ascii="Calibri" w:hAnsi="Calibri" w:cs="Times New Roman"/>
          <w:noProof/>
          <w:szCs w:val="24"/>
        </w:rPr>
        <w:t xml:space="preserve">, </w:t>
      </w:r>
      <w:r w:rsidRPr="00FA16EA">
        <w:rPr>
          <w:rFonts w:ascii="Calibri" w:hAnsi="Calibri" w:cs="Times New Roman"/>
          <w:i/>
          <w:iCs/>
          <w:noProof/>
          <w:szCs w:val="24"/>
        </w:rPr>
        <w:t>60</w:t>
      </w:r>
      <w:r w:rsidRPr="00FA16EA">
        <w:rPr>
          <w:rFonts w:ascii="Calibri" w:hAnsi="Calibri" w:cs="Times New Roman"/>
          <w:noProof/>
          <w:szCs w:val="24"/>
        </w:rPr>
        <w:t>(1), 43–49. https://doi.org/10.1016/j.jclinepi.2006.03.014</w:t>
      </w:r>
    </w:p>
    <w:p w14:paraId="6E8F88EB"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E833DA">
        <w:rPr>
          <w:rFonts w:ascii="Calibri" w:hAnsi="Calibri" w:cs="Times New Roman"/>
          <w:noProof/>
          <w:szCs w:val="24"/>
          <w:lang w:val="sv-SE"/>
        </w:rPr>
        <w:t xml:space="preserve">Davidson, K. W., Trudeau, K. J., Ockene, J. K., Orleans, C. T., &amp; Kaplan, R. M. (2004). </w:t>
      </w:r>
      <w:r w:rsidRPr="00FA16EA">
        <w:rPr>
          <w:rFonts w:ascii="Calibri" w:hAnsi="Calibri" w:cs="Times New Roman"/>
          <w:noProof/>
          <w:szCs w:val="24"/>
        </w:rPr>
        <w:t xml:space="preserve">A primer on current evidence-based review systems and their implications for behavioral medicine. </w:t>
      </w:r>
      <w:r w:rsidRPr="00FA16EA">
        <w:rPr>
          <w:rFonts w:ascii="Calibri" w:hAnsi="Calibri" w:cs="Times New Roman"/>
          <w:i/>
          <w:iCs/>
          <w:noProof/>
          <w:szCs w:val="24"/>
        </w:rPr>
        <w:t>Annals of Behavioral Medicine</w:t>
      </w:r>
      <w:r w:rsidRPr="00FA16EA">
        <w:rPr>
          <w:rFonts w:ascii="Calibri" w:hAnsi="Calibri" w:cs="Times New Roman"/>
          <w:noProof/>
          <w:szCs w:val="24"/>
        </w:rPr>
        <w:t xml:space="preserve">, </w:t>
      </w:r>
      <w:r w:rsidRPr="00FA16EA">
        <w:rPr>
          <w:rFonts w:ascii="Calibri" w:hAnsi="Calibri" w:cs="Times New Roman"/>
          <w:i/>
          <w:iCs/>
          <w:noProof/>
          <w:szCs w:val="24"/>
        </w:rPr>
        <w:t>28</w:t>
      </w:r>
      <w:r w:rsidRPr="00FA16EA">
        <w:rPr>
          <w:rFonts w:ascii="Calibri" w:hAnsi="Calibri" w:cs="Times New Roman"/>
          <w:noProof/>
          <w:szCs w:val="24"/>
        </w:rPr>
        <w:t>(3), 226–38. https://doi.org/10.1207/s15324796abm2803_11</w:t>
      </w:r>
    </w:p>
    <w:p w14:paraId="138480A2"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Davis, D. (2003). The case for knowledge translation: shortening the journey from evidence to effect. </w:t>
      </w:r>
      <w:r w:rsidRPr="00FA16EA">
        <w:rPr>
          <w:rFonts w:ascii="Calibri" w:hAnsi="Calibri" w:cs="Times New Roman"/>
          <w:i/>
          <w:iCs/>
          <w:noProof/>
          <w:szCs w:val="24"/>
        </w:rPr>
        <w:t>Bmj</w:t>
      </w:r>
      <w:r w:rsidRPr="00FA16EA">
        <w:rPr>
          <w:rFonts w:ascii="Calibri" w:hAnsi="Calibri" w:cs="Times New Roman"/>
          <w:noProof/>
          <w:szCs w:val="24"/>
        </w:rPr>
        <w:t xml:space="preserve">, </w:t>
      </w:r>
      <w:r w:rsidRPr="00FA16EA">
        <w:rPr>
          <w:rFonts w:ascii="Calibri" w:hAnsi="Calibri" w:cs="Times New Roman"/>
          <w:i/>
          <w:iCs/>
          <w:noProof/>
          <w:szCs w:val="24"/>
        </w:rPr>
        <w:t>327</w:t>
      </w:r>
      <w:r w:rsidRPr="00FA16EA">
        <w:rPr>
          <w:rFonts w:ascii="Calibri" w:hAnsi="Calibri" w:cs="Times New Roman"/>
          <w:noProof/>
          <w:szCs w:val="24"/>
        </w:rPr>
        <w:t>(7405), 33–35. https://doi.org/10.1136/bmj.327.7405.33</w:t>
      </w:r>
    </w:p>
    <w:p w14:paraId="5D4771A2"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Dobbins, M., Decorby, K., Robeson, P., Husson, H., Tirilis, D., &amp; Greco, L. (2010). A knowledge management tool for public health: health-evidence.ca. </w:t>
      </w:r>
      <w:r w:rsidRPr="00FA16EA">
        <w:rPr>
          <w:rFonts w:ascii="Calibri" w:hAnsi="Calibri" w:cs="Times New Roman"/>
          <w:i/>
          <w:iCs/>
          <w:noProof/>
          <w:szCs w:val="24"/>
        </w:rPr>
        <w:t>BMC Public Health</w:t>
      </w:r>
      <w:r w:rsidRPr="00FA16EA">
        <w:rPr>
          <w:rFonts w:ascii="Calibri" w:hAnsi="Calibri" w:cs="Times New Roman"/>
          <w:noProof/>
          <w:szCs w:val="24"/>
        </w:rPr>
        <w:t>. https://doi.org/10.1186/1471-2458-10-496</w:t>
      </w:r>
    </w:p>
    <w:p w14:paraId="18DF4931"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Dobbins, M., DeCorby, K., Robeson, P., Husson, H., Tirilis, D., &amp; Greco, L. (2010). A knowledge management tool for public health: health-evidence.ca. </w:t>
      </w:r>
      <w:r w:rsidRPr="00FA16EA">
        <w:rPr>
          <w:rFonts w:ascii="Calibri" w:hAnsi="Calibri" w:cs="Times New Roman"/>
          <w:i/>
          <w:iCs/>
          <w:noProof/>
          <w:szCs w:val="24"/>
        </w:rPr>
        <w:t>BMC Public Health</w:t>
      </w:r>
      <w:r w:rsidRPr="00FA16EA">
        <w:rPr>
          <w:rFonts w:ascii="Calibri" w:hAnsi="Calibri" w:cs="Times New Roman"/>
          <w:noProof/>
          <w:szCs w:val="24"/>
        </w:rPr>
        <w:t xml:space="preserve">, </w:t>
      </w:r>
      <w:r w:rsidRPr="00FA16EA">
        <w:rPr>
          <w:rFonts w:ascii="Calibri" w:hAnsi="Calibri" w:cs="Times New Roman"/>
          <w:i/>
          <w:iCs/>
          <w:noProof/>
          <w:szCs w:val="24"/>
        </w:rPr>
        <w:t>10</w:t>
      </w:r>
      <w:r w:rsidRPr="00FA16EA">
        <w:rPr>
          <w:rFonts w:ascii="Calibri" w:hAnsi="Calibri" w:cs="Times New Roman"/>
          <w:noProof/>
          <w:szCs w:val="24"/>
        </w:rPr>
        <w:t>, 496. https://doi.org/https://dx.doi.org/10.1186/1471-2458-10-496</w:t>
      </w:r>
    </w:p>
    <w:p w14:paraId="4907A183"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Dozois, D. J. A., Mikail, S. F., Alden, L. E., Bieling, P. J., Bourgon, G., Clark, D. A., … Johnston, C. (2014). The CPA presidential task force on evidence-based practice of psychological treatments. </w:t>
      </w:r>
      <w:r w:rsidRPr="00FA16EA">
        <w:rPr>
          <w:rFonts w:ascii="Calibri" w:hAnsi="Calibri" w:cs="Times New Roman"/>
          <w:i/>
          <w:iCs/>
          <w:noProof/>
          <w:szCs w:val="24"/>
        </w:rPr>
        <w:t>Canadian Psychology</w:t>
      </w:r>
      <w:r w:rsidRPr="00FA16EA">
        <w:rPr>
          <w:rFonts w:ascii="Calibri" w:hAnsi="Calibri" w:cs="Times New Roman"/>
          <w:noProof/>
          <w:szCs w:val="24"/>
        </w:rPr>
        <w:t xml:space="preserve">, </w:t>
      </w:r>
      <w:r w:rsidRPr="00FA16EA">
        <w:rPr>
          <w:rFonts w:ascii="Calibri" w:hAnsi="Calibri" w:cs="Times New Roman"/>
          <w:i/>
          <w:iCs/>
          <w:noProof/>
          <w:szCs w:val="24"/>
        </w:rPr>
        <w:t>55</w:t>
      </w:r>
      <w:r w:rsidRPr="00FA16EA">
        <w:rPr>
          <w:rFonts w:ascii="Calibri" w:hAnsi="Calibri" w:cs="Times New Roman"/>
          <w:noProof/>
          <w:szCs w:val="24"/>
        </w:rPr>
        <w:t>(3), 153–160. https://doi.org/10.1037/a0035767</w:t>
      </w:r>
    </w:p>
    <w:p w14:paraId="44CBE7B8"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Duchnowski, A. J., Kutash, K., Sheffield, S., &amp; Vaughn, B. (2006). Increasing the use of evidence-based strategies by special education teachers: A collaborative approach. </w:t>
      </w:r>
      <w:r w:rsidRPr="00FA16EA">
        <w:rPr>
          <w:rFonts w:ascii="Calibri" w:hAnsi="Calibri" w:cs="Times New Roman"/>
          <w:i/>
          <w:iCs/>
          <w:noProof/>
          <w:szCs w:val="24"/>
        </w:rPr>
        <w:t>Teaching and Teacher Education</w:t>
      </w:r>
      <w:r w:rsidRPr="00FA16EA">
        <w:rPr>
          <w:rFonts w:ascii="Calibri" w:hAnsi="Calibri" w:cs="Times New Roman"/>
          <w:noProof/>
          <w:szCs w:val="24"/>
        </w:rPr>
        <w:t xml:space="preserve">, </w:t>
      </w:r>
      <w:r w:rsidRPr="00FA16EA">
        <w:rPr>
          <w:rFonts w:ascii="Calibri" w:hAnsi="Calibri" w:cs="Times New Roman"/>
          <w:i/>
          <w:iCs/>
          <w:noProof/>
          <w:szCs w:val="24"/>
        </w:rPr>
        <w:t>22</w:t>
      </w:r>
      <w:r w:rsidRPr="00FA16EA">
        <w:rPr>
          <w:rFonts w:ascii="Calibri" w:hAnsi="Calibri" w:cs="Times New Roman"/>
          <w:noProof/>
          <w:szCs w:val="24"/>
        </w:rPr>
        <w:t>(7), 838–847. https://doi.org/10.1016/j.tate.2006.07.005</w:t>
      </w:r>
    </w:p>
    <w:p w14:paraId="5D856279"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Education Endowment Foundation. (2015). </w:t>
      </w:r>
      <w:r w:rsidRPr="00FA16EA">
        <w:rPr>
          <w:rFonts w:ascii="Calibri" w:hAnsi="Calibri" w:cs="Times New Roman"/>
          <w:i/>
          <w:iCs/>
          <w:noProof/>
          <w:szCs w:val="24"/>
        </w:rPr>
        <w:t>Annual Report 2015 Education Endowment Foundation</w:t>
      </w:r>
      <w:r w:rsidRPr="00FA16EA">
        <w:rPr>
          <w:rFonts w:ascii="Calibri" w:hAnsi="Calibri" w:cs="Times New Roman"/>
          <w:noProof/>
          <w:szCs w:val="24"/>
        </w:rPr>
        <w:t>. London.</w:t>
      </w:r>
    </w:p>
    <w:p w14:paraId="611F939F"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Fisher, M. (2016). The Social Care Institute for Excellence and Evidence-Based Policy and Practice: Table 1. </w:t>
      </w:r>
      <w:r w:rsidRPr="00FA16EA">
        <w:rPr>
          <w:rFonts w:ascii="Calibri" w:hAnsi="Calibri" w:cs="Times New Roman"/>
          <w:i/>
          <w:iCs/>
          <w:noProof/>
          <w:szCs w:val="24"/>
        </w:rPr>
        <w:t>British Journal of Social Work</w:t>
      </w:r>
      <w:r w:rsidRPr="00FA16EA">
        <w:rPr>
          <w:rFonts w:ascii="Calibri" w:hAnsi="Calibri" w:cs="Times New Roman"/>
          <w:noProof/>
          <w:szCs w:val="24"/>
        </w:rPr>
        <w:t xml:space="preserve">, </w:t>
      </w:r>
      <w:r w:rsidRPr="00FA16EA">
        <w:rPr>
          <w:rFonts w:ascii="Calibri" w:hAnsi="Calibri" w:cs="Times New Roman"/>
          <w:i/>
          <w:iCs/>
          <w:noProof/>
          <w:szCs w:val="24"/>
        </w:rPr>
        <w:t>46</w:t>
      </w:r>
      <w:r w:rsidRPr="00FA16EA">
        <w:rPr>
          <w:rFonts w:ascii="Calibri" w:hAnsi="Calibri" w:cs="Times New Roman"/>
          <w:noProof/>
          <w:szCs w:val="24"/>
        </w:rPr>
        <w:t>(2), 498–513. https://doi.org/10.1093/bjsw/bcu143</w:t>
      </w:r>
    </w:p>
    <w:p w14:paraId="136F2889"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Forman, E. M., Gaudiano, B. A., &amp; Herbert, J. D. (2016). Pragmatic recommendations to address challenges in </w:t>
      </w:r>
      <w:r w:rsidRPr="00FA16EA">
        <w:rPr>
          <w:rFonts w:ascii="Calibri" w:hAnsi="Calibri" w:cs="Times New Roman"/>
          <w:noProof/>
          <w:szCs w:val="24"/>
        </w:rPr>
        <w:lastRenderedPageBreak/>
        <w:t xml:space="preserve">disseminating evidenced-based treatment guidelines. </w:t>
      </w:r>
      <w:r w:rsidRPr="00FA16EA">
        <w:rPr>
          <w:rFonts w:ascii="Calibri" w:hAnsi="Calibri" w:cs="Times New Roman"/>
          <w:i/>
          <w:iCs/>
          <w:noProof/>
          <w:szCs w:val="24"/>
        </w:rPr>
        <w:t>Canadian Psychology</w:t>
      </w:r>
      <w:r w:rsidRPr="00FA16EA">
        <w:rPr>
          <w:rFonts w:ascii="Calibri" w:hAnsi="Calibri" w:cs="Times New Roman"/>
          <w:noProof/>
          <w:szCs w:val="24"/>
        </w:rPr>
        <w:t xml:space="preserve">, </w:t>
      </w:r>
      <w:r w:rsidRPr="00FA16EA">
        <w:rPr>
          <w:rFonts w:ascii="Calibri" w:hAnsi="Calibri" w:cs="Times New Roman"/>
          <w:i/>
          <w:iCs/>
          <w:noProof/>
          <w:szCs w:val="24"/>
        </w:rPr>
        <w:t>57</w:t>
      </w:r>
      <w:r w:rsidRPr="00FA16EA">
        <w:rPr>
          <w:rFonts w:ascii="Calibri" w:hAnsi="Calibri" w:cs="Times New Roman"/>
          <w:noProof/>
          <w:szCs w:val="24"/>
        </w:rPr>
        <w:t>(3), 160–171. https://doi.org/10.1037/cap0000054</w:t>
      </w:r>
    </w:p>
    <w:p w14:paraId="2A72C738"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Goldacre, B. (2013). Building Evidence Into Education. </w:t>
      </w:r>
      <w:r w:rsidRPr="00FA16EA">
        <w:rPr>
          <w:rFonts w:ascii="Calibri" w:hAnsi="Calibri" w:cs="Times New Roman"/>
          <w:i/>
          <w:iCs/>
          <w:noProof/>
          <w:szCs w:val="24"/>
        </w:rPr>
        <w:t>Department of Education</w:t>
      </w:r>
      <w:r w:rsidRPr="00FA16EA">
        <w:rPr>
          <w:rFonts w:ascii="Calibri" w:hAnsi="Calibri" w:cs="Times New Roman"/>
          <w:noProof/>
          <w:szCs w:val="24"/>
        </w:rPr>
        <w:t>, (March). Retrieved from https://www.gov.uk/government/news/building-evidence-into-education</w:t>
      </w:r>
    </w:p>
    <w:p w14:paraId="105172B5"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Greenhalgh, T., Howick, J., &amp; Maskrey, N. (2014). Evidence based medicine: a movement in crisis? </w:t>
      </w:r>
      <w:r w:rsidRPr="00FA16EA">
        <w:rPr>
          <w:rFonts w:ascii="Calibri" w:hAnsi="Calibri" w:cs="Times New Roman"/>
          <w:i/>
          <w:iCs/>
          <w:noProof/>
          <w:szCs w:val="24"/>
        </w:rPr>
        <w:t>BMJ</w:t>
      </w:r>
      <w:r w:rsidRPr="00FA16EA">
        <w:rPr>
          <w:rFonts w:ascii="Calibri" w:hAnsi="Calibri" w:cs="Times New Roman"/>
          <w:noProof/>
          <w:szCs w:val="24"/>
        </w:rPr>
        <w:t>. https://doi.org/10.1136/bmj.g3725</w:t>
      </w:r>
    </w:p>
    <w:p w14:paraId="1FAA488C"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Hawkins, B., &amp; Parkhurst, J. (2016). The “good governance” of evidence in health policy. </w:t>
      </w:r>
      <w:r w:rsidRPr="00FA16EA">
        <w:rPr>
          <w:rFonts w:ascii="Calibri" w:hAnsi="Calibri" w:cs="Times New Roman"/>
          <w:i/>
          <w:iCs/>
          <w:noProof/>
          <w:szCs w:val="24"/>
        </w:rPr>
        <w:t>Evidence &amp; Policy: A Journal of Research, Debate and Practice</w:t>
      </w:r>
      <w:r w:rsidRPr="00FA16EA">
        <w:rPr>
          <w:rFonts w:ascii="Calibri" w:hAnsi="Calibri" w:cs="Times New Roman"/>
          <w:noProof/>
          <w:szCs w:val="24"/>
        </w:rPr>
        <w:t xml:space="preserve">, </w:t>
      </w:r>
      <w:r w:rsidRPr="00FA16EA">
        <w:rPr>
          <w:rFonts w:ascii="Calibri" w:hAnsi="Calibri" w:cs="Times New Roman"/>
          <w:i/>
          <w:iCs/>
          <w:noProof/>
          <w:szCs w:val="24"/>
        </w:rPr>
        <w:t>12</w:t>
      </w:r>
      <w:r w:rsidRPr="00FA16EA">
        <w:rPr>
          <w:rFonts w:ascii="Calibri" w:hAnsi="Calibri" w:cs="Times New Roman"/>
          <w:noProof/>
          <w:szCs w:val="24"/>
        </w:rPr>
        <w:t>(4), 575–592. https://doi.org/10.1332/174426415X14430058455412</w:t>
      </w:r>
    </w:p>
    <w:p w14:paraId="62ADDE93"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Health Evidence. (2016). </w:t>
      </w:r>
      <w:r w:rsidRPr="00FA16EA">
        <w:rPr>
          <w:rFonts w:ascii="Calibri" w:hAnsi="Calibri" w:cs="Times New Roman"/>
          <w:i/>
          <w:iCs/>
          <w:noProof/>
          <w:szCs w:val="24"/>
        </w:rPr>
        <w:t>Briefing Note: Rationale and Key Findings Summary</w:t>
      </w:r>
      <w:r w:rsidRPr="00FA16EA">
        <w:rPr>
          <w:rFonts w:ascii="Calibri" w:hAnsi="Calibri" w:cs="Times New Roman"/>
          <w:noProof/>
          <w:szCs w:val="24"/>
        </w:rPr>
        <w:t>. Canada.</w:t>
      </w:r>
    </w:p>
    <w:p w14:paraId="4340A4B0"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Hoffmann, T. C., Glasziou, P. P., Boutron, I., Milne, R., Perera, R., Moher, D., … Michie, S. (2014). Better reporting of interventions: Template for intervention description and replication (TIDieR) checklist and guide. </w:t>
      </w:r>
      <w:r w:rsidRPr="00FA16EA">
        <w:rPr>
          <w:rFonts w:ascii="Calibri" w:hAnsi="Calibri" w:cs="Times New Roman"/>
          <w:i/>
          <w:iCs/>
          <w:noProof/>
          <w:szCs w:val="24"/>
        </w:rPr>
        <w:t>BMJ (Online)</w:t>
      </w:r>
      <w:r w:rsidRPr="00FA16EA">
        <w:rPr>
          <w:rFonts w:ascii="Calibri" w:hAnsi="Calibri" w:cs="Times New Roman"/>
          <w:noProof/>
          <w:szCs w:val="24"/>
        </w:rPr>
        <w:t xml:space="preserve">, </w:t>
      </w:r>
      <w:r w:rsidRPr="00FA16EA">
        <w:rPr>
          <w:rFonts w:ascii="Calibri" w:hAnsi="Calibri" w:cs="Times New Roman"/>
          <w:i/>
          <w:iCs/>
          <w:noProof/>
          <w:szCs w:val="24"/>
        </w:rPr>
        <w:t>348</w:t>
      </w:r>
      <w:r w:rsidRPr="00FA16EA">
        <w:rPr>
          <w:rFonts w:ascii="Calibri" w:hAnsi="Calibri" w:cs="Times New Roman"/>
          <w:noProof/>
          <w:szCs w:val="24"/>
        </w:rPr>
        <w:t>(March), 1–12. https://doi.org/10.1136/bmj.g1687</w:t>
      </w:r>
    </w:p>
    <w:p w14:paraId="21FAD45F"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Humphrey, N., Lendrum, A., Ashworth, E., Frearson, K., Buck, R., &amp; Kerr, K. (2016). Implementation and process evaluation (IPE) for interventions in educational settings: An introductory handbook. </w:t>
      </w:r>
      <w:r w:rsidRPr="00FA16EA">
        <w:rPr>
          <w:rFonts w:ascii="Calibri" w:hAnsi="Calibri" w:cs="Times New Roman"/>
          <w:i/>
          <w:iCs/>
          <w:noProof/>
          <w:szCs w:val="24"/>
        </w:rPr>
        <w:t>Education Endowment Foundation</w:t>
      </w:r>
      <w:r w:rsidRPr="00FA16EA">
        <w:rPr>
          <w:rFonts w:ascii="Calibri" w:hAnsi="Calibri" w:cs="Times New Roman"/>
          <w:noProof/>
          <w:szCs w:val="24"/>
        </w:rPr>
        <w:t>, 1–32. https://doi.org/10.1017/CBO9781107415324.004</w:t>
      </w:r>
    </w:p>
    <w:p w14:paraId="2EB21196" w14:textId="77777777" w:rsid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Jüni, P., Altman, D. G., Egger, M., Bmj, S., Medical, B., Jul, N., … Egger, M. (2015). Systematic Reviews In Health Care : Assessing The Quality Of Controlled Clinical Trials Linked references are available on JSTOR for this article : reviews in health Assessing the quality of controlled clinical trials other, </w:t>
      </w:r>
      <w:r w:rsidRPr="00FA16EA">
        <w:rPr>
          <w:rFonts w:ascii="Calibri" w:hAnsi="Calibri" w:cs="Times New Roman"/>
          <w:i/>
          <w:iCs/>
          <w:noProof/>
          <w:szCs w:val="24"/>
        </w:rPr>
        <w:t>323</w:t>
      </w:r>
      <w:r w:rsidRPr="00FA16EA">
        <w:rPr>
          <w:rFonts w:ascii="Calibri" w:hAnsi="Calibri" w:cs="Times New Roman"/>
          <w:noProof/>
          <w:szCs w:val="24"/>
        </w:rPr>
        <w:t>(7303), 42–46.</w:t>
      </w:r>
    </w:p>
    <w:p w14:paraId="00596F81" w14:textId="77777777" w:rsidR="00E8131A" w:rsidRPr="00FA16EA" w:rsidRDefault="00E8131A" w:rsidP="00E41B8F">
      <w:pPr>
        <w:rPr>
          <w:rFonts w:ascii="Calibri" w:hAnsi="Calibri" w:cs="Times New Roman"/>
          <w:noProof/>
          <w:szCs w:val="24"/>
        </w:rPr>
      </w:pPr>
      <w:bookmarkStart w:id="169" w:name="_Toc509950682"/>
      <w:r>
        <w:rPr>
          <w:rFonts w:ascii="Calibri" w:hAnsi="Calibri" w:cs="Times New Roman"/>
          <w:noProof/>
          <w:szCs w:val="24"/>
        </w:rPr>
        <w:t xml:space="preserve">Kania, J. &amp; Kramer, M. (2011). </w:t>
      </w:r>
      <w:r>
        <w:t>Collective Impact</w:t>
      </w:r>
      <w:r>
        <w:rPr>
          <w:i/>
        </w:rPr>
        <w:t>, Stanford Social Innovation Review</w:t>
      </w:r>
      <w:bookmarkEnd w:id="169"/>
    </w:p>
    <w:p w14:paraId="02174A56" w14:textId="77777777" w:rsidR="00FA16EA" w:rsidRPr="00E833DA" w:rsidRDefault="00FA16EA" w:rsidP="00FA16EA">
      <w:pPr>
        <w:widowControl w:val="0"/>
        <w:autoSpaceDE w:val="0"/>
        <w:autoSpaceDN w:val="0"/>
        <w:adjustRightInd w:val="0"/>
        <w:spacing w:line="240" w:lineRule="auto"/>
        <w:ind w:left="480" w:hanging="480"/>
        <w:rPr>
          <w:rFonts w:ascii="Calibri" w:hAnsi="Calibri" w:cs="Times New Roman"/>
          <w:noProof/>
          <w:szCs w:val="24"/>
          <w:lang w:val="da-DK"/>
        </w:rPr>
      </w:pPr>
      <w:r w:rsidRPr="00FA16EA">
        <w:rPr>
          <w:rFonts w:ascii="Calibri" w:hAnsi="Calibri" w:cs="Times New Roman"/>
          <w:noProof/>
          <w:szCs w:val="24"/>
        </w:rPr>
        <w:t xml:space="preserve">Kirkwood, B. (2004). Making public health interventions more evidence based. </w:t>
      </w:r>
      <w:r w:rsidRPr="00E833DA">
        <w:rPr>
          <w:rFonts w:ascii="Calibri" w:hAnsi="Calibri" w:cs="Times New Roman"/>
          <w:i/>
          <w:iCs/>
          <w:noProof/>
          <w:szCs w:val="24"/>
          <w:lang w:val="da-DK"/>
        </w:rPr>
        <w:t>Bmj</w:t>
      </w:r>
      <w:r w:rsidRPr="00E833DA">
        <w:rPr>
          <w:rFonts w:ascii="Calibri" w:hAnsi="Calibri" w:cs="Times New Roman"/>
          <w:noProof/>
          <w:szCs w:val="24"/>
          <w:lang w:val="da-DK"/>
        </w:rPr>
        <w:t xml:space="preserve">, </w:t>
      </w:r>
      <w:r w:rsidRPr="00E833DA">
        <w:rPr>
          <w:rFonts w:ascii="Calibri" w:hAnsi="Calibri" w:cs="Times New Roman"/>
          <w:i/>
          <w:iCs/>
          <w:noProof/>
          <w:szCs w:val="24"/>
          <w:lang w:val="da-DK"/>
        </w:rPr>
        <w:t>328</w:t>
      </w:r>
      <w:r w:rsidRPr="00E833DA">
        <w:rPr>
          <w:rFonts w:ascii="Calibri" w:hAnsi="Calibri" w:cs="Times New Roman"/>
          <w:noProof/>
          <w:szCs w:val="24"/>
          <w:lang w:val="da-DK"/>
        </w:rPr>
        <w:t>(April), 966–967. https://doi.org/10.1136/bmj.328.7446.966</w:t>
      </w:r>
    </w:p>
    <w:p w14:paraId="528B67A3"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E833DA">
        <w:rPr>
          <w:rFonts w:ascii="Calibri" w:hAnsi="Calibri" w:cs="Times New Roman"/>
          <w:noProof/>
          <w:szCs w:val="24"/>
          <w:lang w:val="da-DK"/>
        </w:rPr>
        <w:t xml:space="preserve">Klinger, D., &amp; Sabet, M. (2005). </w:t>
      </w:r>
      <w:r w:rsidRPr="00FA16EA">
        <w:rPr>
          <w:rFonts w:ascii="Calibri" w:hAnsi="Calibri" w:cs="Times New Roman"/>
          <w:noProof/>
          <w:szCs w:val="24"/>
        </w:rPr>
        <w:t xml:space="preserve">Knowledge management, organizational learning, innovation diffusion and adoption, and technology transfer: What they mean and why they matter. </w:t>
      </w:r>
      <w:r w:rsidRPr="00FA16EA">
        <w:rPr>
          <w:rFonts w:ascii="Calibri" w:hAnsi="Calibri" w:cs="Times New Roman"/>
          <w:i/>
          <w:iCs/>
          <w:noProof/>
          <w:szCs w:val="24"/>
        </w:rPr>
        <w:t>Comparative Technology Transfer and Society</w:t>
      </w:r>
      <w:r w:rsidRPr="00FA16EA">
        <w:rPr>
          <w:rFonts w:ascii="Calibri" w:hAnsi="Calibri" w:cs="Times New Roman"/>
          <w:noProof/>
          <w:szCs w:val="24"/>
        </w:rPr>
        <w:t xml:space="preserve">, </w:t>
      </w:r>
      <w:r w:rsidRPr="00FA16EA">
        <w:rPr>
          <w:rFonts w:ascii="Calibri" w:hAnsi="Calibri" w:cs="Times New Roman"/>
          <w:i/>
          <w:iCs/>
          <w:noProof/>
          <w:szCs w:val="24"/>
        </w:rPr>
        <w:t>3</w:t>
      </w:r>
      <w:r w:rsidRPr="00FA16EA">
        <w:rPr>
          <w:rFonts w:ascii="Calibri" w:hAnsi="Calibri" w:cs="Times New Roman"/>
          <w:noProof/>
          <w:szCs w:val="24"/>
        </w:rPr>
        <w:t>(3), 199–210.</w:t>
      </w:r>
    </w:p>
    <w:p w14:paraId="4913A860"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Kohl, R., &amp; Cooley, L. (2004). Scaling up - a conceptual and operational framework. Retrieved from http://vibrantcanada.ca/files/kohl_scaleup.pdf</w:t>
      </w:r>
    </w:p>
    <w:p w14:paraId="122F526E"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LaRocca, R., Yost, J., Dobbins, M., Ciliska, D., &amp; Butt, M. (2012). The effectiveness of knowledge translation strategies used in public health: a systematic review (Structured abstract). </w:t>
      </w:r>
      <w:r w:rsidRPr="00FA16EA">
        <w:rPr>
          <w:rFonts w:ascii="Calibri" w:hAnsi="Calibri" w:cs="Times New Roman"/>
          <w:i/>
          <w:iCs/>
          <w:noProof/>
          <w:szCs w:val="24"/>
        </w:rPr>
        <w:t>BMC Public Health</w:t>
      </w:r>
      <w:r w:rsidRPr="00FA16EA">
        <w:rPr>
          <w:rFonts w:ascii="Calibri" w:hAnsi="Calibri" w:cs="Times New Roman"/>
          <w:noProof/>
          <w:szCs w:val="24"/>
        </w:rPr>
        <w:t>. Retrieved from http://onlinelibrary.wiley.com/o/cochrane/cldare/articles/DARE-12013015857/frame.html</w:t>
      </w:r>
    </w:p>
    <w:p w14:paraId="3C79FA7C"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Lohr, K. N. (2004). Rating the strength of scientific evidence: Relevance for quality improvement programs. </w:t>
      </w:r>
      <w:r w:rsidRPr="00FA16EA">
        <w:rPr>
          <w:rFonts w:ascii="Calibri" w:hAnsi="Calibri" w:cs="Times New Roman"/>
          <w:i/>
          <w:iCs/>
          <w:noProof/>
          <w:szCs w:val="24"/>
        </w:rPr>
        <w:t>International Journal for Quality in Health Care</w:t>
      </w:r>
      <w:r w:rsidRPr="00FA16EA">
        <w:rPr>
          <w:rFonts w:ascii="Calibri" w:hAnsi="Calibri" w:cs="Times New Roman"/>
          <w:noProof/>
          <w:szCs w:val="24"/>
        </w:rPr>
        <w:t xml:space="preserve">, </w:t>
      </w:r>
      <w:r w:rsidRPr="00FA16EA">
        <w:rPr>
          <w:rFonts w:ascii="Calibri" w:hAnsi="Calibri" w:cs="Times New Roman"/>
          <w:i/>
          <w:iCs/>
          <w:noProof/>
          <w:szCs w:val="24"/>
        </w:rPr>
        <w:t>16</w:t>
      </w:r>
      <w:r w:rsidRPr="00FA16EA">
        <w:rPr>
          <w:rFonts w:ascii="Calibri" w:hAnsi="Calibri" w:cs="Times New Roman"/>
          <w:noProof/>
          <w:szCs w:val="24"/>
        </w:rPr>
        <w:t>(1), 9–18. https://doi.org/10.1093/intqhc/mzh005</w:t>
      </w:r>
    </w:p>
    <w:p w14:paraId="2E8B4D8D"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Maeda, A., Norris Harrit, M., Mabuchi, S., Siadat, B., &amp; Nagpal, S. (2012). </w:t>
      </w:r>
      <w:r w:rsidRPr="00FA16EA">
        <w:rPr>
          <w:rFonts w:ascii="Calibri" w:hAnsi="Calibri" w:cs="Times New Roman"/>
          <w:i/>
          <w:iCs/>
          <w:noProof/>
          <w:szCs w:val="24"/>
        </w:rPr>
        <w:t>Creating Evidence for Better Health Financing Decisions</w:t>
      </w:r>
      <w:r w:rsidRPr="00FA16EA">
        <w:rPr>
          <w:rFonts w:ascii="Calibri" w:hAnsi="Calibri" w:cs="Times New Roman"/>
          <w:noProof/>
          <w:szCs w:val="24"/>
        </w:rPr>
        <w:t>. https://doi.org/10.1596/978-0-8213-9469-4</w:t>
      </w:r>
    </w:p>
    <w:p w14:paraId="312AE048"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Masters, G. (2016). </w:t>
      </w:r>
      <w:r w:rsidRPr="00FA16EA">
        <w:rPr>
          <w:rFonts w:ascii="Calibri" w:hAnsi="Calibri" w:cs="Times New Roman"/>
          <w:i/>
          <w:iCs/>
          <w:noProof/>
          <w:szCs w:val="24"/>
        </w:rPr>
        <w:t>Five Challenges in Australian School Education</w:t>
      </w:r>
      <w:r w:rsidRPr="00FA16EA">
        <w:rPr>
          <w:rFonts w:ascii="Calibri" w:hAnsi="Calibri" w:cs="Times New Roman"/>
          <w:noProof/>
          <w:szCs w:val="24"/>
        </w:rPr>
        <w:t>.</w:t>
      </w:r>
    </w:p>
    <w:p w14:paraId="54EAFDA0"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McVay, A. B., Stamatakis, K. A., Jacobs, J. A., Tabak, R. G., &amp; Brownson, R. C. (2016). The role of researchers in disseminating evidence to public health practice settings: A cross-sectional study. </w:t>
      </w:r>
      <w:r w:rsidRPr="00FA16EA">
        <w:rPr>
          <w:rFonts w:ascii="Calibri" w:hAnsi="Calibri" w:cs="Times New Roman"/>
          <w:i/>
          <w:iCs/>
          <w:noProof/>
          <w:szCs w:val="24"/>
        </w:rPr>
        <w:t>Health Research Policy and Systems</w:t>
      </w:r>
      <w:r w:rsidRPr="00FA16EA">
        <w:rPr>
          <w:rFonts w:ascii="Calibri" w:hAnsi="Calibri" w:cs="Times New Roman"/>
          <w:noProof/>
          <w:szCs w:val="24"/>
        </w:rPr>
        <w:t xml:space="preserve">, </w:t>
      </w:r>
      <w:r w:rsidRPr="00FA16EA">
        <w:rPr>
          <w:rFonts w:ascii="Calibri" w:hAnsi="Calibri" w:cs="Times New Roman"/>
          <w:i/>
          <w:iCs/>
          <w:noProof/>
          <w:szCs w:val="24"/>
        </w:rPr>
        <w:t>14</w:t>
      </w:r>
      <w:r w:rsidRPr="00FA16EA">
        <w:rPr>
          <w:rFonts w:ascii="Calibri" w:hAnsi="Calibri" w:cs="Times New Roman"/>
          <w:noProof/>
          <w:szCs w:val="24"/>
        </w:rPr>
        <w:t>(1), 1–9. https://doi.org/10.1186/s12961-016-0113-4</w:t>
      </w:r>
    </w:p>
    <w:p w14:paraId="5610CA4D"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Means, S. N., Magura, S., Burkhardt, J. T., Schröter, D. C., &amp; Coryn, C. L. S. (2015). Comparing rating paradigms for evidence-based program registers in behavioral health: Evidentiary criteria and implications for assessing programs. </w:t>
      </w:r>
      <w:r w:rsidRPr="00FA16EA">
        <w:rPr>
          <w:rFonts w:ascii="Calibri" w:hAnsi="Calibri" w:cs="Times New Roman"/>
          <w:i/>
          <w:iCs/>
          <w:noProof/>
          <w:szCs w:val="24"/>
        </w:rPr>
        <w:t>Evaluation and Program Planning</w:t>
      </w:r>
      <w:r w:rsidRPr="00FA16EA">
        <w:rPr>
          <w:rFonts w:ascii="Calibri" w:hAnsi="Calibri" w:cs="Times New Roman"/>
          <w:noProof/>
          <w:szCs w:val="24"/>
        </w:rPr>
        <w:t xml:space="preserve">, </w:t>
      </w:r>
      <w:r w:rsidRPr="00FA16EA">
        <w:rPr>
          <w:rFonts w:ascii="Calibri" w:hAnsi="Calibri" w:cs="Times New Roman"/>
          <w:i/>
          <w:iCs/>
          <w:noProof/>
          <w:szCs w:val="24"/>
        </w:rPr>
        <w:t>48</w:t>
      </w:r>
      <w:r w:rsidRPr="00FA16EA">
        <w:rPr>
          <w:rFonts w:ascii="Calibri" w:hAnsi="Calibri" w:cs="Times New Roman"/>
          <w:noProof/>
          <w:szCs w:val="24"/>
        </w:rPr>
        <w:t>, 100–116. https://doi.org/10.1016/j.evalprogplan.2014.09.007</w:t>
      </w:r>
    </w:p>
    <w:p w14:paraId="5D2DCA61"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Milat, A. J., King, L., Bauman, A. E., &amp; Redman, S. (2013). The concept of scalability: Increasing the scale and potential adoption of health promotion interventions into policy and practice. </w:t>
      </w:r>
      <w:r w:rsidRPr="00FA16EA">
        <w:rPr>
          <w:rFonts w:ascii="Calibri" w:hAnsi="Calibri" w:cs="Times New Roman"/>
          <w:i/>
          <w:iCs/>
          <w:noProof/>
          <w:szCs w:val="24"/>
        </w:rPr>
        <w:t>Health Promotion International</w:t>
      </w:r>
      <w:r w:rsidRPr="00FA16EA">
        <w:rPr>
          <w:rFonts w:ascii="Calibri" w:hAnsi="Calibri" w:cs="Times New Roman"/>
          <w:noProof/>
          <w:szCs w:val="24"/>
        </w:rPr>
        <w:t xml:space="preserve">, </w:t>
      </w:r>
      <w:r w:rsidRPr="00FA16EA">
        <w:rPr>
          <w:rFonts w:ascii="Calibri" w:hAnsi="Calibri" w:cs="Times New Roman"/>
          <w:i/>
          <w:iCs/>
          <w:noProof/>
          <w:szCs w:val="24"/>
        </w:rPr>
        <w:t>28</w:t>
      </w:r>
      <w:r w:rsidRPr="00FA16EA">
        <w:rPr>
          <w:rFonts w:ascii="Calibri" w:hAnsi="Calibri" w:cs="Times New Roman"/>
          <w:noProof/>
          <w:szCs w:val="24"/>
        </w:rPr>
        <w:t>(3), 285–298. https://doi.org/10.1093/heapro/dar097</w:t>
      </w:r>
    </w:p>
    <w:p w14:paraId="40B9E659"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Moore, T. (2016). </w:t>
      </w:r>
      <w:r w:rsidRPr="00FA16EA">
        <w:rPr>
          <w:rFonts w:ascii="Calibri" w:hAnsi="Calibri" w:cs="Times New Roman"/>
          <w:i/>
          <w:iCs/>
          <w:noProof/>
          <w:szCs w:val="24"/>
        </w:rPr>
        <w:t>Towards a model of evidence-informed decision making and service delivery</w:t>
      </w:r>
      <w:r w:rsidRPr="00FA16EA">
        <w:rPr>
          <w:rFonts w:ascii="Calibri" w:hAnsi="Calibri" w:cs="Times New Roman"/>
          <w:noProof/>
          <w:szCs w:val="24"/>
        </w:rPr>
        <w:t>. Melbourne. Retrieved from www.rch.org.au/ccch</w:t>
      </w:r>
    </w:p>
    <w:p w14:paraId="36C6A885"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lastRenderedPageBreak/>
        <w:t xml:space="preserve">Oakley, A., Strange, V., Bonell, C., Allen, E., Stephenson, J., &amp; Team, R. S. (2006). Complex Interventions. </w:t>
      </w:r>
      <w:r w:rsidRPr="00FA16EA">
        <w:rPr>
          <w:rFonts w:ascii="Calibri" w:hAnsi="Calibri" w:cs="Times New Roman"/>
          <w:i/>
          <w:iCs/>
          <w:noProof/>
          <w:szCs w:val="24"/>
        </w:rPr>
        <w:t>British Medical Journal</w:t>
      </w:r>
      <w:r w:rsidRPr="00FA16EA">
        <w:rPr>
          <w:rFonts w:ascii="Calibri" w:hAnsi="Calibri" w:cs="Times New Roman"/>
          <w:noProof/>
          <w:szCs w:val="24"/>
        </w:rPr>
        <w:t xml:space="preserve">, </w:t>
      </w:r>
      <w:r w:rsidRPr="00FA16EA">
        <w:rPr>
          <w:rFonts w:ascii="Calibri" w:hAnsi="Calibri" w:cs="Times New Roman"/>
          <w:i/>
          <w:iCs/>
          <w:noProof/>
          <w:szCs w:val="24"/>
        </w:rPr>
        <w:t>332</w:t>
      </w:r>
      <w:r w:rsidRPr="00FA16EA">
        <w:rPr>
          <w:rFonts w:ascii="Calibri" w:hAnsi="Calibri" w:cs="Times New Roman"/>
          <w:noProof/>
          <w:szCs w:val="24"/>
        </w:rPr>
        <w:t>(7538), 413–416. https://doi.org/10.1136/bmj.332.7538.413</w:t>
      </w:r>
    </w:p>
    <w:p w14:paraId="7E3BB507"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Odom, S. L., Branlinger, E., Gersten, R., Horner, R. R., Thomson, B., &amp; HArris, K. R. (2005). Research in Special Education: Scientific Methods and Evidence-Based Practices. </w:t>
      </w:r>
      <w:r w:rsidRPr="00FA16EA">
        <w:rPr>
          <w:rFonts w:ascii="Calibri" w:hAnsi="Calibri" w:cs="Times New Roman"/>
          <w:i/>
          <w:iCs/>
          <w:noProof/>
          <w:szCs w:val="24"/>
        </w:rPr>
        <w:t>Exceptional Children</w:t>
      </w:r>
      <w:r w:rsidRPr="00FA16EA">
        <w:rPr>
          <w:rFonts w:ascii="Calibri" w:hAnsi="Calibri" w:cs="Times New Roman"/>
          <w:noProof/>
          <w:szCs w:val="24"/>
        </w:rPr>
        <w:t xml:space="preserve">, </w:t>
      </w:r>
      <w:r w:rsidRPr="00FA16EA">
        <w:rPr>
          <w:rFonts w:ascii="Calibri" w:hAnsi="Calibri" w:cs="Times New Roman"/>
          <w:i/>
          <w:iCs/>
          <w:noProof/>
          <w:szCs w:val="24"/>
        </w:rPr>
        <w:t>71</w:t>
      </w:r>
      <w:r w:rsidRPr="00FA16EA">
        <w:rPr>
          <w:rFonts w:ascii="Calibri" w:hAnsi="Calibri" w:cs="Times New Roman"/>
          <w:noProof/>
          <w:szCs w:val="24"/>
        </w:rPr>
        <w:t>(2), 137–148.</w:t>
      </w:r>
    </w:p>
    <w:p w14:paraId="539CCF05"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Pandis, N. (2011). The evidence pyramid and introduction to randomized controlled trials. </w:t>
      </w:r>
      <w:r w:rsidRPr="00FA16EA">
        <w:rPr>
          <w:rFonts w:ascii="Calibri" w:hAnsi="Calibri" w:cs="Times New Roman"/>
          <w:i/>
          <w:iCs/>
          <w:noProof/>
          <w:szCs w:val="24"/>
        </w:rPr>
        <w:t>American Journal of Orthodontics and Dentofacial Orthopedics</w:t>
      </w:r>
      <w:r w:rsidRPr="00FA16EA">
        <w:rPr>
          <w:rFonts w:ascii="Calibri" w:hAnsi="Calibri" w:cs="Times New Roman"/>
          <w:noProof/>
          <w:szCs w:val="24"/>
        </w:rPr>
        <w:t xml:space="preserve">, </w:t>
      </w:r>
      <w:r w:rsidRPr="00FA16EA">
        <w:rPr>
          <w:rFonts w:ascii="Calibri" w:hAnsi="Calibri" w:cs="Times New Roman"/>
          <w:i/>
          <w:iCs/>
          <w:noProof/>
          <w:szCs w:val="24"/>
        </w:rPr>
        <w:t>140</w:t>
      </w:r>
      <w:r w:rsidRPr="00FA16EA">
        <w:rPr>
          <w:rFonts w:ascii="Calibri" w:hAnsi="Calibri" w:cs="Times New Roman"/>
          <w:noProof/>
          <w:szCs w:val="24"/>
        </w:rPr>
        <w:t>(3), 446–447. https://doi.org/10.1016/j.ajodo.2011.04.016</w:t>
      </w:r>
    </w:p>
    <w:p w14:paraId="41BEC7DC"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Petkovic, J., Welch, V., &amp; Tugwell, P. (2015). Do evidence summaries increase policy-makers’ use of evidence from systematic reviews: A systematic review protocol. </w:t>
      </w:r>
      <w:r w:rsidRPr="00FA16EA">
        <w:rPr>
          <w:rFonts w:ascii="Calibri" w:hAnsi="Calibri" w:cs="Times New Roman"/>
          <w:i/>
          <w:iCs/>
          <w:noProof/>
          <w:szCs w:val="24"/>
        </w:rPr>
        <w:t>Systematic Reviews</w:t>
      </w:r>
      <w:r w:rsidRPr="00FA16EA">
        <w:rPr>
          <w:rFonts w:ascii="Calibri" w:hAnsi="Calibri" w:cs="Times New Roman"/>
          <w:noProof/>
          <w:szCs w:val="24"/>
        </w:rPr>
        <w:t xml:space="preserve">, </w:t>
      </w:r>
      <w:r w:rsidRPr="00FA16EA">
        <w:rPr>
          <w:rFonts w:ascii="Calibri" w:hAnsi="Calibri" w:cs="Times New Roman"/>
          <w:i/>
          <w:iCs/>
          <w:noProof/>
          <w:szCs w:val="24"/>
        </w:rPr>
        <w:t>4</w:t>
      </w:r>
      <w:r w:rsidRPr="00FA16EA">
        <w:rPr>
          <w:rFonts w:ascii="Calibri" w:hAnsi="Calibri" w:cs="Times New Roman"/>
          <w:noProof/>
          <w:szCs w:val="24"/>
        </w:rPr>
        <w:t>(1), 2–7. https://doi.org/10.1186/s13643-015-0116-1</w:t>
      </w:r>
    </w:p>
    <w:p w14:paraId="4F0622FB"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Purper, C. J. (2016). Right at Your Fingertips: Important Web-Based Resources for Understanding Evidence-Based Practices. </w:t>
      </w:r>
      <w:r w:rsidRPr="00FA16EA">
        <w:rPr>
          <w:rFonts w:ascii="Calibri" w:hAnsi="Calibri" w:cs="Times New Roman"/>
          <w:i/>
          <w:iCs/>
          <w:noProof/>
          <w:szCs w:val="24"/>
        </w:rPr>
        <w:t>Early Childhood Education Journal</w:t>
      </w:r>
      <w:r w:rsidRPr="00FA16EA">
        <w:rPr>
          <w:rFonts w:ascii="Calibri" w:hAnsi="Calibri" w:cs="Times New Roman"/>
          <w:noProof/>
          <w:szCs w:val="24"/>
        </w:rPr>
        <w:t xml:space="preserve">, </w:t>
      </w:r>
      <w:r w:rsidRPr="00FA16EA">
        <w:rPr>
          <w:rFonts w:ascii="Calibri" w:hAnsi="Calibri" w:cs="Times New Roman"/>
          <w:i/>
          <w:iCs/>
          <w:noProof/>
          <w:szCs w:val="24"/>
        </w:rPr>
        <w:t>44</w:t>
      </w:r>
      <w:r w:rsidRPr="00FA16EA">
        <w:rPr>
          <w:rFonts w:ascii="Calibri" w:hAnsi="Calibri" w:cs="Times New Roman"/>
          <w:noProof/>
          <w:szCs w:val="24"/>
        </w:rPr>
        <w:t>(4), 403–408. https://doi.org/10.1007/s10643-015-0722-5</w:t>
      </w:r>
    </w:p>
    <w:p w14:paraId="3978CBC7" w14:textId="77777777" w:rsidR="00FA16EA" w:rsidRPr="00E833DA" w:rsidRDefault="00FA16EA" w:rsidP="00FA16EA">
      <w:pPr>
        <w:widowControl w:val="0"/>
        <w:autoSpaceDE w:val="0"/>
        <w:autoSpaceDN w:val="0"/>
        <w:adjustRightInd w:val="0"/>
        <w:spacing w:line="240" w:lineRule="auto"/>
        <w:ind w:left="480" w:hanging="480"/>
        <w:rPr>
          <w:rFonts w:ascii="Calibri" w:hAnsi="Calibri" w:cs="Times New Roman"/>
          <w:noProof/>
          <w:szCs w:val="24"/>
          <w:lang w:val="it-IT"/>
        </w:rPr>
      </w:pPr>
      <w:r w:rsidRPr="00FA16EA">
        <w:rPr>
          <w:rFonts w:ascii="Calibri" w:hAnsi="Calibri" w:cs="Times New Roman"/>
          <w:noProof/>
          <w:szCs w:val="24"/>
        </w:rPr>
        <w:t xml:space="preserve">Schulz, K. F., Altman, D. G., Moher, D., Jüni, P., Altman, D., Egger, M., … Moher, D. (2010). CONSORT 2010 Statement: updated guidelines for reporting parallel group randomised trials. </w:t>
      </w:r>
      <w:r w:rsidRPr="00E833DA">
        <w:rPr>
          <w:rFonts w:ascii="Calibri" w:hAnsi="Calibri" w:cs="Times New Roman"/>
          <w:i/>
          <w:iCs/>
          <w:noProof/>
          <w:szCs w:val="24"/>
          <w:lang w:val="it-IT"/>
        </w:rPr>
        <w:t>BMC Medicine</w:t>
      </w:r>
      <w:r w:rsidRPr="00E833DA">
        <w:rPr>
          <w:rFonts w:ascii="Calibri" w:hAnsi="Calibri" w:cs="Times New Roman"/>
          <w:noProof/>
          <w:szCs w:val="24"/>
          <w:lang w:val="it-IT"/>
        </w:rPr>
        <w:t xml:space="preserve">, </w:t>
      </w:r>
      <w:r w:rsidRPr="00E833DA">
        <w:rPr>
          <w:rFonts w:ascii="Calibri" w:hAnsi="Calibri" w:cs="Times New Roman"/>
          <w:i/>
          <w:iCs/>
          <w:noProof/>
          <w:szCs w:val="24"/>
          <w:lang w:val="it-IT"/>
        </w:rPr>
        <w:t>8</w:t>
      </w:r>
      <w:r w:rsidRPr="00E833DA">
        <w:rPr>
          <w:rFonts w:ascii="Calibri" w:hAnsi="Calibri" w:cs="Times New Roman"/>
          <w:noProof/>
          <w:szCs w:val="24"/>
          <w:lang w:val="it-IT"/>
        </w:rPr>
        <w:t>(1), 18. https://doi.org/10.1186/1741-7015-8-18</w:t>
      </w:r>
    </w:p>
    <w:p w14:paraId="6A2E6DE7" w14:textId="77777777" w:rsidR="00FA16EA" w:rsidRPr="00E833DA" w:rsidRDefault="00FA16EA" w:rsidP="00FA16EA">
      <w:pPr>
        <w:widowControl w:val="0"/>
        <w:autoSpaceDE w:val="0"/>
        <w:autoSpaceDN w:val="0"/>
        <w:adjustRightInd w:val="0"/>
        <w:spacing w:line="240" w:lineRule="auto"/>
        <w:ind w:left="480" w:hanging="480"/>
        <w:rPr>
          <w:rFonts w:ascii="Calibri" w:hAnsi="Calibri" w:cs="Times New Roman"/>
          <w:noProof/>
          <w:szCs w:val="24"/>
          <w:lang w:val="it-IT"/>
        </w:rPr>
      </w:pPr>
      <w:r w:rsidRPr="00E833DA">
        <w:rPr>
          <w:rFonts w:ascii="Calibri" w:hAnsi="Calibri" w:cs="Times New Roman"/>
          <w:noProof/>
          <w:szCs w:val="24"/>
          <w:lang w:val="it-IT"/>
        </w:rPr>
        <w:t xml:space="preserve">Seale, C. (1999). Quality in qualitative research. </w:t>
      </w:r>
      <w:r w:rsidRPr="00E833DA">
        <w:rPr>
          <w:rFonts w:ascii="Calibri" w:hAnsi="Calibri" w:cs="Times New Roman"/>
          <w:i/>
          <w:iCs/>
          <w:noProof/>
          <w:szCs w:val="24"/>
          <w:lang w:val="it-IT"/>
        </w:rPr>
        <w:t>Qualitative Inquiry</w:t>
      </w:r>
      <w:r w:rsidRPr="00E833DA">
        <w:rPr>
          <w:rFonts w:ascii="Calibri" w:hAnsi="Calibri" w:cs="Times New Roman"/>
          <w:noProof/>
          <w:szCs w:val="24"/>
          <w:lang w:val="it-IT"/>
        </w:rPr>
        <w:t xml:space="preserve">, </w:t>
      </w:r>
      <w:r w:rsidRPr="00E833DA">
        <w:rPr>
          <w:rFonts w:ascii="Calibri" w:hAnsi="Calibri" w:cs="Times New Roman"/>
          <w:i/>
          <w:iCs/>
          <w:noProof/>
          <w:szCs w:val="24"/>
          <w:lang w:val="it-IT"/>
        </w:rPr>
        <w:t>5</w:t>
      </w:r>
      <w:r w:rsidRPr="00E833DA">
        <w:rPr>
          <w:rFonts w:ascii="Calibri" w:hAnsi="Calibri" w:cs="Times New Roman"/>
          <w:noProof/>
          <w:szCs w:val="24"/>
          <w:lang w:val="it-IT"/>
        </w:rPr>
        <w:t>(4), 465–478. https://doi.org/10.1177/107780049900500402</w:t>
      </w:r>
    </w:p>
    <w:p w14:paraId="123B243E"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Shavelson, R. J., &amp; Towne, L. (2002). </w:t>
      </w:r>
      <w:r w:rsidRPr="00FA16EA">
        <w:rPr>
          <w:rFonts w:ascii="Calibri" w:hAnsi="Calibri" w:cs="Times New Roman"/>
          <w:i/>
          <w:iCs/>
          <w:noProof/>
          <w:szCs w:val="24"/>
        </w:rPr>
        <w:t>Scientific research in education</w:t>
      </w:r>
      <w:r w:rsidRPr="00FA16EA">
        <w:rPr>
          <w:rFonts w:ascii="Calibri" w:hAnsi="Calibri" w:cs="Times New Roman"/>
          <w:noProof/>
          <w:szCs w:val="24"/>
        </w:rPr>
        <w:t xml:space="preserve">. </w:t>
      </w:r>
      <w:r w:rsidRPr="00FA16EA">
        <w:rPr>
          <w:rFonts w:ascii="Calibri" w:hAnsi="Calibri" w:cs="Times New Roman"/>
          <w:i/>
          <w:iCs/>
          <w:noProof/>
          <w:szCs w:val="24"/>
        </w:rPr>
        <w:t>Social Sciences</w:t>
      </w:r>
      <w:r w:rsidRPr="00FA16EA">
        <w:rPr>
          <w:rFonts w:ascii="Calibri" w:hAnsi="Calibri" w:cs="Times New Roman"/>
          <w:noProof/>
          <w:szCs w:val="24"/>
        </w:rPr>
        <w:t>. https://doi.org/10.1063/1.3047054</w:t>
      </w:r>
    </w:p>
    <w:p w14:paraId="01EA1287"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Sorenson, C., Drummond, M., &amp; Kanavos, P. (2008). </w:t>
      </w:r>
      <w:r w:rsidRPr="00FA16EA">
        <w:rPr>
          <w:rFonts w:ascii="Calibri" w:hAnsi="Calibri" w:cs="Times New Roman"/>
          <w:i/>
          <w:iCs/>
          <w:noProof/>
          <w:szCs w:val="24"/>
        </w:rPr>
        <w:t>Ensuring Value for Money in Health Care: The role of health technology assessment in the European Union</w:t>
      </w:r>
      <w:r w:rsidRPr="00FA16EA">
        <w:rPr>
          <w:rFonts w:ascii="Calibri" w:hAnsi="Calibri" w:cs="Times New Roman"/>
          <w:noProof/>
          <w:szCs w:val="24"/>
        </w:rPr>
        <w:t>.</w:t>
      </w:r>
    </w:p>
    <w:p w14:paraId="0BD57AC5"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Stetler, C. B. (2001). Updating the Stetler Model of research utilization to facilitate evidence-based practice. </w:t>
      </w:r>
      <w:r w:rsidRPr="00FA16EA">
        <w:rPr>
          <w:rFonts w:ascii="Calibri" w:hAnsi="Calibri" w:cs="Times New Roman"/>
          <w:i/>
          <w:iCs/>
          <w:noProof/>
          <w:szCs w:val="24"/>
        </w:rPr>
        <w:t>Nursing Outlook</w:t>
      </w:r>
      <w:r w:rsidRPr="00FA16EA">
        <w:rPr>
          <w:rFonts w:ascii="Calibri" w:hAnsi="Calibri" w:cs="Times New Roman"/>
          <w:noProof/>
          <w:szCs w:val="24"/>
        </w:rPr>
        <w:t>. https://doi.org/10.1067/mno.2001.120517</w:t>
      </w:r>
    </w:p>
    <w:p w14:paraId="17D3941D"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Tetroe, J. M., Graham, I. D., &amp; Scott, V. (2011). What does it mean to transform knowledge into action in falls prevention research? Perspectives from the Canadian Institutes of Health Research. </w:t>
      </w:r>
      <w:r w:rsidRPr="00FA16EA">
        <w:rPr>
          <w:rFonts w:ascii="Calibri" w:hAnsi="Calibri" w:cs="Times New Roman"/>
          <w:i/>
          <w:iCs/>
          <w:noProof/>
          <w:szCs w:val="24"/>
        </w:rPr>
        <w:t>Journal of Safety Research</w:t>
      </w:r>
      <w:r w:rsidRPr="00FA16EA">
        <w:rPr>
          <w:rFonts w:ascii="Calibri" w:hAnsi="Calibri" w:cs="Times New Roman"/>
          <w:noProof/>
          <w:szCs w:val="24"/>
        </w:rPr>
        <w:t xml:space="preserve">, </w:t>
      </w:r>
      <w:r w:rsidRPr="00FA16EA">
        <w:rPr>
          <w:rFonts w:ascii="Calibri" w:hAnsi="Calibri" w:cs="Times New Roman"/>
          <w:i/>
          <w:iCs/>
          <w:noProof/>
          <w:szCs w:val="24"/>
        </w:rPr>
        <w:t>42</w:t>
      </w:r>
      <w:r w:rsidRPr="00FA16EA">
        <w:rPr>
          <w:rFonts w:ascii="Calibri" w:hAnsi="Calibri" w:cs="Times New Roman"/>
          <w:noProof/>
          <w:szCs w:val="24"/>
        </w:rPr>
        <w:t>(6), 423–426. https://doi.org/10.1016/j.jsr.2011.08.005</w:t>
      </w:r>
    </w:p>
    <w:p w14:paraId="2AE5DE04"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Thomas, D. (2006). A General Inductive Approach for Analyzing Qualitative Data. </w:t>
      </w:r>
      <w:r w:rsidRPr="00FA16EA">
        <w:rPr>
          <w:rFonts w:ascii="Calibri" w:hAnsi="Calibri" w:cs="Times New Roman"/>
          <w:i/>
          <w:iCs/>
          <w:noProof/>
          <w:szCs w:val="24"/>
        </w:rPr>
        <w:t>American Journal of Evaluation</w:t>
      </w:r>
      <w:r w:rsidRPr="00FA16EA">
        <w:rPr>
          <w:rFonts w:ascii="Calibri" w:hAnsi="Calibri" w:cs="Times New Roman"/>
          <w:noProof/>
          <w:szCs w:val="24"/>
        </w:rPr>
        <w:t xml:space="preserve">, </w:t>
      </w:r>
      <w:r w:rsidRPr="00FA16EA">
        <w:rPr>
          <w:rFonts w:ascii="Calibri" w:hAnsi="Calibri" w:cs="Times New Roman"/>
          <w:i/>
          <w:iCs/>
          <w:noProof/>
          <w:szCs w:val="24"/>
        </w:rPr>
        <w:t>27</w:t>
      </w:r>
      <w:r w:rsidRPr="00FA16EA">
        <w:rPr>
          <w:rFonts w:ascii="Calibri" w:hAnsi="Calibri" w:cs="Times New Roman"/>
          <w:noProof/>
          <w:szCs w:val="24"/>
        </w:rPr>
        <w:t>(2).</w:t>
      </w:r>
    </w:p>
    <w:p w14:paraId="4F83009A"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Trucano, M., &amp; Dykes, G. (2017). Building and Sustaining National Educational Technology Agencies.</w:t>
      </w:r>
    </w:p>
    <w:p w14:paraId="6FBAFE87"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Tyndall, J. (2009). </w:t>
      </w:r>
      <w:r w:rsidRPr="00FA16EA">
        <w:rPr>
          <w:rFonts w:ascii="Calibri" w:hAnsi="Calibri" w:cs="Times New Roman"/>
          <w:i/>
          <w:iCs/>
          <w:noProof/>
          <w:szCs w:val="24"/>
        </w:rPr>
        <w:t>The AACODS checklist</w:t>
      </w:r>
      <w:r w:rsidRPr="00FA16EA">
        <w:rPr>
          <w:rFonts w:ascii="Calibri" w:hAnsi="Calibri" w:cs="Times New Roman"/>
          <w:noProof/>
          <w:szCs w:val="24"/>
        </w:rPr>
        <w:t>.</w:t>
      </w:r>
    </w:p>
    <w:p w14:paraId="73C37CD2"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UNESCO, &amp; European Commission. (2010). </w:t>
      </w:r>
      <w:r w:rsidRPr="00FA16EA">
        <w:rPr>
          <w:rFonts w:ascii="Calibri" w:hAnsi="Calibri" w:cs="Times New Roman"/>
          <w:i/>
          <w:iCs/>
          <w:noProof/>
          <w:szCs w:val="24"/>
        </w:rPr>
        <w:t>National Bioethics Committees in Action</w:t>
      </w:r>
      <w:r w:rsidRPr="00FA16EA">
        <w:rPr>
          <w:rFonts w:ascii="Calibri" w:hAnsi="Calibri" w:cs="Times New Roman"/>
          <w:noProof/>
          <w:szCs w:val="24"/>
        </w:rPr>
        <w:t>. Paris, France: UNESCO.</w:t>
      </w:r>
    </w:p>
    <w:p w14:paraId="2D988731"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Volmink, J., Siegfried, N., Robertson, K., &amp; Gulmezoglu, A. M. (2004). Research synthesis and disseminating as a bridge to knowledge management: the Cochrane Collaboration . </w:t>
      </w:r>
      <w:r w:rsidRPr="00FA16EA">
        <w:rPr>
          <w:rFonts w:ascii="Calibri" w:hAnsi="Calibri" w:cs="Times New Roman"/>
          <w:i/>
          <w:iCs/>
          <w:noProof/>
          <w:szCs w:val="24"/>
        </w:rPr>
        <w:t>Bulletin of the World Health Organization</w:t>
      </w:r>
      <w:r w:rsidRPr="00FA16EA">
        <w:rPr>
          <w:rFonts w:ascii="Calibri" w:hAnsi="Calibri" w:cs="Times New Roman"/>
          <w:noProof/>
          <w:szCs w:val="24"/>
        </w:rPr>
        <w:t xml:space="preserve">, </w:t>
      </w:r>
      <w:r w:rsidRPr="00FA16EA">
        <w:rPr>
          <w:rFonts w:ascii="Calibri" w:hAnsi="Calibri" w:cs="Times New Roman"/>
          <w:i/>
          <w:iCs/>
          <w:noProof/>
          <w:szCs w:val="24"/>
        </w:rPr>
        <w:t>82</w:t>
      </w:r>
      <w:r w:rsidRPr="00FA16EA">
        <w:rPr>
          <w:rFonts w:ascii="Calibri" w:hAnsi="Calibri" w:cs="Times New Roman"/>
          <w:noProof/>
          <w:szCs w:val="24"/>
        </w:rPr>
        <w:t>(10), 778–783. Retrieved from f:%5CArt?culos en PDF%5C10564 BullWordHealthOrgan Volmink.pdf%5Cnhttp://www.who.int/bulletin/volumes/82/10/en/</w:t>
      </w:r>
    </w:p>
    <w:p w14:paraId="4F8722DD"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von Elm, E., Altman, D. G., Egger, M., Pocock, S. J., Gøtzsche, P. C., &amp; Vandenbroucke, J. P. (2008). The Strengthening the Reporting of Observational Studies in Epidemiology (STROBE) statement: guidelines for reporting observational studies. </w:t>
      </w:r>
      <w:r w:rsidRPr="00FA16EA">
        <w:rPr>
          <w:rFonts w:ascii="Calibri" w:hAnsi="Calibri" w:cs="Times New Roman"/>
          <w:i/>
          <w:iCs/>
          <w:noProof/>
          <w:szCs w:val="24"/>
        </w:rPr>
        <w:t>Journal of Clinical Epidemiology</w:t>
      </w:r>
      <w:r w:rsidRPr="00FA16EA">
        <w:rPr>
          <w:rFonts w:ascii="Calibri" w:hAnsi="Calibri" w:cs="Times New Roman"/>
          <w:noProof/>
          <w:szCs w:val="24"/>
        </w:rPr>
        <w:t xml:space="preserve">, </w:t>
      </w:r>
      <w:r w:rsidRPr="00FA16EA">
        <w:rPr>
          <w:rFonts w:ascii="Calibri" w:hAnsi="Calibri" w:cs="Times New Roman"/>
          <w:i/>
          <w:iCs/>
          <w:noProof/>
          <w:szCs w:val="24"/>
        </w:rPr>
        <w:t>61</w:t>
      </w:r>
      <w:r w:rsidRPr="00FA16EA">
        <w:rPr>
          <w:rFonts w:ascii="Calibri" w:hAnsi="Calibri" w:cs="Times New Roman"/>
          <w:noProof/>
          <w:szCs w:val="24"/>
        </w:rPr>
        <w:t>(4), 344–349. https://doi.org/10.1016/j.jclinepi.2007.11.008</w:t>
      </w:r>
    </w:p>
    <w:p w14:paraId="0E515DBE"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Wampold, B. E., &amp; Bhati, K. S. (2004). Attending to the Omissions: A Historical Examination of Evidence-Based Practice Movements. </w:t>
      </w:r>
      <w:r w:rsidRPr="00FA16EA">
        <w:rPr>
          <w:rFonts w:ascii="Calibri" w:hAnsi="Calibri" w:cs="Times New Roman"/>
          <w:i/>
          <w:iCs/>
          <w:noProof/>
          <w:szCs w:val="24"/>
        </w:rPr>
        <w:t>Professional Psychology: Research and Practice</w:t>
      </w:r>
      <w:r w:rsidRPr="00FA16EA">
        <w:rPr>
          <w:rFonts w:ascii="Calibri" w:hAnsi="Calibri" w:cs="Times New Roman"/>
          <w:noProof/>
          <w:szCs w:val="24"/>
        </w:rPr>
        <w:t xml:space="preserve">, </w:t>
      </w:r>
      <w:r w:rsidRPr="00FA16EA">
        <w:rPr>
          <w:rFonts w:ascii="Calibri" w:hAnsi="Calibri" w:cs="Times New Roman"/>
          <w:i/>
          <w:iCs/>
          <w:noProof/>
          <w:szCs w:val="24"/>
        </w:rPr>
        <w:t>35</w:t>
      </w:r>
      <w:r w:rsidRPr="00FA16EA">
        <w:rPr>
          <w:rFonts w:ascii="Calibri" w:hAnsi="Calibri" w:cs="Times New Roman"/>
          <w:noProof/>
          <w:szCs w:val="24"/>
        </w:rPr>
        <w:t>(6), 563–570. https://doi.org/10.1037/0735-7028.35.6.563</w:t>
      </w:r>
    </w:p>
    <w:p w14:paraId="6285F340"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WHO. (2003). </w:t>
      </w:r>
      <w:r w:rsidRPr="00FA16EA">
        <w:rPr>
          <w:rFonts w:ascii="Calibri" w:hAnsi="Calibri" w:cs="Times New Roman"/>
          <w:i/>
          <w:iCs/>
          <w:noProof/>
          <w:szCs w:val="24"/>
        </w:rPr>
        <w:t>Guidelines for who guidelines</w:t>
      </w:r>
      <w:r w:rsidRPr="00FA16EA">
        <w:rPr>
          <w:rFonts w:ascii="Calibri" w:hAnsi="Calibri" w:cs="Times New Roman"/>
          <w:noProof/>
          <w:szCs w:val="24"/>
        </w:rPr>
        <w:t xml:space="preserve">. </w:t>
      </w:r>
      <w:r w:rsidRPr="00FA16EA">
        <w:rPr>
          <w:rFonts w:ascii="Calibri" w:hAnsi="Calibri" w:cs="Times New Roman"/>
          <w:i/>
          <w:iCs/>
          <w:noProof/>
          <w:szCs w:val="24"/>
        </w:rPr>
        <w:t>Global Programme on Evidence for Health Policy</w:t>
      </w:r>
      <w:r w:rsidRPr="00FA16EA">
        <w:rPr>
          <w:rFonts w:ascii="Calibri" w:hAnsi="Calibri" w:cs="Times New Roman"/>
          <w:noProof/>
          <w:szCs w:val="24"/>
        </w:rPr>
        <w:t>. Geneva, Switzerland.</w:t>
      </w:r>
    </w:p>
    <w:p w14:paraId="47D1C50D"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WHO. (2011). Closing the gap: policy into practice on social determinants of health, 56.</w:t>
      </w:r>
    </w:p>
    <w:p w14:paraId="558165A7"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 xml:space="preserve">WHO. (2013a). </w:t>
      </w:r>
      <w:r w:rsidRPr="00FA16EA">
        <w:rPr>
          <w:rFonts w:ascii="Calibri" w:hAnsi="Calibri" w:cs="Times New Roman"/>
          <w:i/>
          <w:iCs/>
          <w:noProof/>
          <w:szCs w:val="24"/>
        </w:rPr>
        <w:t xml:space="preserve">Transforming and scaling up health professionals’ education and training: World Health </w:t>
      </w:r>
      <w:r w:rsidRPr="00FA16EA">
        <w:rPr>
          <w:rFonts w:ascii="Calibri" w:hAnsi="Calibri" w:cs="Times New Roman"/>
          <w:i/>
          <w:iCs/>
          <w:noProof/>
          <w:szCs w:val="24"/>
        </w:rPr>
        <w:lastRenderedPageBreak/>
        <w:t>Organization guidelines 2013</w:t>
      </w:r>
      <w:r w:rsidRPr="00FA16EA">
        <w:rPr>
          <w:rFonts w:ascii="Calibri" w:hAnsi="Calibri" w:cs="Times New Roman"/>
          <w:noProof/>
          <w:szCs w:val="24"/>
        </w:rPr>
        <w:t>. Geneva, Switzerland. https://doi.org/10.1613/jair.301</w:t>
      </w:r>
    </w:p>
    <w:p w14:paraId="6025A104"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WHO. (2013b). Use of systematic reviews of the evidence in public health nutrition: proceedings of an informal consultation held., (October). Retrieved from http://apps.who.int/iris/bitstream/10665/85792/1/9789241506038_eng.pdf</w:t>
      </w:r>
    </w:p>
    <w:p w14:paraId="1E9EFF21" w14:textId="77777777" w:rsidR="00FA16EA" w:rsidRPr="00FA16EA" w:rsidRDefault="00FA16EA" w:rsidP="00FA16EA">
      <w:pPr>
        <w:widowControl w:val="0"/>
        <w:autoSpaceDE w:val="0"/>
        <w:autoSpaceDN w:val="0"/>
        <w:adjustRightInd w:val="0"/>
        <w:spacing w:line="240" w:lineRule="auto"/>
        <w:ind w:left="480" w:hanging="480"/>
        <w:rPr>
          <w:rFonts w:ascii="Calibri" w:hAnsi="Calibri" w:cs="Times New Roman"/>
          <w:noProof/>
          <w:szCs w:val="24"/>
        </w:rPr>
      </w:pPr>
      <w:r w:rsidRPr="00FA16EA">
        <w:rPr>
          <w:rFonts w:ascii="Calibri" w:hAnsi="Calibri" w:cs="Times New Roman"/>
          <w:noProof/>
          <w:szCs w:val="24"/>
        </w:rPr>
        <w:t>WHO. (2014). A Policy Guide for Implementing Essential Interventions for Reproductive, Maternal, Newborn and Child Health (RMNCH): A Multisectoral Policy Compendium for RMNCH, 1–56. Retrieved from http://www.who.int/pmnch/knowledge/publications/policy_compendium.pdf?ua=1</w:t>
      </w:r>
    </w:p>
    <w:p w14:paraId="54AE654F" w14:textId="77777777" w:rsidR="00FA16EA" w:rsidRPr="00FA16EA" w:rsidRDefault="00FA16EA" w:rsidP="003C3935">
      <w:pPr>
        <w:widowControl w:val="0"/>
        <w:autoSpaceDE w:val="0"/>
        <w:autoSpaceDN w:val="0"/>
        <w:adjustRightInd w:val="0"/>
        <w:spacing w:after="0" w:line="240" w:lineRule="auto"/>
        <w:ind w:left="480" w:hanging="480"/>
        <w:rPr>
          <w:rFonts w:ascii="Calibri" w:hAnsi="Calibri"/>
          <w:noProof/>
        </w:rPr>
      </w:pPr>
      <w:r w:rsidRPr="00FA16EA">
        <w:rPr>
          <w:rFonts w:ascii="Calibri" w:hAnsi="Calibri" w:cs="Times New Roman"/>
          <w:noProof/>
          <w:szCs w:val="24"/>
        </w:rPr>
        <w:t xml:space="preserve">Woolf, S. H. (2008). The Meaning of Translational Research and Why It Matters. </w:t>
      </w:r>
      <w:r w:rsidRPr="00FA16EA">
        <w:rPr>
          <w:rFonts w:ascii="Calibri" w:hAnsi="Calibri" w:cs="Times New Roman"/>
          <w:i/>
          <w:iCs/>
          <w:noProof/>
          <w:szCs w:val="24"/>
        </w:rPr>
        <w:t>Jama</w:t>
      </w:r>
      <w:r w:rsidRPr="00FA16EA">
        <w:rPr>
          <w:rFonts w:ascii="Calibri" w:hAnsi="Calibri" w:cs="Times New Roman"/>
          <w:noProof/>
          <w:szCs w:val="24"/>
        </w:rPr>
        <w:t xml:space="preserve">, </w:t>
      </w:r>
      <w:r w:rsidRPr="00FA16EA">
        <w:rPr>
          <w:rFonts w:ascii="Calibri" w:hAnsi="Calibri" w:cs="Times New Roman"/>
          <w:i/>
          <w:iCs/>
          <w:noProof/>
          <w:szCs w:val="24"/>
        </w:rPr>
        <w:t>299</w:t>
      </w:r>
      <w:r w:rsidRPr="00FA16EA">
        <w:rPr>
          <w:rFonts w:ascii="Calibri" w:hAnsi="Calibri" w:cs="Times New Roman"/>
          <w:noProof/>
          <w:szCs w:val="24"/>
        </w:rPr>
        <w:t>(2), 211–213. https://doi.org/10.1001/jama.2007.26</w:t>
      </w:r>
    </w:p>
    <w:p w14:paraId="41717D1D" w14:textId="77777777" w:rsidR="0093470E" w:rsidRPr="00E16853" w:rsidRDefault="0093470E" w:rsidP="003C3935">
      <w:pPr>
        <w:spacing w:after="0"/>
      </w:pPr>
      <w:r w:rsidRPr="00E16853">
        <w:fldChar w:fldCharType="end"/>
      </w:r>
    </w:p>
    <w:p w14:paraId="6A0B3BFD" w14:textId="775AC00E" w:rsidR="0093470E" w:rsidRPr="00E16853" w:rsidRDefault="0093470E" w:rsidP="003C3935">
      <w:pPr>
        <w:pStyle w:val="NumberedHeading1"/>
      </w:pPr>
      <w:bookmarkStart w:id="170" w:name="_Toc508637970"/>
      <w:r w:rsidRPr="00E16853">
        <w:tab/>
      </w:r>
      <w:bookmarkStart w:id="171" w:name="_Toc509950683"/>
      <w:r w:rsidRPr="00E16853">
        <w:t>Reviewed references by topic</w:t>
      </w:r>
      <w:bookmarkEnd w:id="170"/>
      <w:bookmarkEnd w:id="171"/>
    </w:p>
    <w:p w14:paraId="4C093DEA" w14:textId="77777777" w:rsidR="0093470E" w:rsidRPr="00E16853" w:rsidRDefault="0093470E" w:rsidP="007674CF">
      <w:pPr>
        <w:pStyle w:val="NumberedHeading2"/>
      </w:pPr>
      <w:bookmarkStart w:id="172" w:name="_Toc508637971"/>
      <w:r w:rsidRPr="00E16853">
        <w:tab/>
      </w:r>
      <w:bookmarkStart w:id="173" w:name="_Toc509950684"/>
      <w:r w:rsidRPr="00E16853">
        <w:t>Knowledge translation and application</w:t>
      </w:r>
      <w:bookmarkEnd w:id="172"/>
      <w:bookmarkEnd w:id="173"/>
    </w:p>
    <w:p w14:paraId="19990E28"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Ballcock, M., Campbell, M. K., Valle, C. G., Barlow, J. N., Carr, C., Meier, A., &amp; </w:t>
      </w:r>
      <w:proofErr w:type="spellStart"/>
      <w:r w:rsidRPr="00592E98">
        <w:rPr>
          <w:rFonts w:asciiTheme="minorHAnsi" w:hAnsiTheme="minorHAnsi"/>
          <w:sz w:val="20"/>
          <w:szCs w:val="22"/>
        </w:rPr>
        <w:t>Gizlice</w:t>
      </w:r>
      <w:proofErr w:type="spellEnd"/>
      <w:r w:rsidRPr="00592E98">
        <w:rPr>
          <w:rFonts w:asciiTheme="minorHAnsi" w:hAnsiTheme="minorHAnsi"/>
          <w:sz w:val="20"/>
          <w:szCs w:val="22"/>
        </w:rPr>
        <w:t xml:space="preserve">, Z. (2010). Evaluating the implementation of peer </w:t>
      </w:r>
      <w:proofErr w:type="spellStart"/>
      <w:r w:rsidRPr="00592E98">
        <w:rPr>
          <w:rFonts w:asciiTheme="minorHAnsi" w:hAnsiTheme="minorHAnsi"/>
          <w:sz w:val="20"/>
          <w:szCs w:val="22"/>
        </w:rPr>
        <w:t>counseling</w:t>
      </w:r>
      <w:proofErr w:type="spellEnd"/>
      <w:r w:rsidRPr="00592E98">
        <w:rPr>
          <w:rFonts w:asciiTheme="minorHAnsi" w:hAnsiTheme="minorHAnsi"/>
          <w:sz w:val="20"/>
          <w:szCs w:val="22"/>
        </w:rPr>
        <w:t xml:space="preserve"> in a church-based dietary intervention for African Americans. </w:t>
      </w:r>
      <w:r w:rsidRPr="00592E98">
        <w:rPr>
          <w:rFonts w:asciiTheme="minorHAnsi" w:hAnsiTheme="minorHAnsi"/>
          <w:i/>
          <w:iCs/>
          <w:sz w:val="20"/>
          <w:szCs w:val="22"/>
        </w:rPr>
        <w:t xml:space="preserve">Patient Education and </w:t>
      </w:r>
      <w:proofErr w:type="spellStart"/>
      <w:r w:rsidRPr="00592E98">
        <w:rPr>
          <w:rFonts w:asciiTheme="minorHAnsi" w:hAnsiTheme="minorHAnsi"/>
          <w:i/>
          <w:iCs/>
          <w:sz w:val="20"/>
          <w:szCs w:val="22"/>
        </w:rPr>
        <w:t>Counseling</w:t>
      </w:r>
      <w:proofErr w:type="spellEnd"/>
      <w:r w:rsidRPr="00592E98">
        <w:rPr>
          <w:rFonts w:asciiTheme="minorHAnsi" w:hAnsiTheme="minorHAnsi"/>
          <w:sz w:val="20"/>
          <w:szCs w:val="22"/>
        </w:rPr>
        <w:t xml:space="preserve">, </w:t>
      </w:r>
      <w:r w:rsidRPr="00592E98">
        <w:rPr>
          <w:rFonts w:asciiTheme="minorHAnsi" w:hAnsiTheme="minorHAnsi"/>
          <w:i/>
          <w:iCs/>
          <w:sz w:val="20"/>
          <w:szCs w:val="22"/>
        </w:rPr>
        <w:t>81</w:t>
      </w:r>
      <w:r w:rsidRPr="00592E98">
        <w:rPr>
          <w:rFonts w:asciiTheme="minorHAnsi" w:hAnsiTheme="minorHAnsi"/>
          <w:sz w:val="20"/>
          <w:szCs w:val="22"/>
        </w:rPr>
        <w:t>(1), 37–42. doi:10.1016/j.pec.2009.11.018</w:t>
      </w:r>
    </w:p>
    <w:p w14:paraId="1FC0C756"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Allicock</w:t>
      </w:r>
      <w:proofErr w:type="spellEnd"/>
      <w:r w:rsidRPr="00592E98">
        <w:rPr>
          <w:rFonts w:asciiTheme="minorHAnsi" w:hAnsiTheme="minorHAnsi"/>
          <w:sz w:val="20"/>
          <w:szCs w:val="22"/>
        </w:rPr>
        <w:t xml:space="preserve">, M., Campbell, M. K., Valle, C. G., Carr, C., </w:t>
      </w:r>
      <w:proofErr w:type="spellStart"/>
      <w:r w:rsidRPr="00592E98">
        <w:rPr>
          <w:rFonts w:asciiTheme="minorHAnsi" w:hAnsiTheme="minorHAnsi"/>
          <w:sz w:val="20"/>
          <w:szCs w:val="22"/>
        </w:rPr>
        <w:t>Resnicow</w:t>
      </w:r>
      <w:proofErr w:type="spellEnd"/>
      <w:r w:rsidRPr="00592E98">
        <w:rPr>
          <w:rFonts w:asciiTheme="minorHAnsi" w:hAnsiTheme="minorHAnsi"/>
          <w:sz w:val="20"/>
          <w:szCs w:val="22"/>
        </w:rPr>
        <w:t xml:space="preserve">, K., &amp; </w:t>
      </w:r>
      <w:proofErr w:type="spellStart"/>
      <w:r w:rsidRPr="00592E98">
        <w:rPr>
          <w:rFonts w:asciiTheme="minorHAnsi" w:hAnsiTheme="minorHAnsi"/>
          <w:sz w:val="20"/>
          <w:szCs w:val="22"/>
        </w:rPr>
        <w:t>Gizlice</w:t>
      </w:r>
      <w:proofErr w:type="spellEnd"/>
      <w:r w:rsidRPr="00592E98">
        <w:rPr>
          <w:rFonts w:asciiTheme="minorHAnsi" w:hAnsiTheme="minorHAnsi"/>
          <w:sz w:val="20"/>
          <w:szCs w:val="22"/>
        </w:rPr>
        <w:t xml:space="preserve">, Z. (2012). Evaluating the Dissemination of Body &amp; Soul, an Evidence-based Fruit and Vegetable Intake Intervention: Challenges for Dissemination and Implementation Research. </w:t>
      </w:r>
      <w:r w:rsidRPr="00592E98">
        <w:rPr>
          <w:rFonts w:asciiTheme="minorHAnsi" w:hAnsiTheme="minorHAnsi"/>
          <w:i/>
          <w:iCs/>
          <w:sz w:val="20"/>
          <w:szCs w:val="22"/>
        </w:rPr>
        <w:t xml:space="preserve">Journal of Nutrition Education and </w:t>
      </w:r>
      <w:proofErr w:type="spellStart"/>
      <w:r w:rsidRPr="00592E98">
        <w:rPr>
          <w:rFonts w:asciiTheme="minorHAnsi" w:hAnsiTheme="minorHAnsi"/>
          <w:i/>
          <w:iCs/>
          <w:sz w:val="20"/>
          <w:szCs w:val="22"/>
        </w:rPr>
        <w:t>Behavior</w:t>
      </w:r>
      <w:proofErr w:type="spellEnd"/>
      <w:r w:rsidRPr="00592E98">
        <w:rPr>
          <w:rFonts w:asciiTheme="minorHAnsi" w:hAnsiTheme="minorHAnsi"/>
          <w:sz w:val="20"/>
          <w:szCs w:val="22"/>
        </w:rPr>
        <w:t xml:space="preserve">, </w:t>
      </w:r>
      <w:r w:rsidRPr="00592E98">
        <w:rPr>
          <w:rFonts w:asciiTheme="minorHAnsi" w:hAnsiTheme="minorHAnsi"/>
          <w:i/>
          <w:iCs/>
          <w:sz w:val="20"/>
          <w:szCs w:val="22"/>
        </w:rPr>
        <w:t>44</w:t>
      </w:r>
      <w:r w:rsidRPr="00592E98">
        <w:rPr>
          <w:rFonts w:asciiTheme="minorHAnsi" w:hAnsiTheme="minorHAnsi"/>
          <w:sz w:val="20"/>
          <w:szCs w:val="22"/>
        </w:rPr>
        <w:t>(6), 530–538. doi:10.1016/j.jneb.2011.09.002</w:t>
      </w:r>
    </w:p>
    <w:p w14:paraId="41ABE790"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American Association of Children’s Residential </w:t>
      </w:r>
      <w:proofErr w:type="spellStart"/>
      <w:r w:rsidRPr="00592E98">
        <w:rPr>
          <w:rFonts w:asciiTheme="minorHAnsi" w:hAnsiTheme="minorHAnsi"/>
          <w:sz w:val="20"/>
          <w:szCs w:val="22"/>
        </w:rPr>
        <w:t>Centers</w:t>
      </w:r>
      <w:proofErr w:type="spellEnd"/>
      <w:r w:rsidRPr="00592E98">
        <w:rPr>
          <w:rFonts w:asciiTheme="minorHAnsi" w:hAnsiTheme="minorHAnsi"/>
          <w:sz w:val="20"/>
          <w:szCs w:val="22"/>
        </w:rPr>
        <w:t xml:space="preserve">. (2009). Redefining residential: Integrating evidence-based practices. </w:t>
      </w:r>
      <w:r w:rsidRPr="00592E98">
        <w:rPr>
          <w:rFonts w:asciiTheme="minorHAnsi" w:hAnsiTheme="minorHAnsi"/>
          <w:i/>
          <w:sz w:val="20"/>
          <w:szCs w:val="22"/>
        </w:rPr>
        <w:t>Residential Treatment for Children &amp; Youth, 26</w:t>
      </w:r>
      <w:r w:rsidRPr="00592E98">
        <w:rPr>
          <w:rFonts w:asciiTheme="minorHAnsi" w:hAnsiTheme="minorHAnsi"/>
          <w:sz w:val="20"/>
          <w:szCs w:val="22"/>
        </w:rPr>
        <w:t xml:space="preserve">(4), 246-251. </w:t>
      </w:r>
      <w:proofErr w:type="spellStart"/>
      <w:r w:rsidRPr="00592E98">
        <w:rPr>
          <w:rFonts w:asciiTheme="minorHAnsi" w:hAnsiTheme="minorHAnsi"/>
          <w:sz w:val="20"/>
          <w:szCs w:val="22"/>
        </w:rPr>
        <w:t>doiI</w:t>
      </w:r>
      <w:proofErr w:type="spellEnd"/>
      <w:r w:rsidRPr="00592E98">
        <w:rPr>
          <w:rFonts w:asciiTheme="minorHAnsi" w:hAnsiTheme="minorHAnsi"/>
          <w:sz w:val="20"/>
          <w:szCs w:val="22"/>
        </w:rPr>
        <w:t>: 10.1080/08865710903256288.</w:t>
      </w:r>
    </w:p>
    <w:p w14:paraId="7ADF576D"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American Dental Association Council on Scientific Affairs. (2006). Professionally applied topical fluoride. </w:t>
      </w:r>
      <w:r w:rsidRPr="00592E98">
        <w:rPr>
          <w:rFonts w:asciiTheme="minorHAnsi" w:hAnsiTheme="minorHAnsi"/>
          <w:i/>
          <w:iCs/>
          <w:sz w:val="20"/>
          <w:szCs w:val="22"/>
        </w:rPr>
        <w:t>The Journal of the American Dental Association</w:t>
      </w:r>
      <w:r w:rsidRPr="00592E98">
        <w:rPr>
          <w:rFonts w:asciiTheme="minorHAnsi" w:hAnsiTheme="minorHAnsi"/>
          <w:sz w:val="20"/>
          <w:szCs w:val="22"/>
        </w:rPr>
        <w:t xml:space="preserve">, </w:t>
      </w:r>
      <w:r w:rsidRPr="00592E98">
        <w:rPr>
          <w:rFonts w:asciiTheme="minorHAnsi" w:hAnsiTheme="minorHAnsi"/>
          <w:i/>
          <w:iCs/>
          <w:sz w:val="20"/>
          <w:szCs w:val="22"/>
        </w:rPr>
        <w:t>137</w:t>
      </w:r>
      <w:r w:rsidRPr="00592E98">
        <w:rPr>
          <w:rFonts w:asciiTheme="minorHAnsi" w:hAnsiTheme="minorHAnsi"/>
          <w:sz w:val="20"/>
          <w:szCs w:val="22"/>
        </w:rPr>
        <w:t>(8), 1151–1159. doi:10.14219/jada.archive.2006.0356</w:t>
      </w:r>
    </w:p>
    <w:p w14:paraId="6529E1D0"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Armstrong, R., Waters, E., Crockett, B., &amp; </w:t>
      </w:r>
      <w:proofErr w:type="spellStart"/>
      <w:r w:rsidRPr="00592E98">
        <w:rPr>
          <w:rFonts w:asciiTheme="minorHAnsi" w:hAnsiTheme="minorHAnsi"/>
          <w:sz w:val="20"/>
          <w:szCs w:val="22"/>
        </w:rPr>
        <w:t>Keleher</w:t>
      </w:r>
      <w:proofErr w:type="spellEnd"/>
      <w:r w:rsidRPr="00592E98">
        <w:rPr>
          <w:rFonts w:asciiTheme="minorHAnsi" w:hAnsiTheme="minorHAnsi"/>
          <w:sz w:val="20"/>
          <w:szCs w:val="22"/>
        </w:rPr>
        <w:t xml:space="preserve">, H. (2007). The nature of evidence resources and knowledge translation for health promotion practitioners. </w:t>
      </w:r>
      <w:r w:rsidRPr="00592E98">
        <w:rPr>
          <w:rFonts w:asciiTheme="minorHAnsi" w:hAnsiTheme="minorHAnsi"/>
          <w:i/>
          <w:iCs/>
          <w:sz w:val="20"/>
          <w:szCs w:val="22"/>
        </w:rPr>
        <w:t>Health Promotion International</w:t>
      </w:r>
      <w:r w:rsidRPr="00592E98">
        <w:rPr>
          <w:rFonts w:asciiTheme="minorHAnsi" w:hAnsiTheme="minorHAnsi"/>
          <w:sz w:val="20"/>
          <w:szCs w:val="22"/>
        </w:rPr>
        <w:t xml:space="preserve">, </w:t>
      </w:r>
      <w:r w:rsidRPr="00592E98">
        <w:rPr>
          <w:rFonts w:asciiTheme="minorHAnsi" w:hAnsiTheme="minorHAnsi"/>
          <w:i/>
          <w:iCs/>
          <w:sz w:val="20"/>
          <w:szCs w:val="22"/>
        </w:rPr>
        <w:t>22</w:t>
      </w:r>
      <w:r w:rsidRPr="00592E98">
        <w:rPr>
          <w:rFonts w:asciiTheme="minorHAnsi" w:hAnsiTheme="minorHAnsi"/>
          <w:sz w:val="20"/>
          <w:szCs w:val="22"/>
        </w:rPr>
        <w:t>(3), 254–260. doi:10.1093/</w:t>
      </w:r>
      <w:proofErr w:type="spellStart"/>
      <w:r w:rsidRPr="00592E98">
        <w:rPr>
          <w:rFonts w:asciiTheme="minorHAnsi" w:hAnsiTheme="minorHAnsi"/>
          <w:sz w:val="20"/>
          <w:szCs w:val="22"/>
        </w:rPr>
        <w:t>heapro</w:t>
      </w:r>
      <w:proofErr w:type="spellEnd"/>
      <w:r w:rsidRPr="00592E98">
        <w:rPr>
          <w:rFonts w:asciiTheme="minorHAnsi" w:hAnsiTheme="minorHAnsi"/>
          <w:sz w:val="20"/>
          <w:szCs w:val="22"/>
        </w:rPr>
        <w:t>/dam017</w:t>
      </w:r>
    </w:p>
    <w:p w14:paraId="12C8D416"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Ballou</w:t>
      </w:r>
      <w:proofErr w:type="spellEnd"/>
      <w:r w:rsidRPr="00592E98">
        <w:rPr>
          <w:rFonts w:asciiTheme="minorHAnsi" w:hAnsiTheme="minorHAnsi"/>
          <w:sz w:val="20"/>
          <w:szCs w:val="22"/>
        </w:rPr>
        <w:t xml:space="preserve">, J., Wiseman, C., Jackson, L., Godfrey, R., &amp; Cagle, D. (2017). Lactation Skills Workshop: A Collaboration of the City of Dallas WIC and Local Hospitals. </w:t>
      </w:r>
      <w:r w:rsidRPr="00592E98">
        <w:rPr>
          <w:rFonts w:asciiTheme="minorHAnsi" w:hAnsiTheme="minorHAnsi"/>
          <w:i/>
          <w:iCs/>
          <w:sz w:val="20"/>
          <w:szCs w:val="22"/>
        </w:rPr>
        <w:t xml:space="preserve">Journal of Nutrition Education and </w:t>
      </w:r>
      <w:proofErr w:type="spellStart"/>
      <w:r w:rsidRPr="00592E98">
        <w:rPr>
          <w:rFonts w:asciiTheme="minorHAnsi" w:hAnsiTheme="minorHAnsi"/>
          <w:i/>
          <w:iCs/>
          <w:sz w:val="20"/>
          <w:szCs w:val="22"/>
        </w:rPr>
        <w:t>Behavior</w:t>
      </w:r>
      <w:proofErr w:type="spellEnd"/>
      <w:r w:rsidRPr="00592E98">
        <w:rPr>
          <w:rFonts w:asciiTheme="minorHAnsi" w:hAnsiTheme="minorHAnsi"/>
          <w:sz w:val="20"/>
          <w:szCs w:val="22"/>
        </w:rPr>
        <w:t xml:space="preserve">, </w:t>
      </w:r>
      <w:r w:rsidRPr="00592E98">
        <w:rPr>
          <w:rFonts w:asciiTheme="minorHAnsi" w:hAnsiTheme="minorHAnsi"/>
          <w:i/>
          <w:iCs/>
          <w:sz w:val="20"/>
          <w:szCs w:val="22"/>
        </w:rPr>
        <w:t>49</w:t>
      </w:r>
      <w:r w:rsidRPr="00592E98">
        <w:rPr>
          <w:rFonts w:asciiTheme="minorHAnsi" w:hAnsiTheme="minorHAnsi"/>
          <w:sz w:val="20"/>
          <w:szCs w:val="22"/>
        </w:rPr>
        <w:t>(7), S202–S206.e1. doi:10.1016/j.jneb.2017.05.347</w:t>
      </w:r>
    </w:p>
    <w:p w14:paraId="3D7D1C92"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Bradshaw, C. P. (2015). Translating research to practice in bullying prevention. </w:t>
      </w:r>
      <w:r w:rsidRPr="00592E98">
        <w:rPr>
          <w:rFonts w:asciiTheme="minorHAnsi" w:hAnsiTheme="minorHAnsi"/>
          <w:i/>
          <w:iCs/>
          <w:sz w:val="20"/>
          <w:szCs w:val="22"/>
        </w:rPr>
        <w:t>The American Psychologist</w:t>
      </w:r>
      <w:r w:rsidRPr="00592E98">
        <w:rPr>
          <w:rFonts w:asciiTheme="minorHAnsi" w:hAnsiTheme="minorHAnsi"/>
          <w:sz w:val="20"/>
          <w:szCs w:val="22"/>
        </w:rPr>
        <w:t xml:space="preserve">, </w:t>
      </w:r>
      <w:r w:rsidRPr="00592E98">
        <w:rPr>
          <w:rFonts w:asciiTheme="minorHAnsi" w:hAnsiTheme="minorHAnsi"/>
          <w:i/>
          <w:iCs/>
          <w:sz w:val="20"/>
          <w:szCs w:val="22"/>
        </w:rPr>
        <w:t>70</w:t>
      </w:r>
      <w:r w:rsidRPr="00592E98">
        <w:rPr>
          <w:rFonts w:asciiTheme="minorHAnsi" w:hAnsiTheme="minorHAnsi"/>
          <w:sz w:val="20"/>
          <w:szCs w:val="22"/>
        </w:rPr>
        <w:t>(4), 322–32. doi:10.1037/a0039114</w:t>
      </w:r>
    </w:p>
    <w:p w14:paraId="03BDD8F2"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Brody, A. A. (2017). Moving the needle: Providing evidence based care to older adults with </w:t>
      </w:r>
      <w:proofErr w:type="spellStart"/>
      <w:r w:rsidRPr="00592E98">
        <w:rPr>
          <w:rFonts w:asciiTheme="minorHAnsi" w:hAnsiTheme="minorHAnsi"/>
          <w:sz w:val="20"/>
          <w:szCs w:val="22"/>
        </w:rPr>
        <w:t>behavioral</w:t>
      </w:r>
      <w:proofErr w:type="spellEnd"/>
      <w:r w:rsidRPr="00592E98">
        <w:rPr>
          <w:rFonts w:asciiTheme="minorHAnsi" w:hAnsiTheme="minorHAnsi"/>
          <w:sz w:val="20"/>
          <w:szCs w:val="22"/>
        </w:rPr>
        <w:t xml:space="preserve"> issues through knowledge translation. </w:t>
      </w:r>
      <w:r w:rsidRPr="00592E98">
        <w:rPr>
          <w:rFonts w:asciiTheme="minorHAnsi" w:hAnsiTheme="minorHAnsi"/>
          <w:i/>
          <w:iCs/>
          <w:sz w:val="20"/>
          <w:szCs w:val="22"/>
        </w:rPr>
        <w:t>Gerontology and Geriatrics Education</w:t>
      </w:r>
      <w:r w:rsidRPr="00592E98">
        <w:rPr>
          <w:rFonts w:asciiTheme="minorHAnsi" w:hAnsiTheme="minorHAnsi"/>
          <w:sz w:val="20"/>
          <w:szCs w:val="22"/>
        </w:rPr>
        <w:t xml:space="preserve">, </w:t>
      </w:r>
      <w:r w:rsidRPr="00592E98">
        <w:rPr>
          <w:rFonts w:asciiTheme="minorHAnsi" w:hAnsiTheme="minorHAnsi"/>
          <w:i/>
          <w:iCs/>
          <w:sz w:val="20"/>
          <w:szCs w:val="22"/>
        </w:rPr>
        <w:t>38</w:t>
      </w:r>
      <w:r w:rsidRPr="00592E98">
        <w:rPr>
          <w:rFonts w:asciiTheme="minorHAnsi" w:hAnsiTheme="minorHAnsi"/>
          <w:sz w:val="20"/>
          <w:szCs w:val="22"/>
        </w:rPr>
        <w:t>(4), 355–358. doi:10.1080/02701960.2017.1339036</w:t>
      </w:r>
    </w:p>
    <w:p w14:paraId="25386F77"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Dattalo</w:t>
      </w:r>
      <w:proofErr w:type="spellEnd"/>
      <w:r w:rsidRPr="00592E98">
        <w:rPr>
          <w:rFonts w:asciiTheme="minorHAnsi" w:hAnsiTheme="minorHAnsi"/>
          <w:sz w:val="20"/>
          <w:szCs w:val="22"/>
        </w:rPr>
        <w:t xml:space="preserve">, M., Wise, M., Ford, J. H., Abramson, B., &amp; Mahoney, J. (2017). Essential Resources for Implementation and Sustainability of Evidence-Based Health Promotion Programs: A Mixed Methods Multi-Site Case Study. </w:t>
      </w:r>
      <w:r w:rsidRPr="00592E98">
        <w:rPr>
          <w:rFonts w:asciiTheme="minorHAnsi" w:hAnsiTheme="minorHAnsi"/>
          <w:i/>
          <w:iCs/>
          <w:sz w:val="20"/>
          <w:szCs w:val="22"/>
        </w:rPr>
        <w:t>Journal of Community Health</w:t>
      </w:r>
      <w:r w:rsidRPr="00592E98">
        <w:rPr>
          <w:rFonts w:asciiTheme="minorHAnsi" w:hAnsiTheme="minorHAnsi"/>
          <w:sz w:val="20"/>
          <w:szCs w:val="22"/>
        </w:rPr>
        <w:t xml:space="preserve">, </w:t>
      </w:r>
      <w:r w:rsidRPr="00592E98">
        <w:rPr>
          <w:rFonts w:asciiTheme="minorHAnsi" w:hAnsiTheme="minorHAnsi"/>
          <w:i/>
          <w:iCs/>
          <w:sz w:val="20"/>
          <w:szCs w:val="22"/>
        </w:rPr>
        <w:t>42</w:t>
      </w:r>
      <w:r w:rsidRPr="00592E98">
        <w:rPr>
          <w:rFonts w:asciiTheme="minorHAnsi" w:hAnsiTheme="minorHAnsi"/>
          <w:sz w:val="20"/>
          <w:szCs w:val="22"/>
        </w:rPr>
        <w:t>(2), 358–368. doi:10.1007/s10900-016-0263-x</w:t>
      </w:r>
    </w:p>
    <w:p w14:paraId="011900E0"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Delawarde</w:t>
      </w:r>
      <w:proofErr w:type="spellEnd"/>
      <w:r w:rsidRPr="00592E98">
        <w:rPr>
          <w:rFonts w:asciiTheme="minorHAnsi" w:hAnsiTheme="minorHAnsi"/>
          <w:sz w:val="20"/>
          <w:szCs w:val="22"/>
        </w:rPr>
        <w:t xml:space="preserve">, C., </w:t>
      </w:r>
      <w:proofErr w:type="spellStart"/>
      <w:r w:rsidRPr="00592E98">
        <w:rPr>
          <w:rFonts w:asciiTheme="minorHAnsi" w:hAnsiTheme="minorHAnsi"/>
          <w:sz w:val="20"/>
          <w:szCs w:val="22"/>
        </w:rPr>
        <w:t>Saïas</w:t>
      </w:r>
      <w:proofErr w:type="spellEnd"/>
      <w:r w:rsidRPr="00592E98">
        <w:rPr>
          <w:rFonts w:asciiTheme="minorHAnsi" w:hAnsiTheme="minorHAnsi"/>
          <w:sz w:val="20"/>
          <w:szCs w:val="22"/>
        </w:rPr>
        <w:t xml:space="preserve">, T., &amp; </w:t>
      </w:r>
      <w:proofErr w:type="spellStart"/>
      <w:r w:rsidRPr="00592E98">
        <w:rPr>
          <w:rFonts w:asciiTheme="minorHAnsi" w:hAnsiTheme="minorHAnsi"/>
          <w:sz w:val="20"/>
          <w:szCs w:val="22"/>
        </w:rPr>
        <w:t>Briffault</w:t>
      </w:r>
      <w:proofErr w:type="spellEnd"/>
      <w:r w:rsidRPr="00592E98">
        <w:rPr>
          <w:rFonts w:asciiTheme="minorHAnsi" w:hAnsiTheme="minorHAnsi"/>
          <w:sz w:val="20"/>
          <w:szCs w:val="22"/>
        </w:rPr>
        <w:t xml:space="preserve">, X. (2014). The public health dogma of evidence-based mental disorders prevention and mental health promotion: French professionals’ beliefs in regard to parenting programs. </w:t>
      </w:r>
      <w:r w:rsidRPr="00592E98">
        <w:rPr>
          <w:rFonts w:asciiTheme="minorHAnsi" w:hAnsiTheme="minorHAnsi"/>
          <w:i/>
          <w:iCs/>
          <w:sz w:val="20"/>
          <w:szCs w:val="22"/>
        </w:rPr>
        <w:t>Health Sociology Review</w:t>
      </w:r>
      <w:r w:rsidRPr="00592E98">
        <w:rPr>
          <w:rFonts w:asciiTheme="minorHAnsi" w:hAnsiTheme="minorHAnsi"/>
          <w:sz w:val="20"/>
          <w:szCs w:val="22"/>
        </w:rPr>
        <w:t xml:space="preserve">, </w:t>
      </w:r>
      <w:r w:rsidRPr="00592E98">
        <w:rPr>
          <w:rFonts w:asciiTheme="minorHAnsi" w:hAnsiTheme="minorHAnsi"/>
          <w:i/>
          <w:iCs/>
          <w:sz w:val="20"/>
          <w:szCs w:val="22"/>
        </w:rPr>
        <w:t>23</w:t>
      </w:r>
      <w:r w:rsidRPr="00592E98">
        <w:rPr>
          <w:rFonts w:asciiTheme="minorHAnsi" w:hAnsiTheme="minorHAnsi"/>
          <w:sz w:val="20"/>
          <w:szCs w:val="22"/>
        </w:rPr>
        <w:t>(3), 166–177. doi:10.5172/hesr.2014.23.3.166</w:t>
      </w:r>
    </w:p>
    <w:p w14:paraId="37434048"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lastRenderedPageBreak/>
        <w:t>Dowda</w:t>
      </w:r>
      <w:proofErr w:type="spellEnd"/>
      <w:r w:rsidRPr="00592E98">
        <w:rPr>
          <w:rFonts w:asciiTheme="minorHAnsi" w:hAnsiTheme="minorHAnsi"/>
          <w:sz w:val="20"/>
          <w:szCs w:val="22"/>
        </w:rPr>
        <w:t xml:space="preserve">, M., </w:t>
      </w:r>
      <w:proofErr w:type="spellStart"/>
      <w:r w:rsidRPr="00592E98">
        <w:rPr>
          <w:rFonts w:asciiTheme="minorHAnsi" w:hAnsiTheme="minorHAnsi"/>
          <w:sz w:val="20"/>
          <w:szCs w:val="22"/>
        </w:rPr>
        <w:t>Sallis</w:t>
      </w:r>
      <w:proofErr w:type="spellEnd"/>
      <w:r w:rsidRPr="00592E98">
        <w:rPr>
          <w:rFonts w:asciiTheme="minorHAnsi" w:hAnsiTheme="minorHAnsi"/>
          <w:sz w:val="20"/>
          <w:szCs w:val="22"/>
        </w:rPr>
        <w:t xml:space="preserve">, J. F., McKenzie, T. L., </w:t>
      </w:r>
      <w:proofErr w:type="spellStart"/>
      <w:r w:rsidRPr="00592E98">
        <w:rPr>
          <w:rFonts w:asciiTheme="minorHAnsi" w:hAnsiTheme="minorHAnsi"/>
          <w:sz w:val="20"/>
          <w:szCs w:val="22"/>
        </w:rPr>
        <w:t>Rosengard</w:t>
      </w:r>
      <w:proofErr w:type="spellEnd"/>
      <w:r w:rsidRPr="00592E98">
        <w:rPr>
          <w:rFonts w:asciiTheme="minorHAnsi" w:hAnsiTheme="minorHAnsi"/>
          <w:sz w:val="20"/>
          <w:szCs w:val="22"/>
        </w:rPr>
        <w:t xml:space="preserve">, P., &amp; Kohl III, H. W. (2005). Evaluating the sustainability of SPARK physical education: A case study of translating research into practice. </w:t>
      </w:r>
      <w:r w:rsidRPr="00592E98">
        <w:rPr>
          <w:rFonts w:asciiTheme="minorHAnsi" w:hAnsiTheme="minorHAnsi"/>
          <w:i/>
          <w:iCs/>
          <w:sz w:val="20"/>
          <w:szCs w:val="22"/>
        </w:rPr>
        <w:t>Research Quarterly for Exercise and Sport</w:t>
      </w:r>
      <w:r w:rsidRPr="00592E98">
        <w:rPr>
          <w:rFonts w:asciiTheme="minorHAnsi" w:hAnsiTheme="minorHAnsi"/>
          <w:sz w:val="20"/>
          <w:szCs w:val="22"/>
        </w:rPr>
        <w:t xml:space="preserve">, </w:t>
      </w:r>
      <w:r w:rsidRPr="00592E98">
        <w:rPr>
          <w:rFonts w:asciiTheme="minorHAnsi" w:hAnsiTheme="minorHAnsi"/>
          <w:i/>
          <w:iCs/>
          <w:sz w:val="20"/>
          <w:szCs w:val="22"/>
        </w:rPr>
        <w:t>76</w:t>
      </w:r>
      <w:r w:rsidRPr="00592E98">
        <w:rPr>
          <w:rFonts w:asciiTheme="minorHAnsi" w:hAnsiTheme="minorHAnsi"/>
          <w:sz w:val="20"/>
          <w:szCs w:val="22"/>
        </w:rPr>
        <w:t>(1), 11–19. Retrieved from https://www.scopus.com/inward/record.uri?eid=2-s2.0-14844353621&amp;partnerID=40&amp;md5=146e36f59f39fab91860bd36e813e60c</w:t>
      </w:r>
    </w:p>
    <w:p w14:paraId="2A05D8C2"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Duchnowski</w:t>
      </w:r>
      <w:proofErr w:type="spellEnd"/>
      <w:r w:rsidRPr="00592E98">
        <w:rPr>
          <w:rFonts w:asciiTheme="minorHAnsi" w:hAnsiTheme="minorHAnsi"/>
          <w:sz w:val="20"/>
          <w:szCs w:val="22"/>
        </w:rPr>
        <w:t xml:space="preserve">, A. J., </w:t>
      </w:r>
      <w:proofErr w:type="spellStart"/>
      <w:r w:rsidRPr="00592E98">
        <w:rPr>
          <w:rFonts w:asciiTheme="minorHAnsi" w:hAnsiTheme="minorHAnsi"/>
          <w:sz w:val="20"/>
          <w:szCs w:val="22"/>
        </w:rPr>
        <w:t>Kutash</w:t>
      </w:r>
      <w:proofErr w:type="spellEnd"/>
      <w:r w:rsidRPr="00592E98">
        <w:rPr>
          <w:rFonts w:asciiTheme="minorHAnsi" w:hAnsiTheme="minorHAnsi"/>
          <w:sz w:val="20"/>
          <w:szCs w:val="22"/>
        </w:rPr>
        <w:t xml:space="preserve">, K., Sheffield, S., &amp; Vaughn, B. (2006). Increasing the use of evidence-based strategies by special education teachers: A collaborative approach. </w:t>
      </w:r>
      <w:r w:rsidRPr="00592E98">
        <w:rPr>
          <w:rFonts w:asciiTheme="minorHAnsi" w:hAnsiTheme="minorHAnsi"/>
          <w:i/>
          <w:iCs/>
          <w:sz w:val="20"/>
          <w:szCs w:val="22"/>
        </w:rPr>
        <w:t>Teaching and Teacher Education</w:t>
      </w:r>
      <w:r w:rsidRPr="00592E98">
        <w:rPr>
          <w:rFonts w:asciiTheme="minorHAnsi" w:hAnsiTheme="minorHAnsi"/>
          <w:sz w:val="20"/>
          <w:szCs w:val="22"/>
        </w:rPr>
        <w:t xml:space="preserve">, </w:t>
      </w:r>
      <w:r w:rsidRPr="00592E98">
        <w:rPr>
          <w:rFonts w:asciiTheme="minorHAnsi" w:hAnsiTheme="minorHAnsi"/>
          <w:i/>
          <w:iCs/>
          <w:sz w:val="20"/>
          <w:szCs w:val="22"/>
        </w:rPr>
        <w:t>22</w:t>
      </w:r>
      <w:r w:rsidRPr="00592E98">
        <w:rPr>
          <w:rFonts w:asciiTheme="minorHAnsi" w:hAnsiTheme="minorHAnsi"/>
          <w:sz w:val="20"/>
          <w:szCs w:val="22"/>
        </w:rPr>
        <w:t>(7), 838–847. doi:10.1016/j.tate.2006.07.005</w:t>
      </w:r>
    </w:p>
    <w:p w14:paraId="3D595E2C"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Ennis, R. P., Harris, K. R., Lane, K. L., &amp; Mason, L. H. (2014). Lessons Learned from Implementing Self-Regulated Strategy Development with Students with Emotional and </w:t>
      </w:r>
      <w:proofErr w:type="spellStart"/>
      <w:r w:rsidRPr="00592E98">
        <w:rPr>
          <w:rFonts w:asciiTheme="minorHAnsi" w:hAnsiTheme="minorHAnsi"/>
          <w:sz w:val="20"/>
          <w:szCs w:val="22"/>
        </w:rPr>
        <w:t>Behavioral</w:t>
      </w:r>
      <w:proofErr w:type="spellEnd"/>
      <w:r w:rsidRPr="00592E98">
        <w:rPr>
          <w:rFonts w:asciiTheme="minorHAnsi" w:hAnsiTheme="minorHAnsi"/>
          <w:sz w:val="20"/>
          <w:szCs w:val="22"/>
        </w:rPr>
        <w:t xml:space="preserve"> Disorders in Alternative Educational Settings. </w:t>
      </w:r>
      <w:proofErr w:type="spellStart"/>
      <w:r w:rsidRPr="00592E98">
        <w:rPr>
          <w:rFonts w:asciiTheme="minorHAnsi" w:hAnsiTheme="minorHAnsi"/>
          <w:i/>
          <w:iCs/>
          <w:sz w:val="20"/>
          <w:szCs w:val="22"/>
        </w:rPr>
        <w:t>Behavioral</w:t>
      </w:r>
      <w:proofErr w:type="spellEnd"/>
      <w:r w:rsidRPr="00592E98">
        <w:rPr>
          <w:rFonts w:asciiTheme="minorHAnsi" w:hAnsiTheme="minorHAnsi"/>
          <w:i/>
          <w:iCs/>
          <w:sz w:val="20"/>
          <w:szCs w:val="22"/>
        </w:rPr>
        <w:t xml:space="preserve"> Disorders</w:t>
      </w:r>
      <w:r w:rsidRPr="00592E98">
        <w:rPr>
          <w:rFonts w:asciiTheme="minorHAnsi" w:hAnsiTheme="minorHAnsi"/>
          <w:sz w:val="20"/>
          <w:szCs w:val="22"/>
        </w:rPr>
        <w:t xml:space="preserve">, </w:t>
      </w:r>
      <w:r w:rsidRPr="00592E98">
        <w:rPr>
          <w:rFonts w:asciiTheme="minorHAnsi" w:hAnsiTheme="minorHAnsi"/>
          <w:i/>
          <w:iCs/>
          <w:sz w:val="20"/>
          <w:szCs w:val="22"/>
        </w:rPr>
        <w:t>40</w:t>
      </w:r>
      <w:r w:rsidRPr="00592E98">
        <w:rPr>
          <w:rFonts w:asciiTheme="minorHAnsi" w:hAnsiTheme="minorHAnsi"/>
          <w:sz w:val="20"/>
          <w:szCs w:val="22"/>
        </w:rPr>
        <w:t>(1), 68–77. doi:10.17988/0198-7429-40.1.68</w:t>
      </w:r>
    </w:p>
    <w:p w14:paraId="287E93B4"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Evis</w:t>
      </w:r>
      <w:proofErr w:type="spellEnd"/>
      <w:r w:rsidRPr="00592E98">
        <w:rPr>
          <w:rFonts w:asciiTheme="minorHAnsi" w:hAnsiTheme="minorHAnsi"/>
          <w:sz w:val="20"/>
          <w:szCs w:val="22"/>
        </w:rPr>
        <w:t>, W. (2016). Evidence-based actions within the multilevel system of schools – Requirements</w:t>
      </w:r>
      <w:r w:rsidR="00972B56">
        <w:rPr>
          <w:rFonts w:asciiTheme="minorHAnsi" w:hAnsiTheme="minorHAnsi"/>
          <w:sz w:val="20"/>
          <w:szCs w:val="22"/>
        </w:rPr>
        <w:t xml:space="preserve"> , processes , and eff</w:t>
      </w:r>
      <w:r w:rsidRPr="00592E98">
        <w:rPr>
          <w:rFonts w:asciiTheme="minorHAnsi" w:hAnsiTheme="minorHAnsi"/>
          <w:sz w:val="20"/>
          <w:szCs w:val="22"/>
        </w:rPr>
        <w:t xml:space="preserve">ects ( </w:t>
      </w:r>
      <w:proofErr w:type="spellStart"/>
      <w:r w:rsidRPr="00592E98">
        <w:rPr>
          <w:rFonts w:asciiTheme="minorHAnsi" w:hAnsiTheme="minorHAnsi"/>
          <w:sz w:val="20"/>
          <w:szCs w:val="22"/>
        </w:rPr>
        <w:t>EviS</w:t>
      </w:r>
      <w:proofErr w:type="spellEnd"/>
      <w:r w:rsidRPr="00592E98">
        <w:rPr>
          <w:rFonts w:asciiTheme="minorHAnsi" w:hAnsiTheme="minorHAnsi"/>
          <w:sz w:val="20"/>
          <w:szCs w:val="22"/>
        </w:rPr>
        <w:t xml:space="preserve"> ) Special Issue Editorial </w:t>
      </w:r>
      <w:proofErr w:type="spellStart"/>
      <w:r w:rsidRPr="00592E98">
        <w:rPr>
          <w:rFonts w:asciiTheme="minorHAnsi" w:hAnsiTheme="minorHAnsi"/>
          <w:sz w:val="20"/>
          <w:szCs w:val="22"/>
        </w:rPr>
        <w:t>Evidenzbasiertes</w:t>
      </w:r>
      <w:proofErr w:type="spellEnd"/>
      <w:r w:rsidRPr="00592E98">
        <w:rPr>
          <w:rFonts w:asciiTheme="minorHAnsi" w:hAnsiTheme="minorHAnsi"/>
          <w:sz w:val="20"/>
          <w:szCs w:val="22"/>
        </w:rPr>
        <w:t xml:space="preserve"> </w:t>
      </w:r>
      <w:proofErr w:type="spellStart"/>
      <w:r w:rsidRPr="00592E98">
        <w:rPr>
          <w:rFonts w:asciiTheme="minorHAnsi" w:hAnsiTheme="minorHAnsi"/>
          <w:sz w:val="20"/>
          <w:szCs w:val="22"/>
        </w:rPr>
        <w:t>Handeln</w:t>
      </w:r>
      <w:proofErr w:type="spellEnd"/>
      <w:r w:rsidRPr="00592E98">
        <w:rPr>
          <w:rFonts w:asciiTheme="minorHAnsi" w:hAnsiTheme="minorHAnsi"/>
          <w:sz w:val="20"/>
          <w:szCs w:val="22"/>
        </w:rPr>
        <w:t xml:space="preserve"> </w:t>
      </w:r>
      <w:proofErr w:type="spellStart"/>
      <w:r w:rsidRPr="00592E98">
        <w:rPr>
          <w:rFonts w:asciiTheme="minorHAnsi" w:hAnsiTheme="minorHAnsi"/>
          <w:sz w:val="20"/>
          <w:szCs w:val="22"/>
        </w:rPr>
        <w:t>im</w:t>
      </w:r>
      <w:proofErr w:type="spellEnd"/>
      <w:r w:rsidRPr="00592E98">
        <w:rPr>
          <w:rFonts w:asciiTheme="minorHAnsi" w:hAnsiTheme="minorHAnsi"/>
          <w:sz w:val="20"/>
          <w:szCs w:val="22"/>
        </w:rPr>
        <w:t xml:space="preserve"> </w:t>
      </w:r>
      <w:proofErr w:type="spellStart"/>
      <w:r w:rsidRPr="00592E98">
        <w:rPr>
          <w:rFonts w:asciiTheme="minorHAnsi" w:hAnsiTheme="minorHAnsi"/>
          <w:sz w:val="20"/>
          <w:szCs w:val="22"/>
        </w:rPr>
        <w:t>schulischen</w:t>
      </w:r>
      <w:proofErr w:type="spellEnd"/>
      <w:r w:rsidRPr="00592E98">
        <w:rPr>
          <w:rFonts w:asciiTheme="minorHAnsi" w:hAnsiTheme="minorHAnsi"/>
          <w:sz w:val="20"/>
          <w:szCs w:val="22"/>
        </w:rPr>
        <w:t xml:space="preserve"> </w:t>
      </w:r>
      <w:proofErr w:type="spellStart"/>
      <w:r w:rsidRPr="00592E98">
        <w:rPr>
          <w:rFonts w:asciiTheme="minorHAnsi" w:hAnsiTheme="minorHAnsi"/>
          <w:sz w:val="20"/>
          <w:szCs w:val="22"/>
        </w:rPr>
        <w:t>Mehrebenensystem</w:t>
      </w:r>
      <w:proofErr w:type="spellEnd"/>
      <w:r w:rsidRPr="00592E98">
        <w:rPr>
          <w:rFonts w:asciiTheme="minorHAnsi" w:hAnsiTheme="minorHAnsi"/>
          <w:sz w:val="20"/>
          <w:szCs w:val="22"/>
        </w:rPr>
        <w:t xml:space="preserve"> – </w:t>
      </w:r>
      <w:proofErr w:type="spellStart"/>
      <w:r w:rsidRPr="00592E98">
        <w:rPr>
          <w:rFonts w:asciiTheme="minorHAnsi" w:hAnsiTheme="minorHAnsi"/>
          <w:sz w:val="20"/>
          <w:szCs w:val="22"/>
        </w:rPr>
        <w:t>Bedingungen</w:t>
      </w:r>
      <w:proofErr w:type="spellEnd"/>
      <w:r w:rsidRPr="00592E98">
        <w:rPr>
          <w:rFonts w:asciiTheme="minorHAnsi" w:hAnsiTheme="minorHAnsi"/>
          <w:sz w:val="20"/>
          <w:szCs w:val="22"/>
        </w:rPr>
        <w:t xml:space="preserve"> , </w:t>
      </w:r>
      <w:proofErr w:type="spellStart"/>
      <w:r w:rsidRPr="00592E98">
        <w:rPr>
          <w:rFonts w:asciiTheme="minorHAnsi" w:hAnsiTheme="minorHAnsi"/>
          <w:sz w:val="20"/>
          <w:szCs w:val="22"/>
        </w:rPr>
        <w:t>Prozesse</w:t>
      </w:r>
      <w:proofErr w:type="spellEnd"/>
      <w:r w:rsidRPr="00592E98">
        <w:rPr>
          <w:rFonts w:asciiTheme="minorHAnsi" w:hAnsiTheme="minorHAnsi"/>
          <w:sz w:val="20"/>
          <w:szCs w:val="22"/>
        </w:rPr>
        <w:t xml:space="preserve"> The German research project </w:t>
      </w:r>
      <w:proofErr w:type="spellStart"/>
      <w:r w:rsidRPr="00592E98">
        <w:rPr>
          <w:rFonts w:asciiTheme="minorHAnsi" w:hAnsiTheme="minorHAnsi"/>
          <w:sz w:val="20"/>
          <w:szCs w:val="22"/>
        </w:rPr>
        <w:t>EviS</w:t>
      </w:r>
      <w:proofErr w:type="spellEnd"/>
      <w:r w:rsidRPr="00592E98">
        <w:rPr>
          <w:rFonts w:asciiTheme="minorHAnsi" w:hAnsiTheme="minorHAnsi"/>
          <w:sz w:val="20"/>
          <w:szCs w:val="22"/>
        </w:rPr>
        <w:t xml:space="preserve">, </w:t>
      </w:r>
      <w:r w:rsidRPr="00592E98">
        <w:rPr>
          <w:rFonts w:asciiTheme="minorHAnsi" w:hAnsiTheme="minorHAnsi"/>
          <w:i/>
          <w:iCs/>
          <w:sz w:val="20"/>
          <w:szCs w:val="22"/>
        </w:rPr>
        <w:t>8</w:t>
      </w:r>
      <w:r w:rsidRPr="00592E98">
        <w:rPr>
          <w:rFonts w:asciiTheme="minorHAnsi" w:hAnsiTheme="minorHAnsi"/>
          <w:sz w:val="20"/>
          <w:szCs w:val="22"/>
        </w:rPr>
        <w:t>(3), 5–13.</w:t>
      </w:r>
    </w:p>
    <w:p w14:paraId="1AF53271"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lang w:val="sv-SE"/>
        </w:rPr>
        <w:t xml:space="preserve">Farkas, M., &amp; Anthony, W. A. (2007). </w:t>
      </w:r>
      <w:r w:rsidRPr="00592E98">
        <w:rPr>
          <w:rFonts w:asciiTheme="minorHAnsi" w:hAnsiTheme="minorHAnsi"/>
          <w:sz w:val="20"/>
          <w:szCs w:val="22"/>
        </w:rPr>
        <w:t xml:space="preserve">Bridging science to service: Using Rehabilitation Research and Training </w:t>
      </w:r>
      <w:proofErr w:type="spellStart"/>
      <w:r w:rsidRPr="00592E98">
        <w:rPr>
          <w:rFonts w:asciiTheme="minorHAnsi" w:hAnsiTheme="minorHAnsi"/>
          <w:sz w:val="20"/>
          <w:szCs w:val="22"/>
        </w:rPr>
        <w:t>Center</w:t>
      </w:r>
      <w:proofErr w:type="spellEnd"/>
      <w:r w:rsidRPr="00592E98">
        <w:rPr>
          <w:rFonts w:asciiTheme="minorHAnsi" w:hAnsiTheme="minorHAnsi"/>
          <w:sz w:val="20"/>
          <w:szCs w:val="22"/>
        </w:rPr>
        <w:t xml:space="preserve"> program to ensure that research-based knowledge makes a difference. </w:t>
      </w:r>
      <w:r w:rsidRPr="00592E98">
        <w:rPr>
          <w:rFonts w:asciiTheme="minorHAnsi" w:hAnsiTheme="minorHAnsi"/>
          <w:i/>
          <w:iCs/>
          <w:sz w:val="20"/>
          <w:szCs w:val="22"/>
        </w:rPr>
        <w:t>The Journal of Rehabilitation Research and Development</w:t>
      </w:r>
      <w:r w:rsidRPr="00592E98">
        <w:rPr>
          <w:rFonts w:asciiTheme="minorHAnsi" w:hAnsiTheme="minorHAnsi"/>
          <w:sz w:val="20"/>
          <w:szCs w:val="22"/>
        </w:rPr>
        <w:t xml:space="preserve">, </w:t>
      </w:r>
      <w:r w:rsidRPr="00592E98">
        <w:rPr>
          <w:rFonts w:asciiTheme="minorHAnsi" w:hAnsiTheme="minorHAnsi"/>
          <w:i/>
          <w:iCs/>
          <w:sz w:val="20"/>
          <w:szCs w:val="22"/>
        </w:rPr>
        <w:t>44</w:t>
      </w:r>
      <w:r w:rsidRPr="00592E98">
        <w:rPr>
          <w:rFonts w:asciiTheme="minorHAnsi" w:hAnsiTheme="minorHAnsi"/>
          <w:sz w:val="20"/>
          <w:szCs w:val="22"/>
        </w:rPr>
        <w:t>(6), 879. doi:10.1682/JRRD.2006.08.0101</w:t>
      </w:r>
    </w:p>
    <w:p w14:paraId="4B9CC88E"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Fisher, M., </w:t>
      </w:r>
      <w:proofErr w:type="spellStart"/>
      <w:r w:rsidRPr="00592E98">
        <w:rPr>
          <w:rFonts w:asciiTheme="minorHAnsi" w:hAnsiTheme="minorHAnsi"/>
          <w:sz w:val="20"/>
          <w:szCs w:val="22"/>
        </w:rPr>
        <w:t>Thoburn</w:t>
      </w:r>
      <w:proofErr w:type="spellEnd"/>
      <w:r w:rsidRPr="00592E98">
        <w:rPr>
          <w:rFonts w:asciiTheme="minorHAnsi" w:hAnsiTheme="minorHAnsi"/>
          <w:sz w:val="20"/>
          <w:szCs w:val="22"/>
        </w:rPr>
        <w:t xml:space="preserve">, A., </w:t>
      </w:r>
      <w:proofErr w:type="spellStart"/>
      <w:r w:rsidRPr="00592E98">
        <w:rPr>
          <w:rFonts w:asciiTheme="minorHAnsi" w:hAnsiTheme="minorHAnsi"/>
          <w:sz w:val="20"/>
          <w:szCs w:val="22"/>
        </w:rPr>
        <w:t>Arkinstall</w:t>
      </w:r>
      <w:proofErr w:type="spellEnd"/>
      <w:r w:rsidRPr="00592E98">
        <w:rPr>
          <w:rFonts w:asciiTheme="minorHAnsi" w:hAnsiTheme="minorHAnsi"/>
          <w:sz w:val="20"/>
          <w:szCs w:val="22"/>
        </w:rPr>
        <w:t xml:space="preserve">, T., &amp; Proctor-Childs, T. (2009). A Blended Approach to Evidence Learning in Professional Practice. </w:t>
      </w:r>
      <w:r w:rsidRPr="00592E98">
        <w:rPr>
          <w:rFonts w:asciiTheme="minorHAnsi" w:hAnsiTheme="minorHAnsi"/>
          <w:i/>
          <w:iCs/>
          <w:sz w:val="20"/>
          <w:szCs w:val="22"/>
        </w:rPr>
        <w:t>Proceedings of the International Conference on E-Learning</w:t>
      </w:r>
      <w:r w:rsidRPr="00592E98">
        <w:rPr>
          <w:rFonts w:asciiTheme="minorHAnsi" w:hAnsiTheme="minorHAnsi"/>
          <w:sz w:val="20"/>
          <w:szCs w:val="22"/>
        </w:rPr>
        <w:t>, 114–120. Retrieved from http://search.ebscohost.com/login.aspx?direct=true&amp;db=eue&amp;AN=48947200&amp;site=ehost-live</w:t>
      </w:r>
    </w:p>
    <w:p w14:paraId="58C6CF91"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Franklin, C., &amp; Hopson, L. (2007). Facilitating the use of evidence-based practice in community organizations. </w:t>
      </w:r>
      <w:r w:rsidRPr="00592E98">
        <w:rPr>
          <w:rFonts w:asciiTheme="minorHAnsi" w:hAnsiTheme="minorHAnsi"/>
          <w:i/>
          <w:iCs/>
          <w:sz w:val="20"/>
          <w:szCs w:val="22"/>
        </w:rPr>
        <w:t>Journal of Social Work Education</w:t>
      </w:r>
      <w:r w:rsidRPr="00592E98">
        <w:rPr>
          <w:rFonts w:asciiTheme="minorHAnsi" w:hAnsiTheme="minorHAnsi"/>
          <w:sz w:val="20"/>
          <w:szCs w:val="22"/>
        </w:rPr>
        <w:t xml:space="preserve">, </w:t>
      </w:r>
      <w:r w:rsidRPr="00592E98">
        <w:rPr>
          <w:rFonts w:asciiTheme="minorHAnsi" w:hAnsiTheme="minorHAnsi"/>
          <w:i/>
          <w:iCs/>
          <w:sz w:val="20"/>
          <w:szCs w:val="22"/>
        </w:rPr>
        <w:t>43</w:t>
      </w:r>
      <w:r w:rsidRPr="00592E98">
        <w:rPr>
          <w:rFonts w:asciiTheme="minorHAnsi" w:hAnsiTheme="minorHAnsi"/>
          <w:sz w:val="20"/>
          <w:szCs w:val="22"/>
        </w:rPr>
        <w:t>(3), 377–404.</w:t>
      </w:r>
    </w:p>
    <w:p w14:paraId="5E15E1AA"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Gagnon, J. C., &amp; Barber, B. (2010). Characteristics of and Services Provided to Youth in Secure Care Facilities. </w:t>
      </w:r>
      <w:proofErr w:type="spellStart"/>
      <w:r w:rsidRPr="00592E98">
        <w:rPr>
          <w:rFonts w:asciiTheme="minorHAnsi" w:hAnsiTheme="minorHAnsi"/>
          <w:i/>
          <w:sz w:val="20"/>
          <w:szCs w:val="22"/>
        </w:rPr>
        <w:t>Behavioral</w:t>
      </w:r>
      <w:proofErr w:type="spellEnd"/>
      <w:r w:rsidRPr="00592E98">
        <w:rPr>
          <w:rFonts w:asciiTheme="minorHAnsi" w:hAnsiTheme="minorHAnsi"/>
          <w:i/>
          <w:sz w:val="20"/>
          <w:szCs w:val="22"/>
        </w:rPr>
        <w:t xml:space="preserve"> Disorders, 36</w:t>
      </w:r>
      <w:r w:rsidRPr="00592E98">
        <w:rPr>
          <w:rFonts w:asciiTheme="minorHAnsi" w:hAnsiTheme="minorHAnsi"/>
          <w:sz w:val="20"/>
          <w:szCs w:val="22"/>
        </w:rPr>
        <w:t xml:space="preserve">(1), 7-19. </w:t>
      </w:r>
    </w:p>
    <w:p w14:paraId="087F177E"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Gajjar</w:t>
      </w:r>
      <w:proofErr w:type="spellEnd"/>
      <w:r w:rsidRPr="00592E98">
        <w:rPr>
          <w:rFonts w:asciiTheme="minorHAnsi" w:hAnsiTheme="minorHAnsi"/>
          <w:sz w:val="20"/>
          <w:szCs w:val="22"/>
        </w:rPr>
        <w:t xml:space="preserve">, D., </w:t>
      </w:r>
      <w:proofErr w:type="spellStart"/>
      <w:r w:rsidRPr="00592E98">
        <w:rPr>
          <w:rFonts w:asciiTheme="minorHAnsi" w:hAnsiTheme="minorHAnsi"/>
          <w:sz w:val="20"/>
          <w:szCs w:val="22"/>
        </w:rPr>
        <w:t>Zwi</w:t>
      </w:r>
      <w:proofErr w:type="spellEnd"/>
      <w:r w:rsidRPr="00592E98">
        <w:rPr>
          <w:rFonts w:asciiTheme="minorHAnsi" w:hAnsiTheme="minorHAnsi"/>
          <w:sz w:val="20"/>
          <w:szCs w:val="22"/>
        </w:rPr>
        <w:t xml:space="preserve">, A. B., Hill, P. S., &amp; Shannon, C. (2014). A case study in the use of evidence in a changing political context: an Aboriginal and Torres Strait Islander health service re-examines practice models, governance and financing. </w:t>
      </w:r>
      <w:r w:rsidRPr="00592E98">
        <w:rPr>
          <w:rFonts w:asciiTheme="minorHAnsi" w:hAnsiTheme="minorHAnsi"/>
          <w:i/>
          <w:iCs/>
          <w:sz w:val="20"/>
          <w:szCs w:val="22"/>
        </w:rPr>
        <w:t>Australian Health Review</w:t>
      </w:r>
      <w:r w:rsidRPr="00592E98">
        <w:rPr>
          <w:rFonts w:asciiTheme="minorHAnsi" w:hAnsiTheme="minorHAnsi"/>
          <w:sz w:val="20"/>
          <w:szCs w:val="22"/>
        </w:rPr>
        <w:t xml:space="preserve">, </w:t>
      </w:r>
      <w:r w:rsidRPr="00592E98">
        <w:rPr>
          <w:rFonts w:asciiTheme="minorHAnsi" w:hAnsiTheme="minorHAnsi"/>
          <w:i/>
          <w:iCs/>
          <w:sz w:val="20"/>
          <w:szCs w:val="22"/>
        </w:rPr>
        <w:t>38</w:t>
      </w:r>
      <w:r w:rsidRPr="00592E98">
        <w:rPr>
          <w:rFonts w:asciiTheme="minorHAnsi" w:hAnsiTheme="minorHAnsi"/>
          <w:sz w:val="20"/>
          <w:szCs w:val="22"/>
        </w:rPr>
        <w:t>(4), 383–386. Retrieved from http://ovidsp.ovid.com/ovidweb.cgi?T=JS&amp;CSC=Y&amp;NEWS=N&amp;PAGE=fulltext&amp;D=medl&amp;AN=24976304</w:t>
      </w:r>
    </w:p>
    <w:p w14:paraId="0EB5035C"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García</w:t>
      </w:r>
      <w:proofErr w:type="spellEnd"/>
      <w:r w:rsidRPr="00592E98">
        <w:rPr>
          <w:rFonts w:asciiTheme="minorHAnsi" w:hAnsiTheme="minorHAnsi"/>
          <w:sz w:val="20"/>
          <w:szCs w:val="22"/>
        </w:rPr>
        <w:t>, J. A. (2008). Research to Prevention Interventions in Spain, 182–197.</w:t>
      </w:r>
    </w:p>
    <w:p w14:paraId="514E97F1"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Haegerich</w:t>
      </w:r>
      <w:proofErr w:type="spellEnd"/>
      <w:r w:rsidRPr="00592E98">
        <w:rPr>
          <w:rFonts w:asciiTheme="minorHAnsi" w:hAnsiTheme="minorHAnsi"/>
          <w:sz w:val="20"/>
          <w:szCs w:val="22"/>
        </w:rPr>
        <w:t>, T. M., David-</w:t>
      </w:r>
      <w:proofErr w:type="spellStart"/>
      <w:r w:rsidRPr="00592E98">
        <w:rPr>
          <w:rFonts w:asciiTheme="minorHAnsi" w:hAnsiTheme="minorHAnsi"/>
          <w:sz w:val="20"/>
          <w:szCs w:val="22"/>
        </w:rPr>
        <w:t>Ferdon</w:t>
      </w:r>
      <w:proofErr w:type="spellEnd"/>
      <w:r w:rsidRPr="00592E98">
        <w:rPr>
          <w:rFonts w:asciiTheme="minorHAnsi" w:hAnsiTheme="minorHAnsi"/>
          <w:sz w:val="20"/>
          <w:szCs w:val="22"/>
        </w:rPr>
        <w:t xml:space="preserve">, C., Noonan, R. K., </w:t>
      </w:r>
      <w:proofErr w:type="spellStart"/>
      <w:r w:rsidRPr="00592E98">
        <w:rPr>
          <w:rFonts w:asciiTheme="minorHAnsi" w:hAnsiTheme="minorHAnsi"/>
          <w:sz w:val="20"/>
          <w:szCs w:val="22"/>
        </w:rPr>
        <w:t>Manns</w:t>
      </w:r>
      <w:proofErr w:type="spellEnd"/>
      <w:r w:rsidRPr="00592E98">
        <w:rPr>
          <w:rFonts w:asciiTheme="minorHAnsi" w:hAnsiTheme="minorHAnsi"/>
          <w:sz w:val="20"/>
          <w:szCs w:val="22"/>
        </w:rPr>
        <w:t xml:space="preserve">, B. J., &amp; Billie, H. C. (2017). Technical Packages in Injury and Violence Prevention to Move Evidence Into Practice: Systematic Reviews and Beyond. </w:t>
      </w:r>
      <w:r w:rsidRPr="00592E98">
        <w:rPr>
          <w:rFonts w:asciiTheme="minorHAnsi" w:hAnsiTheme="minorHAnsi"/>
          <w:i/>
          <w:iCs/>
          <w:sz w:val="20"/>
          <w:szCs w:val="22"/>
        </w:rPr>
        <w:t>Evaluation Review</w:t>
      </w:r>
      <w:r w:rsidRPr="00592E98">
        <w:rPr>
          <w:rFonts w:asciiTheme="minorHAnsi" w:hAnsiTheme="minorHAnsi"/>
          <w:sz w:val="20"/>
          <w:szCs w:val="22"/>
        </w:rPr>
        <w:t xml:space="preserve">, </w:t>
      </w:r>
      <w:r w:rsidRPr="00592E98">
        <w:rPr>
          <w:rFonts w:asciiTheme="minorHAnsi" w:hAnsiTheme="minorHAnsi"/>
          <w:i/>
          <w:iCs/>
          <w:sz w:val="20"/>
          <w:szCs w:val="22"/>
        </w:rPr>
        <w:t>41</w:t>
      </w:r>
      <w:r w:rsidRPr="00592E98">
        <w:rPr>
          <w:rFonts w:asciiTheme="minorHAnsi" w:hAnsiTheme="minorHAnsi"/>
          <w:sz w:val="20"/>
          <w:szCs w:val="22"/>
        </w:rPr>
        <w:t>(1), 78–108. doi:10.1177/0193841X16667214</w:t>
      </w:r>
    </w:p>
    <w:p w14:paraId="4F27E93E"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Holmes, B. J., </w:t>
      </w:r>
      <w:proofErr w:type="spellStart"/>
      <w:r w:rsidRPr="00592E98">
        <w:rPr>
          <w:rFonts w:asciiTheme="minorHAnsi" w:hAnsiTheme="minorHAnsi"/>
          <w:sz w:val="20"/>
          <w:szCs w:val="22"/>
        </w:rPr>
        <w:t>Schellenberg</w:t>
      </w:r>
      <w:proofErr w:type="spellEnd"/>
      <w:r w:rsidRPr="00592E98">
        <w:rPr>
          <w:rFonts w:asciiTheme="minorHAnsi" w:hAnsiTheme="minorHAnsi"/>
          <w:sz w:val="20"/>
          <w:szCs w:val="22"/>
        </w:rPr>
        <w:t xml:space="preserve">, M., Schell, K., &amp; </w:t>
      </w:r>
      <w:proofErr w:type="spellStart"/>
      <w:r w:rsidRPr="00592E98">
        <w:rPr>
          <w:rFonts w:asciiTheme="minorHAnsi" w:hAnsiTheme="minorHAnsi"/>
          <w:sz w:val="20"/>
          <w:szCs w:val="22"/>
        </w:rPr>
        <w:t>Scarrow</w:t>
      </w:r>
      <w:proofErr w:type="spellEnd"/>
      <w:r w:rsidRPr="00592E98">
        <w:rPr>
          <w:rFonts w:asciiTheme="minorHAnsi" w:hAnsiTheme="minorHAnsi"/>
          <w:sz w:val="20"/>
          <w:szCs w:val="22"/>
        </w:rPr>
        <w:t xml:space="preserve">, G. (2014). How funding agencies can support research use in healthcare: An online province-wide survey to determine knowledge translation training needs. </w:t>
      </w:r>
      <w:r w:rsidRPr="00592E98">
        <w:rPr>
          <w:rFonts w:asciiTheme="minorHAnsi" w:hAnsiTheme="minorHAnsi"/>
          <w:i/>
          <w:iCs/>
          <w:sz w:val="20"/>
          <w:szCs w:val="22"/>
        </w:rPr>
        <w:t>Implementation Science</w:t>
      </w:r>
      <w:r w:rsidRPr="00592E98">
        <w:rPr>
          <w:rFonts w:asciiTheme="minorHAnsi" w:hAnsiTheme="minorHAnsi"/>
          <w:sz w:val="20"/>
          <w:szCs w:val="22"/>
        </w:rPr>
        <w:t xml:space="preserve">, </w:t>
      </w:r>
      <w:r w:rsidRPr="00592E98">
        <w:rPr>
          <w:rFonts w:asciiTheme="minorHAnsi" w:hAnsiTheme="minorHAnsi"/>
          <w:i/>
          <w:iCs/>
          <w:sz w:val="20"/>
          <w:szCs w:val="22"/>
        </w:rPr>
        <w:t>9</w:t>
      </w:r>
      <w:r w:rsidRPr="00592E98">
        <w:rPr>
          <w:rFonts w:asciiTheme="minorHAnsi" w:hAnsiTheme="minorHAnsi"/>
          <w:sz w:val="20"/>
          <w:szCs w:val="22"/>
        </w:rPr>
        <w:t>(1). doi:10.1186/1748-5908-9-71</w:t>
      </w:r>
    </w:p>
    <w:p w14:paraId="492BD08E"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Holmes, B., </w:t>
      </w:r>
      <w:proofErr w:type="spellStart"/>
      <w:r w:rsidRPr="00592E98">
        <w:rPr>
          <w:rFonts w:asciiTheme="minorHAnsi" w:hAnsiTheme="minorHAnsi"/>
          <w:sz w:val="20"/>
          <w:szCs w:val="22"/>
        </w:rPr>
        <w:t>Scarrow</w:t>
      </w:r>
      <w:proofErr w:type="spellEnd"/>
      <w:r w:rsidRPr="00592E98">
        <w:rPr>
          <w:rFonts w:asciiTheme="minorHAnsi" w:hAnsiTheme="minorHAnsi"/>
          <w:sz w:val="20"/>
          <w:szCs w:val="22"/>
        </w:rPr>
        <w:t xml:space="preserve">, G., &amp; </w:t>
      </w:r>
      <w:proofErr w:type="spellStart"/>
      <w:r w:rsidRPr="00592E98">
        <w:rPr>
          <w:rFonts w:asciiTheme="minorHAnsi" w:hAnsiTheme="minorHAnsi"/>
          <w:sz w:val="20"/>
          <w:szCs w:val="22"/>
        </w:rPr>
        <w:t>Schellenberg</w:t>
      </w:r>
      <w:proofErr w:type="spellEnd"/>
      <w:r w:rsidRPr="00592E98">
        <w:rPr>
          <w:rFonts w:asciiTheme="minorHAnsi" w:hAnsiTheme="minorHAnsi"/>
          <w:sz w:val="20"/>
          <w:szCs w:val="22"/>
        </w:rPr>
        <w:t xml:space="preserve">, M. (2012). Translating evidence into practice: The role of health research funders. </w:t>
      </w:r>
      <w:r w:rsidRPr="00592E98">
        <w:rPr>
          <w:rFonts w:asciiTheme="minorHAnsi" w:hAnsiTheme="minorHAnsi"/>
          <w:i/>
          <w:iCs/>
          <w:sz w:val="20"/>
          <w:szCs w:val="22"/>
        </w:rPr>
        <w:t>Implementation Science</w:t>
      </w:r>
      <w:r w:rsidRPr="00592E98">
        <w:rPr>
          <w:rFonts w:asciiTheme="minorHAnsi" w:hAnsiTheme="minorHAnsi"/>
          <w:sz w:val="20"/>
          <w:szCs w:val="22"/>
        </w:rPr>
        <w:t>. doi:10.1186/1748-5908-7-39</w:t>
      </w:r>
    </w:p>
    <w:p w14:paraId="30ECBA0B"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Hooper, L. M. (2010). The unmet needs of depressed adolescent patients: How race, gender, and age relate to evidence-based depression care in rural areas. </w:t>
      </w:r>
      <w:r w:rsidRPr="00592E98">
        <w:rPr>
          <w:rFonts w:asciiTheme="minorHAnsi" w:hAnsiTheme="minorHAnsi"/>
          <w:i/>
          <w:iCs/>
          <w:sz w:val="20"/>
          <w:szCs w:val="22"/>
        </w:rPr>
        <w:t>Primary Health Care Research and Development</w:t>
      </w:r>
      <w:r w:rsidRPr="00592E98">
        <w:rPr>
          <w:rFonts w:asciiTheme="minorHAnsi" w:hAnsiTheme="minorHAnsi"/>
          <w:sz w:val="20"/>
          <w:szCs w:val="22"/>
        </w:rPr>
        <w:t xml:space="preserve">, </w:t>
      </w:r>
      <w:r w:rsidRPr="00592E98">
        <w:rPr>
          <w:rFonts w:asciiTheme="minorHAnsi" w:hAnsiTheme="minorHAnsi"/>
          <w:i/>
          <w:iCs/>
          <w:sz w:val="20"/>
          <w:szCs w:val="22"/>
        </w:rPr>
        <w:t>11</w:t>
      </w:r>
      <w:r w:rsidRPr="00592E98">
        <w:rPr>
          <w:rFonts w:asciiTheme="minorHAnsi" w:hAnsiTheme="minorHAnsi"/>
          <w:sz w:val="20"/>
          <w:szCs w:val="22"/>
        </w:rPr>
        <w:t>(4), 339–348. doi:10.1017/S1463423610000277</w:t>
      </w:r>
    </w:p>
    <w:p w14:paraId="04AA0567"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Jelfs</w:t>
      </w:r>
      <w:proofErr w:type="spellEnd"/>
      <w:r w:rsidRPr="00592E98">
        <w:rPr>
          <w:rFonts w:asciiTheme="minorHAnsi" w:hAnsiTheme="minorHAnsi"/>
          <w:sz w:val="20"/>
          <w:szCs w:val="22"/>
        </w:rPr>
        <w:t xml:space="preserve">, A., &amp; Colwell, C. (2011). </w:t>
      </w:r>
      <w:r w:rsidRPr="00592E98">
        <w:rPr>
          <w:rFonts w:asciiTheme="minorHAnsi" w:hAnsiTheme="minorHAnsi"/>
          <w:i/>
          <w:sz w:val="20"/>
          <w:szCs w:val="22"/>
        </w:rPr>
        <w:t xml:space="preserve">A methodology for incorporating usability and accessibility evaluations in higher education. </w:t>
      </w:r>
      <w:r w:rsidRPr="00592E98">
        <w:rPr>
          <w:rFonts w:asciiTheme="minorHAnsi" w:hAnsiTheme="minorHAnsi"/>
          <w:sz w:val="20"/>
          <w:szCs w:val="22"/>
        </w:rPr>
        <w:t xml:space="preserve">Milton Keynes, England: Institute of Education Technology, Open University.  </w:t>
      </w:r>
    </w:p>
    <w:p w14:paraId="099DE5E3"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lastRenderedPageBreak/>
        <w:t xml:space="preserve">Kerns, S. E. U., </w:t>
      </w:r>
      <w:proofErr w:type="spellStart"/>
      <w:r w:rsidRPr="00592E98">
        <w:rPr>
          <w:rFonts w:asciiTheme="minorHAnsi" w:hAnsiTheme="minorHAnsi"/>
          <w:sz w:val="20"/>
          <w:szCs w:val="22"/>
        </w:rPr>
        <w:t>Cevasco</w:t>
      </w:r>
      <w:proofErr w:type="spellEnd"/>
      <w:r w:rsidRPr="00592E98">
        <w:rPr>
          <w:rFonts w:asciiTheme="minorHAnsi" w:hAnsiTheme="minorHAnsi"/>
          <w:sz w:val="20"/>
          <w:szCs w:val="22"/>
        </w:rPr>
        <w:t xml:space="preserve">, M., </w:t>
      </w:r>
      <w:proofErr w:type="spellStart"/>
      <w:r w:rsidRPr="00592E98">
        <w:rPr>
          <w:rFonts w:asciiTheme="minorHAnsi" w:hAnsiTheme="minorHAnsi"/>
          <w:sz w:val="20"/>
          <w:szCs w:val="22"/>
        </w:rPr>
        <w:t>Comtois</w:t>
      </w:r>
      <w:proofErr w:type="spellEnd"/>
      <w:r w:rsidRPr="00592E98">
        <w:rPr>
          <w:rFonts w:asciiTheme="minorHAnsi" w:hAnsiTheme="minorHAnsi"/>
          <w:sz w:val="20"/>
          <w:szCs w:val="22"/>
        </w:rPr>
        <w:t xml:space="preserve">, K. A., Dorsey, S., King, K., McMahon, R., … </w:t>
      </w:r>
      <w:proofErr w:type="spellStart"/>
      <w:r w:rsidRPr="00592E98">
        <w:rPr>
          <w:rFonts w:asciiTheme="minorHAnsi" w:hAnsiTheme="minorHAnsi"/>
          <w:sz w:val="20"/>
          <w:szCs w:val="22"/>
        </w:rPr>
        <w:t>Trupin</w:t>
      </w:r>
      <w:proofErr w:type="spellEnd"/>
      <w:r w:rsidRPr="00592E98">
        <w:rPr>
          <w:rFonts w:asciiTheme="minorHAnsi" w:hAnsiTheme="minorHAnsi"/>
          <w:sz w:val="20"/>
          <w:szCs w:val="22"/>
        </w:rPr>
        <w:t xml:space="preserve">, E. W. (2016). An Interdisciplinary University-Based Initiative for Graduate Training in Evidence-Based Treatments for Children’s Mental Health. </w:t>
      </w:r>
      <w:r w:rsidRPr="00592E98">
        <w:rPr>
          <w:rFonts w:asciiTheme="minorHAnsi" w:hAnsiTheme="minorHAnsi"/>
          <w:i/>
          <w:iCs/>
          <w:sz w:val="20"/>
          <w:szCs w:val="22"/>
        </w:rPr>
        <w:t xml:space="preserve">Journal of Emotional and </w:t>
      </w:r>
      <w:proofErr w:type="spellStart"/>
      <w:r w:rsidRPr="00592E98">
        <w:rPr>
          <w:rFonts w:asciiTheme="minorHAnsi" w:hAnsiTheme="minorHAnsi"/>
          <w:i/>
          <w:iCs/>
          <w:sz w:val="20"/>
          <w:szCs w:val="22"/>
        </w:rPr>
        <w:t>Behavioral</w:t>
      </w:r>
      <w:proofErr w:type="spellEnd"/>
      <w:r w:rsidRPr="00592E98">
        <w:rPr>
          <w:rFonts w:asciiTheme="minorHAnsi" w:hAnsiTheme="minorHAnsi"/>
          <w:i/>
          <w:iCs/>
          <w:sz w:val="20"/>
          <w:szCs w:val="22"/>
        </w:rPr>
        <w:t xml:space="preserve"> Disorders</w:t>
      </w:r>
      <w:r w:rsidRPr="00592E98">
        <w:rPr>
          <w:rFonts w:asciiTheme="minorHAnsi" w:hAnsiTheme="minorHAnsi"/>
          <w:sz w:val="20"/>
          <w:szCs w:val="22"/>
        </w:rPr>
        <w:t xml:space="preserve">, </w:t>
      </w:r>
      <w:r w:rsidRPr="00592E98">
        <w:rPr>
          <w:rFonts w:asciiTheme="minorHAnsi" w:hAnsiTheme="minorHAnsi"/>
          <w:i/>
          <w:iCs/>
          <w:sz w:val="20"/>
          <w:szCs w:val="22"/>
        </w:rPr>
        <w:t>24</w:t>
      </w:r>
      <w:r w:rsidRPr="00592E98">
        <w:rPr>
          <w:rFonts w:asciiTheme="minorHAnsi" w:hAnsiTheme="minorHAnsi"/>
          <w:sz w:val="20"/>
          <w:szCs w:val="22"/>
        </w:rPr>
        <w:t>(1), 3–15. doi:10.1177/1063426615583457</w:t>
      </w:r>
    </w:p>
    <w:p w14:paraId="0988E20D"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Kurtines</w:t>
      </w:r>
      <w:proofErr w:type="spellEnd"/>
      <w:r w:rsidRPr="00592E98">
        <w:rPr>
          <w:rFonts w:asciiTheme="minorHAnsi" w:hAnsiTheme="minorHAnsi"/>
          <w:sz w:val="20"/>
          <w:szCs w:val="22"/>
        </w:rPr>
        <w:t xml:space="preserve">, W. M., Montgomery, M. J., </w:t>
      </w:r>
      <w:proofErr w:type="spellStart"/>
      <w:r w:rsidRPr="00592E98">
        <w:rPr>
          <w:rFonts w:asciiTheme="minorHAnsi" w:hAnsiTheme="minorHAnsi"/>
          <w:sz w:val="20"/>
          <w:szCs w:val="22"/>
        </w:rPr>
        <w:t>Arango</w:t>
      </w:r>
      <w:proofErr w:type="spellEnd"/>
      <w:r w:rsidRPr="00592E98">
        <w:rPr>
          <w:rFonts w:asciiTheme="minorHAnsi" w:hAnsiTheme="minorHAnsi"/>
          <w:sz w:val="20"/>
          <w:szCs w:val="22"/>
        </w:rPr>
        <w:t xml:space="preserve">, L. L., </w:t>
      </w:r>
      <w:proofErr w:type="spellStart"/>
      <w:r w:rsidRPr="00592E98">
        <w:rPr>
          <w:rFonts w:asciiTheme="minorHAnsi" w:hAnsiTheme="minorHAnsi"/>
          <w:sz w:val="20"/>
          <w:szCs w:val="22"/>
        </w:rPr>
        <w:t>Kortsch</w:t>
      </w:r>
      <w:proofErr w:type="spellEnd"/>
      <w:r w:rsidRPr="00592E98">
        <w:rPr>
          <w:rFonts w:asciiTheme="minorHAnsi" w:hAnsiTheme="minorHAnsi"/>
          <w:sz w:val="20"/>
          <w:szCs w:val="22"/>
        </w:rPr>
        <w:t xml:space="preserve">, G., Albrecht, R., Garcia, A., … </w:t>
      </w:r>
      <w:proofErr w:type="spellStart"/>
      <w:r w:rsidRPr="00592E98">
        <w:rPr>
          <w:rFonts w:asciiTheme="minorHAnsi" w:hAnsiTheme="minorHAnsi"/>
          <w:sz w:val="20"/>
          <w:szCs w:val="22"/>
        </w:rPr>
        <w:t>Eichas</w:t>
      </w:r>
      <w:proofErr w:type="spellEnd"/>
      <w:r w:rsidRPr="00592E98">
        <w:rPr>
          <w:rFonts w:asciiTheme="minorHAnsi" w:hAnsiTheme="minorHAnsi"/>
          <w:sz w:val="20"/>
          <w:szCs w:val="22"/>
        </w:rPr>
        <w:t xml:space="preserve">, K. (2008). Promoting Positive Youth Development. </w:t>
      </w:r>
      <w:r w:rsidRPr="00592E98">
        <w:rPr>
          <w:rFonts w:asciiTheme="minorHAnsi" w:hAnsiTheme="minorHAnsi"/>
          <w:i/>
          <w:iCs/>
          <w:sz w:val="20"/>
          <w:szCs w:val="22"/>
        </w:rPr>
        <w:t>Journal of Adolescent Research</w:t>
      </w:r>
      <w:r w:rsidRPr="00592E98">
        <w:rPr>
          <w:rFonts w:asciiTheme="minorHAnsi" w:hAnsiTheme="minorHAnsi"/>
          <w:sz w:val="20"/>
          <w:szCs w:val="22"/>
        </w:rPr>
        <w:t xml:space="preserve">, </w:t>
      </w:r>
      <w:r w:rsidRPr="00592E98">
        <w:rPr>
          <w:rFonts w:asciiTheme="minorHAnsi" w:hAnsiTheme="minorHAnsi"/>
          <w:i/>
          <w:iCs/>
          <w:sz w:val="20"/>
          <w:szCs w:val="22"/>
        </w:rPr>
        <w:t>23</w:t>
      </w:r>
      <w:r w:rsidRPr="00592E98">
        <w:rPr>
          <w:rFonts w:asciiTheme="minorHAnsi" w:hAnsiTheme="minorHAnsi"/>
          <w:sz w:val="20"/>
          <w:szCs w:val="22"/>
        </w:rPr>
        <w:t>(3), 291–309. doi:10.1177/0743558408314379</w:t>
      </w:r>
    </w:p>
    <w:p w14:paraId="6354C31E"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Langberg</w:t>
      </w:r>
      <w:proofErr w:type="spellEnd"/>
      <w:r w:rsidRPr="00592E98">
        <w:rPr>
          <w:rFonts w:asciiTheme="minorHAnsi" w:hAnsiTheme="minorHAnsi"/>
          <w:sz w:val="20"/>
          <w:szCs w:val="22"/>
        </w:rPr>
        <w:t xml:space="preserve">, J. M., &amp; Smith, B. H. (2006). Developing evidence-based interventions for deployment into school settings: A case example highlighting key issues of efficacy and effectiveness. </w:t>
      </w:r>
      <w:r w:rsidRPr="00592E98">
        <w:rPr>
          <w:rFonts w:asciiTheme="minorHAnsi" w:hAnsiTheme="minorHAnsi"/>
          <w:i/>
          <w:iCs/>
          <w:sz w:val="20"/>
          <w:szCs w:val="22"/>
        </w:rPr>
        <w:t>Evaluation and Program Planning</w:t>
      </w:r>
      <w:r w:rsidRPr="00592E98">
        <w:rPr>
          <w:rFonts w:asciiTheme="minorHAnsi" w:hAnsiTheme="minorHAnsi"/>
          <w:sz w:val="20"/>
          <w:szCs w:val="22"/>
        </w:rPr>
        <w:t xml:space="preserve">, </w:t>
      </w:r>
      <w:r w:rsidRPr="00592E98">
        <w:rPr>
          <w:rFonts w:asciiTheme="minorHAnsi" w:hAnsiTheme="minorHAnsi"/>
          <w:i/>
          <w:iCs/>
          <w:sz w:val="20"/>
          <w:szCs w:val="22"/>
        </w:rPr>
        <w:t>29</w:t>
      </w:r>
      <w:r w:rsidRPr="00592E98">
        <w:rPr>
          <w:rFonts w:asciiTheme="minorHAnsi" w:hAnsiTheme="minorHAnsi"/>
          <w:sz w:val="20"/>
          <w:szCs w:val="22"/>
        </w:rPr>
        <w:t>(4), 323–334. doi:10.1016/j.evalprogplan.2006.02.002</w:t>
      </w:r>
    </w:p>
    <w:p w14:paraId="45CE5128"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Li, Y., Kong, N., </w:t>
      </w:r>
      <w:proofErr w:type="spellStart"/>
      <w:r w:rsidRPr="00592E98">
        <w:rPr>
          <w:rFonts w:asciiTheme="minorHAnsi" w:hAnsiTheme="minorHAnsi"/>
          <w:sz w:val="20"/>
          <w:szCs w:val="22"/>
        </w:rPr>
        <w:t>Lawley</w:t>
      </w:r>
      <w:proofErr w:type="spellEnd"/>
      <w:r w:rsidRPr="00592E98">
        <w:rPr>
          <w:rFonts w:asciiTheme="minorHAnsi" w:hAnsiTheme="minorHAnsi"/>
          <w:sz w:val="20"/>
          <w:szCs w:val="22"/>
        </w:rPr>
        <w:t>, M., Weiss, L., &amp; Pagan, J. A. (2015). Advancing the use of evidence-</w:t>
      </w:r>
      <w:proofErr w:type="spellStart"/>
      <w:r w:rsidRPr="00592E98">
        <w:rPr>
          <w:rFonts w:asciiTheme="minorHAnsi" w:hAnsiTheme="minorHAnsi"/>
          <w:sz w:val="20"/>
          <w:szCs w:val="22"/>
        </w:rPr>
        <w:t>bsaed</w:t>
      </w:r>
      <w:proofErr w:type="spellEnd"/>
      <w:r w:rsidRPr="00592E98">
        <w:rPr>
          <w:rFonts w:asciiTheme="minorHAnsi" w:hAnsiTheme="minorHAnsi"/>
          <w:sz w:val="20"/>
          <w:szCs w:val="22"/>
        </w:rPr>
        <w:t xml:space="preserve"> decision-making in local health departments with systems science methodologies. </w:t>
      </w:r>
      <w:r w:rsidRPr="00592E98">
        <w:rPr>
          <w:rFonts w:asciiTheme="minorHAnsi" w:hAnsiTheme="minorHAnsi"/>
          <w:i/>
          <w:iCs/>
          <w:sz w:val="20"/>
          <w:szCs w:val="22"/>
        </w:rPr>
        <w:t>Research and Practice</w:t>
      </w:r>
      <w:r w:rsidRPr="00592E98">
        <w:rPr>
          <w:rFonts w:asciiTheme="minorHAnsi" w:hAnsiTheme="minorHAnsi"/>
          <w:sz w:val="20"/>
          <w:szCs w:val="22"/>
        </w:rPr>
        <w:t xml:space="preserve">, </w:t>
      </w:r>
      <w:r w:rsidRPr="00592E98">
        <w:rPr>
          <w:rFonts w:asciiTheme="minorHAnsi" w:hAnsiTheme="minorHAnsi"/>
          <w:i/>
          <w:iCs/>
          <w:sz w:val="20"/>
          <w:szCs w:val="22"/>
        </w:rPr>
        <w:t>105</w:t>
      </w:r>
      <w:r w:rsidRPr="00592E98">
        <w:rPr>
          <w:rFonts w:asciiTheme="minorHAnsi" w:hAnsiTheme="minorHAnsi"/>
          <w:sz w:val="20"/>
          <w:szCs w:val="22"/>
        </w:rPr>
        <w:t>(52), 217–223.</w:t>
      </w:r>
    </w:p>
    <w:p w14:paraId="170C3DA8"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Little, M. A., </w:t>
      </w:r>
      <w:proofErr w:type="spellStart"/>
      <w:r w:rsidRPr="00592E98">
        <w:rPr>
          <w:rFonts w:asciiTheme="minorHAnsi" w:hAnsiTheme="minorHAnsi"/>
          <w:sz w:val="20"/>
          <w:szCs w:val="22"/>
        </w:rPr>
        <w:t>Pokhrel</w:t>
      </w:r>
      <w:proofErr w:type="spellEnd"/>
      <w:r w:rsidRPr="00592E98">
        <w:rPr>
          <w:rFonts w:asciiTheme="minorHAnsi" w:hAnsiTheme="minorHAnsi"/>
          <w:sz w:val="20"/>
          <w:szCs w:val="22"/>
        </w:rPr>
        <w:t xml:space="preserve">, P., </w:t>
      </w:r>
      <w:proofErr w:type="spellStart"/>
      <w:r w:rsidRPr="00592E98">
        <w:rPr>
          <w:rFonts w:asciiTheme="minorHAnsi" w:hAnsiTheme="minorHAnsi"/>
          <w:sz w:val="20"/>
          <w:szCs w:val="22"/>
        </w:rPr>
        <w:t>Sussman</w:t>
      </w:r>
      <w:proofErr w:type="spellEnd"/>
      <w:r w:rsidRPr="00592E98">
        <w:rPr>
          <w:rFonts w:asciiTheme="minorHAnsi" w:hAnsiTheme="minorHAnsi"/>
          <w:sz w:val="20"/>
          <w:szCs w:val="22"/>
        </w:rPr>
        <w:t xml:space="preserve">, S., </w:t>
      </w:r>
      <w:proofErr w:type="spellStart"/>
      <w:r w:rsidRPr="00592E98">
        <w:rPr>
          <w:rFonts w:asciiTheme="minorHAnsi" w:hAnsiTheme="minorHAnsi"/>
          <w:sz w:val="20"/>
          <w:szCs w:val="22"/>
        </w:rPr>
        <w:t>Derefinko</w:t>
      </w:r>
      <w:proofErr w:type="spellEnd"/>
      <w:r w:rsidRPr="00592E98">
        <w:rPr>
          <w:rFonts w:asciiTheme="minorHAnsi" w:hAnsiTheme="minorHAnsi"/>
          <w:sz w:val="20"/>
          <w:szCs w:val="22"/>
        </w:rPr>
        <w:t xml:space="preserve">, K. J., </w:t>
      </w:r>
      <w:proofErr w:type="spellStart"/>
      <w:r w:rsidRPr="00592E98">
        <w:rPr>
          <w:rFonts w:asciiTheme="minorHAnsi" w:hAnsiTheme="minorHAnsi"/>
          <w:sz w:val="20"/>
          <w:szCs w:val="22"/>
        </w:rPr>
        <w:t>Bursac</w:t>
      </w:r>
      <w:proofErr w:type="spellEnd"/>
      <w:r w:rsidRPr="00592E98">
        <w:rPr>
          <w:rFonts w:asciiTheme="minorHAnsi" w:hAnsiTheme="minorHAnsi"/>
          <w:sz w:val="20"/>
          <w:szCs w:val="22"/>
        </w:rPr>
        <w:t xml:space="preserve">, Z., &amp; </w:t>
      </w:r>
      <w:proofErr w:type="spellStart"/>
      <w:r w:rsidRPr="00592E98">
        <w:rPr>
          <w:rFonts w:asciiTheme="minorHAnsi" w:hAnsiTheme="minorHAnsi"/>
          <w:sz w:val="20"/>
          <w:szCs w:val="22"/>
        </w:rPr>
        <w:t>Rohrbach</w:t>
      </w:r>
      <w:proofErr w:type="spellEnd"/>
      <w:r w:rsidRPr="00592E98">
        <w:rPr>
          <w:rFonts w:asciiTheme="minorHAnsi" w:hAnsiTheme="minorHAnsi"/>
          <w:sz w:val="20"/>
          <w:szCs w:val="22"/>
        </w:rPr>
        <w:t xml:space="preserve">, L. A. (2017). Factors associated with the adoption of tobacco cessation programmes in schools. </w:t>
      </w:r>
      <w:r w:rsidRPr="00592E98">
        <w:rPr>
          <w:rFonts w:asciiTheme="minorHAnsi" w:hAnsiTheme="minorHAnsi"/>
          <w:i/>
          <w:iCs/>
          <w:sz w:val="20"/>
          <w:szCs w:val="22"/>
        </w:rPr>
        <w:t>Journal of Smoking Cessation</w:t>
      </w:r>
      <w:r w:rsidRPr="00592E98">
        <w:rPr>
          <w:rFonts w:asciiTheme="minorHAnsi" w:hAnsiTheme="minorHAnsi"/>
          <w:sz w:val="20"/>
          <w:szCs w:val="22"/>
        </w:rPr>
        <w:t xml:space="preserve">, </w:t>
      </w:r>
      <w:r w:rsidRPr="00592E98">
        <w:rPr>
          <w:rFonts w:asciiTheme="minorHAnsi" w:hAnsiTheme="minorHAnsi"/>
          <w:i/>
          <w:iCs/>
          <w:sz w:val="20"/>
          <w:szCs w:val="22"/>
        </w:rPr>
        <w:t>12</w:t>
      </w:r>
      <w:r w:rsidRPr="00592E98">
        <w:rPr>
          <w:rFonts w:asciiTheme="minorHAnsi" w:hAnsiTheme="minorHAnsi"/>
          <w:sz w:val="20"/>
          <w:szCs w:val="22"/>
        </w:rPr>
        <w:t>(1), 55–62. doi:10.1017/jsc.2015.17</w:t>
      </w:r>
    </w:p>
    <w:p w14:paraId="4BA60C81"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Maciolek</w:t>
      </w:r>
      <w:proofErr w:type="spellEnd"/>
      <w:r w:rsidRPr="00592E98">
        <w:rPr>
          <w:rFonts w:asciiTheme="minorHAnsi" w:hAnsiTheme="minorHAnsi"/>
          <w:sz w:val="20"/>
          <w:szCs w:val="22"/>
        </w:rPr>
        <w:t xml:space="preserve">, S. (2015). Engaging the child welfare community in examining the use of research evidence. </w:t>
      </w:r>
      <w:r w:rsidRPr="00592E98">
        <w:rPr>
          <w:rFonts w:asciiTheme="minorHAnsi" w:hAnsiTheme="minorHAnsi"/>
          <w:i/>
          <w:sz w:val="20"/>
          <w:szCs w:val="22"/>
        </w:rPr>
        <w:t>Child Welfare, 94</w:t>
      </w:r>
      <w:r w:rsidRPr="00592E98">
        <w:rPr>
          <w:rFonts w:asciiTheme="minorHAnsi" w:hAnsiTheme="minorHAnsi"/>
          <w:sz w:val="20"/>
          <w:szCs w:val="22"/>
        </w:rPr>
        <w:t xml:space="preserve">(3), 167-185. </w:t>
      </w:r>
    </w:p>
    <w:p w14:paraId="3C3A8CBA"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Maher, E. J., Jackson, L. J., </w:t>
      </w:r>
      <w:proofErr w:type="spellStart"/>
      <w:r w:rsidRPr="00592E98">
        <w:rPr>
          <w:rFonts w:asciiTheme="minorHAnsi" w:hAnsiTheme="minorHAnsi"/>
          <w:sz w:val="20"/>
          <w:szCs w:val="22"/>
        </w:rPr>
        <w:t>Pecora</w:t>
      </w:r>
      <w:proofErr w:type="spellEnd"/>
      <w:r w:rsidRPr="00592E98">
        <w:rPr>
          <w:rFonts w:asciiTheme="minorHAnsi" w:hAnsiTheme="minorHAnsi"/>
          <w:sz w:val="20"/>
          <w:szCs w:val="22"/>
        </w:rPr>
        <w:t>, P. J., Schultz, D. J., Chandra, A., &amp; Barnes-</w:t>
      </w:r>
      <w:proofErr w:type="spellStart"/>
      <w:r w:rsidRPr="00592E98">
        <w:rPr>
          <w:rFonts w:asciiTheme="minorHAnsi" w:hAnsiTheme="minorHAnsi"/>
          <w:sz w:val="20"/>
          <w:szCs w:val="22"/>
        </w:rPr>
        <w:t>Proby</w:t>
      </w:r>
      <w:proofErr w:type="spellEnd"/>
      <w:r w:rsidRPr="00592E98">
        <w:rPr>
          <w:rFonts w:asciiTheme="minorHAnsi" w:hAnsiTheme="minorHAnsi"/>
          <w:sz w:val="20"/>
          <w:szCs w:val="22"/>
        </w:rPr>
        <w:t xml:space="preserve">, D. S. (2009). Overcoming challenges to implementing and evaluating evidence-based interventions in child welfare: A matter of necessity. </w:t>
      </w:r>
      <w:r w:rsidRPr="00592E98">
        <w:rPr>
          <w:rFonts w:asciiTheme="minorHAnsi" w:hAnsiTheme="minorHAnsi"/>
          <w:i/>
          <w:iCs/>
          <w:sz w:val="20"/>
          <w:szCs w:val="22"/>
        </w:rPr>
        <w:t>Children and Youth Services Review</w:t>
      </w:r>
      <w:r w:rsidRPr="00592E98">
        <w:rPr>
          <w:rFonts w:asciiTheme="minorHAnsi" w:hAnsiTheme="minorHAnsi"/>
          <w:sz w:val="20"/>
          <w:szCs w:val="22"/>
        </w:rPr>
        <w:t xml:space="preserve">, </w:t>
      </w:r>
      <w:r w:rsidRPr="00592E98">
        <w:rPr>
          <w:rFonts w:asciiTheme="minorHAnsi" w:hAnsiTheme="minorHAnsi"/>
          <w:i/>
          <w:iCs/>
          <w:sz w:val="20"/>
          <w:szCs w:val="22"/>
        </w:rPr>
        <w:t>31</w:t>
      </w:r>
      <w:r w:rsidRPr="00592E98">
        <w:rPr>
          <w:rFonts w:asciiTheme="minorHAnsi" w:hAnsiTheme="minorHAnsi"/>
          <w:sz w:val="20"/>
          <w:szCs w:val="22"/>
        </w:rPr>
        <w:t>(5), 555–562. doi:10.1016/j.childyouth.2008.10.013</w:t>
      </w:r>
    </w:p>
    <w:p w14:paraId="2D358992"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Mamudu</w:t>
      </w:r>
      <w:proofErr w:type="spellEnd"/>
      <w:r w:rsidRPr="00592E98">
        <w:rPr>
          <w:rFonts w:asciiTheme="minorHAnsi" w:hAnsiTheme="minorHAnsi"/>
          <w:sz w:val="20"/>
          <w:szCs w:val="22"/>
        </w:rPr>
        <w:t xml:space="preserve">, H. M., Gonzalez, M. E., &amp; </w:t>
      </w:r>
      <w:proofErr w:type="spellStart"/>
      <w:r w:rsidRPr="00592E98">
        <w:rPr>
          <w:rFonts w:asciiTheme="minorHAnsi" w:hAnsiTheme="minorHAnsi"/>
          <w:sz w:val="20"/>
          <w:szCs w:val="22"/>
        </w:rPr>
        <w:t>Glantz</w:t>
      </w:r>
      <w:proofErr w:type="spellEnd"/>
      <w:r w:rsidRPr="00592E98">
        <w:rPr>
          <w:rFonts w:asciiTheme="minorHAnsi" w:hAnsiTheme="minorHAnsi"/>
          <w:sz w:val="20"/>
          <w:szCs w:val="22"/>
        </w:rPr>
        <w:t xml:space="preserve">, S. (2011). The nature, scope, and development of the global tobacco control epistemic community. </w:t>
      </w:r>
      <w:r w:rsidRPr="00592E98">
        <w:rPr>
          <w:rFonts w:asciiTheme="minorHAnsi" w:hAnsiTheme="minorHAnsi"/>
          <w:i/>
          <w:iCs/>
          <w:sz w:val="20"/>
          <w:szCs w:val="22"/>
        </w:rPr>
        <w:t>American Journal of Public Health</w:t>
      </w:r>
      <w:r w:rsidRPr="00592E98">
        <w:rPr>
          <w:rFonts w:asciiTheme="minorHAnsi" w:hAnsiTheme="minorHAnsi"/>
          <w:sz w:val="20"/>
          <w:szCs w:val="22"/>
        </w:rPr>
        <w:t xml:space="preserve">, </w:t>
      </w:r>
      <w:r w:rsidRPr="00592E98">
        <w:rPr>
          <w:rFonts w:asciiTheme="minorHAnsi" w:hAnsiTheme="minorHAnsi"/>
          <w:i/>
          <w:iCs/>
          <w:sz w:val="20"/>
          <w:szCs w:val="22"/>
        </w:rPr>
        <w:t>101</w:t>
      </w:r>
      <w:r w:rsidRPr="00592E98">
        <w:rPr>
          <w:rFonts w:asciiTheme="minorHAnsi" w:hAnsiTheme="minorHAnsi"/>
          <w:sz w:val="20"/>
          <w:szCs w:val="22"/>
        </w:rPr>
        <w:t>(11), 2044–2054. doi:10.2105/AJPH.2011.300303</w:t>
      </w:r>
    </w:p>
    <w:p w14:paraId="79EB833F"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Mancini, M. A., &amp; Miner, C. S. (2013). Learning and change in a community mental health setting. </w:t>
      </w:r>
      <w:r w:rsidRPr="00592E98">
        <w:rPr>
          <w:rFonts w:asciiTheme="minorHAnsi" w:hAnsiTheme="minorHAnsi"/>
          <w:i/>
          <w:iCs/>
          <w:sz w:val="20"/>
          <w:szCs w:val="22"/>
        </w:rPr>
        <w:t>Journal of Evidence-Based Social Work</w:t>
      </w:r>
      <w:r w:rsidRPr="00592E98">
        <w:rPr>
          <w:rFonts w:asciiTheme="minorHAnsi" w:hAnsiTheme="minorHAnsi"/>
          <w:sz w:val="20"/>
          <w:szCs w:val="22"/>
        </w:rPr>
        <w:t xml:space="preserve">, </w:t>
      </w:r>
      <w:r w:rsidRPr="00592E98">
        <w:rPr>
          <w:rFonts w:asciiTheme="minorHAnsi" w:hAnsiTheme="minorHAnsi"/>
          <w:i/>
          <w:iCs/>
          <w:sz w:val="20"/>
          <w:szCs w:val="22"/>
        </w:rPr>
        <w:t>10</w:t>
      </w:r>
      <w:r w:rsidRPr="00592E98">
        <w:rPr>
          <w:rFonts w:asciiTheme="minorHAnsi" w:hAnsiTheme="minorHAnsi"/>
          <w:sz w:val="20"/>
          <w:szCs w:val="22"/>
        </w:rPr>
        <w:t>(5), 494–504. doi:10.1080/15433714.2012.760944</w:t>
      </w:r>
    </w:p>
    <w:p w14:paraId="5B170697"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Marsiglia</w:t>
      </w:r>
      <w:proofErr w:type="spellEnd"/>
      <w:r w:rsidRPr="00592E98">
        <w:rPr>
          <w:rFonts w:asciiTheme="minorHAnsi" w:hAnsiTheme="minorHAnsi"/>
          <w:sz w:val="20"/>
          <w:szCs w:val="22"/>
        </w:rPr>
        <w:t xml:space="preserve">, F. F., Dustman, P., </w:t>
      </w:r>
      <w:proofErr w:type="spellStart"/>
      <w:r w:rsidRPr="00592E98">
        <w:rPr>
          <w:rFonts w:asciiTheme="minorHAnsi" w:hAnsiTheme="minorHAnsi"/>
          <w:sz w:val="20"/>
          <w:szCs w:val="22"/>
        </w:rPr>
        <w:t>Harthun</w:t>
      </w:r>
      <w:proofErr w:type="spellEnd"/>
      <w:r w:rsidRPr="00592E98">
        <w:rPr>
          <w:rFonts w:asciiTheme="minorHAnsi" w:hAnsiTheme="minorHAnsi"/>
          <w:sz w:val="20"/>
          <w:szCs w:val="22"/>
        </w:rPr>
        <w:t xml:space="preserve">, M., Coyne </w:t>
      </w:r>
      <w:proofErr w:type="spellStart"/>
      <w:r w:rsidRPr="00592E98">
        <w:rPr>
          <w:rFonts w:asciiTheme="minorHAnsi" w:hAnsiTheme="minorHAnsi"/>
          <w:sz w:val="20"/>
          <w:szCs w:val="22"/>
        </w:rPr>
        <w:t>Ritland</w:t>
      </w:r>
      <w:proofErr w:type="spellEnd"/>
      <w:r w:rsidRPr="00592E98">
        <w:rPr>
          <w:rFonts w:asciiTheme="minorHAnsi" w:hAnsiTheme="minorHAnsi"/>
          <w:sz w:val="20"/>
          <w:szCs w:val="22"/>
        </w:rPr>
        <w:t xml:space="preserve">, C., &amp; </w:t>
      </w:r>
      <w:proofErr w:type="spellStart"/>
      <w:r w:rsidRPr="00592E98">
        <w:rPr>
          <w:rFonts w:asciiTheme="minorHAnsi" w:hAnsiTheme="minorHAnsi"/>
          <w:sz w:val="20"/>
          <w:szCs w:val="22"/>
        </w:rPr>
        <w:t>Umanã</w:t>
      </w:r>
      <w:proofErr w:type="spellEnd"/>
      <w:r w:rsidRPr="00592E98">
        <w:rPr>
          <w:rFonts w:asciiTheme="minorHAnsi" w:hAnsiTheme="minorHAnsi"/>
          <w:sz w:val="20"/>
          <w:szCs w:val="22"/>
        </w:rPr>
        <w:t xml:space="preserve">-Taylor, A. (2017). Community-Based Effectiveness Trials as a Means to Disseminate Evidence-Based and Culturally Responsive </w:t>
      </w:r>
      <w:proofErr w:type="spellStart"/>
      <w:r w:rsidRPr="00592E98">
        <w:rPr>
          <w:rFonts w:asciiTheme="minorHAnsi" w:hAnsiTheme="minorHAnsi"/>
          <w:sz w:val="20"/>
          <w:szCs w:val="22"/>
        </w:rPr>
        <w:t>Behavioral</w:t>
      </w:r>
      <w:proofErr w:type="spellEnd"/>
      <w:r w:rsidRPr="00592E98">
        <w:rPr>
          <w:rFonts w:asciiTheme="minorHAnsi" w:hAnsiTheme="minorHAnsi"/>
          <w:sz w:val="20"/>
          <w:szCs w:val="22"/>
        </w:rPr>
        <w:t xml:space="preserve"> Health Interventions. </w:t>
      </w:r>
      <w:r w:rsidRPr="00592E98">
        <w:rPr>
          <w:rFonts w:asciiTheme="minorHAnsi" w:hAnsiTheme="minorHAnsi"/>
          <w:i/>
          <w:iCs/>
          <w:sz w:val="20"/>
          <w:szCs w:val="22"/>
        </w:rPr>
        <w:t>Health and Social Work</w:t>
      </w:r>
      <w:r w:rsidRPr="00592E98">
        <w:rPr>
          <w:rFonts w:asciiTheme="minorHAnsi" w:hAnsiTheme="minorHAnsi"/>
          <w:sz w:val="20"/>
          <w:szCs w:val="22"/>
        </w:rPr>
        <w:t xml:space="preserve">, </w:t>
      </w:r>
      <w:r w:rsidRPr="00592E98">
        <w:rPr>
          <w:rFonts w:asciiTheme="minorHAnsi" w:hAnsiTheme="minorHAnsi"/>
          <w:i/>
          <w:iCs/>
          <w:sz w:val="20"/>
          <w:szCs w:val="22"/>
        </w:rPr>
        <w:t>42</w:t>
      </w:r>
      <w:r w:rsidRPr="00592E98">
        <w:rPr>
          <w:rFonts w:asciiTheme="minorHAnsi" w:hAnsiTheme="minorHAnsi"/>
          <w:sz w:val="20"/>
          <w:szCs w:val="22"/>
        </w:rPr>
        <w:t>(2), 108–115. doi:10.1093/</w:t>
      </w:r>
      <w:proofErr w:type="spellStart"/>
      <w:r w:rsidRPr="00592E98">
        <w:rPr>
          <w:rFonts w:asciiTheme="minorHAnsi" w:hAnsiTheme="minorHAnsi"/>
          <w:sz w:val="20"/>
          <w:szCs w:val="22"/>
        </w:rPr>
        <w:t>hsw</w:t>
      </w:r>
      <w:proofErr w:type="spellEnd"/>
      <w:r w:rsidRPr="00592E98">
        <w:rPr>
          <w:rFonts w:asciiTheme="minorHAnsi" w:hAnsiTheme="minorHAnsi"/>
          <w:sz w:val="20"/>
          <w:szCs w:val="22"/>
        </w:rPr>
        <w:t>/hlx011</w:t>
      </w:r>
    </w:p>
    <w:p w14:paraId="1D64AEB1"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Martindale, M. (2007). Children With Significant Hearing Loss : </w:t>
      </w:r>
      <w:r w:rsidRPr="00592E98">
        <w:rPr>
          <w:rFonts w:asciiTheme="minorHAnsi" w:hAnsiTheme="minorHAnsi"/>
          <w:i/>
          <w:iCs/>
          <w:sz w:val="20"/>
          <w:szCs w:val="22"/>
        </w:rPr>
        <w:t>Communication Disorders Quarterly</w:t>
      </w:r>
      <w:r w:rsidRPr="00592E98">
        <w:rPr>
          <w:rFonts w:asciiTheme="minorHAnsi" w:hAnsiTheme="minorHAnsi"/>
          <w:sz w:val="20"/>
          <w:szCs w:val="22"/>
        </w:rPr>
        <w:t>, 73–76. doi:10.1177/15257401070280020801</w:t>
      </w:r>
    </w:p>
    <w:p w14:paraId="3A8E7BFE"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Massetti</w:t>
      </w:r>
      <w:proofErr w:type="spellEnd"/>
      <w:r w:rsidRPr="00592E98">
        <w:rPr>
          <w:rFonts w:asciiTheme="minorHAnsi" w:hAnsiTheme="minorHAnsi"/>
          <w:sz w:val="20"/>
          <w:szCs w:val="22"/>
        </w:rPr>
        <w:t xml:space="preserve">, G. M., Holland, K. M., &amp; Gorman-Smith, D. (2016). Implementation Measurement for Evidence-Based Violence Prevention Programs in Communities. </w:t>
      </w:r>
      <w:r w:rsidRPr="00592E98">
        <w:rPr>
          <w:rFonts w:asciiTheme="minorHAnsi" w:hAnsiTheme="minorHAnsi"/>
          <w:i/>
          <w:iCs/>
          <w:sz w:val="20"/>
          <w:szCs w:val="22"/>
        </w:rPr>
        <w:t>Journal of Community Health</w:t>
      </w:r>
      <w:r w:rsidRPr="00592E98">
        <w:rPr>
          <w:rFonts w:asciiTheme="minorHAnsi" w:hAnsiTheme="minorHAnsi"/>
          <w:sz w:val="20"/>
          <w:szCs w:val="22"/>
        </w:rPr>
        <w:t xml:space="preserve">, </w:t>
      </w:r>
      <w:r w:rsidRPr="00592E98">
        <w:rPr>
          <w:rFonts w:asciiTheme="minorHAnsi" w:hAnsiTheme="minorHAnsi"/>
          <w:i/>
          <w:iCs/>
          <w:sz w:val="20"/>
          <w:szCs w:val="22"/>
        </w:rPr>
        <w:t>41</w:t>
      </w:r>
      <w:r w:rsidRPr="00592E98">
        <w:rPr>
          <w:rFonts w:asciiTheme="minorHAnsi" w:hAnsiTheme="minorHAnsi"/>
          <w:sz w:val="20"/>
          <w:szCs w:val="22"/>
        </w:rPr>
        <w:t>(4), 881–894. doi:10.1007/s10900-016-0156-z</w:t>
      </w:r>
    </w:p>
    <w:p w14:paraId="073781E3"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McVay</w:t>
      </w:r>
      <w:proofErr w:type="spellEnd"/>
      <w:r w:rsidRPr="00592E98">
        <w:rPr>
          <w:rFonts w:asciiTheme="minorHAnsi" w:hAnsiTheme="minorHAnsi"/>
          <w:sz w:val="20"/>
          <w:szCs w:val="22"/>
        </w:rPr>
        <w:t xml:space="preserve">, A. B., </w:t>
      </w:r>
      <w:proofErr w:type="spellStart"/>
      <w:r w:rsidRPr="00592E98">
        <w:rPr>
          <w:rFonts w:asciiTheme="minorHAnsi" w:hAnsiTheme="minorHAnsi"/>
          <w:sz w:val="20"/>
          <w:szCs w:val="22"/>
        </w:rPr>
        <w:t>Stamatakis</w:t>
      </w:r>
      <w:proofErr w:type="spellEnd"/>
      <w:r w:rsidRPr="00592E98">
        <w:rPr>
          <w:rFonts w:asciiTheme="minorHAnsi" w:hAnsiTheme="minorHAnsi"/>
          <w:sz w:val="20"/>
          <w:szCs w:val="22"/>
        </w:rPr>
        <w:t xml:space="preserve">, K. A., Jacobs, J. A., </w:t>
      </w:r>
      <w:proofErr w:type="spellStart"/>
      <w:r w:rsidRPr="00592E98">
        <w:rPr>
          <w:rFonts w:asciiTheme="minorHAnsi" w:hAnsiTheme="minorHAnsi"/>
          <w:sz w:val="20"/>
          <w:szCs w:val="22"/>
        </w:rPr>
        <w:t>Tabak</w:t>
      </w:r>
      <w:proofErr w:type="spellEnd"/>
      <w:r w:rsidRPr="00592E98">
        <w:rPr>
          <w:rFonts w:asciiTheme="minorHAnsi" w:hAnsiTheme="minorHAnsi"/>
          <w:sz w:val="20"/>
          <w:szCs w:val="22"/>
        </w:rPr>
        <w:t xml:space="preserve">, R. G., &amp; </w:t>
      </w:r>
      <w:proofErr w:type="spellStart"/>
      <w:r w:rsidRPr="00592E98">
        <w:rPr>
          <w:rFonts w:asciiTheme="minorHAnsi" w:hAnsiTheme="minorHAnsi"/>
          <w:sz w:val="20"/>
          <w:szCs w:val="22"/>
        </w:rPr>
        <w:t>Brownson</w:t>
      </w:r>
      <w:proofErr w:type="spellEnd"/>
      <w:r w:rsidRPr="00592E98">
        <w:rPr>
          <w:rFonts w:asciiTheme="minorHAnsi" w:hAnsiTheme="minorHAnsi"/>
          <w:sz w:val="20"/>
          <w:szCs w:val="22"/>
        </w:rPr>
        <w:t xml:space="preserve">, R. C. (2016). The role of researchers in disseminating evidence to public health practice settings: A cross-sectional study. </w:t>
      </w:r>
      <w:r w:rsidRPr="00592E98">
        <w:rPr>
          <w:rFonts w:asciiTheme="minorHAnsi" w:hAnsiTheme="minorHAnsi"/>
          <w:i/>
          <w:iCs/>
          <w:sz w:val="20"/>
          <w:szCs w:val="22"/>
        </w:rPr>
        <w:t>Health Research Policy and Systems</w:t>
      </w:r>
      <w:r w:rsidRPr="00592E98">
        <w:rPr>
          <w:rFonts w:asciiTheme="minorHAnsi" w:hAnsiTheme="minorHAnsi"/>
          <w:sz w:val="20"/>
          <w:szCs w:val="22"/>
        </w:rPr>
        <w:t xml:space="preserve">, </w:t>
      </w:r>
      <w:r w:rsidRPr="00592E98">
        <w:rPr>
          <w:rFonts w:asciiTheme="minorHAnsi" w:hAnsiTheme="minorHAnsi"/>
          <w:i/>
          <w:iCs/>
          <w:sz w:val="20"/>
          <w:szCs w:val="22"/>
        </w:rPr>
        <w:t>14</w:t>
      </w:r>
      <w:r w:rsidRPr="00592E98">
        <w:rPr>
          <w:rFonts w:asciiTheme="minorHAnsi" w:hAnsiTheme="minorHAnsi"/>
          <w:sz w:val="20"/>
          <w:szCs w:val="22"/>
        </w:rPr>
        <w:t>(1), 1–9. doi:10.1186/s12961-016-0113-4</w:t>
      </w:r>
    </w:p>
    <w:p w14:paraId="777EA74C"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Mezey</w:t>
      </w:r>
      <w:proofErr w:type="spellEnd"/>
      <w:r w:rsidRPr="00592E98">
        <w:rPr>
          <w:rFonts w:asciiTheme="minorHAnsi" w:hAnsiTheme="minorHAnsi"/>
          <w:sz w:val="20"/>
          <w:szCs w:val="22"/>
        </w:rPr>
        <w:t xml:space="preserve">, M. D., </w:t>
      </w:r>
      <w:proofErr w:type="spellStart"/>
      <w:r w:rsidRPr="00592E98">
        <w:rPr>
          <w:rFonts w:asciiTheme="minorHAnsi" w:hAnsiTheme="minorHAnsi"/>
          <w:sz w:val="20"/>
          <w:szCs w:val="22"/>
        </w:rPr>
        <w:t>Mitty</w:t>
      </w:r>
      <w:proofErr w:type="spellEnd"/>
      <w:r w:rsidRPr="00592E98">
        <w:rPr>
          <w:rFonts w:asciiTheme="minorHAnsi" w:hAnsiTheme="minorHAnsi"/>
          <w:sz w:val="20"/>
          <w:szCs w:val="22"/>
        </w:rPr>
        <w:t xml:space="preserve">, E. L., &amp; Burger, S. G. (2008). Rethinking Teaching Nursing Homes :, </w:t>
      </w:r>
      <w:r w:rsidRPr="00592E98">
        <w:rPr>
          <w:rFonts w:asciiTheme="minorHAnsi" w:hAnsiTheme="minorHAnsi"/>
          <w:i/>
          <w:iCs/>
          <w:sz w:val="20"/>
          <w:szCs w:val="22"/>
        </w:rPr>
        <w:t>48</w:t>
      </w:r>
      <w:r w:rsidRPr="00592E98">
        <w:rPr>
          <w:rFonts w:asciiTheme="minorHAnsi" w:hAnsiTheme="minorHAnsi"/>
          <w:sz w:val="20"/>
          <w:szCs w:val="22"/>
        </w:rPr>
        <w:t>(1), 8–15.</w:t>
      </w:r>
    </w:p>
    <w:p w14:paraId="50E4F389"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Mohanty</w:t>
      </w:r>
      <w:proofErr w:type="spellEnd"/>
      <w:r w:rsidRPr="00592E98">
        <w:rPr>
          <w:rFonts w:asciiTheme="minorHAnsi" w:hAnsiTheme="minorHAnsi"/>
          <w:sz w:val="20"/>
          <w:szCs w:val="22"/>
        </w:rPr>
        <w:t xml:space="preserve">, S., </w:t>
      </w:r>
      <w:proofErr w:type="spellStart"/>
      <w:r w:rsidRPr="00592E98">
        <w:rPr>
          <w:rFonts w:asciiTheme="minorHAnsi" w:hAnsiTheme="minorHAnsi"/>
          <w:sz w:val="20"/>
          <w:szCs w:val="22"/>
        </w:rPr>
        <w:t>Woolhandler</w:t>
      </w:r>
      <w:proofErr w:type="spellEnd"/>
      <w:r w:rsidRPr="00592E98">
        <w:rPr>
          <w:rFonts w:asciiTheme="minorHAnsi" w:hAnsiTheme="minorHAnsi"/>
          <w:sz w:val="20"/>
          <w:szCs w:val="22"/>
        </w:rPr>
        <w:t xml:space="preserve">, S., </w:t>
      </w:r>
      <w:proofErr w:type="spellStart"/>
      <w:r w:rsidRPr="00592E98">
        <w:rPr>
          <w:rFonts w:asciiTheme="minorHAnsi" w:hAnsiTheme="minorHAnsi"/>
          <w:sz w:val="20"/>
          <w:szCs w:val="22"/>
        </w:rPr>
        <w:t>Himmelstein</w:t>
      </w:r>
      <w:proofErr w:type="spellEnd"/>
      <w:r w:rsidRPr="00592E98">
        <w:rPr>
          <w:rFonts w:asciiTheme="minorHAnsi" w:hAnsiTheme="minorHAnsi"/>
          <w:sz w:val="20"/>
          <w:szCs w:val="22"/>
        </w:rPr>
        <w:t xml:space="preserve">, D., </w:t>
      </w:r>
      <w:proofErr w:type="spellStart"/>
      <w:r w:rsidRPr="00592E98">
        <w:rPr>
          <w:rFonts w:asciiTheme="minorHAnsi" w:hAnsiTheme="minorHAnsi"/>
          <w:sz w:val="20"/>
          <w:szCs w:val="22"/>
        </w:rPr>
        <w:t>Pati</w:t>
      </w:r>
      <w:proofErr w:type="spellEnd"/>
      <w:r w:rsidRPr="00592E98">
        <w:rPr>
          <w:rFonts w:asciiTheme="minorHAnsi" w:hAnsiTheme="minorHAnsi"/>
          <w:sz w:val="20"/>
          <w:szCs w:val="22"/>
        </w:rPr>
        <w:t xml:space="preserve">, S., </w:t>
      </w:r>
      <w:proofErr w:type="spellStart"/>
      <w:r w:rsidRPr="00592E98">
        <w:rPr>
          <w:rFonts w:asciiTheme="minorHAnsi" w:hAnsiTheme="minorHAnsi"/>
          <w:sz w:val="20"/>
          <w:szCs w:val="22"/>
        </w:rPr>
        <w:t>Carrasquillo</w:t>
      </w:r>
      <w:proofErr w:type="spellEnd"/>
      <w:r w:rsidRPr="00592E98">
        <w:rPr>
          <w:rFonts w:asciiTheme="minorHAnsi" w:hAnsiTheme="minorHAnsi"/>
          <w:sz w:val="20"/>
          <w:szCs w:val="22"/>
        </w:rPr>
        <w:t xml:space="preserve">, O., &amp; </w:t>
      </w:r>
      <w:proofErr w:type="spellStart"/>
      <w:r w:rsidRPr="00592E98">
        <w:rPr>
          <w:rFonts w:asciiTheme="minorHAnsi" w:hAnsiTheme="minorHAnsi"/>
          <w:sz w:val="20"/>
          <w:szCs w:val="22"/>
        </w:rPr>
        <w:t>Bor</w:t>
      </w:r>
      <w:proofErr w:type="spellEnd"/>
      <w:r w:rsidRPr="00592E98">
        <w:rPr>
          <w:rFonts w:asciiTheme="minorHAnsi" w:hAnsiTheme="minorHAnsi"/>
          <w:sz w:val="20"/>
          <w:szCs w:val="22"/>
        </w:rPr>
        <w:t xml:space="preserve">, D. (2005). Health Care Expenditures of Immigrants in the United States: A Nationally Representative Example. </w:t>
      </w:r>
      <w:r w:rsidRPr="00592E98">
        <w:rPr>
          <w:rFonts w:asciiTheme="minorHAnsi" w:hAnsiTheme="minorHAnsi"/>
          <w:i/>
          <w:iCs/>
          <w:sz w:val="20"/>
          <w:szCs w:val="22"/>
        </w:rPr>
        <w:t>American Journal of Public Health</w:t>
      </w:r>
      <w:r w:rsidRPr="00592E98">
        <w:rPr>
          <w:rFonts w:asciiTheme="minorHAnsi" w:hAnsiTheme="minorHAnsi"/>
          <w:sz w:val="20"/>
          <w:szCs w:val="22"/>
        </w:rPr>
        <w:t xml:space="preserve">, </w:t>
      </w:r>
      <w:r w:rsidRPr="00592E98">
        <w:rPr>
          <w:rFonts w:asciiTheme="minorHAnsi" w:hAnsiTheme="minorHAnsi"/>
          <w:i/>
          <w:iCs/>
          <w:sz w:val="20"/>
          <w:szCs w:val="22"/>
        </w:rPr>
        <w:t>95</w:t>
      </w:r>
      <w:r w:rsidRPr="00592E98">
        <w:rPr>
          <w:rFonts w:asciiTheme="minorHAnsi" w:hAnsiTheme="minorHAnsi"/>
          <w:sz w:val="20"/>
          <w:szCs w:val="22"/>
        </w:rPr>
        <w:t>(8), 1431–1438. doi:10.2105/AJPH</w:t>
      </w:r>
    </w:p>
    <w:p w14:paraId="7A5FC261"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lastRenderedPageBreak/>
        <w:t>Mouttapa</w:t>
      </w:r>
      <w:proofErr w:type="spellEnd"/>
      <w:r w:rsidRPr="00592E98">
        <w:rPr>
          <w:rFonts w:asciiTheme="minorHAnsi" w:hAnsiTheme="minorHAnsi"/>
          <w:sz w:val="20"/>
          <w:szCs w:val="22"/>
        </w:rPr>
        <w:t xml:space="preserve">, M., Watson, D. W., </w:t>
      </w:r>
      <w:proofErr w:type="spellStart"/>
      <w:r w:rsidRPr="00592E98">
        <w:rPr>
          <w:rFonts w:asciiTheme="minorHAnsi" w:hAnsiTheme="minorHAnsi"/>
          <w:sz w:val="20"/>
          <w:szCs w:val="22"/>
        </w:rPr>
        <w:t>McCuller</w:t>
      </w:r>
      <w:proofErr w:type="spellEnd"/>
      <w:r w:rsidRPr="00592E98">
        <w:rPr>
          <w:rFonts w:asciiTheme="minorHAnsi" w:hAnsiTheme="minorHAnsi"/>
          <w:sz w:val="20"/>
          <w:szCs w:val="22"/>
        </w:rPr>
        <w:t xml:space="preserve">, W. J., </w:t>
      </w:r>
      <w:proofErr w:type="spellStart"/>
      <w:r w:rsidRPr="00592E98">
        <w:rPr>
          <w:rFonts w:asciiTheme="minorHAnsi" w:hAnsiTheme="minorHAnsi"/>
          <w:sz w:val="20"/>
          <w:szCs w:val="22"/>
        </w:rPr>
        <w:t>Reiber</w:t>
      </w:r>
      <w:proofErr w:type="spellEnd"/>
      <w:r w:rsidRPr="00592E98">
        <w:rPr>
          <w:rFonts w:asciiTheme="minorHAnsi" w:hAnsiTheme="minorHAnsi"/>
          <w:sz w:val="20"/>
          <w:szCs w:val="22"/>
        </w:rPr>
        <w:t xml:space="preserve">, C., &amp; Tsai, W. (2009). Substance Use and HIV Prevention for Youth in Correctional Facilities. </w:t>
      </w:r>
      <w:r w:rsidRPr="00592E98">
        <w:rPr>
          <w:rFonts w:asciiTheme="minorHAnsi" w:hAnsiTheme="minorHAnsi"/>
          <w:i/>
          <w:iCs/>
          <w:sz w:val="20"/>
          <w:szCs w:val="22"/>
        </w:rPr>
        <w:t>Journal of Correctional Education</w:t>
      </w:r>
      <w:r w:rsidRPr="00592E98">
        <w:rPr>
          <w:rFonts w:asciiTheme="minorHAnsi" w:hAnsiTheme="minorHAnsi"/>
          <w:sz w:val="20"/>
          <w:szCs w:val="22"/>
        </w:rPr>
        <w:t xml:space="preserve">, </w:t>
      </w:r>
      <w:r w:rsidRPr="00592E98">
        <w:rPr>
          <w:rFonts w:asciiTheme="minorHAnsi" w:hAnsiTheme="minorHAnsi"/>
          <w:i/>
          <w:iCs/>
          <w:sz w:val="20"/>
          <w:szCs w:val="22"/>
        </w:rPr>
        <w:t>60</w:t>
      </w:r>
      <w:r w:rsidRPr="00592E98">
        <w:rPr>
          <w:rFonts w:asciiTheme="minorHAnsi" w:hAnsiTheme="minorHAnsi"/>
          <w:sz w:val="20"/>
          <w:szCs w:val="22"/>
        </w:rPr>
        <w:t>(4), 289–315. Retrieved from http://search.ebscohost.com/login.aspx?direct=true&amp;db=i3h&amp;AN=48588875&amp;site=ehost-live\nhttp://search.ebscohost.com/login.aspx?direct=true&amp;db=a9h&amp;AN=48588875&amp;site=ehost-live</w:t>
      </w:r>
    </w:p>
    <w:p w14:paraId="46B10DDB"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Pankratz</w:t>
      </w:r>
      <w:proofErr w:type="spellEnd"/>
      <w:r w:rsidRPr="00592E98">
        <w:rPr>
          <w:rFonts w:asciiTheme="minorHAnsi" w:hAnsiTheme="minorHAnsi"/>
          <w:sz w:val="20"/>
          <w:szCs w:val="22"/>
        </w:rPr>
        <w:t xml:space="preserve">, M. M., &amp; </w:t>
      </w:r>
      <w:proofErr w:type="spellStart"/>
      <w:r w:rsidRPr="00592E98">
        <w:rPr>
          <w:rFonts w:asciiTheme="minorHAnsi" w:hAnsiTheme="minorHAnsi"/>
          <w:sz w:val="20"/>
          <w:szCs w:val="22"/>
        </w:rPr>
        <w:t>Hallfors</w:t>
      </w:r>
      <w:proofErr w:type="spellEnd"/>
      <w:r w:rsidRPr="00592E98">
        <w:rPr>
          <w:rFonts w:asciiTheme="minorHAnsi" w:hAnsiTheme="minorHAnsi"/>
          <w:sz w:val="20"/>
          <w:szCs w:val="22"/>
        </w:rPr>
        <w:t xml:space="preserve">, D. (2004). Implementing evidence-based substance use prevention curricula in North Carolina public school districts. </w:t>
      </w:r>
      <w:r w:rsidRPr="00592E98">
        <w:rPr>
          <w:rFonts w:asciiTheme="minorHAnsi" w:hAnsiTheme="minorHAnsi"/>
          <w:i/>
          <w:sz w:val="20"/>
          <w:szCs w:val="22"/>
        </w:rPr>
        <w:t>Journal of School Health, 74</w:t>
      </w:r>
      <w:r w:rsidRPr="00592E98">
        <w:rPr>
          <w:rFonts w:asciiTheme="minorHAnsi" w:hAnsiTheme="minorHAnsi"/>
          <w:sz w:val="20"/>
          <w:szCs w:val="22"/>
        </w:rPr>
        <w:t>(9), 353-358.</w:t>
      </w:r>
    </w:p>
    <w:p w14:paraId="116D65E6"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Powers, J. D., Bowen, N. K., &amp; Bowen, G. L. (2011). Supporting Evidence-based Practice in Schools with an Online Database of Best Practices. </w:t>
      </w:r>
      <w:r w:rsidRPr="00592E98">
        <w:rPr>
          <w:rFonts w:asciiTheme="minorHAnsi" w:hAnsiTheme="minorHAnsi"/>
          <w:i/>
          <w:iCs/>
          <w:sz w:val="20"/>
          <w:szCs w:val="22"/>
        </w:rPr>
        <w:t>Children &amp; Schools</w:t>
      </w:r>
      <w:r w:rsidRPr="00592E98">
        <w:rPr>
          <w:rFonts w:asciiTheme="minorHAnsi" w:hAnsiTheme="minorHAnsi"/>
          <w:sz w:val="20"/>
          <w:szCs w:val="22"/>
        </w:rPr>
        <w:t xml:space="preserve">, </w:t>
      </w:r>
      <w:r w:rsidRPr="00592E98">
        <w:rPr>
          <w:rFonts w:asciiTheme="minorHAnsi" w:hAnsiTheme="minorHAnsi"/>
          <w:i/>
          <w:iCs/>
          <w:sz w:val="20"/>
          <w:szCs w:val="22"/>
        </w:rPr>
        <w:t>33</w:t>
      </w:r>
      <w:r w:rsidRPr="00592E98">
        <w:rPr>
          <w:rFonts w:asciiTheme="minorHAnsi" w:hAnsiTheme="minorHAnsi"/>
          <w:sz w:val="20"/>
          <w:szCs w:val="22"/>
        </w:rPr>
        <w:t>(2), 119–128. doi:10.1093/</w:t>
      </w:r>
      <w:proofErr w:type="spellStart"/>
      <w:r w:rsidRPr="00592E98">
        <w:rPr>
          <w:rFonts w:asciiTheme="minorHAnsi" w:hAnsiTheme="minorHAnsi"/>
          <w:sz w:val="20"/>
          <w:szCs w:val="22"/>
        </w:rPr>
        <w:t>cs</w:t>
      </w:r>
      <w:proofErr w:type="spellEnd"/>
      <w:r w:rsidRPr="00592E98">
        <w:rPr>
          <w:rFonts w:asciiTheme="minorHAnsi" w:hAnsiTheme="minorHAnsi"/>
          <w:sz w:val="20"/>
          <w:szCs w:val="22"/>
        </w:rPr>
        <w:t>/33.2.119</w:t>
      </w:r>
    </w:p>
    <w:p w14:paraId="2CEAEC24"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Rebecca, C., Rachel, C., Mark, P., Laurie, A., Maureen, D., Laurence, M., … Robert, C. (2011). An exploratory cluster randomised controlled trial of knowledge translation strategies to support evidence-informed decision- making in local governments (The KT4LG study). </w:t>
      </w:r>
      <w:r w:rsidRPr="00592E98">
        <w:rPr>
          <w:rFonts w:asciiTheme="minorHAnsi" w:hAnsiTheme="minorHAnsi"/>
          <w:i/>
          <w:iCs/>
          <w:sz w:val="20"/>
          <w:szCs w:val="22"/>
        </w:rPr>
        <w:t>BMC Public Health</w:t>
      </w:r>
      <w:r w:rsidRPr="00592E98">
        <w:rPr>
          <w:rFonts w:asciiTheme="minorHAnsi" w:hAnsiTheme="minorHAnsi"/>
          <w:sz w:val="20"/>
          <w:szCs w:val="22"/>
        </w:rPr>
        <w:t xml:space="preserve">, </w:t>
      </w:r>
      <w:r w:rsidRPr="00592E98">
        <w:rPr>
          <w:rFonts w:asciiTheme="minorHAnsi" w:hAnsiTheme="minorHAnsi"/>
          <w:i/>
          <w:iCs/>
          <w:sz w:val="20"/>
          <w:szCs w:val="22"/>
        </w:rPr>
        <w:t>11</w:t>
      </w:r>
      <w:r w:rsidRPr="00592E98">
        <w:rPr>
          <w:rFonts w:asciiTheme="minorHAnsi" w:hAnsiTheme="minorHAnsi"/>
          <w:sz w:val="20"/>
          <w:szCs w:val="22"/>
        </w:rPr>
        <w:t>(1), 34. doi:10.1186/1471-2458-11-34</w:t>
      </w:r>
    </w:p>
    <w:p w14:paraId="4B71F4C6"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Robertson, A., Walker, C. S., Stovall, M., &amp; </w:t>
      </w:r>
      <w:proofErr w:type="spellStart"/>
      <w:r w:rsidRPr="00592E98">
        <w:rPr>
          <w:rFonts w:asciiTheme="minorHAnsi" w:hAnsiTheme="minorHAnsi"/>
          <w:sz w:val="20"/>
          <w:szCs w:val="22"/>
        </w:rPr>
        <w:t>McCluskey</w:t>
      </w:r>
      <w:proofErr w:type="spellEnd"/>
      <w:r w:rsidRPr="00592E98">
        <w:rPr>
          <w:rFonts w:asciiTheme="minorHAnsi" w:hAnsiTheme="minorHAnsi"/>
          <w:sz w:val="20"/>
          <w:szCs w:val="22"/>
        </w:rPr>
        <w:t xml:space="preserve">, L. (2015). Use of evidence-based substance use treatment practices in Mississippi. </w:t>
      </w:r>
      <w:r w:rsidRPr="00592E98">
        <w:rPr>
          <w:rFonts w:asciiTheme="minorHAnsi" w:hAnsiTheme="minorHAnsi"/>
          <w:i/>
          <w:iCs/>
          <w:sz w:val="20"/>
          <w:szCs w:val="22"/>
        </w:rPr>
        <w:t>Evaluation and Program Planning</w:t>
      </w:r>
      <w:r w:rsidRPr="00592E98">
        <w:rPr>
          <w:rFonts w:asciiTheme="minorHAnsi" w:hAnsiTheme="minorHAnsi"/>
          <w:sz w:val="20"/>
          <w:szCs w:val="22"/>
        </w:rPr>
        <w:t xml:space="preserve">, </w:t>
      </w:r>
      <w:r w:rsidRPr="00592E98">
        <w:rPr>
          <w:rFonts w:asciiTheme="minorHAnsi" w:hAnsiTheme="minorHAnsi"/>
          <w:i/>
          <w:iCs/>
          <w:sz w:val="20"/>
          <w:szCs w:val="22"/>
        </w:rPr>
        <w:t>52</w:t>
      </w:r>
      <w:r w:rsidRPr="00592E98">
        <w:rPr>
          <w:rFonts w:asciiTheme="minorHAnsi" w:hAnsiTheme="minorHAnsi"/>
          <w:sz w:val="20"/>
          <w:szCs w:val="22"/>
        </w:rPr>
        <w:t>, 198–204. doi:10.1016/j.evalprogplan.2015.06.002</w:t>
      </w:r>
    </w:p>
    <w:p w14:paraId="6DC825A5"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Samaha</w:t>
      </w:r>
      <w:proofErr w:type="spellEnd"/>
      <w:r w:rsidRPr="00592E98">
        <w:rPr>
          <w:rFonts w:asciiTheme="minorHAnsi" w:hAnsiTheme="minorHAnsi"/>
          <w:sz w:val="20"/>
          <w:szCs w:val="22"/>
        </w:rPr>
        <w:t>, H. L., Correa-</w:t>
      </w:r>
      <w:proofErr w:type="spellStart"/>
      <w:r w:rsidRPr="00592E98">
        <w:rPr>
          <w:rFonts w:asciiTheme="minorHAnsi" w:hAnsiTheme="minorHAnsi"/>
          <w:sz w:val="20"/>
          <w:szCs w:val="22"/>
        </w:rPr>
        <w:t>Fernández</w:t>
      </w:r>
      <w:proofErr w:type="spellEnd"/>
      <w:r w:rsidRPr="00592E98">
        <w:rPr>
          <w:rFonts w:asciiTheme="minorHAnsi" w:hAnsiTheme="minorHAnsi"/>
          <w:sz w:val="20"/>
          <w:szCs w:val="22"/>
        </w:rPr>
        <w:t xml:space="preserve">, V., Lam, C., Wilson, W. T., </w:t>
      </w:r>
      <w:proofErr w:type="spellStart"/>
      <w:r w:rsidRPr="00592E98">
        <w:rPr>
          <w:rFonts w:asciiTheme="minorHAnsi" w:hAnsiTheme="minorHAnsi"/>
          <w:sz w:val="20"/>
          <w:szCs w:val="22"/>
        </w:rPr>
        <w:t>Kyburz</w:t>
      </w:r>
      <w:proofErr w:type="spellEnd"/>
      <w:r w:rsidRPr="00592E98">
        <w:rPr>
          <w:rFonts w:asciiTheme="minorHAnsi" w:hAnsiTheme="minorHAnsi"/>
          <w:sz w:val="20"/>
          <w:szCs w:val="22"/>
        </w:rPr>
        <w:t xml:space="preserve">, B., Stacey, T., … </w:t>
      </w:r>
      <w:proofErr w:type="spellStart"/>
      <w:r w:rsidRPr="00592E98">
        <w:rPr>
          <w:rFonts w:asciiTheme="minorHAnsi" w:hAnsiTheme="minorHAnsi"/>
          <w:sz w:val="20"/>
          <w:szCs w:val="22"/>
        </w:rPr>
        <w:t>Reitzel</w:t>
      </w:r>
      <w:proofErr w:type="spellEnd"/>
      <w:r w:rsidRPr="00592E98">
        <w:rPr>
          <w:rFonts w:asciiTheme="minorHAnsi" w:hAnsiTheme="minorHAnsi"/>
          <w:sz w:val="20"/>
          <w:szCs w:val="22"/>
        </w:rPr>
        <w:t xml:space="preserve">, L. R. (2017). Addressing Tobacco Use Among Consumers and Staff at </w:t>
      </w:r>
      <w:proofErr w:type="spellStart"/>
      <w:r w:rsidRPr="00592E98">
        <w:rPr>
          <w:rFonts w:asciiTheme="minorHAnsi" w:hAnsiTheme="minorHAnsi"/>
          <w:sz w:val="20"/>
          <w:szCs w:val="22"/>
        </w:rPr>
        <w:t>Behavioral</w:t>
      </w:r>
      <w:proofErr w:type="spellEnd"/>
      <w:r w:rsidRPr="00592E98">
        <w:rPr>
          <w:rFonts w:asciiTheme="minorHAnsi" w:hAnsiTheme="minorHAnsi"/>
          <w:sz w:val="20"/>
          <w:szCs w:val="22"/>
        </w:rPr>
        <w:t xml:space="preserve"> Health Treatment Facilities Through Comprehensive Workplace Programming. </w:t>
      </w:r>
      <w:r w:rsidRPr="00592E98">
        <w:rPr>
          <w:rFonts w:asciiTheme="minorHAnsi" w:hAnsiTheme="minorHAnsi"/>
          <w:i/>
          <w:iCs/>
          <w:sz w:val="20"/>
          <w:szCs w:val="22"/>
        </w:rPr>
        <w:t>Health Promotion Practice</w:t>
      </w:r>
      <w:r w:rsidRPr="00592E98">
        <w:rPr>
          <w:rFonts w:asciiTheme="minorHAnsi" w:hAnsiTheme="minorHAnsi"/>
          <w:sz w:val="20"/>
          <w:szCs w:val="22"/>
        </w:rPr>
        <w:t xml:space="preserve">, </w:t>
      </w:r>
      <w:r w:rsidRPr="00592E98">
        <w:rPr>
          <w:rFonts w:asciiTheme="minorHAnsi" w:hAnsiTheme="minorHAnsi"/>
          <w:i/>
          <w:iCs/>
          <w:sz w:val="20"/>
          <w:szCs w:val="22"/>
        </w:rPr>
        <w:t>18</w:t>
      </w:r>
      <w:r w:rsidRPr="00592E98">
        <w:rPr>
          <w:rFonts w:asciiTheme="minorHAnsi" w:hAnsiTheme="minorHAnsi"/>
          <w:sz w:val="20"/>
          <w:szCs w:val="22"/>
        </w:rPr>
        <w:t>(4), 561–570. doi:10.1177/1524839917696713</w:t>
      </w:r>
    </w:p>
    <w:p w14:paraId="3259235A"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Sausa</w:t>
      </w:r>
      <w:proofErr w:type="spellEnd"/>
      <w:r w:rsidRPr="00592E98">
        <w:rPr>
          <w:rFonts w:asciiTheme="minorHAnsi" w:hAnsiTheme="minorHAnsi"/>
          <w:sz w:val="20"/>
          <w:szCs w:val="22"/>
        </w:rPr>
        <w:t xml:space="preserve">, L. A. (2005). Translating research into practice: Trans youth recommendations for improving school systems. </w:t>
      </w:r>
      <w:r w:rsidRPr="00592E98">
        <w:rPr>
          <w:rFonts w:asciiTheme="minorHAnsi" w:hAnsiTheme="minorHAnsi"/>
          <w:i/>
          <w:iCs/>
          <w:sz w:val="20"/>
          <w:szCs w:val="22"/>
        </w:rPr>
        <w:t>Journal of Gay &amp; Lesbian Issues in Education</w:t>
      </w:r>
      <w:r w:rsidRPr="00592E98">
        <w:rPr>
          <w:rFonts w:asciiTheme="minorHAnsi" w:hAnsiTheme="minorHAnsi"/>
          <w:sz w:val="20"/>
          <w:szCs w:val="22"/>
        </w:rPr>
        <w:t xml:space="preserve">, </w:t>
      </w:r>
      <w:r w:rsidRPr="00592E98">
        <w:rPr>
          <w:rFonts w:asciiTheme="minorHAnsi" w:hAnsiTheme="minorHAnsi"/>
          <w:i/>
          <w:iCs/>
          <w:sz w:val="20"/>
          <w:szCs w:val="22"/>
        </w:rPr>
        <w:t>3</w:t>
      </w:r>
      <w:r w:rsidRPr="00592E98">
        <w:rPr>
          <w:rFonts w:asciiTheme="minorHAnsi" w:hAnsiTheme="minorHAnsi"/>
          <w:sz w:val="20"/>
          <w:szCs w:val="22"/>
        </w:rPr>
        <w:t>(1), 15–28. doi:10.1300/J367v03n01</w:t>
      </w:r>
    </w:p>
    <w:p w14:paraId="20AE09A4"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Schaeffer, C. M., </w:t>
      </w:r>
      <w:proofErr w:type="spellStart"/>
      <w:r w:rsidRPr="00592E98">
        <w:rPr>
          <w:rFonts w:asciiTheme="minorHAnsi" w:hAnsiTheme="minorHAnsi"/>
          <w:sz w:val="20"/>
          <w:szCs w:val="22"/>
        </w:rPr>
        <w:t>Bruns</w:t>
      </w:r>
      <w:proofErr w:type="spellEnd"/>
      <w:r w:rsidRPr="00592E98">
        <w:rPr>
          <w:rFonts w:asciiTheme="minorHAnsi" w:hAnsiTheme="minorHAnsi"/>
          <w:sz w:val="20"/>
          <w:szCs w:val="22"/>
        </w:rPr>
        <w:t xml:space="preserve">, E., </w:t>
      </w:r>
      <w:proofErr w:type="spellStart"/>
      <w:r w:rsidRPr="00592E98">
        <w:rPr>
          <w:rFonts w:asciiTheme="minorHAnsi" w:hAnsiTheme="minorHAnsi"/>
          <w:sz w:val="20"/>
          <w:szCs w:val="22"/>
        </w:rPr>
        <w:t>Weist</w:t>
      </w:r>
      <w:proofErr w:type="spellEnd"/>
      <w:r w:rsidRPr="00592E98">
        <w:rPr>
          <w:rFonts w:asciiTheme="minorHAnsi" w:hAnsiTheme="minorHAnsi"/>
          <w:sz w:val="20"/>
          <w:szCs w:val="22"/>
        </w:rPr>
        <w:t xml:space="preserve">, M., Stephan, S. H., Goldstein, J., &amp; Simpson, Y. (2005). Overcoming challenges to using evidence-based interventions in schools. </w:t>
      </w:r>
      <w:r w:rsidRPr="00592E98">
        <w:rPr>
          <w:rFonts w:asciiTheme="minorHAnsi" w:hAnsiTheme="minorHAnsi"/>
          <w:i/>
          <w:iCs/>
          <w:sz w:val="20"/>
          <w:szCs w:val="22"/>
        </w:rPr>
        <w:t>Journal of Youth and Adolescence</w:t>
      </w:r>
      <w:r w:rsidRPr="00592E98">
        <w:rPr>
          <w:rFonts w:asciiTheme="minorHAnsi" w:hAnsiTheme="minorHAnsi"/>
          <w:sz w:val="20"/>
          <w:szCs w:val="22"/>
        </w:rPr>
        <w:t xml:space="preserve">, </w:t>
      </w:r>
      <w:r w:rsidRPr="00592E98">
        <w:rPr>
          <w:rFonts w:asciiTheme="minorHAnsi" w:hAnsiTheme="minorHAnsi"/>
          <w:i/>
          <w:iCs/>
          <w:sz w:val="20"/>
          <w:szCs w:val="22"/>
        </w:rPr>
        <w:t>34</w:t>
      </w:r>
      <w:r w:rsidRPr="00592E98">
        <w:rPr>
          <w:rFonts w:asciiTheme="minorHAnsi" w:hAnsiTheme="minorHAnsi"/>
          <w:sz w:val="20"/>
          <w:szCs w:val="22"/>
        </w:rPr>
        <w:t>(1), 15–22. doi:10.1007/s10964-005-1332-0</w:t>
      </w:r>
    </w:p>
    <w:p w14:paraId="4FB4992A"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Schreiber, J., Downey, P., &amp; </w:t>
      </w:r>
      <w:proofErr w:type="spellStart"/>
      <w:r w:rsidRPr="00592E98">
        <w:rPr>
          <w:rFonts w:asciiTheme="minorHAnsi" w:hAnsiTheme="minorHAnsi"/>
          <w:sz w:val="20"/>
          <w:szCs w:val="22"/>
        </w:rPr>
        <w:t>Traister</w:t>
      </w:r>
      <w:proofErr w:type="spellEnd"/>
      <w:r w:rsidRPr="00592E98">
        <w:rPr>
          <w:rFonts w:asciiTheme="minorHAnsi" w:hAnsiTheme="minorHAnsi"/>
          <w:sz w:val="20"/>
          <w:szCs w:val="22"/>
        </w:rPr>
        <w:t xml:space="preserve">, J. (2009). Academic program support for evidence-based practice: a mixed-methods investigation. </w:t>
      </w:r>
      <w:r w:rsidRPr="00592E98">
        <w:rPr>
          <w:rFonts w:asciiTheme="minorHAnsi" w:hAnsiTheme="minorHAnsi"/>
          <w:i/>
          <w:iCs/>
          <w:sz w:val="20"/>
          <w:szCs w:val="22"/>
        </w:rPr>
        <w:t>Journal of Physical Therapy Education</w:t>
      </w:r>
      <w:r w:rsidRPr="00592E98">
        <w:rPr>
          <w:rFonts w:asciiTheme="minorHAnsi" w:hAnsiTheme="minorHAnsi"/>
          <w:sz w:val="20"/>
          <w:szCs w:val="22"/>
        </w:rPr>
        <w:t xml:space="preserve">, </w:t>
      </w:r>
      <w:r w:rsidRPr="00592E98">
        <w:rPr>
          <w:rFonts w:asciiTheme="minorHAnsi" w:hAnsiTheme="minorHAnsi"/>
          <w:i/>
          <w:iCs/>
          <w:sz w:val="20"/>
          <w:szCs w:val="22"/>
        </w:rPr>
        <w:t>23</w:t>
      </w:r>
      <w:r w:rsidRPr="00592E98">
        <w:rPr>
          <w:rFonts w:asciiTheme="minorHAnsi" w:hAnsiTheme="minorHAnsi"/>
          <w:sz w:val="20"/>
          <w:szCs w:val="22"/>
        </w:rPr>
        <w:t>(1), 36–43. Retrieved from http://search.ebscohost.com/login.aspx?direct=true&amp;db=c8h&amp;AN=2010324892&amp;site=ehost-live</w:t>
      </w:r>
    </w:p>
    <w:p w14:paraId="5E64D020"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lang w:val="de-DE"/>
        </w:rPr>
        <w:t xml:space="preserve">Straussner, S., Naegle, M., Gillespie, C., Wolkstein, E., Donath, R., &amp; Azmitia, E. (2006). </w:t>
      </w:r>
      <w:r w:rsidRPr="00592E98">
        <w:rPr>
          <w:rFonts w:asciiTheme="minorHAnsi" w:hAnsiTheme="minorHAnsi"/>
          <w:sz w:val="20"/>
          <w:szCs w:val="22"/>
        </w:rPr>
        <w:t xml:space="preserve">The SATOL project: An interdisciplinary model of technology transfer for research-to-practice in clinical supervision for addiction treatment. </w:t>
      </w:r>
      <w:r w:rsidRPr="00592E98">
        <w:rPr>
          <w:rFonts w:asciiTheme="minorHAnsi" w:hAnsiTheme="minorHAnsi"/>
          <w:i/>
          <w:sz w:val="20"/>
          <w:szCs w:val="22"/>
        </w:rPr>
        <w:t xml:space="preserve">Information Technology and </w:t>
      </w:r>
      <w:r w:rsidRPr="00592E98">
        <w:rPr>
          <w:rFonts w:asciiTheme="minorHAnsi" w:hAnsiTheme="minorHAnsi" w:cstheme="minorHAnsi"/>
          <w:i/>
          <w:sz w:val="20"/>
          <w:szCs w:val="22"/>
        </w:rPr>
        <w:t>Evidence-Based Social Work Practice, 3</w:t>
      </w:r>
      <w:r w:rsidRPr="00592E98">
        <w:rPr>
          <w:rFonts w:asciiTheme="minorHAnsi" w:hAnsiTheme="minorHAnsi" w:cstheme="minorHAnsi"/>
          <w:sz w:val="20"/>
          <w:szCs w:val="22"/>
        </w:rPr>
        <w:t>(3/4), 39-54.</w:t>
      </w:r>
    </w:p>
    <w:p w14:paraId="5C913CBB"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Supplee</w:t>
      </w:r>
      <w:proofErr w:type="spellEnd"/>
      <w:r w:rsidRPr="00592E98">
        <w:rPr>
          <w:rFonts w:asciiTheme="minorHAnsi" w:hAnsiTheme="minorHAnsi"/>
          <w:sz w:val="20"/>
          <w:szCs w:val="22"/>
        </w:rPr>
        <w:t xml:space="preserve">, L., &amp; Metz, A. (2015). Opportunities and challenges in evidence-based social policy. </w:t>
      </w:r>
      <w:r w:rsidRPr="00592E98">
        <w:rPr>
          <w:rFonts w:asciiTheme="minorHAnsi" w:hAnsiTheme="minorHAnsi"/>
          <w:i/>
          <w:sz w:val="20"/>
          <w:szCs w:val="22"/>
        </w:rPr>
        <w:t>Sharing Child and Youth Development Knowledge, 28</w:t>
      </w:r>
      <w:r w:rsidRPr="00592E98">
        <w:rPr>
          <w:rFonts w:asciiTheme="minorHAnsi" w:hAnsiTheme="minorHAnsi"/>
          <w:sz w:val="20"/>
          <w:szCs w:val="22"/>
        </w:rPr>
        <w:t xml:space="preserve">(4), 1-16. </w:t>
      </w:r>
    </w:p>
    <w:p w14:paraId="4AD3BB5B"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Tetroe</w:t>
      </w:r>
      <w:proofErr w:type="spellEnd"/>
      <w:r w:rsidRPr="00592E98">
        <w:rPr>
          <w:rFonts w:asciiTheme="minorHAnsi" w:hAnsiTheme="minorHAnsi"/>
          <w:sz w:val="20"/>
          <w:szCs w:val="22"/>
        </w:rPr>
        <w:t xml:space="preserve">, J. M., Graham, I. D., &amp; Scott, V. (2011). What does it mean to transform knowledge into action in falls prevention research? Perspectives from the Canadian Institutes of Health Research. </w:t>
      </w:r>
      <w:r w:rsidRPr="00592E98">
        <w:rPr>
          <w:rFonts w:asciiTheme="minorHAnsi" w:hAnsiTheme="minorHAnsi"/>
          <w:i/>
          <w:iCs/>
          <w:sz w:val="20"/>
          <w:szCs w:val="22"/>
        </w:rPr>
        <w:t>Journal of Safety Research</w:t>
      </w:r>
      <w:r w:rsidRPr="00592E98">
        <w:rPr>
          <w:rFonts w:asciiTheme="minorHAnsi" w:hAnsiTheme="minorHAnsi"/>
          <w:sz w:val="20"/>
          <w:szCs w:val="22"/>
        </w:rPr>
        <w:t xml:space="preserve">, </w:t>
      </w:r>
      <w:r w:rsidRPr="00592E98">
        <w:rPr>
          <w:rFonts w:asciiTheme="minorHAnsi" w:hAnsiTheme="minorHAnsi"/>
          <w:i/>
          <w:iCs/>
          <w:sz w:val="20"/>
          <w:szCs w:val="22"/>
        </w:rPr>
        <w:t>42</w:t>
      </w:r>
      <w:r w:rsidRPr="00592E98">
        <w:rPr>
          <w:rFonts w:asciiTheme="minorHAnsi" w:hAnsiTheme="minorHAnsi"/>
          <w:sz w:val="20"/>
          <w:szCs w:val="22"/>
        </w:rPr>
        <w:t>(6), 423–426. doi:10.1016/j.jsr.2011.08.005</w:t>
      </w:r>
    </w:p>
    <w:p w14:paraId="37C781B4" w14:textId="77777777" w:rsidR="0093470E" w:rsidRPr="00592E98" w:rsidRDefault="0093470E" w:rsidP="0093470E">
      <w:pPr>
        <w:pStyle w:val="NormalWeb"/>
        <w:ind w:left="480" w:hanging="480"/>
        <w:rPr>
          <w:rFonts w:asciiTheme="minorHAnsi" w:hAnsiTheme="minorHAnsi"/>
          <w:sz w:val="20"/>
          <w:szCs w:val="22"/>
        </w:rPr>
      </w:pPr>
      <w:proofErr w:type="spellStart"/>
      <w:r w:rsidRPr="00592E98">
        <w:rPr>
          <w:rFonts w:asciiTheme="minorHAnsi" w:hAnsiTheme="minorHAnsi"/>
          <w:sz w:val="20"/>
          <w:szCs w:val="22"/>
        </w:rPr>
        <w:t>Tricco</w:t>
      </w:r>
      <w:proofErr w:type="spellEnd"/>
      <w:r w:rsidRPr="00592E98">
        <w:rPr>
          <w:rFonts w:asciiTheme="minorHAnsi" w:hAnsiTheme="minorHAnsi"/>
          <w:sz w:val="20"/>
          <w:szCs w:val="22"/>
        </w:rPr>
        <w:t xml:space="preserve">, A. C., </w:t>
      </w:r>
      <w:proofErr w:type="spellStart"/>
      <w:r w:rsidRPr="00592E98">
        <w:rPr>
          <w:rFonts w:asciiTheme="minorHAnsi" w:hAnsiTheme="minorHAnsi"/>
          <w:sz w:val="20"/>
          <w:szCs w:val="22"/>
        </w:rPr>
        <w:t>Langlois</w:t>
      </w:r>
      <w:proofErr w:type="spellEnd"/>
      <w:r w:rsidRPr="00592E98">
        <w:rPr>
          <w:rFonts w:asciiTheme="minorHAnsi" w:hAnsiTheme="minorHAnsi"/>
          <w:sz w:val="20"/>
          <w:szCs w:val="22"/>
        </w:rPr>
        <w:t xml:space="preserve">, E. V, &amp; Straus, S. E. (2017). </w:t>
      </w:r>
      <w:r w:rsidRPr="00592E98">
        <w:rPr>
          <w:rFonts w:asciiTheme="minorHAnsi" w:hAnsiTheme="minorHAnsi"/>
          <w:i/>
          <w:iCs/>
          <w:sz w:val="20"/>
          <w:szCs w:val="22"/>
        </w:rPr>
        <w:t>Rapid Reviews To Strengthen Health Policy and Systems: a Practical Guide</w:t>
      </w:r>
      <w:r w:rsidRPr="00592E98">
        <w:rPr>
          <w:rFonts w:asciiTheme="minorHAnsi" w:hAnsiTheme="minorHAnsi"/>
          <w:sz w:val="20"/>
          <w:szCs w:val="22"/>
        </w:rPr>
        <w:t>. Retrieved from http://apps.who.int/iris/bitstream/10665/258698/1/9789241512763-eng.pdf</w:t>
      </w:r>
    </w:p>
    <w:p w14:paraId="7BC7A297"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t xml:space="preserve">Weaver, C. A., Warren, J. J., &amp; Delaney, C. (2005). Bedside, classroom and bench: Collaborative strategies to generate evidence-based knowledge for nursing practice. </w:t>
      </w:r>
      <w:r w:rsidRPr="00592E98">
        <w:rPr>
          <w:rFonts w:asciiTheme="minorHAnsi" w:hAnsiTheme="minorHAnsi"/>
          <w:i/>
          <w:iCs/>
          <w:sz w:val="20"/>
          <w:szCs w:val="22"/>
        </w:rPr>
        <w:t>International Journal of Medical Informatics</w:t>
      </w:r>
      <w:r w:rsidRPr="00592E98">
        <w:rPr>
          <w:rFonts w:asciiTheme="minorHAnsi" w:hAnsiTheme="minorHAnsi"/>
          <w:sz w:val="20"/>
          <w:szCs w:val="22"/>
        </w:rPr>
        <w:t xml:space="preserve">, </w:t>
      </w:r>
      <w:r w:rsidRPr="00592E98">
        <w:rPr>
          <w:rFonts w:asciiTheme="minorHAnsi" w:hAnsiTheme="minorHAnsi"/>
          <w:i/>
          <w:iCs/>
          <w:sz w:val="20"/>
          <w:szCs w:val="22"/>
        </w:rPr>
        <w:t>74</w:t>
      </w:r>
      <w:r w:rsidRPr="00592E98">
        <w:rPr>
          <w:rFonts w:asciiTheme="minorHAnsi" w:hAnsiTheme="minorHAnsi"/>
          <w:sz w:val="20"/>
          <w:szCs w:val="22"/>
        </w:rPr>
        <w:t>(11-12), 989–999. doi:10.1016/j.ijmedinf.2005.07.003</w:t>
      </w:r>
    </w:p>
    <w:p w14:paraId="34B570A5" w14:textId="77777777" w:rsidR="0093470E" w:rsidRPr="00592E98" w:rsidRDefault="0093470E" w:rsidP="0093470E">
      <w:pPr>
        <w:pStyle w:val="NormalWeb"/>
        <w:ind w:left="480" w:hanging="480"/>
        <w:rPr>
          <w:rFonts w:asciiTheme="minorHAnsi" w:hAnsiTheme="minorHAnsi"/>
          <w:sz w:val="20"/>
          <w:szCs w:val="22"/>
        </w:rPr>
      </w:pPr>
      <w:r w:rsidRPr="00592E98">
        <w:rPr>
          <w:rFonts w:asciiTheme="minorHAnsi" w:hAnsiTheme="minorHAnsi"/>
          <w:sz w:val="20"/>
          <w:szCs w:val="22"/>
        </w:rPr>
        <w:lastRenderedPageBreak/>
        <w:t xml:space="preserve">West, E. A., </w:t>
      </w:r>
      <w:proofErr w:type="spellStart"/>
      <w:r w:rsidRPr="00592E98">
        <w:rPr>
          <w:rFonts w:asciiTheme="minorHAnsi" w:hAnsiTheme="minorHAnsi"/>
          <w:sz w:val="20"/>
          <w:szCs w:val="22"/>
        </w:rPr>
        <w:t>Mccollow</w:t>
      </w:r>
      <w:proofErr w:type="spellEnd"/>
      <w:r w:rsidRPr="00592E98">
        <w:rPr>
          <w:rFonts w:asciiTheme="minorHAnsi" w:hAnsiTheme="minorHAnsi"/>
          <w:sz w:val="20"/>
          <w:szCs w:val="22"/>
        </w:rPr>
        <w:t xml:space="preserve">, M., Kidwell, J., </w:t>
      </w:r>
      <w:proofErr w:type="spellStart"/>
      <w:r w:rsidRPr="00592E98">
        <w:rPr>
          <w:rFonts w:asciiTheme="minorHAnsi" w:hAnsiTheme="minorHAnsi"/>
          <w:sz w:val="20"/>
          <w:szCs w:val="22"/>
        </w:rPr>
        <w:t>Umbarger</w:t>
      </w:r>
      <w:proofErr w:type="spellEnd"/>
      <w:r w:rsidRPr="00592E98">
        <w:rPr>
          <w:rFonts w:asciiTheme="minorHAnsi" w:hAnsiTheme="minorHAnsi"/>
          <w:sz w:val="20"/>
          <w:szCs w:val="22"/>
        </w:rPr>
        <w:t xml:space="preserve">, G., Cote, D. L., West, E. A., … Cote, D. L. (2016). Division on Autism and Developmental Disabilities Current Status of Evidence-Based Practice for Students with Intellectual Disability and Autism Spectrum Disorders Source : Education and Training in Autism and Developmental Disabilities , </w:t>
      </w:r>
      <w:proofErr w:type="spellStart"/>
      <w:r w:rsidRPr="00592E98">
        <w:rPr>
          <w:rFonts w:asciiTheme="minorHAnsi" w:hAnsiTheme="minorHAnsi"/>
          <w:sz w:val="20"/>
          <w:szCs w:val="22"/>
        </w:rPr>
        <w:t>Vol</w:t>
      </w:r>
      <w:proofErr w:type="spellEnd"/>
      <w:r w:rsidRPr="00592E98">
        <w:rPr>
          <w:rFonts w:asciiTheme="minorHAnsi" w:hAnsiTheme="minorHAnsi"/>
          <w:sz w:val="20"/>
          <w:szCs w:val="22"/>
        </w:rPr>
        <w:t xml:space="preserve"> . 48 , No . .</w:t>
      </w:r>
    </w:p>
    <w:p w14:paraId="6F21BFD9" w14:textId="6DBF217C" w:rsidR="0093470E" w:rsidRPr="00EC3DE6" w:rsidRDefault="0093470E" w:rsidP="00EC3DE6">
      <w:pPr>
        <w:pStyle w:val="NormalWeb"/>
        <w:ind w:left="480" w:hanging="480"/>
        <w:rPr>
          <w:rFonts w:asciiTheme="minorHAnsi" w:hAnsiTheme="minorHAnsi"/>
          <w:sz w:val="20"/>
          <w:szCs w:val="22"/>
        </w:rPr>
      </w:pPr>
      <w:r w:rsidRPr="00592E98">
        <w:rPr>
          <w:rFonts w:asciiTheme="minorHAnsi" w:hAnsiTheme="minorHAnsi"/>
          <w:sz w:val="20"/>
          <w:szCs w:val="22"/>
        </w:rPr>
        <w:t xml:space="preserve">Whitelaw, N. (2010). System change and organizational capacity for evidence-based practices: Lessons from the field. </w:t>
      </w:r>
      <w:r w:rsidRPr="00592E98">
        <w:rPr>
          <w:rFonts w:asciiTheme="minorHAnsi" w:hAnsiTheme="minorHAnsi"/>
          <w:i/>
          <w:iCs/>
          <w:sz w:val="20"/>
          <w:szCs w:val="22"/>
        </w:rPr>
        <w:t>Journal of the American Society on Aging</w:t>
      </w:r>
      <w:r w:rsidRPr="00592E98">
        <w:rPr>
          <w:rFonts w:asciiTheme="minorHAnsi" w:hAnsiTheme="minorHAnsi"/>
          <w:sz w:val="20"/>
          <w:szCs w:val="22"/>
        </w:rPr>
        <w:t xml:space="preserve">, </w:t>
      </w:r>
      <w:r w:rsidRPr="00592E98">
        <w:rPr>
          <w:rFonts w:asciiTheme="minorHAnsi" w:hAnsiTheme="minorHAnsi"/>
          <w:i/>
          <w:iCs/>
          <w:sz w:val="20"/>
          <w:szCs w:val="22"/>
        </w:rPr>
        <w:t>34</w:t>
      </w:r>
      <w:r w:rsidR="00EC3DE6">
        <w:rPr>
          <w:rFonts w:asciiTheme="minorHAnsi" w:hAnsiTheme="minorHAnsi"/>
          <w:sz w:val="20"/>
          <w:szCs w:val="22"/>
        </w:rPr>
        <w:t>(43).</w:t>
      </w:r>
    </w:p>
    <w:p w14:paraId="7CC9CEB5" w14:textId="77777777" w:rsidR="0093470E" w:rsidRPr="00E16853" w:rsidRDefault="0093470E" w:rsidP="007674CF">
      <w:pPr>
        <w:pStyle w:val="NumberedHeading2"/>
      </w:pPr>
      <w:bookmarkStart w:id="174" w:name="_Toc508637972"/>
      <w:bookmarkStart w:id="175" w:name="_Toc509950685"/>
      <w:r w:rsidRPr="00E16853">
        <w:t>Approaches to grading evidence in research and evidence institutions</w:t>
      </w:r>
      <w:bookmarkEnd w:id="174"/>
      <w:bookmarkEnd w:id="175"/>
    </w:p>
    <w:p w14:paraId="650BDEB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de-DE" w:eastAsia="en-AU"/>
        </w:rPr>
        <w:t xml:space="preserve">Bernstein, A., Chorpita, B. F., Daleiden, E. L., Ebesutani, C. K., &amp; Rosenblatt, A. (2015). </w:t>
      </w:r>
      <w:r w:rsidRPr="00E16853">
        <w:rPr>
          <w:rFonts w:eastAsia="Times New Roman"/>
          <w:lang w:eastAsia="en-AU"/>
        </w:rPr>
        <w:t xml:space="preserve">Building an evidence-informed service array: Considering evidence-based programs as well as their practice elements. </w:t>
      </w:r>
      <w:r w:rsidRPr="00E16853">
        <w:rPr>
          <w:rFonts w:eastAsia="Times New Roman"/>
          <w:i/>
          <w:iCs/>
          <w:lang w:eastAsia="en-AU"/>
        </w:rPr>
        <w:t>Journal of Consulting and Clinical Psychology</w:t>
      </w:r>
      <w:r w:rsidRPr="00E16853">
        <w:rPr>
          <w:rFonts w:eastAsia="Times New Roman"/>
          <w:lang w:eastAsia="en-AU"/>
        </w:rPr>
        <w:t xml:space="preserve">, </w:t>
      </w:r>
      <w:r w:rsidRPr="00E16853">
        <w:rPr>
          <w:rFonts w:eastAsia="Times New Roman"/>
          <w:i/>
          <w:iCs/>
          <w:lang w:eastAsia="en-AU"/>
        </w:rPr>
        <w:t>83</w:t>
      </w:r>
      <w:r w:rsidRPr="00E16853">
        <w:rPr>
          <w:rFonts w:eastAsia="Times New Roman"/>
          <w:lang w:eastAsia="en-AU"/>
        </w:rPr>
        <w:t>(6), 1085–1096. https://doi.org/10.1037/ccp0000029</w:t>
      </w:r>
    </w:p>
    <w:p w14:paraId="136C71D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Bloom, K., &amp; Tam, J. (2015). Commentary : Promoting the use of science in psychology: A knowledge mobilization model for increasing evidence-based practice. </w:t>
      </w:r>
      <w:r w:rsidRPr="00E16853">
        <w:rPr>
          <w:rFonts w:eastAsia="Times New Roman"/>
          <w:i/>
          <w:iCs/>
          <w:lang w:eastAsia="en-AU"/>
        </w:rPr>
        <w:t>Canadian Psychology</w:t>
      </w:r>
      <w:r w:rsidRPr="00E16853">
        <w:rPr>
          <w:rFonts w:eastAsia="Times New Roman"/>
          <w:lang w:eastAsia="en-AU"/>
        </w:rPr>
        <w:t xml:space="preserve">, </w:t>
      </w:r>
      <w:r w:rsidRPr="00E16853">
        <w:rPr>
          <w:rFonts w:eastAsia="Times New Roman"/>
          <w:i/>
          <w:iCs/>
          <w:lang w:eastAsia="en-AU"/>
        </w:rPr>
        <w:t>56</w:t>
      </w:r>
      <w:r w:rsidRPr="00E16853">
        <w:rPr>
          <w:rFonts w:eastAsia="Times New Roman"/>
          <w:lang w:eastAsia="en-AU"/>
        </w:rPr>
        <w:t>(1), 147–150. https://doi.org/10.1037/a0037937</w:t>
      </w:r>
    </w:p>
    <w:p w14:paraId="4258310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Bonetto</w:t>
      </w:r>
      <w:proofErr w:type="spellEnd"/>
      <w:r w:rsidRPr="00E16853">
        <w:rPr>
          <w:rFonts w:eastAsia="Times New Roman"/>
          <w:lang w:eastAsia="en-AU"/>
        </w:rPr>
        <w:t xml:space="preserve">, L. (2014). </w:t>
      </w:r>
      <w:r w:rsidRPr="00E16853">
        <w:rPr>
          <w:rFonts w:eastAsia="Times New Roman"/>
          <w:i/>
          <w:lang w:eastAsia="en-AU"/>
        </w:rPr>
        <w:t xml:space="preserve">Airlines – US. </w:t>
      </w:r>
      <w:r w:rsidRPr="00E16853">
        <w:rPr>
          <w:rFonts w:eastAsia="Times New Roman"/>
          <w:lang w:eastAsia="en-AU"/>
        </w:rPr>
        <w:t xml:space="preserve">Mintel Group. </w:t>
      </w:r>
    </w:p>
    <w:p w14:paraId="4C5CBC6B" w14:textId="77777777" w:rsidR="0093470E" w:rsidRPr="00E16853" w:rsidRDefault="0093470E" w:rsidP="0093470E">
      <w:pPr>
        <w:spacing w:before="100" w:beforeAutospacing="1" w:after="100" w:afterAutospacing="1"/>
        <w:ind w:left="480" w:hanging="480"/>
        <w:rPr>
          <w:rFonts w:eastAsia="Times New Roman"/>
          <w:lang w:val="pl-PL" w:eastAsia="en-AU"/>
        </w:rPr>
      </w:pPr>
      <w:r w:rsidRPr="00E16853">
        <w:rPr>
          <w:rFonts w:eastAsia="Times New Roman"/>
          <w:lang w:eastAsia="en-AU"/>
        </w:rPr>
        <w:t xml:space="preserve">Booth, A. (2016). Moving Beyond Effectiveness: On Evidence Based Health Information (EBHI) as a Complex Intervention. </w:t>
      </w:r>
      <w:r w:rsidRPr="00E16853">
        <w:rPr>
          <w:rFonts w:eastAsia="Times New Roman"/>
          <w:i/>
          <w:iCs/>
          <w:lang w:val="pl-PL" w:eastAsia="en-AU"/>
        </w:rPr>
        <w:t>Zeszyty Naukowe Ochrony Zdrowia. Zdrowie Publiczne I Zarzadzanie</w:t>
      </w:r>
      <w:r w:rsidRPr="00E16853">
        <w:rPr>
          <w:rFonts w:eastAsia="Times New Roman"/>
          <w:lang w:val="pl-PL" w:eastAsia="en-AU"/>
        </w:rPr>
        <w:t xml:space="preserve">, </w:t>
      </w:r>
      <w:r w:rsidRPr="00E16853">
        <w:rPr>
          <w:rFonts w:eastAsia="Times New Roman"/>
          <w:i/>
          <w:iCs/>
          <w:lang w:val="pl-PL" w:eastAsia="en-AU"/>
        </w:rPr>
        <w:t>14</w:t>
      </w:r>
      <w:r w:rsidRPr="00E16853">
        <w:rPr>
          <w:rFonts w:eastAsia="Times New Roman"/>
          <w:lang w:val="pl-PL" w:eastAsia="en-AU"/>
        </w:rPr>
        <w:t>(2), 74–85. https://doi.org/http://dx.doi.org/10.4467/20842627OZ.16.011.5573</w:t>
      </w:r>
    </w:p>
    <w:p w14:paraId="1CB5328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Brady, B., &amp; Redmond, S. (2017). Connecting research and practice: Perspectives on the role of </w:t>
      </w:r>
      <w:proofErr w:type="spellStart"/>
      <w:r w:rsidRPr="00E16853">
        <w:rPr>
          <w:rFonts w:eastAsia="Times New Roman"/>
          <w:lang w:eastAsia="en-AU"/>
        </w:rPr>
        <w:t>manualized</w:t>
      </w:r>
      <w:proofErr w:type="spellEnd"/>
      <w:r w:rsidRPr="00E16853">
        <w:rPr>
          <w:rFonts w:eastAsia="Times New Roman"/>
          <w:lang w:eastAsia="en-AU"/>
        </w:rPr>
        <w:t xml:space="preserve"> programs in youth work. </w:t>
      </w:r>
      <w:r w:rsidRPr="00E16853">
        <w:rPr>
          <w:rFonts w:eastAsia="Times New Roman"/>
          <w:i/>
          <w:iCs/>
          <w:lang w:eastAsia="en-AU"/>
        </w:rPr>
        <w:t>Child &amp; Youth Services</w:t>
      </w:r>
      <w:r w:rsidRPr="00E16853">
        <w:rPr>
          <w:rFonts w:eastAsia="Times New Roman"/>
          <w:lang w:eastAsia="en-AU"/>
        </w:rPr>
        <w:t xml:space="preserve">, </w:t>
      </w:r>
      <w:r w:rsidRPr="00E16853">
        <w:rPr>
          <w:rFonts w:eastAsia="Times New Roman"/>
          <w:i/>
          <w:iCs/>
          <w:lang w:eastAsia="en-AU"/>
        </w:rPr>
        <w:t>38</w:t>
      </w:r>
      <w:r w:rsidRPr="00E16853">
        <w:rPr>
          <w:rFonts w:eastAsia="Times New Roman"/>
          <w:lang w:eastAsia="en-AU"/>
        </w:rPr>
        <w:t>(3), 252–268. https://doi.org/10.1080/0145935X.2017.1326306</w:t>
      </w:r>
    </w:p>
    <w:p w14:paraId="6E606731" w14:textId="77777777" w:rsidR="0093470E" w:rsidRPr="00E16853" w:rsidRDefault="0093470E" w:rsidP="0093470E">
      <w:pPr>
        <w:spacing w:before="100" w:beforeAutospacing="1" w:after="100" w:afterAutospacing="1"/>
        <w:ind w:left="480" w:hanging="480"/>
        <w:rPr>
          <w:rFonts w:eastAsia="Times New Roman"/>
          <w:lang w:val="it-IT" w:eastAsia="en-AU"/>
        </w:rPr>
      </w:pPr>
      <w:proofErr w:type="spellStart"/>
      <w:r w:rsidRPr="00E16853">
        <w:rPr>
          <w:rFonts w:eastAsia="Times New Roman"/>
          <w:lang w:eastAsia="en-AU"/>
        </w:rPr>
        <w:t>Brosseau</w:t>
      </w:r>
      <w:proofErr w:type="spellEnd"/>
      <w:r w:rsidRPr="00E16853">
        <w:rPr>
          <w:rFonts w:eastAsia="Times New Roman"/>
          <w:lang w:eastAsia="en-AU"/>
        </w:rPr>
        <w:t xml:space="preserve">, L., Wells, G., </w:t>
      </w:r>
      <w:proofErr w:type="spellStart"/>
      <w:r w:rsidRPr="00E16853">
        <w:rPr>
          <w:rFonts w:eastAsia="Times New Roman"/>
          <w:lang w:eastAsia="en-AU"/>
        </w:rPr>
        <w:t>Tugwell</w:t>
      </w:r>
      <w:proofErr w:type="spellEnd"/>
      <w:r w:rsidRPr="00E16853">
        <w:rPr>
          <w:rFonts w:eastAsia="Times New Roman"/>
          <w:lang w:eastAsia="en-AU"/>
        </w:rPr>
        <w:t xml:space="preserve">, P., Egan, M., </w:t>
      </w:r>
      <w:proofErr w:type="spellStart"/>
      <w:r w:rsidRPr="00E16853">
        <w:rPr>
          <w:rFonts w:eastAsia="Times New Roman"/>
          <w:lang w:eastAsia="en-AU"/>
        </w:rPr>
        <w:t>Dubouloz</w:t>
      </w:r>
      <w:proofErr w:type="spellEnd"/>
      <w:r w:rsidRPr="00E16853">
        <w:rPr>
          <w:rFonts w:eastAsia="Times New Roman"/>
          <w:lang w:eastAsia="en-AU"/>
        </w:rPr>
        <w:t xml:space="preserve">, L., </w:t>
      </w:r>
      <w:proofErr w:type="spellStart"/>
      <w:r w:rsidRPr="00E16853">
        <w:rPr>
          <w:rFonts w:eastAsia="Times New Roman"/>
          <w:lang w:eastAsia="en-AU"/>
        </w:rPr>
        <w:t>Bugnariu</w:t>
      </w:r>
      <w:proofErr w:type="spellEnd"/>
      <w:r w:rsidRPr="00E16853">
        <w:rPr>
          <w:rFonts w:eastAsia="Times New Roman"/>
          <w:lang w:eastAsia="en-AU"/>
        </w:rPr>
        <w:t xml:space="preserve">, N., Welch, V., … </w:t>
      </w:r>
      <w:proofErr w:type="spellStart"/>
      <w:r w:rsidRPr="00E16853">
        <w:rPr>
          <w:rFonts w:eastAsia="Times New Roman"/>
          <w:lang w:eastAsia="en-AU"/>
        </w:rPr>
        <w:t>Teav</w:t>
      </w:r>
      <w:proofErr w:type="spellEnd"/>
      <w:r w:rsidRPr="00E16853">
        <w:rPr>
          <w:rFonts w:eastAsia="Times New Roman"/>
          <w:lang w:eastAsia="en-AU"/>
        </w:rPr>
        <w:t xml:space="preserve">, A. (2011). Ottawa panel evidence-based clinical practice guidelines for the management of osteoarthritis in adults who are obese or overweight. </w:t>
      </w:r>
      <w:r w:rsidRPr="00E16853">
        <w:rPr>
          <w:rFonts w:eastAsia="Times New Roman"/>
          <w:i/>
          <w:lang w:val="it-IT" w:eastAsia="en-AU"/>
        </w:rPr>
        <w:t>Physical Therapy, 91</w:t>
      </w:r>
      <w:r w:rsidRPr="00E16853">
        <w:rPr>
          <w:rFonts w:eastAsia="Times New Roman"/>
          <w:lang w:val="it-IT" w:eastAsia="en-AU"/>
        </w:rPr>
        <w:t xml:space="preserve">(6), 843-861. </w:t>
      </w:r>
    </w:p>
    <w:p w14:paraId="0363B03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it-IT" w:eastAsia="en-AU"/>
        </w:rPr>
        <w:t xml:space="preserve">Calandra, D. M., Mauro, D. Di, Cutugno, F., &amp; Martino, S. Di. </w:t>
      </w:r>
      <w:r w:rsidRPr="00E16853">
        <w:rPr>
          <w:rFonts w:eastAsia="Times New Roman"/>
          <w:lang w:eastAsia="en-AU"/>
        </w:rPr>
        <w:t xml:space="preserve">(2016). Navigating wall-sized displays with the gaze: A proposal for cultural heritage. </w:t>
      </w:r>
      <w:r w:rsidRPr="00E16853">
        <w:rPr>
          <w:rFonts w:eastAsia="Times New Roman"/>
          <w:i/>
          <w:iCs/>
          <w:lang w:eastAsia="en-AU"/>
        </w:rPr>
        <w:t>CEUR Workshop Proceedings</w:t>
      </w:r>
      <w:r w:rsidRPr="00E16853">
        <w:rPr>
          <w:rFonts w:eastAsia="Times New Roman"/>
          <w:lang w:eastAsia="en-AU"/>
        </w:rPr>
        <w:t xml:space="preserve">, </w:t>
      </w:r>
      <w:r w:rsidRPr="00E16853">
        <w:rPr>
          <w:rFonts w:eastAsia="Times New Roman"/>
          <w:i/>
          <w:iCs/>
          <w:lang w:eastAsia="en-AU"/>
        </w:rPr>
        <w:t>1621</w:t>
      </w:r>
      <w:r w:rsidRPr="00E16853">
        <w:rPr>
          <w:rFonts w:eastAsia="Times New Roman"/>
          <w:lang w:eastAsia="en-AU"/>
        </w:rPr>
        <w:t>(7), 36–43. https://doi.org/10.1023/A</w:t>
      </w:r>
    </w:p>
    <w:p w14:paraId="226B4F7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Career, N., Strategy, D., &amp; Paper, G. (2012). Australian Journal of Career RESPONSE TO THE NATIONAL CAREER DEVE</w:t>
      </w:r>
      <w:r w:rsidR="00972B56">
        <w:rPr>
          <w:rFonts w:eastAsia="Times New Roman"/>
          <w:lang w:eastAsia="en-AU"/>
        </w:rPr>
        <w:t>LOPMENT STRATEGY Career Industr</w:t>
      </w:r>
      <w:r w:rsidRPr="00E16853">
        <w:rPr>
          <w:rFonts w:eastAsia="Times New Roman"/>
          <w:lang w:eastAsia="en-AU"/>
        </w:rPr>
        <w:t>y Council of Australia. https://doi.org/10.1177/103841621202100305</w:t>
      </w:r>
    </w:p>
    <w:p w14:paraId="09D5931B" w14:textId="77777777" w:rsidR="0093470E" w:rsidRPr="00E16853" w:rsidRDefault="0093470E" w:rsidP="0093470E">
      <w:pPr>
        <w:spacing w:before="100" w:beforeAutospacing="1" w:after="100" w:afterAutospacing="1"/>
        <w:ind w:left="480" w:hanging="480"/>
        <w:rPr>
          <w:rFonts w:eastAsia="Times New Roman"/>
          <w:lang w:val="pt-BR" w:eastAsia="en-AU"/>
        </w:rPr>
      </w:pPr>
      <w:r w:rsidRPr="00E16853">
        <w:rPr>
          <w:rFonts w:eastAsia="Times New Roman"/>
          <w:lang w:val="pt-BR" w:eastAsia="en-AU"/>
        </w:rPr>
        <w:t xml:space="preserve">Carvalho, F. (2014). Olfactory objects. </w:t>
      </w:r>
      <w:r w:rsidRPr="00E16853">
        <w:rPr>
          <w:rFonts w:eastAsia="Times New Roman"/>
          <w:i/>
          <w:iCs/>
          <w:lang w:val="pt-BR" w:eastAsia="en-AU"/>
        </w:rPr>
        <w:t>Disputatio</w:t>
      </w:r>
      <w:r w:rsidRPr="00E16853">
        <w:rPr>
          <w:rFonts w:eastAsia="Times New Roman"/>
          <w:lang w:val="pt-BR" w:eastAsia="en-AU"/>
        </w:rPr>
        <w:t xml:space="preserve">, </w:t>
      </w:r>
      <w:r w:rsidRPr="00E16853">
        <w:rPr>
          <w:rFonts w:eastAsia="Times New Roman"/>
          <w:i/>
          <w:iCs/>
          <w:lang w:val="pt-BR" w:eastAsia="en-AU"/>
        </w:rPr>
        <w:t>6</w:t>
      </w:r>
      <w:r w:rsidRPr="00E16853">
        <w:rPr>
          <w:rFonts w:eastAsia="Times New Roman"/>
          <w:lang w:val="pt-BR" w:eastAsia="en-AU"/>
        </w:rPr>
        <w:t>(38), 45–66. https://doi.org/10.1093/acprof</w:t>
      </w:r>
    </w:p>
    <w:p w14:paraId="61792FB9"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Clauss</w:t>
      </w:r>
      <w:proofErr w:type="spellEnd"/>
      <w:r w:rsidRPr="00E16853">
        <w:rPr>
          <w:rFonts w:eastAsia="Times New Roman"/>
          <w:lang w:eastAsia="en-AU"/>
        </w:rPr>
        <w:t xml:space="preserve">-Ehlers, C. S., Austin, M., </w:t>
      </w:r>
      <w:proofErr w:type="spellStart"/>
      <w:r w:rsidRPr="00E16853">
        <w:rPr>
          <w:rFonts w:eastAsia="Times New Roman"/>
          <w:lang w:eastAsia="en-AU"/>
        </w:rPr>
        <w:t>Ahto</w:t>
      </w:r>
      <w:proofErr w:type="spellEnd"/>
      <w:r w:rsidRPr="00E16853">
        <w:rPr>
          <w:rFonts w:eastAsia="Times New Roman"/>
          <w:lang w:eastAsia="en-AU"/>
        </w:rPr>
        <w:t xml:space="preserve">, L., </w:t>
      </w:r>
      <w:proofErr w:type="spellStart"/>
      <w:r w:rsidRPr="00E16853">
        <w:rPr>
          <w:rFonts w:eastAsia="Times New Roman"/>
          <w:lang w:eastAsia="en-AU"/>
        </w:rPr>
        <w:t>Samperi</w:t>
      </w:r>
      <w:proofErr w:type="spellEnd"/>
      <w:r w:rsidRPr="00E16853">
        <w:rPr>
          <w:rFonts w:eastAsia="Times New Roman"/>
          <w:lang w:eastAsia="en-AU"/>
        </w:rPr>
        <w:t xml:space="preserve">, F., Zhao, J., &amp; Su, N. (2017). Application of the parenting research partnership model to an evidence-based case study approach. </w:t>
      </w:r>
      <w:r w:rsidRPr="00E16853">
        <w:rPr>
          <w:rFonts w:eastAsia="Times New Roman"/>
          <w:i/>
          <w:iCs/>
          <w:lang w:eastAsia="en-AU"/>
        </w:rPr>
        <w:t>Couple and Family Psychology: Research and Practice</w:t>
      </w:r>
      <w:r w:rsidRPr="00E16853">
        <w:rPr>
          <w:rFonts w:eastAsia="Times New Roman"/>
          <w:lang w:eastAsia="en-AU"/>
        </w:rPr>
        <w:t xml:space="preserve">, </w:t>
      </w:r>
      <w:r w:rsidRPr="00E16853">
        <w:rPr>
          <w:rFonts w:eastAsia="Times New Roman"/>
          <w:i/>
          <w:iCs/>
          <w:lang w:eastAsia="en-AU"/>
        </w:rPr>
        <w:t>6</w:t>
      </w:r>
      <w:r w:rsidRPr="00E16853">
        <w:rPr>
          <w:rFonts w:eastAsia="Times New Roman"/>
          <w:lang w:eastAsia="en-AU"/>
        </w:rPr>
        <w:t>(3), 171–184. https://doi.org/10.1037/cfp0000081</w:t>
      </w:r>
    </w:p>
    <w:p w14:paraId="0128BFE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Dahm</w:t>
      </w:r>
      <w:proofErr w:type="spellEnd"/>
      <w:r w:rsidRPr="00E16853">
        <w:rPr>
          <w:rFonts w:eastAsia="Times New Roman"/>
          <w:lang w:eastAsia="en-AU"/>
        </w:rPr>
        <w:t xml:space="preserve">, P., &amp; </w:t>
      </w:r>
      <w:proofErr w:type="spellStart"/>
      <w:r w:rsidRPr="00E16853">
        <w:rPr>
          <w:rFonts w:eastAsia="Times New Roman"/>
          <w:lang w:eastAsia="en-AU"/>
        </w:rPr>
        <w:t>Djulbegovic</w:t>
      </w:r>
      <w:proofErr w:type="spellEnd"/>
      <w:r w:rsidRPr="00E16853">
        <w:rPr>
          <w:rFonts w:eastAsia="Times New Roman"/>
          <w:lang w:eastAsia="en-AU"/>
        </w:rPr>
        <w:t xml:space="preserve">, B. (2011). The Australian “FORM” approach to guideline development: The quest for the perfect system. </w:t>
      </w:r>
      <w:r w:rsidRPr="00E16853">
        <w:rPr>
          <w:rFonts w:eastAsia="Times New Roman"/>
          <w:i/>
          <w:iCs/>
          <w:lang w:eastAsia="en-AU"/>
        </w:rPr>
        <w:t>BMC Medical Research Methodology</w:t>
      </w:r>
      <w:r w:rsidRPr="00E16853">
        <w:rPr>
          <w:rFonts w:eastAsia="Times New Roman"/>
          <w:lang w:eastAsia="en-AU"/>
        </w:rPr>
        <w:t xml:space="preserve">, </w:t>
      </w:r>
      <w:r w:rsidRPr="00E16853">
        <w:rPr>
          <w:rFonts w:eastAsia="Times New Roman"/>
          <w:i/>
          <w:iCs/>
          <w:lang w:eastAsia="en-AU"/>
        </w:rPr>
        <w:t>11</w:t>
      </w:r>
      <w:r w:rsidRPr="00E16853">
        <w:rPr>
          <w:rFonts w:eastAsia="Times New Roman"/>
          <w:lang w:eastAsia="en-AU"/>
        </w:rPr>
        <w:t>(1), 17–19. Retrieved from http://10.0.4.162/1471-2288-11-17</w:t>
      </w:r>
    </w:p>
    <w:p w14:paraId="13569F6B"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Davidson, K. W., Trudeau, K. J., </w:t>
      </w:r>
      <w:proofErr w:type="spellStart"/>
      <w:r w:rsidRPr="00E16853">
        <w:rPr>
          <w:rFonts w:eastAsia="Times New Roman"/>
          <w:lang w:eastAsia="en-AU"/>
        </w:rPr>
        <w:t>Ockene</w:t>
      </w:r>
      <w:proofErr w:type="spellEnd"/>
      <w:r w:rsidRPr="00E16853">
        <w:rPr>
          <w:rFonts w:eastAsia="Times New Roman"/>
          <w:lang w:eastAsia="en-AU"/>
        </w:rPr>
        <w:t xml:space="preserve">, J. K., Orleans, C. T., &amp; Kaplan, R. M. (2004). A primer on current evidence-based review systems and their implications for </w:t>
      </w:r>
      <w:proofErr w:type="spellStart"/>
      <w:r w:rsidRPr="00E16853">
        <w:rPr>
          <w:rFonts w:eastAsia="Times New Roman"/>
          <w:lang w:eastAsia="en-AU"/>
        </w:rPr>
        <w:t>behavioral</w:t>
      </w:r>
      <w:proofErr w:type="spellEnd"/>
      <w:r w:rsidRPr="00E16853">
        <w:rPr>
          <w:rFonts w:eastAsia="Times New Roman"/>
          <w:lang w:eastAsia="en-AU"/>
        </w:rPr>
        <w:t xml:space="preserve"> medicine. </w:t>
      </w:r>
      <w:r w:rsidRPr="00E16853">
        <w:rPr>
          <w:rFonts w:eastAsia="Times New Roman"/>
          <w:i/>
          <w:iCs/>
          <w:lang w:eastAsia="en-AU"/>
        </w:rPr>
        <w:t xml:space="preserve">Annals of </w:t>
      </w:r>
      <w:proofErr w:type="spellStart"/>
      <w:r w:rsidRPr="00E16853">
        <w:rPr>
          <w:rFonts w:eastAsia="Times New Roman"/>
          <w:i/>
          <w:iCs/>
          <w:lang w:eastAsia="en-AU"/>
        </w:rPr>
        <w:t>Behavioral</w:t>
      </w:r>
      <w:proofErr w:type="spellEnd"/>
      <w:r w:rsidRPr="00E16853">
        <w:rPr>
          <w:rFonts w:eastAsia="Times New Roman"/>
          <w:i/>
          <w:iCs/>
          <w:lang w:eastAsia="en-AU"/>
        </w:rPr>
        <w:t xml:space="preserve"> Medicine</w:t>
      </w:r>
      <w:r w:rsidRPr="00E16853">
        <w:rPr>
          <w:rFonts w:eastAsia="Times New Roman"/>
          <w:lang w:eastAsia="en-AU"/>
        </w:rPr>
        <w:t xml:space="preserve">, </w:t>
      </w:r>
      <w:r w:rsidRPr="00E16853">
        <w:rPr>
          <w:rFonts w:eastAsia="Times New Roman"/>
          <w:i/>
          <w:iCs/>
          <w:lang w:eastAsia="en-AU"/>
        </w:rPr>
        <w:t>28</w:t>
      </w:r>
      <w:r w:rsidRPr="00E16853">
        <w:rPr>
          <w:rFonts w:eastAsia="Times New Roman"/>
          <w:lang w:eastAsia="en-AU"/>
        </w:rPr>
        <w:t>(3), 226–38. https://doi.org/10.1207/s15324796abm2803_11</w:t>
      </w:r>
    </w:p>
    <w:p w14:paraId="7D2E7C92"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Dozois</w:t>
      </w:r>
      <w:proofErr w:type="spellEnd"/>
      <w:r w:rsidRPr="00E16853">
        <w:rPr>
          <w:rFonts w:eastAsia="Times New Roman"/>
          <w:lang w:eastAsia="en-AU"/>
        </w:rPr>
        <w:t xml:space="preserve">, D. J. A. (2013). Psychological treatments: Putting evidence into practice and practice into evidence. </w:t>
      </w:r>
      <w:r w:rsidRPr="00E16853">
        <w:rPr>
          <w:rFonts w:eastAsia="Times New Roman"/>
          <w:i/>
          <w:iCs/>
          <w:lang w:eastAsia="en-AU"/>
        </w:rPr>
        <w:t>Canadian Psychology</w:t>
      </w:r>
      <w:r w:rsidRPr="00E16853">
        <w:rPr>
          <w:rFonts w:eastAsia="Times New Roman"/>
          <w:lang w:eastAsia="en-AU"/>
        </w:rPr>
        <w:t xml:space="preserve">, </w:t>
      </w:r>
      <w:r w:rsidRPr="00E16853">
        <w:rPr>
          <w:rFonts w:eastAsia="Times New Roman"/>
          <w:i/>
          <w:iCs/>
          <w:lang w:eastAsia="en-AU"/>
        </w:rPr>
        <w:t>54</w:t>
      </w:r>
      <w:r w:rsidRPr="00E16853">
        <w:rPr>
          <w:rFonts w:eastAsia="Times New Roman"/>
          <w:lang w:eastAsia="en-AU"/>
        </w:rPr>
        <w:t>(1), 1–11. https://doi.org/10.1037/a0031125</w:t>
      </w:r>
    </w:p>
    <w:p w14:paraId="7B6DFB4A"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Dozois</w:t>
      </w:r>
      <w:proofErr w:type="spellEnd"/>
      <w:r w:rsidRPr="00E16853">
        <w:rPr>
          <w:rFonts w:eastAsia="Times New Roman"/>
          <w:lang w:eastAsia="en-AU"/>
        </w:rPr>
        <w:t xml:space="preserve">, D. J. A., </w:t>
      </w:r>
      <w:proofErr w:type="spellStart"/>
      <w:r w:rsidRPr="00E16853">
        <w:rPr>
          <w:rFonts w:eastAsia="Times New Roman"/>
          <w:lang w:eastAsia="en-AU"/>
        </w:rPr>
        <w:t>Mikail</w:t>
      </w:r>
      <w:proofErr w:type="spellEnd"/>
      <w:r w:rsidRPr="00E16853">
        <w:rPr>
          <w:rFonts w:eastAsia="Times New Roman"/>
          <w:lang w:eastAsia="en-AU"/>
        </w:rPr>
        <w:t xml:space="preserve">, S. F., Alden, L. E., </w:t>
      </w:r>
      <w:proofErr w:type="spellStart"/>
      <w:r w:rsidRPr="00E16853">
        <w:rPr>
          <w:rFonts w:eastAsia="Times New Roman"/>
          <w:lang w:eastAsia="en-AU"/>
        </w:rPr>
        <w:t>Bieling</w:t>
      </w:r>
      <w:proofErr w:type="spellEnd"/>
      <w:r w:rsidRPr="00E16853">
        <w:rPr>
          <w:rFonts w:eastAsia="Times New Roman"/>
          <w:lang w:eastAsia="en-AU"/>
        </w:rPr>
        <w:t xml:space="preserve">, P. J., </w:t>
      </w:r>
      <w:proofErr w:type="spellStart"/>
      <w:r w:rsidRPr="00E16853">
        <w:rPr>
          <w:rFonts w:eastAsia="Times New Roman"/>
          <w:lang w:eastAsia="en-AU"/>
        </w:rPr>
        <w:t>Bourgon</w:t>
      </w:r>
      <w:proofErr w:type="spellEnd"/>
      <w:r w:rsidRPr="00E16853">
        <w:rPr>
          <w:rFonts w:eastAsia="Times New Roman"/>
          <w:lang w:eastAsia="en-AU"/>
        </w:rPr>
        <w:t xml:space="preserve">, G., Clark, D. A., … Johnston, C. (2014). The CPA presidential task force on evidence-based practice of psychological treatments. </w:t>
      </w:r>
      <w:r w:rsidRPr="00E16853">
        <w:rPr>
          <w:rFonts w:eastAsia="Times New Roman"/>
          <w:i/>
          <w:iCs/>
          <w:lang w:eastAsia="en-AU"/>
        </w:rPr>
        <w:t>Canadian Psychology</w:t>
      </w:r>
      <w:r w:rsidRPr="00E16853">
        <w:rPr>
          <w:rFonts w:eastAsia="Times New Roman"/>
          <w:lang w:eastAsia="en-AU"/>
        </w:rPr>
        <w:t xml:space="preserve">, </w:t>
      </w:r>
      <w:r w:rsidRPr="00E16853">
        <w:rPr>
          <w:rFonts w:eastAsia="Times New Roman"/>
          <w:i/>
          <w:iCs/>
          <w:lang w:eastAsia="en-AU"/>
        </w:rPr>
        <w:t>55</w:t>
      </w:r>
      <w:r w:rsidRPr="00E16853">
        <w:rPr>
          <w:rFonts w:eastAsia="Times New Roman"/>
          <w:lang w:eastAsia="en-AU"/>
        </w:rPr>
        <w:t>(3), 153–160. https://doi.org/10.1037/a0035767</w:t>
      </w:r>
    </w:p>
    <w:p w14:paraId="454E2D0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English, R. (2016). Evidence-based Teaching Tactics for Frontline Staff Using the Clinical Nurse Scholar Model. </w:t>
      </w:r>
      <w:r w:rsidRPr="00E16853">
        <w:rPr>
          <w:rFonts w:eastAsia="Times New Roman"/>
          <w:i/>
          <w:iCs/>
          <w:lang w:eastAsia="en-AU"/>
        </w:rPr>
        <w:t>Journal for Nurse Practitioners</w:t>
      </w:r>
      <w:r w:rsidRPr="00E16853">
        <w:rPr>
          <w:rFonts w:eastAsia="Times New Roman"/>
          <w:lang w:eastAsia="en-AU"/>
        </w:rPr>
        <w:t xml:space="preserve">, </w:t>
      </w:r>
      <w:r w:rsidRPr="00E16853">
        <w:rPr>
          <w:rFonts w:eastAsia="Times New Roman"/>
          <w:i/>
          <w:iCs/>
          <w:lang w:eastAsia="en-AU"/>
        </w:rPr>
        <w:t>12</w:t>
      </w:r>
      <w:r w:rsidRPr="00E16853">
        <w:rPr>
          <w:rFonts w:eastAsia="Times New Roman"/>
          <w:lang w:eastAsia="en-AU"/>
        </w:rPr>
        <w:t>(1), e1–e5. https://doi.org/10.1016/j.nurpra.2015.08.033</w:t>
      </w:r>
    </w:p>
    <w:p w14:paraId="632376E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fi-FI" w:eastAsia="en-AU"/>
        </w:rPr>
        <w:t xml:space="preserve">Fallona, C., Johnson, A. F., &amp; Johnson, A. (2017). </w:t>
      </w:r>
      <w:r w:rsidRPr="00E16853">
        <w:rPr>
          <w:rFonts w:eastAsia="Times New Roman"/>
          <w:lang w:eastAsia="en-AU"/>
        </w:rPr>
        <w:t>An Examination of the Features of Evidence-based Teacher Credentialing Systems, (January).</w:t>
      </w:r>
    </w:p>
    <w:p w14:paraId="62968A8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Fisher, M. (2016). The Social Care Institute for Excellence and Evidence-Based Policy and Practice: Table 1. </w:t>
      </w:r>
      <w:r w:rsidRPr="00E16853">
        <w:rPr>
          <w:rFonts w:eastAsia="Times New Roman"/>
          <w:i/>
          <w:iCs/>
          <w:lang w:eastAsia="en-AU"/>
        </w:rPr>
        <w:t>British Journal of Social Work</w:t>
      </w:r>
      <w:r w:rsidRPr="00E16853">
        <w:rPr>
          <w:rFonts w:eastAsia="Times New Roman"/>
          <w:lang w:eastAsia="en-AU"/>
        </w:rPr>
        <w:t xml:space="preserve">, </w:t>
      </w:r>
      <w:r w:rsidRPr="00E16853">
        <w:rPr>
          <w:rFonts w:eastAsia="Times New Roman"/>
          <w:i/>
          <w:iCs/>
          <w:lang w:eastAsia="en-AU"/>
        </w:rPr>
        <w:t>46</w:t>
      </w:r>
      <w:r w:rsidRPr="00E16853">
        <w:rPr>
          <w:rFonts w:eastAsia="Times New Roman"/>
          <w:lang w:eastAsia="en-AU"/>
        </w:rPr>
        <w:t>(2), 498–513. https://doi.org/10.1093/bjsw/bcu143</w:t>
      </w:r>
    </w:p>
    <w:p w14:paraId="444D903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Forman, E. M., </w:t>
      </w:r>
      <w:proofErr w:type="spellStart"/>
      <w:r w:rsidRPr="00E16853">
        <w:rPr>
          <w:rFonts w:eastAsia="Times New Roman"/>
          <w:lang w:eastAsia="en-AU"/>
        </w:rPr>
        <w:t>Gaudiano</w:t>
      </w:r>
      <w:proofErr w:type="spellEnd"/>
      <w:r w:rsidRPr="00E16853">
        <w:rPr>
          <w:rFonts w:eastAsia="Times New Roman"/>
          <w:lang w:eastAsia="en-AU"/>
        </w:rPr>
        <w:t xml:space="preserve">, B. A., &amp; Herbert, J. D. (2016). Pragmatic recommendations to address challenges in disseminating evidenced-based treatment guidelines. </w:t>
      </w:r>
      <w:r w:rsidRPr="00E16853">
        <w:rPr>
          <w:rFonts w:eastAsia="Times New Roman"/>
          <w:i/>
          <w:iCs/>
          <w:lang w:eastAsia="en-AU"/>
        </w:rPr>
        <w:t>Canadian Psychology</w:t>
      </w:r>
      <w:r w:rsidRPr="00E16853">
        <w:rPr>
          <w:rFonts w:eastAsia="Times New Roman"/>
          <w:lang w:eastAsia="en-AU"/>
        </w:rPr>
        <w:t xml:space="preserve">, </w:t>
      </w:r>
      <w:r w:rsidRPr="00E16853">
        <w:rPr>
          <w:rFonts w:eastAsia="Times New Roman"/>
          <w:i/>
          <w:iCs/>
          <w:lang w:eastAsia="en-AU"/>
        </w:rPr>
        <w:t>57</w:t>
      </w:r>
      <w:r w:rsidRPr="00E16853">
        <w:rPr>
          <w:rFonts w:eastAsia="Times New Roman"/>
          <w:lang w:eastAsia="en-AU"/>
        </w:rPr>
        <w:t>(3), 160–171. https://doi.org/10.1037/cap0000054</w:t>
      </w:r>
    </w:p>
    <w:p w14:paraId="6EA1B39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Fulcher</w:t>
      </w:r>
      <w:proofErr w:type="spellEnd"/>
      <w:r w:rsidRPr="00E16853">
        <w:rPr>
          <w:rFonts w:eastAsia="Times New Roman"/>
          <w:lang w:eastAsia="en-AU"/>
        </w:rPr>
        <w:t xml:space="preserve">, M. (2016). The efficacy of sexuality education for the whole person and all people: An evidence-based approach. Review of Evidence-based approaches to sexuality education: A global perspective. </w:t>
      </w:r>
      <w:r w:rsidRPr="00E16853">
        <w:rPr>
          <w:rFonts w:eastAsia="Times New Roman"/>
          <w:i/>
          <w:iCs/>
          <w:lang w:eastAsia="en-AU"/>
        </w:rPr>
        <w:t>Psychology of Sexual Orientation and Gender Diversity</w:t>
      </w:r>
      <w:r w:rsidRPr="00E16853">
        <w:rPr>
          <w:rFonts w:eastAsia="Times New Roman"/>
          <w:lang w:eastAsia="en-AU"/>
        </w:rPr>
        <w:t xml:space="preserve">, </w:t>
      </w:r>
      <w:r w:rsidRPr="00E16853">
        <w:rPr>
          <w:rFonts w:eastAsia="Times New Roman"/>
          <w:i/>
          <w:iCs/>
          <w:lang w:eastAsia="en-AU"/>
        </w:rPr>
        <w:t>3</w:t>
      </w:r>
      <w:r w:rsidRPr="00E16853">
        <w:rPr>
          <w:rFonts w:eastAsia="Times New Roman"/>
          <w:lang w:eastAsia="en-AU"/>
        </w:rPr>
        <w:t>(2), 257–258. https://doi.org/10.1037/sgd0000181</w:t>
      </w:r>
    </w:p>
    <w:p w14:paraId="4C748BFD"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fi-FI" w:eastAsia="en-AU"/>
        </w:rPr>
        <w:t xml:space="preserve">Goodvin, R., &amp; Lee, S. C. (2017). </w:t>
      </w:r>
      <w:r w:rsidRPr="00E16853">
        <w:rPr>
          <w:rFonts w:eastAsia="Times New Roman"/>
          <w:lang w:eastAsia="en-AU"/>
        </w:rPr>
        <w:t xml:space="preserve">Promises and pitfalls of evidence-based policymaking: Observations from a nonpartisan legislative policy research institute. </w:t>
      </w:r>
      <w:r w:rsidRPr="00E16853">
        <w:rPr>
          <w:rFonts w:eastAsia="Times New Roman"/>
          <w:i/>
          <w:iCs/>
          <w:lang w:eastAsia="en-AU"/>
        </w:rPr>
        <w:t>Psychology, Public Policy, and Law</w:t>
      </w:r>
      <w:r w:rsidRPr="00E16853">
        <w:rPr>
          <w:rFonts w:eastAsia="Times New Roman"/>
          <w:lang w:eastAsia="en-AU"/>
        </w:rPr>
        <w:t xml:space="preserve">, </w:t>
      </w:r>
      <w:r w:rsidRPr="00E16853">
        <w:rPr>
          <w:rFonts w:eastAsia="Times New Roman"/>
          <w:i/>
          <w:iCs/>
          <w:lang w:eastAsia="en-AU"/>
        </w:rPr>
        <w:t>23</w:t>
      </w:r>
      <w:r w:rsidRPr="00E16853">
        <w:rPr>
          <w:rFonts w:eastAsia="Times New Roman"/>
          <w:lang w:eastAsia="en-AU"/>
        </w:rPr>
        <w:t>(4), 490–502. https://doi.org/10.1037/law0000145</w:t>
      </w:r>
    </w:p>
    <w:p w14:paraId="2E2B4FCA"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Hamblen</w:t>
      </w:r>
      <w:proofErr w:type="spellEnd"/>
      <w:r w:rsidRPr="00E16853">
        <w:rPr>
          <w:rFonts w:eastAsia="Times New Roman"/>
          <w:lang w:eastAsia="en-AU"/>
        </w:rPr>
        <w:t xml:space="preserve">, J. L., </w:t>
      </w:r>
      <w:proofErr w:type="spellStart"/>
      <w:r w:rsidRPr="00E16853">
        <w:rPr>
          <w:rFonts w:eastAsia="Times New Roman"/>
          <w:lang w:eastAsia="en-AU"/>
        </w:rPr>
        <w:t>Bernardy</w:t>
      </w:r>
      <w:proofErr w:type="spellEnd"/>
      <w:r w:rsidRPr="00E16853">
        <w:rPr>
          <w:rFonts w:eastAsia="Times New Roman"/>
          <w:lang w:eastAsia="en-AU"/>
        </w:rPr>
        <w:t xml:space="preserve">, N. C., </w:t>
      </w:r>
      <w:proofErr w:type="spellStart"/>
      <w:r w:rsidRPr="00E16853">
        <w:rPr>
          <w:rFonts w:eastAsia="Times New Roman"/>
          <w:lang w:eastAsia="en-AU"/>
        </w:rPr>
        <w:t>Sherrieb</w:t>
      </w:r>
      <w:proofErr w:type="spellEnd"/>
      <w:r w:rsidRPr="00E16853">
        <w:rPr>
          <w:rFonts w:eastAsia="Times New Roman"/>
          <w:lang w:eastAsia="en-AU"/>
        </w:rPr>
        <w:t xml:space="preserve">, K., Norris, F. H., Cook, J. M., Louis, C. A., &amp; </w:t>
      </w:r>
      <w:proofErr w:type="spellStart"/>
      <w:r w:rsidRPr="00E16853">
        <w:rPr>
          <w:rFonts w:eastAsia="Times New Roman"/>
          <w:lang w:eastAsia="en-AU"/>
        </w:rPr>
        <w:t>Schnurr</w:t>
      </w:r>
      <w:proofErr w:type="spellEnd"/>
      <w:r w:rsidRPr="00E16853">
        <w:rPr>
          <w:rFonts w:eastAsia="Times New Roman"/>
          <w:lang w:eastAsia="en-AU"/>
        </w:rPr>
        <w:t xml:space="preserve">, P. P. (2015). VA PTSD clinic director perspectives: How perceptions of readiness influence delivery of evidence-based PTSD treatment. </w:t>
      </w:r>
      <w:r w:rsidRPr="00E16853">
        <w:rPr>
          <w:rFonts w:eastAsia="Times New Roman"/>
          <w:i/>
          <w:iCs/>
          <w:lang w:eastAsia="en-AU"/>
        </w:rPr>
        <w:t>Professional Psychology: Research and Practice</w:t>
      </w:r>
      <w:r w:rsidRPr="00E16853">
        <w:rPr>
          <w:rFonts w:eastAsia="Times New Roman"/>
          <w:lang w:eastAsia="en-AU"/>
        </w:rPr>
        <w:t xml:space="preserve">, </w:t>
      </w:r>
      <w:r w:rsidRPr="00E16853">
        <w:rPr>
          <w:rFonts w:eastAsia="Times New Roman"/>
          <w:i/>
          <w:iCs/>
          <w:lang w:eastAsia="en-AU"/>
        </w:rPr>
        <w:t>46</w:t>
      </w:r>
      <w:r w:rsidRPr="00E16853">
        <w:rPr>
          <w:rFonts w:eastAsia="Times New Roman"/>
          <w:lang w:eastAsia="en-AU"/>
        </w:rPr>
        <w:t>(2), 90–96. https://doi.org/10.1037/a0038535</w:t>
      </w:r>
    </w:p>
    <w:p w14:paraId="4EA0BAEB"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Hanemann</w:t>
      </w:r>
      <w:proofErr w:type="spellEnd"/>
      <w:r w:rsidRPr="00E16853">
        <w:rPr>
          <w:rFonts w:eastAsia="Times New Roman"/>
          <w:lang w:eastAsia="en-AU"/>
        </w:rPr>
        <w:t xml:space="preserve">, U., &amp; </w:t>
      </w:r>
      <w:proofErr w:type="spellStart"/>
      <w:r w:rsidRPr="00E16853">
        <w:rPr>
          <w:rFonts w:eastAsia="Times New Roman"/>
          <w:lang w:eastAsia="en-AU"/>
        </w:rPr>
        <w:t>Scarpino</w:t>
      </w:r>
      <w:proofErr w:type="spellEnd"/>
      <w:r w:rsidRPr="00E16853">
        <w:rPr>
          <w:rFonts w:eastAsia="Times New Roman"/>
          <w:lang w:eastAsia="en-AU"/>
        </w:rPr>
        <w:t xml:space="preserve">, C. (2016). </w:t>
      </w:r>
      <w:r w:rsidRPr="00E16853">
        <w:rPr>
          <w:rFonts w:eastAsia="Times New Roman"/>
          <w:i/>
          <w:iCs/>
          <w:lang w:eastAsia="en-AU"/>
        </w:rPr>
        <w:t>Literacy in multilingual and multicultural contexts: Effective approaches to adult learning and education</w:t>
      </w:r>
      <w:r w:rsidRPr="00E16853">
        <w:rPr>
          <w:rFonts w:eastAsia="Times New Roman"/>
          <w:lang w:eastAsia="en-AU"/>
        </w:rPr>
        <w:t xml:space="preserve">. Hamburg, Germany: UNESCO Institute for Lifelong Learning. </w:t>
      </w:r>
    </w:p>
    <w:p w14:paraId="072FAE9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Henderson, J. L., </w:t>
      </w:r>
      <w:proofErr w:type="spellStart"/>
      <w:r w:rsidRPr="00E16853">
        <w:rPr>
          <w:rFonts w:eastAsia="Times New Roman"/>
          <w:lang w:eastAsia="en-AU"/>
        </w:rPr>
        <w:t>Chaim</w:t>
      </w:r>
      <w:proofErr w:type="spellEnd"/>
      <w:r w:rsidRPr="00E16853">
        <w:rPr>
          <w:rFonts w:eastAsia="Times New Roman"/>
          <w:lang w:eastAsia="en-AU"/>
        </w:rPr>
        <w:t xml:space="preserve">, G., &amp; </w:t>
      </w:r>
      <w:proofErr w:type="spellStart"/>
      <w:r w:rsidRPr="00E16853">
        <w:rPr>
          <w:rFonts w:eastAsia="Times New Roman"/>
          <w:lang w:eastAsia="en-AU"/>
        </w:rPr>
        <w:t>Brownlie</w:t>
      </w:r>
      <w:proofErr w:type="spellEnd"/>
      <w:r w:rsidRPr="00E16853">
        <w:rPr>
          <w:rFonts w:eastAsia="Times New Roman"/>
          <w:lang w:eastAsia="en-AU"/>
        </w:rPr>
        <w:t xml:space="preserve">, E. B. (2017). Collaborating with community-based services to promote evidence-based practice: Process description of a national initiative to improve services for youth with mental health and substance use problems. </w:t>
      </w:r>
      <w:r w:rsidRPr="00E16853">
        <w:rPr>
          <w:rFonts w:eastAsia="Times New Roman"/>
          <w:i/>
          <w:iCs/>
          <w:lang w:eastAsia="en-AU"/>
        </w:rPr>
        <w:t>Psychological Services</w:t>
      </w:r>
      <w:r w:rsidRPr="00E16853">
        <w:rPr>
          <w:rFonts w:eastAsia="Times New Roman"/>
          <w:lang w:eastAsia="en-AU"/>
        </w:rPr>
        <w:t xml:space="preserve">, </w:t>
      </w:r>
      <w:r w:rsidRPr="00E16853">
        <w:rPr>
          <w:rFonts w:eastAsia="Times New Roman"/>
          <w:i/>
          <w:iCs/>
          <w:lang w:eastAsia="en-AU"/>
        </w:rPr>
        <w:t>14</w:t>
      </w:r>
      <w:r w:rsidRPr="00E16853">
        <w:rPr>
          <w:rFonts w:eastAsia="Times New Roman"/>
          <w:lang w:eastAsia="en-AU"/>
        </w:rPr>
        <w:t>(3), 361–372. https://doi.org/10.1037/ser0000145</w:t>
      </w:r>
    </w:p>
    <w:p w14:paraId="4B4A0CA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Innes, S. I., </w:t>
      </w:r>
      <w:proofErr w:type="spellStart"/>
      <w:r w:rsidRPr="00E16853">
        <w:rPr>
          <w:rFonts w:eastAsia="Times New Roman"/>
          <w:lang w:eastAsia="en-AU"/>
        </w:rPr>
        <w:t>Leboeuf-Yde</w:t>
      </w:r>
      <w:proofErr w:type="spellEnd"/>
      <w:r w:rsidRPr="00E16853">
        <w:rPr>
          <w:rFonts w:eastAsia="Times New Roman"/>
          <w:lang w:eastAsia="en-AU"/>
        </w:rPr>
        <w:t xml:space="preserve">, C., &amp; Walker, B. F. (2016). How comprehensively is evidence-based practice represented in councils on chiropractic education (CCE) educational standards: A systematic audit. </w:t>
      </w:r>
      <w:r w:rsidRPr="00E16853">
        <w:rPr>
          <w:rFonts w:eastAsia="Times New Roman"/>
          <w:i/>
          <w:iCs/>
          <w:lang w:eastAsia="en-AU"/>
        </w:rPr>
        <w:t>Chiropractic and Manual Therapies</w:t>
      </w:r>
      <w:r w:rsidRPr="00E16853">
        <w:rPr>
          <w:rFonts w:eastAsia="Times New Roman"/>
          <w:lang w:eastAsia="en-AU"/>
        </w:rPr>
        <w:t xml:space="preserve">, </w:t>
      </w:r>
      <w:r w:rsidRPr="00E16853">
        <w:rPr>
          <w:rFonts w:eastAsia="Times New Roman"/>
          <w:i/>
          <w:iCs/>
          <w:lang w:eastAsia="en-AU"/>
        </w:rPr>
        <w:t>24</w:t>
      </w:r>
      <w:r w:rsidRPr="00E16853">
        <w:rPr>
          <w:rFonts w:eastAsia="Times New Roman"/>
          <w:lang w:eastAsia="en-AU"/>
        </w:rPr>
        <w:t>(1), 1–8. https://doi.org/10.1186/s12998-016-0112-0</w:t>
      </w:r>
    </w:p>
    <w:p w14:paraId="72D36FA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Irwin, M., &amp; </w:t>
      </w:r>
      <w:proofErr w:type="spellStart"/>
      <w:r w:rsidRPr="00E16853">
        <w:rPr>
          <w:rFonts w:eastAsia="Times New Roman"/>
          <w:lang w:eastAsia="en-AU"/>
        </w:rPr>
        <w:t>Supplee</w:t>
      </w:r>
      <w:proofErr w:type="spellEnd"/>
      <w:r w:rsidRPr="00E16853">
        <w:rPr>
          <w:rFonts w:eastAsia="Times New Roman"/>
          <w:lang w:eastAsia="en-AU"/>
        </w:rPr>
        <w:t xml:space="preserve">, L. H. (2012). Directions in Implementation Research Methods for </w:t>
      </w:r>
      <w:proofErr w:type="spellStart"/>
      <w:r w:rsidRPr="00E16853">
        <w:rPr>
          <w:rFonts w:eastAsia="Times New Roman"/>
          <w:lang w:eastAsia="en-AU"/>
        </w:rPr>
        <w:t>Behavioral</w:t>
      </w:r>
      <w:proofErr w:type="spellEnd"/>
      <w:r w:rsidRPr="00E16853">
        <w:rPr>
          <w:rFonts w:eastAsia="Times New Roman"/>
          <w:lang w:eastAsia="en-AU"/>
        </w:rPr>
        <w:t xml:space="preserve"> and Social Science. </w:t>
      </w:r>
      <w:r w:rsidRPr="00E16853">
        <w:rPr>
          <w:rFonts w:eastAsia="Times New Roman"/>
          <w:i/>
          <w:iCs/>
          <w:lang w:eastAsia="en-AU"/>
        </w:rPr>
        <w:t xml:space="preserve">The Journal of </w:t>
      </w:r>
      <w:proofErr w:type="spellStart"/>
      <w:r w:rsidRPr="00E16853">
        <w:rPr>
          <w:rFonts w:eastAsia="Times New Roman"/>
          <w:i/>
          <w:iCs/>
          <w:lang w:eastAsia="en-AU"/>
        </w:rPr>
        <w:t>Behavioral</w:t>
      </w:r>
      <w:proofErr w:type="spellEnd"/>
      <w:r w:rsidRPr="00E16853">
        <w:rPr>
          <w:rFonts w:eastAsia="Times New Roman"/>
          <w:i/>
          <w:iCs/>
          <w:lang w:eastAsia="en-AU"/>
        </w:rPr>
        <w:t xml:space="preserve"> Health Services &amp; Research</w:t>
      </w:r>
      <w:r w:rsidRPr="00E16853">
        <w:rPr>
          <w:rFonts w:eastAsia="Times New Roman"/>
          <w:lang w:eastAsia="en-AU"/>
        </w:rPr>
        <w:t xml:space="preserve">, </w:t>
      </w:r>
      <w:r w:rsidRPr="00E16853">
        <w:rPr>
          <w:rFonts w:eastAsia="Times New Roman"/>
          <w:i/>
          <w:iCs/>
          <w:lang w:eastAsia="en-AU"/>
        </w:rPr>
        <w:t>39</w:t>
      </w:r>
      <w:r w:rsidRPr="00E16853">
        <w:rPr>
          <w:rFonts w:eastAsia="Times New Roman"/>
          <w:lang w:eastAsia="en-AU"/>
        </w:rPr>
        <w:t>(4), 339–342. https://doi.org/10.1007/s11414-012-9293-z</w:t>
      </w:r>
    </w:p>
    <w:p w14:paraId="346F3A7A" w14:textId="77777777" w:rsidR="0093470E" w:rsidRPr="00E16853" w:rsidRDefault="0093470E" w:rsidP="0093470E">
      <w:pPr>
        <w:spacing w:before="100" w:beforeAutospacing="1" w:after="100" w:afterAutospacing="1"/>
        <w:rPr>
          <w:rFonts w:eastAsia="Times New Roman"/>
          <w:lang w:eastAsia="en-AU"/>
        </w:rPr>
      </w:pPr>
      <w:r w:rsidRPr="00E16853">
        <w:rPr>
          <w:rFonts w:eastAsia="Times New Roman"/>
          <w:lang w:eastAsia="en-AU"/>
        </w:rPr>
        <w:t xml:space="preserve">Kelly, J. (2017). </w:t>
      </w:r>
      <w:r w:rsidRPr="00E16853">
        <w:rPr>
          <w:rFonts w:eastAsia="Times New Roman"/>
          <w:i/>
          <w:lang w:eastAsia="en-AU"/>
        </w:rPr>
        <w:t>The European Leisure Travel Industry</w:t>
      </w:r>
      <w:r w:rsidRPr="00E16853">
        <w:rPr>
          <w:rFonts w:eastAsia="Times New Roman"/>
          <w:lang w:eastAsia="en-AU"/>
        </w:rPr>
        <w:t xml:space="preserve">. Mintel Group. </w:t>
      </w:r>
    </w:p>
    <w:p w14:paraId="2A2327DF" w14:textId="77777777" w:rsidR="0093470E" w:rsidRPr="00E16853" w:rsidRDefault="0093470E" w:rsidP="0093470E">
      <w:pPr>
        <w:spacing w:before="100" w:beforeAutospacing="1" w:after="100" w:afterAutospacing="1"/>
        <w:rPr>
          <w:rFonts w:eastAsia="Times New Roman"/>
          <w:lang w:eastAsia="en-AU"/>
        </w:rPr>
      </w:pPr>
      <w:r w:rsidRPr="00E16853">
        <w:rPr>
          <w:rFonts w:eastAsia="Times New Roman"/>
          <w:lang w:eastAsia="en-AU"/>
        </w:rPr>
        <w:t xml:space="preserve">Kelly, J. (2014). </w:t>
      </w:r>
      <w:r w:rsidRPr="00E16853">
        <w:rPr>
          <w:rFonts w:eastAsia="Times New Roman"/>
          <w:i/>
          <w:lang w:eastAsia="en-AU"/>
        </w:rPr>
        <w:t>The Changing Face of Technology in Travel and Tourism</w:t>
      </w:r>
      <w:r w:rsidRPr="00E16853">
        <w:rPr>
          <w:rFonts w:eastAsia="Times New Roman"/>
          <w:lang w:eastAsia="en-AU"/>
        </w:rPr>
        <w:t xml:space="preserve">. Mintel Group. </w:t>
      </w:r>
    </w:p>
    <w:p w14:paraId="21BD6FC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Kelly, J. (2013). </w:t>
      </w:r>
      <w:r w:rsidRPr="00E16853">
        <w:rPr>
          <w:rFonts w:eastAsia="Times New Roman"/>
          <w:i/>
          <w:lang w:eastAsia="en-AU"/>
        </w:rPr>
        <w:t xml:space="preserve">Gap Year Travel in Australasia. </w:t>
      </w:r>
      <w:r w:rsidRPr="00E16853">
        <w:rPr>
          <w:rFonts w:eastAsia="Times New Roman"/>
          <w:lang w:eastAsia="en-AU"/>
        </w:rPr>
        <w:t xml:space="preserve">Mintel Group. </w:t>
      </w:r>
    </w:p>
    <w:p w14:paraId="7B75EFF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Kelly, J. (2013). </w:t>
      </w:r>
      <w:r w:rsidRPr="00E16853">
        <w:rPr>
          <w:rFonts w:eastAsia="Times New Roman"/>
          <w:i/>
          <w:lang w:eastAsia="en-AU"/>
        </w:rPr>
        <w:t>Responsible Tourism</w:t>
      </w:r>
      <w:r w:rsidRPr="00E16853">
        <w:rPr>
          <w:rFonts w:eastAsia="Times New Roman"/>
          <w:lang w:eastAsia="en-AU"/>
        </w:rPr>
        <w:t xml:space="preserve">. Mintel Group.  </w:t>
      </w:r>
    </w:p>
    <w:p w14:paraId="7684E72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Kelly, J. (2011). </w:t>
      </w:r>
      <w:r w:rsidRPr="00E16853">
        <w:rPr>
          <w:rFonts w:eastAsia="Times New Roman"/>
          <w:i/>
          <w:lang w:eastAsia="en-AU"/>
        </w:rPr>
        <w:t xml:space="preserve">European Leisure Travel Industry – March 2011. </w:t>
      </w:r>
      <w:r w:rsidRPr="00E16853">
        <w:rPr>
          <w:rFonts w:eastAsia="Times New Roman"/>
          <w:lang w:eastAsia="en-AU"/>
        </w:rPr>
        <w:t xml:space="preserve">Mintel Group. </w:t>
      </w:r>
    </w:p>
    <w:p w14:paraId="63A46AA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Kelly, J. (2011). </w:t>
      </w:r>
      <w:r w:rsidRPr="00E16853">
        <w:rPr>
          <w:rFonts w:eastAsia="Times New Roman"/>
          <w:i/>
          <w:lang w:eastAsia="en-AU"/>
        </w:rPr>
        <w:t xml:space="preserve">Green Innovations in Tourism – International. </w:t>
      </w:r>
      <w:r w:rsidRPr="00E16853">
        <w:rPr>
          <w:rFonts w:eastAsia="Times New Roman"/>
          <w:lang w:eastAsia="en-AU"/>
        </w:rPr>
        <w:t xml:space="preserve">Mintel Group. </w:t>
      </w:r>
    </w:p>
    <w:p w14:paraId="359C7E6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Kelly, J. (2011). </w:t>
      </w:r>
      <w:r w:rsidRPr="00E16853">
        <w:rPr>
          <w:rFonts w:eastAsia="Times New Roman"/>
          <w:i/>
          <w:lang w:eastAsia="en-AU"/>
        </w:rPr>
        <w:t xml:space="preserve">Rail Travel Worldwide. </w:t>
      </w:r>
      <w:r w:rsidRPr="00E16853">
        <w:rPr>
          <w:rFonts w:eastAsia="Times New Roman"/>
          <w:lang w:eastAsia="en-AU"/>
        </w:rPr>
        <w:t xml:space="preserve">Mintel Group. </w:t>
      </w:r>
    </w:p>
    <w:p w14:paraId="4FA936CA" w14:textId="77777777" w:rsidR="0093470E" w:rsidRPr="00E16853" w:rsidRDefault="0093470E" w:rsidP="0093470E">
      <w:pPr>
        <w:spacing w:before="100" w:beforeAutospacing="1" w:after="100" w:afterAutospacing="1"/>
        <w:ind w:left="480" w:hanging="480"/>
        <w:rPr>
          <w:rFonts w:eastAsia="Times New Roman"/>
          <w:lang w:eastAsia="en-AU"/>
        </w:rPr>
      </w:pPr>
      <w:r w:rsidRPr="001416C5">
        <w:rPr>
          <w:rFonts w:eastAsia="Times New Roman"/>
          <w:lang w:val="pt-BR" w:eastAsia="en-AU"/>
        </w:rPr>
        <w:t xml:space="preserve">King  De Silva, M., Stein A, Patel V., E. (2009). </w:t>
      </w:r>
      <w:r w:rsidRPr="00E16853">
        <w:rPr>
          <w:rFonts w:eastAsia="Times New Roman"/>
          <w:lang w:eastAsia="en-AU"/>
        </w:rPr>
        <w:t xml:space="preserve">Interventions for improving the psychosocial well-being of children affected by HIV and AIDS. </w:t>
      </w:r>
      <w:r w:rsidRPr="00E16853">
        <w:rPr>
          <w:rFonts w:eastAsia="Times New Roman"/>
          <w:i/>
          <w:iCs/>
          <w:lang w:eastAsia="en-AU"/>
        </w:rPr>
        <w:t>Cochrane Database of Systematic Reviews 2009</w:t>
      </w:r>
      <w:r w:rsidRPr="00E16853">
        <w:rPr>
          <w:rFonts w:eastAsia="Times New Roman"/>
          <w:lang w:eastAsia="en-AU"/>
        </w:rPr>
        <w:t>, (2). https://doi.org/10.1002/14651858.CD006733.pub2</w:t>
      </w:r>
    </w:p>
    <w:p w14:paraId="29A7BE4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Kingston, B., </w:t>
      </w:r>
      <w:proofErr w:type="spellStart"/>
      <w:r w:rsidRPr="00E16853">
        <w:rPr>
          <w:rFonts w:eastAsia="Times New Roman"/>
          <w:lang w:eastAsia="en-AU"/>
        </w:rPr>
        <w:t>Bacallao</w:t>
      </w:r>
      <w:proofErr w:type="spellEnd"/>
      <w:r w:rsidRPr="00E16853">
        <w:rPr>
          <w:rFonts w:eastAsia="Times New Roman"/>
          <w:lang w:eastAsia="en-AU"/>
        </w:rPr>
        <w:t xml:space="preserve">, M., </w:t>
      </w:r>
      <w:proofErr w:type="spellStart"/>
      <w:r w:rsidRPr="00E16853">
        <w:rPr>
          <w:rFonts w:eastAsia="Times New Roman"/>
          <w:lang w:eastAsia="en-AU"/>
        </w:rPr>
        <w:t>Smokowski</w:t>
      </w:r>
      <w:proofErr w:type="spellEnd"/>
      <w:r w:rsidRPr="00E16853">
        <w:rPr>
          <w:rFonts w:eastAsia="Times New Roman"/>
          <w:lang w:eastAsia="en-AU"/>
        </w:rPr>
        <w:t xml:space="preserve">, P., Sullivan, T., &amp; Sutherland, K. (2016). Constructing “Packages” of Evidence-Based Programs to Prevent Youth Violence: Processes and Illustrative Examples From the CDC’s Youth Violence Prevention </w:t>
      </w:r>
      <w:proofErr w:type="spellStart"/>
      <w:r w:rsidRPr="00E16853">
        <w:rPr>
          <w:rFonts w:eastAsia="Times New Roman"/>
          <w:lang w:eastAsia="en-AU"/>
        </w:rPr>
        <w:t>Centers</w:t>
      </w:r>
      <w:proofErr w:type="spellEnd"/>
      <w:r w:rsidRPr="00E16853">
        <w:rPr>
          <w:rFonts w:eastAsia="Times New Roman"/>
          <w:lang w:eastAsia="en-AU"/>
        </w:rPr>
        <w:t xml:space="preserve">. </w:t>
      </w:r>
      <w:r w:rsidRPr="00E16853">
        <w:rPr>
          <w:rFonts w:eastAsia="Times New Roman"/>
          <w:i/>
          <w:iCs/>
          <w:lang w:eastAsia="en-AU"/>
        </w:rPr>
        <w:t>Journal of Primary Prevention</w:t>
      </w:r>
      <w:r w:rsidRPr="00E16853">
        <w:rPr>
          <w:rFonts w:eastAsia="Times New Roman"/>
          <w:lang w:eastAsia="en-AU"/>
        </w:rPr>
        <w:t xml:space="preserve">, </w:t>
      </w:r>
      <w:r w:rsidRPr="00E16853">
        <w:rPr>
          <w:rFonts w:eastAsia="Times New Roman"/>
          <w:i/>
          <w:iCs/>
          <w:lang w:eastAsia="en-AU"/>
        </w:rPr>
        <w:t>37</w:t>
      </w:r>
      <w:r w:rsidRPr="00E16853">
        <w:rPr>
          <w:rFonts w:eastAsia="Times New Roman"/>
          <w:lang w:eastAsia="en-AU"/>
        </w:rPr>
        <w:t>(2), 141–163. https://doi.org/10.1007/s10935-016-0423-x</w:t>
      </w:r>
    </w:p>
    <w:p w14:paraId="233B439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Lancaster, K. (2016). Performing the evidence-based drug policy paradigm. </w:t>
      </w:r>
      <w:r w:rsidRPr="00E16853">
        <w:rPr>
          <w:rFonts w:eastAsia="Times New Roman"/>
          <w:i/>
          <w:iCs/>
          <w:lang w:eastAsia="en-AU"/>
        </w:rPr>
        <w:t>Contemporary Drug Problems</w:t>
      </w:r>
      <w:r w:rsidRPr="00E16853">
        <w:rPr>
          <w:rFonts w:eastAsia="Times New Roman"/>
          <w:lang w:eastAsia="en-AU"/>
        </w:rPr>
        <w:t xml:space="preserve">, </w:t>
      </w:r>
      <w:r w:rsidRPr="00E16853">
        <w:rPr>
          <w:rFonts w:eastAsia="Times New Roman"/>
          <w:i/>
          <w:iCs/>
          <w:lang w:eastAsia="en-AU"/>
        </w:rPr>
        <w:t>43</w:t>
      </w:r>
      <w:r w:rsidRPr="00E16853">
        <w:rPr>
          <w:rFonts w:eastAsia="Times New Roman"/>
          <w:lang w:eastAsia="en-AU"/>
        </w:rPr>
        <w:t>(2), 142–153. https://doi.org/10.1177/0091450916633306</w:t>
      </w:r>
    </w:p>
    <w:p w14:paraId="339BFE1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League, K., </w:t>
      </w:r>
      <w:proofErr w:type="spellStart"/>
      <w:r w:rsidRPr="00E16853">
        <w:rPr>
          <w:rFonts w:eastAsia="Times New Roman"/>
          <w:lang w:eastAsia="en-AU"/>
        </w:rPr>
        <w:t>Christenbery</w:t>
      </w:r>
      <w:proofErr w:type="spellEnd"/>
      <w:r w:rsidRPr="00E16853">
        <w:rPr>
          <w:rFonts w:eastAsia="Times New Roman"/>
          <w:lang w:eastAsia="en-AU"/>
        </w:rPr>
        <w:t xml:space="preserve">, T., Sandlin, V., </w:t>
      </w:r>
      <w:proofErr w:type="spellStart"/>
      <w:r w:rsidRPr="00E16853">
        <w:rPr>
          <w:rFonts w:eastAsia="Times New Roman"/>
          <w:lang w:eastAsia="en-AU"/>
        </w:rPr>
        <w:t>Arnow</w:t>
      </w:r>
      <w:proofErr w:type="spellEnd"/>
      <w:r w:rsidRPr="00E16853">
        <w:rPr>
          <w:rFonts w:eastAsia="Times New Roman"/>
          <w:lang w:eastAsia="en-AU"/>
        </w:rPr>
        <w:t xml:space="preserve">, D., Moss, K., &amp; Wells, N. (2012). Increasing Nurses’ Access to Evidence Through a Web-Based Resource. </w:t>
      </w:r>
      <w:r w:rsidRPr="00E16853">
        <w:rPr>
          <w:rFonts w:eastAsia="Times New Roman"/>
          <w:i/>
          <w:iCs/>
          <w:lang w:eastAsia="en-AU"/>
        </w:rPr>
        <w:t>JONA: The Journal of Nursing Administration</w:t>
      </w:r>
      <w:r w:rsidRPr="00E16853">
        <w:rPr>
          <w:rFonts w:eastAsia="Times New Roman"/>
          <w:lang w:eastAsia="en-AU"/>
        </w:rPr>
        <w:t xml:space="preserve">, </w:t>
      </w:r>
      <w:r w:rsidRPr="00E16853">
        <w:rPr>
          <w:rFonts w:eastAsia="Times New Roman"/>
          <w:i/>
          <w:iCs/>
          <w:lang w:eastAsia="en-AU"/>
        </w:rPr>
        <w:t>42</w:t>
      </w:r>
      <w:r w:rsidRPr="00E16853">
        <w:rPr>
          <w:rFonts w:eastAsia="Times New Roman"/>
          <w:lang w:eastAsia="en-AU"/>
        </w:rPr>
        <w:t>(11), 531–535. https://doi.org/10.1097/NNA.0b013e3182714476</w:t>
      </w:r>
    </w:p>
    <w:p w14:paraId="026FD88E"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Leffler</w:t>
      </w:r>
      <w:proofErr w:type="spellEnd"/>
      <w:r w:rsidRPr="00E16853">
        <w:rPr>
          <w:rFonts w:eastAsia="Times New Roman"/>
          <w:lang w:eastAsia="en-AU"/>
        </w:rPr>
        <w:t xml:space="preserve">, J. M., Jackson, Y., West, A. E., McCarty, C. A., &amp; Atkins, M. S. (2013). Training in evidence-based practice across the professional continuum. </w:t>
      </w:r>
      <w:r w:rsidRPr="00E16853">
        <w:rPr>
          <w:rFonts w:eastAsia="Times New Roman"/>
          <w:i/>
          <w:iCs/>
          <w:lang w:eastAsia="en-AU"/>
        </w:rPr>
        <w:t>Professional Psychology: Research and Practice</w:t>
      </w:r>
      <w:r w:rsidRPr="00E16853">
        <w:rPr>
          <w:rFonts w:eastAsia="Times New Roman"/>
          <w:lang w:eastAsia="en-AU"/>
        </w:rPr>
        <w:t xml:space="preserve">, </w:t>
      </w:r>
      <w:r w:rsidRPr="00E16853">
        <w:rPr>
          <w:rFonts w:eastAsia="Times New Roman"/>
          <w:i/>
          <w:iCs/>
          <w:lang w:eastAsia="en-AU"/>
        </w:rPr>
        <w:t>44</w:t>
      </w:r>
      <w:r w:rsidRPr="00E16853">
        <w:rPr>
          <w:rFonts w:eastAsia="Times New Roman"/>
          <w:lang w:eastAsia="en-AU"/>
        </w:rPr>
        <w:t>(1), 20–28. https://doi.org/10.1037/a0029241</w:t>
      </w:r>
    </w:p>
    <w:p w14:paraId="17D3806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McGagh</w:t>
      </w:r>
      <w:proofErr w:type="spellEnd"/>
      <w:r w:rsidRPr="00E16853">
        <w:rPr>
          <w:rFonts w:eastAsia="Times New Roman"/>
          <w:lang w:eastAsia="en-AU"/>
        </w:rPr>
        <w:t xml:space="preserve">, J., Marsh, H., Western, M., Thomas, P., Hastings, A., </w:t>
      </w:r>
      <w:proofErr w:type="spellStart"/>
      <w:r w:rsidRPr="00E16853">
        <w:rPr>
          <w:rFonts w:eastAsia="Times New Roman"/>
          <w:lang w:eastAsia="en-AU"/>
        </w:rPr>
        <w:t>Mihailova</w:t>
      </w:r>
      <w:proofErr w:type="spellEnd"/>
      <w:r w:rsidRPr="00E16853">
        <w:rPr>
          <w:rFonts w:eastAsia="Times New Roman"/>
          <w:lang w:eastAsia="en-AU"/>
        </w:rPr>
        <w:t xml:space="preserve">, M., &amp; Wenham, M. (2016). </w:t>
      </w:r>
      <w:r w:rsidRPr="00E16853">
        <w:rPr>
          <w:rFonts w:eastAsia="Times New Roman"/>
          <w:i/>
          <w:iCs/>
          <w:lang w:eastAsia="en-AU"/>
        </w:rPr>
        <w:t>Review of Australia’s Research Training System</w:t>
      </w:r>
      <w:r w:rsidRPr="00E16853">
        <w:rPr>
          <w:rFonts w:eastAsia="Times New Roman"/>
          <w:i/>
          <w:lang w:eastAsia="en-AU"/>
        </w:rPr>
        <w:t xml:space="preserve">. </w:t>
      </w:r>
      <w:r w:rsidRPr="00E16853">
        <w:rPr>
          <w:rFonts w:eastAsia="Times New Roman"/>
          <w:lang w:eastAsia="en-AU"/>
        </w:rPr>
        <w:t>Report for the Australian Council of Learning Academics. Retrieved from http://acola.org.au/PDF/SAF13/SAF13%20RTS%20report.pdf</w:t>
      </w:r>
    </w:p>
    <w:p w14:paraId="27F1A77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Means, S. N., </w:t>
      </w:r>
      <w:proofErr w:type="spellStart"/>
      <w:r w:rsidRPr="00E16853">
        <w:rPr>
          <w:rFonts w:eastAsia="Times New Roman"/>
          <w:lang w:eastAsia="en-AU"/>
        </w:rPr>
        <w:t>Magura</w:t>
      </w:r>
      <w:proofErr w:type="spellEnd"/>
      <w:r w:rsidRPr="00E16853">
        <w:rPr>
          <w:rFonts w:eastAsia="Times New Roman"/>
          <w:lang w:eastAsia="en-AU"/>
        </w:rPr>
        <w:t xml:space="preserve">, S., </w:t>
      </w:r>
      <w:proofErr w:type="spellStart"/>
      <w:r w:rsidRPr="00E16853">
        <w:rPr>
          <w:rFonts w:eastAsia="Times New Roman"/>
          <w:lang w:eastAsia="en-AU"/>
        </w:rPr>
        <w:t>Burkhardt</w:t>
      </w:r>
      <w:proofErr w:type="spellEnd"/>
      <w:r w:rsidRPr="00E16853">
        <w:rPr>
          <w:rFonts w:eastAsia="Times New Roman"/>
          <w:lang w:eastAsia="en-AU"/>
        </w:rPr>
        <w:t xml:space="preserve">, J. T., </w:t>
      </w:r>
      <w:proofErr w:type="spellStart"/>
      <w:r w:rsidRPr="00E16853">
        <w:rPr>
          <w:rFonts w:eastAsia="Times New Roman"/>
          <w:lang w:eastAsia="en-AU"/>
        </w:rPr>
        <w:t>Schröter</w:t>
      </w:r>
      <w:proofErr w:type="spellEnd"/>
      <w:r w:rsidRPr="00E16853">
        <w:rPr>
          <w:rFonts w:eastAsia="Times New Roman"/>
          <w:lang w:eastAsia="en-AU"/>
        </w:rPr>
        <w:t xml:space="preserve">, D. C., &amp; </w:t>
      </w:r>
      <w:proofErr w:type="spellStart"/>
      <w:r w:rsidRPr="00E16853">
        <w:rPr>
          <w:rFonts w:eastAsia="Times New Roman"/>
          <w:lang w:eastAsia="en-AU"/>
        </w:rPr>
        <w:t>Coryn</w:t>
      </w:r>
      <w:proofErr w:type="spellEnd"/>
      <w:r w:rsidRPr="00E16853">
        <w:rPr>
          <w:rFonts w:eastAsia="Times New Roman"/>
          <w:lang w:eastAsia="en-AU"/>
        </w:rPr>
        <w:t xml:space="preserve">, C. L. S. (2015). Comparing rating paradigms for evidence-based program registers in </w:t>
      </w:r>
      <w:proofErr w:type="spellStart"/>
      <w:r w:rsidRPr="00E16853">
        <w:rPr>
          <w:rFonts w:eastAsia="Times New Roman"/>
          <w:lang w:eastAsia="en-AU"/>
        </w:rPr>
        <w:t>behavioral</w:t>
      </w:r>
      <w:proofErr w:type="spellEnd"/>
      <w:r w:rsidRPr="00E16853">
        <w:rPr>
          <w:rFonts w:eastAsia="Times New Roman"/>
          <w:lang w:eastAsia="en-AU"/>
        </w:rPr>
        <w:t xml:space="preserve"> health: Evidentiary criteria and implications for assessing programs. </w:t>
      </w:r>
      <w:r w:rsidRPr="00E16853">
        <w:rPr>
          <w:rFonts w:eastAsia="Times New Roman"/>
          <w:i/>
          <w:iCs/>
          <w:lang w:eastAsia="en-AU"/>
        </w:rPr>
        <w:t>Evaluation and Program Planning</w:t>
      </w:r>
      <w:r w:rsidRPr="00E16853">
        <w:rPr>
          <w:rFonts w:eastAsia="Times New Roman"/>
          <w:lang w:eastAsia="en-AU"/>
        </w:rPr>
        <w:t xml:space="preserve">, </w:t>
      </w:r>
      <w:r w:rsidRPr="00E16853">
        <w:rPr>
          <w:rFonts w:eastAsia="Times New Roman"/>
          <w:i/>
          <w:iCs/>
          <w:lang w:eastAsia="en-AU"/>
        </w:rPr>
        <w:t>48</w:t>
      </w:r>
      <w:r w:rsidRPr="00E16853">
        <w:rPr>
          <w:rFonts w:eastAsia="Times New Roman"/>
          <w:lang w:eastAsia="en-AU"/>
        </w:rPr>
        <w:t>, 100–116. https://doi.org/10.1016/j.evalprogplan.2014.09.007</w:t>
      </w:r>
    </w:p>
    <w:p w14:paraId="7CB26BF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Miao, F., Mishra, S., &amp; </w:t>
      </w:r>
      <w:proofErr w:type="spellStart"/>
      <w:r w:rsidRPr="00E16853">
        <w:rPr>
          <w:rFonts w:eastAsia="Times New Roman"/>
          <w:lang w:eastAsia="en-AU"/>
        </w:rPr>
        <w:t>Mcgreal</w:t>
      </w:r>
      <w:proofErr w:type="spellEnd"/>
      <w:r w:rsidRPr="00E16853">
        <w:rPr>
          <w:rFonts w:eastAsia="Times New Roman"/>
          <w:lang w:eastAsia="en-AU"/>
        </w:rPr>
        <w:t xml:space="preserve">, R. (Eds.). (2016). </w:t>
      </w:r>
      <w:r w:rsidRPr="00E16853">
        <w:rPr>
          <w:rFonts w:eastAsia="Times New Roman"/>
          <w:i/>
          <w:lang w:eastAsia="en-AU"/>
        </w:rPr>
        <w:t>Open educational resources: Policy, costs and transformation.</w:t>
      </w:r>
      <w:r w:rsidRPr="00E16853">
        <w:rPr>
          <w:rFonts w:eastAsia="Times New Roman"/>
          <w:lang w:eastAsia="en-AU"/>
        </w:rPr>
        <w:t xml:space="preserve"> Paris, France: UNESCO. </w:t>
      </w:r>
    </w:p>
    <w:p w14:paraId="63E5374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lastRenderedPageBreak/>
        <w:t>Michelsen</w:t>
      </w:r>
      <w:proofErr w:type="spellEnd"/>
      <w:r w:rsidRPr="00E16853">
        <w:rPr>
          <w:rFonts w:eastAsia="Times New Roman"/>
          <w:lang w:eastAsia="en-AU"/>
        </w:rPr>
        <w:t xml:space="preserve">, G., &amp; Wells, P. J. (2017). </w:t>
      </w:r>
      <w:r w:rsidRPr="00E16853">
        <w:rPr>
          <w:rFonts w:eastAsia="Times New Roman"/>
          <w:i/>
          <w:lang w:eastAsia="en-AU"/>
        </w:rPr>
        <w:t>A Decade of Progress on Education for Sustainable Development Reflections from the UNESCO Chairs Programme.</w:t>
      </w:r>
      <w:r w:rsidRPr="00E16853">
        <w:rPr>
          <w:rFonts w:eastAsia="Times New Roman"/>
          <w:lang w:eastAsia="en-AU"/>
        </w:rPr>
        <w:t xml:space="preserve"> Paris, France: UNESCO. Retrieved from http://unesdoc.unesco.org/images/0025/002523/252319e.pdf</w:t>
      </w:r>
    </w:p>
    <w:p w14:paraId="6B876AF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Mintel Group Ltd. (2014). The Changing Face of Technology in Travel and Tourism - August 2014.</w:t>
      </w:r>
    </w:p>
    <w:p w14:paraId="451ECE4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Moyers, P. A., Finch Guthrie, P. L., Swan, A. R., &amp; </w:t>
      </w:r>
      <w:proofErr w:type="spellStart"/>
      <w:r w:rsidRPr="00E16853">
        <w:rPr>
          <w:rFonts w:eastAsia="Times New Roman"/>
          <w:lang w:eastAsia="en-AU"/>
        </w:rPr>
        <w:t>Sathe</w:t>
      </w:r>
      <w:proofErr w:type="spellEnd"/>
      <w:r w:rsidRPr="00E16853">
        <w:rPr>
          <w:rFonts w:eastAsia="Times New Roman"/>
          <w:lang w:eastAsia="en-AU"/>
        </w:rPr>
        <w:t xml:space="preserve">, L. A. (2014). </w:t>
      </w:r>
      <w:proofErr w:type="spellStart"/>
      <w:r w:rsidRPr="00E16853">
        <w:rPr>
          <w:rFonts w:eastAsia="Times New Roman"/>
          <w:lang w:eastAsia="en-AU"/>
        </w:rPr>
        <w:t>Interprofessional</w:t>
      </w:r>
      <w:proofErr w:type="spellEnd"/>
      <w:r w:rsidRPr="00E16853">
        <w:rPr>
          <w:rFonts w:eastAsia="Times New Roman"/>
          <w:lang w:eastAsia="en-AU"/>
        </w:rPr>
        <w:t xml:space="preserve"> evidence-Based clinical scholar program: Learning to work together. </w:t>
      </w:r>
      <w:r w:rsidRPr="00E16853">
        <w:rPr>
          <w:rFonts w:eastAsia="Times New Roman"/>
          <w:i/>
          <w:iCs/>
          <w:lang w:eastAsia="en-AU"/>
        </w:rPr>
        <w:t>American Journal of Occupational Therapy</w:t>
      </w:r>
      <w:r w:rsidRPr="00E16853">
        <w:rPr>
          <w:rFonts w:eastAsia="Times New Roman"/>
          <w:lang w:eastAsia="en-AU"/>
        </w:rPr>
        <w:t xml:space="preserve">, </w:t>
      </w:r>
      <w:r w:rsidRPr="00E16853">
        <w:rPr>
          <w:rFonts w:eastAsia="Times New Roman"/>
          <w:i/>
          <w:iCs/>
          <w:lang w:eastAsia="en-AU"/>
        </w:rPr>
        <w:t>68</w:t>
      </w:r>
      <w:r w:rsidRPr="00E16853">
        <w:rPr>
          <w:rFonts w:eastAsia="Times New Roman"/>
          <w:lang w:eastAsia="en-AU"/>
        </w:rPr>
        <w:t>, S23–S31. https://doi.org/10.5014/ajot.2014.012609</w:t>
      </w:r>
    </w:p>
    <w:p w14:paraId="49DC907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Pan American Health Organisation. (2002). </w:t>
      </w:r>
      <w:r w:rsidRPr="00E16853">
        <w:rPr>
          <w:rFonts w:eastAsia="Times New Roman"/>
          <w:i/>
          <w:lang w:eastAsia="en-AU"/>
        </w:rPr>
        <w:t>Public Health in the Americas: Conceptual Renewal, Performance Assessment and bases for action.</w:t>
      </w:r>
      <w:r w:rsidRPr="00E16853">
        <w:rPr>
          <w:rFonts w:eastAsia="Times New Roman"/>
          <w:lang w:eastAsia="en-AU"/>
        </w:rPr>
        <w:t xml:space="preserve"> Washington, D.C.: Pan American Health Organisation. Retrieved from http://iris.paho.org/xmlui/handle/123456789/2748%0Ahttps://books.google.com.gh/books?id=UGZGwi20Ej0C&amp;pg=PA33&amp;lpg=PA33&amp;dq=Sapirie+(2000)&amp;source=bl&amp;ots=1Ke31cL0uM&amp;sig=9IJ2vl59blvyRGVfFBZNTftds1Y&amp;hl=en&amp;sa=X&amp;ved=0ahUKEwi49pLKssPOAhWGtxoKHQZXBmIQ6AEILDAE#v=one</w:t>
      </w:r>
    </w:p>
    <w:p w14:paraId="2D9F5683"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Petkovic</w:t>
      </w:r>
      <w:proofErr w:type="spellEnd"/>
      <w:r w:rsidRPr="00E16853">
        <w:rPr>
          <w:rFonts w:eastAsia="Times New Roman"/>
          <w:lang w:eastAsia="en-AU"/>
        </w:rPr>
        <w:t xml:space="preserve">, J., Welch, V., &amp; </w:t>
      </w:r>
      <w:proofErr w:type="spellStart"/>
      <w:r w:rsidRPr="00E16853">
        <w:rPr>
          <w:rFonts w:eastAsia="Times New Roman"/>
          <w:lang w:eastAsia="en-AU"/>
        </w:rPr>
        <w:t>Tugwell</w:t>
      </w:r>
      <w:proofErr w:type="spellEnd"/>
      <w:r w:rsidRPr="00E16853">
        <w:rPr>
          <w:rFonts w:eastAsia="Times New Roman"/>
          <w:lang w:eastAsia="en-AU"/>
        </w:rPr>
        <w:t xml:space="preserve">, P. (2015). Do evidence summaries increase policy- makers ’ use of evidence from systematic reviews : A systematic review protocol. </w:t>
      </w:r>
      <w:r w:rsidRPr="00E16853">
        <w:rPr>
          <w:rFonts w:eastAsia="Times New Roman"/>
          <w:i/>
          <w:iCs/>
          <w:lang w:eastAsia="en-AU"/>
        </w:rPr>
        <w:t>Systematic Reviews</w:t>
      </w:r>
      <w:r w:rsidRPr="00E16853">
        <w:rPr>
          <w:rFonts w:eastAsia="Times New Roman"/>
          <w:lang w:eastAsia="en-AU"/>
        </w:rPr>
        <w:t xml:space="preserve">, </w:t>
      </w:r>
      <w:r w:rsidRPr="00E16853">
        <w:rPr>
          <w:rFonts w:eastAsia="Times New Roman"/>
          <w:i/>
          <w:iCs/>
          <w:lang w:eastAsia="en-AU"/>
        </w:rPr>
        <w:t>4</w:t>
      </w:r>
      <w:r w:rsidRPr="00E16853">
        <w:rPr>
          <w:rFonts w:eastAsia="Times New Roman"/>
          <w:lang w:eastAsia="en-AU"/>
        </w:rPr>
        <w:t>(122), 2–7. https://doi.org/10.1186/s13643-015-0116-1</w:t>
      </w:r>
    </w:p>
    <w:p w14:paraId="54C6B04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Pinch, W. J. (2015). Integrating research into practice. </w:t>
      </w:r>
      <w:r w:rsidRPr="00E16853">
        <w:rPr>
          <w:rFonts w:eastAsia="Times New Roman"/>
          <w:i/>
          <w:iCs/>
          <w:lang w:eastAsia="en-AU"/>
        </w:rPr>
        <w:t>Nurse Educator</w:t>
      </w:r>
      <w:r w:rsidRPr="00E16853">
        <w:rPr>
          <w:rFonts w:eastAsia="Times New Roman"/>
          <w:lang w:eastAsia="en-AU"/>
        </w:rPr>
        <w:t xml:space="preserve">, </w:t>
      </w:r>
      <w:r w:rsidRPr="00E16853">
        <w:rPr>
          <w:rFonts w:eastAsia="Times New Roman"/>
          <w:i/>
          <w:iCs/>
          <w:lang w:eastAsia="en-AU"/>
        </w:rPr>
        <w:t>14</w:t>
      </w:r>
      <w:r w:rsidRPr="00E16853">
        <w:rPr>
          <w:rFonts w:eastAsia="Times New Roman"/>
          <w:lang w:eastAsia="en-AU"/>
        </w:rPr>
        <w:t>(3), 30–33. https://doi.org/10.3163/1536-5050.104.4.017</w:t>
      </w:r>
    </w:p>
    <w:p w14:paraId="6565D269"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Purper</w:t>
      </w:r>
      <w:proofErr w:type="spellEnd"/>
      <w:r w:rsidRPr="00E16853">
        <w:rPr>
          <w:rFonts w:eastAsia="Times New Roman"/>
          <w:lang w:eastAsia="en-AU"/>
        </w:rPr>
        <w:t xml:space="preserve">, C. J. (2016). Right at Your Fingertips: Important Web-Based Resources for Understanding Evidence-Based Practices. </w:t>
      </w:r>
      <w:r w:rsidRPr="00E16853">
        <w:rPr>
          <w:rFonts w:eastAsia="Times New Roman"/>
          <w:i/>
          <w:iCs/>
          <w:lang w:eastAsia="en-AU"/>
        </w:rPr>
        <w:t>Early Childhood Education Journal</w:t>
      </w:r>
      <w:r w:rsidRPr="00E16853">
        <w:rPr>
          <w:rFonts w:eastAsia="Times New Roman"/>
          <w:lang w:eastAsia="en-AU"/>
        </w:rPr>
        <w:t xml:space="preserve">, </w:t>
      </w:r>
      <w:r w:rsidRPr="00E16853">
        <w:rPr>
          <w:rFonts w:eastAsia="Times New Roman"/>
          <w:i/>
          <w:iCs/>
          <w:lang w:eastAsia="en-AU"/>
        </w:rPr>
        <w:t>44</w:t>
      </w:r>
      <w:r w:rsidRPr="00E16853">
        <w:rPr>
          <w:rFonts w:eastAsia="Times New Roman"/>
          <w:lang w:eastAsia="en-AU"/>
        </w:rPr>
        <w:t>(4), 403–408. https://doi.org/10.1007/s10643-015-0722-5</w:t>
      </w:r>
    </w:p>
    <w:p w14:paraId="0E45E39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Rainey, H., &amp; Gifford, E. (2016). Working together: asset based communities of learning in Higher Education. </w:t>
      </w:r>
      <w:r w:rsidRPr="00E16853">
        <w:rPr>
          <w:rFonts w:eastAsia="Times New Roman"/>
          <w:i/>
          <w:iCs/>
          <w:lang w:eastAsia="en-AU"/>
        </w:rPr>
        <w:t>International Journal of Integrated Care</w:t>
      </w:r>
      <w:r w:rsidRPr="00E16853">
        <w:rPr>
          <w:rFonts w:eastAsia="Times New Roman"/>
          <w:lang w:eastAsia="en-AU"/>
        </w:rPr>
        <w:t xml:space="preserve">, </w:t>
      </w:r>
      <w:r w:rsidRPr="00E16853">
        <w:rPr>
          <w:rFonts w:eastAsia="Times New Roman"/>
          <w:i/>
          <w:iCs/>
          <w:lang w:eastAsia="en-AU"/>
        </w:rPr>
        <w:t>16</w:t>
      </w:r>
      <w:r w:rsidRPr="00E16853">
        <w:rPr>
          <w:rFonts w:eastAsia="Times New Roman"/>
          <w:lang w:eastAsia="en-AU"/>
        </w:rPr>
        <w:t>(6), 313. https://doi.org/10.5334/ijic.2861</w:t>
      </w:r>
    </w:p>
    <w:p w14:paraId="2A38920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Robertson, A., Walker, C. S., Stovall, M., &amp; </w:t>
      </w:r>
      <w:proofErr w:type="spellStart"/>
      <w:r w:rsidRPr="00E16853">
        <w:rPr>
          <w:rFonts w:eastAsia="Times New Roman"/>
          <w:lang w:eastAsia="en-AU"/>
        </w:rPr>
        <w:t>McCluskey</w:t>
      </w:r>
      <w:proofErr w:type="spellEnd"/>
      <w:r w:rsidRPr="00E16853">
        <w:rPr>
          <w:rFonts w:eastAsia="Times New Roman"/>
          <w:lang w:eastAsia="en-AU"/>
        </w:rPr>
        <w:t xml:space="preserve">, L. (2015). Use of evidence-based substance use treatment practices in Mississippi. </w:t>
      </w:r>
      <w:r w:rsidRPr="00E16853">
        <w:rPr>
          <w:rFonts w:eastAsia="Times New Roman"/>
          <w:i/>
          <w:iCs/>
          <w:lang w:eastAsia="en-AU"/>
        </w:rPr>
        <w:t>Evaluation and Program Planning</w:t>
      </w:r>
      <w:r w:rsidRPr="00E16853">
        <w:rPr>
          <w:rFonts w:eastAsia="Times New Roman"/>
          <w:lang w:eastAsia="en-AU"/>
        </w:rPr>
        <w:t xml:space="preserve">, </w:t>
      </w:r>
      <w:r w:rsidRPr="00E16853">
        <w:rPr>
          <w:rFonts w:eastAsia="Times New Roman"/>
          <w:i/>
          <w:iCs/>
          <w:lang w:eastAsia="en-AU"/>
        </w:rPr>
        <w:t>52</w:t>
      </w:r>
      <w:r w:rsidRPr="00E16853">
        <w:rPr>
          <w:rFonts w:eastAsia="Times New Roman"/>
          <w:lang w:eastAsia="en-AU"/>
        </w:rPr>
        <w:t>, 198–204. https://doi.org/10.1016/j.evalprogplan.2015.06.002</w:t>
      </w:r>
    </w:p>
    <w:p w14:paraId="5746507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Smith, T. A., </w:t>
      </w:r>
      <w:proofErr w:type="spellStart"/>
      <w:r w:rsidRPr="00E16853">
        <w:rPr>
          <w:rFonts w:eastAsia="Times New Roman"/>
          <w:lang w:eastAsia="en-AU"/>
        </w:rPr>
        <w:t>Adimu</w:t>
      </w:r>
      <w:proofErr w:type="spellEnd"/>
      <w:r w:rsidRPr="00E16853">
        <w:rPr>
          <w:rFonts w:eastAsia="Times New Roman"/>
          <w:lang w:eastAsia="en-AU"/>
        </w:rPr>
        <w:t xml:space="preserve">, T. F., Martinez, A. P., &amp; </w:t>
      </w:r>
      <w:proofErr w:type="spellStart"/>
      <w:r w:rsidRPr="00E16853">
        <w:rPr>
          <w:rFonts w:eastAsia="Times New Roman"/>
          <w:lang w:eastAsia="en-AU"/>
        </w:rPr>
        <w:t>Minyard</w:t>
      </w:r>
      <w:proofErr w:type="spellEnd"/>
      <w:r w:rsidRPr="00E16853">
        <w:rPr>
          <w:rFonts w:eastAsia="Times New Roman"/>
          <w:lang w:eastAsia="en-AU"/>
        </w:rPr>
        <w:t xml:space="preserve">, K. (2016). Selecting, Adapting, and Implementing Evidence-based Interventions in Rural Settings: An Analysis of 70 Community Examples. </w:t>
      </w:r>
      <w:r w:rsidRPr="00E16853">
        <w:rPr>
          <w:rFonts w:eastAsia="Times New Roman"/>
          <w:i/>
          <w:iCs/>
          <w:lang w:eastAsia="en-AU"/>
        </w:rPr>
        <w:t>Journal of Health Care for the Poor and Underserved</w:t>
      </w:r>
      <w:r w:rsidRPr="00E16853">
        <w:rPr>
          <w:rFonts w:eastAsia="Times New Roman"/>
          <w:lang w:eastAsia="en-AU"/>
        </w:rPr>
        <w:t xml:space="preserve">, </w:t>
      </w:r>
      <w:r w:rsidRPr="00E16853">
        <w:rPr>
          <w:rFonts w:eastAsia="Times New Roman"/>
          <w:i/>
          <w:iCs/>
          <w:lang w:eastAsia="en-AU"/>
        </w:rPr>
        <w:t>27</w:t>
      </w:r>
      <w:r w:rsidRPr="00E16853">
        <w:rPr>
          <w:rFonts w:eastAsia="Times New Roman"/>
          <w:lang w:eastAsia="en-AU"/>
        </w:rPr>
        <w:t>(4A), 181–193. https://doi.org/10.1353/hpu.2016.0179</w:t>
      </w:r>
    </w:p>
    <w:p w14:paraId="3F8A854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Touzé</w:t>
      </w:r>
      <w:proofErr w:type="spellEnd"/>
      <w:r w:rsidRPr="00E16853">
        <w:rPr>
          <w:rFonts w:eastAsia="Times New Roman"/>
          <w:lang w:eastAsia="en-AU"/>
        </w:rPr>
        <w:t xml:space="preserve">, S. (2014). </w:t>
      </w:r>
      <w:r w:rsidRPr="00E16853">
        <w:rPr>
          <w:rFonts w:eastAsia="Times New Roman"/>
          <w:i/>
          <w:iCs/>
          <w:lang w:eastAsia="en-AU"/>
        </w:rPr>
        <w:t>Open educational resources in France: Overview, perspectives and recommendations</w:t>
      </w:r>
      <w:r w:rsidRPr="00E16853">
        <w:rPr>
          <w:rFonts w:eastAsia="Times New Roman"/>
          <w:lang w:eastAsia="en-AU"/>
        </w:rPr>
        <w:t xml:space="preserve">. Moscow, Russian Federation: </w:t>
      </w:r>
      <w:r w:rsidRPr="00E16853">
        <w:rPr>
          <w:rFonts w:eastAsia="Times New Roman"/>
          <w:iCs/>
          <w:lang w:eastAsia="en-AU"/>
        </w:rPr>
        <w:t>UNESCO Institute for Information Technologies in Education</w:t>
      </w:r>
      <w:r w:rsidRPr="00E16853">
        <w:rPr>
          <w:rFonts w:eastAsia="Times New Roman"/>
          <w:lang w:eastAsia="en-AU"/>
        </w:rPr>
        <w:t xml:space="preserve">. </w:t>
      </w:r>
    </w:p>
    <w:p w14:paraId="4026F125" w14:textId="77777777" w:rsidR="0093470E" w:rsidRPr="00592E98" w:rsidRDefault="0093470E" w:rsidP="0093470E">
      <w:pPr>
        <w:pStyle w:val="NormalWeb"/>
        <w:ind w:left="480" w:hanging="480"/>
        <w:rPr>
          <w:rFonts w:asciiTheme="minorHAnsi" w:hAnsiTheme="minorHAnsi" w:cstheme="minorHAnsi"/>
          <w:b/>
          <w:sz w:val="20"/>
          <w:szCs w:val="22"/>
        </w:rPr>
      </w:pPr>
      <w:r w:rsidRPr="00592E98">
        <w:rPr>
          <w:rFonts w:asciiTheme="minorHAnsi" w:hAnsiTheme="minorHAnsi" w:cstheme="minorHAnsi"/>
          <w:sz w:val="20"/>
          <w:szCs w:val="22"/>
        </w:rPr>
        <w:t xml:space="preserve">UNESCO. (2017). </w:t>
      </w:r>
      <w:r w:rsidRPr="00592E98">
        <w:rPr>
          <w:rFonts w:asciiTheme="minorHAnsi" w:hAnsiTheme="minorHAnsi" w:cstheme="minorHAnsi"/>
          <w:i/>
          <w:sz w:val="20"/>
          <w:szCs w:val="22"/>
        </w:rPr>
        <w:t>Accountability in education: Meeting our commitments.</w:t>
      </w:r>
      <w:r w:rsidRPr="00592E98">
        <w:rPr>
          <w:rFonts w:asciiTheme="minorHAnsi" w:hAnsiTheme="minorHAnsi" w:cstheme="minorHAnsi"/>
          <w:sz w:val="20"/>
          <w:szCs w:val="22"/>
        </w:rPr>
        <w:t xml:space="preserve"> Paris, France: UNESCO. </w:t>
      </w:r>
    </w:p>
    <w:p w14:paraId="30FDECD0" w14:textId="77777777" w:rsidR="0093470E" w:rsidRPr="00E16853" w:rsidRDefault="0093470E" w:rsidP="0093470E">
      <w:pPr>
        <w:spacing w:before="100" w:beforeAutospacing="1" w:after="100" w:afterAutospacing="1"/>
        <w:rPr>
          <w:rFonts w:eastAsia="Times New Roman"/>
          <w:lang w:eastAsia="en-AU"/>
        </w:rPr>
      </w:pPr>
      <w:r w:rsidRPr="00E16853">
        <w:rPr>
          <w:rFonts w:eastAsia="Times New Roman"/>
          <w:lang w:eastAsia="en-AU"/>
        </w:rPr>
        <w:t xml:space="preserve">UNESCO. (2015). </w:t>
      </w:r>
      <w:r w:rsidRPr="00E16853">
        <w:rPr>
          <w:rFonts w:eastAsia="Times New Roman"/>
          <w:i/>
          <w:iCs/>
          <w:lang w:eastAsia="en-AU"/>
        </w:rPr>
        <w:t>Not Just Hot Air: Putting Climate Change Education into Practice</w:t>
      </w:r>
      <w:r w:rsidRPr="00E16853">
        <w:rPr>
          <w:rFonts w:eastAsia="Times New Roman"/>
          <w:lang w:eastAsia="en-AU"/>
        </w:rPr>
        <w:t xml:space="preserve">. Paris, France: UNESCO. </w:t>
      </w:r>
    </w:p>
    <w:p w14:paraId="1872AF46" w14:textId="77777777" w:rsidR="0093470E" w:rsidRPr="00E16853" w:rsidRDefault="0093470E" w:rsidP="0093470E">
      <w:pPr>
        <w:spacing w:before="100" w:beforeAutospacing="1" w:after="100" w:afterAutospacing="1"/>
        <w:rPr>
          <w:rFonts w:eastAsia="Times New Roman"/>
          <w:lang w:eastAsia="en-AU"/>
        </w:rPr>
      </w:pPr>
      <w:r w:rsidRPr="00E16853">
        <w:rPr>
          <w:rFonts w:eastAsia="Times New Roman"/>
          <w:lang w:eastAsia="en-AU"/>
        </w:rPr>
        <w:t xml:space="preserve">UNESCO. (2014). </w:t>
      </w:r>
      <w:r w:rsidRPr="00E16853">
        <w:rPr>
          <w:rFonts w:eastAsia="Times New Roman"/>
          <w:i/>
          <w:lang w:eastAsia="en-AU"/>
        </w:rPr>
        <w:t xml:space="preserve">World-wide survey of school physical education. </w:t>
      </w:r>
      <w:r w:rsidRPr="00E16853">
        <w:rPr>
          <w:rFonts w:eastAsia="Times New Roman"/>
          <w:lang w:eastAsia="en-AU"/>
        </w:rPr>
        <w:t>Paris, France: UNESCO. Retrieved from http://unesdoc.unesco.org/images/0022/002293/229335e.pdf</w:t>
      </w:r>
    </w:p>
    <w:p w14:paraId="02BABD6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UNESCO. (2012). </w:t>
      </w:r>
      <w:r w:rsidRPr="00E16853">
        <w:rPr>
          <w:rFonts w:eastAsia="Times New Roman"/>
          <w:i/>
          <w:iCs/>
          <w:lang w:eastAsia="en-AU"/>
        </w:rPr>
        <w:t xml:space="preserve">Comprehensive sexuality education: The challenges and opportunities of scaling-up. </w:t>
      </w:r>
      <w:r w:rsidRPr="00E16853">
        <w:rPr>
          <w:rFonts w:eastAsia="Times New Roman"/>
          <w:iCs/>
          <w:lang w:eastAsia="en-AU"/>
        </w:rPr>
        <w:t>Paris, France: UNESCO</w:t>
      </w:r>
      <w:r w:rsidRPr="00E16853">
        <w:rPr>
          <w:rFonts w:eastAsia="Times New Roman"/>
          <w:lang w:eastAsia="en-AU"/>
        </w:rPr>
        <w:t>.</w:t>
      </w:r>
    </w:p>
    <w:p w14:paraId="5100583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Upton, P., </w:t>
      </w:r>
      <w:proofErr w:type="spellStart"/>
      <w:r w:rsidRPr="00E16853">
        <w:rPr>
          <w:rFonts w:eastAsia="Times New Roman"/>
          <w:lang w:eastAsia="en-AU"/>
        </w:rPr>
        <w:t>Scurlock</w:t>
      </w:r>
      <w:proofErr w:type="spellEnd"/>
      <w:r w:rsidRPr="00E16853">
        <w:rPr>
          <w:rFonts w:eastAsia="Times New Roman"/>
          <w:lang w:eastAsia="en-AU"/>
        </w:rPr>
        <w:t xml:space="preserve">-Evans, L., Williamson, K., Rouse, J., &amp; Upton, D. (2015). The evidence-based practice profiles of academic and clinical staff involved in pre-registration nursing students’ education: A cross sectional survey of US and UK staff. </w:t>
      </w:r>
      <w:r w:rsidRPr="00E16853">
        <w:rPr>
          <w:rFonts w:eastAsia="Times New Roman"/>
          <w:i/>
          <w:iCs/>
          <w:lang w:eastAsia="en-AU"/>
        </w:rPr>
        <w:t>Nurse Education Today</w:t>
      </w:r>
      <w:r w:rsidRPr="00E16853">
        <w:rPr>
          <w:rFonts w:eastAsia="Times New Roman"/>
          <w:lang w:eastAsia="en-AU"/>
        </w:rPr>
        <w:t xml:space="preserve">, </w:t>
      </w:r>
      <w:r w:rsidRPr="00E16853">
        <w:rPr>
          <w:rFonts w:eastAsia="Times New Roman"/>
          <w:i/>
          <w:iCs/>
          <w:lang w:eastAsia="en-AU"/>
        </w:rPr>
        <w:t>35</w:t>
      </w:r>
      <w:r w:rsidRPr="00E16853">
        <w:rPr>
          <w:rFonts w:eastAsia="Times New Roman"/>
          <w:lang w:eastAsia="en-AU"/>
        </w:rPr>
        <w:t>(1), 80–85. https://doi.org/10.1016/j.nedt.2014.06.006</w:t>
      </w:r>
    </w:p>
    <w:p w14:paraId="1544A98C"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Volmink</w:t>
      </w:r>
      <w:proofErr w:type="spellEnd"/>
      <w:r w:rsidRPr="00E16853">
        <w:rPr>
          <w:rFonts w:eastAsia="Times New Roman"/>
          <w:lang w:eastAsia="en-AU"/>
        </w:rPr>
        <w:t xml:space="preserve">, J., Siegfried, N., Robertson, K., &amp; </w:t>
      </w:r>
      <w:proofErr w:type="spellStart"/>
      <w:r w:rsidRPr="00E16853">
        <w:rPr>
          <w:rFonts w:eastAsia="Times New Roman"/>
          <w:lang w:eastAsia="en-AU"/>
        </w:rPr>
        <w:t>Gulmezoglu</w:t>
      </w:r>
      <w:proofErr w:type="spellEnd"/>
      <w:r w:rsidRPr="00E16853">
        <w:rPr>
          <w:rFonts w:eastAsia="Times New Roman"/>
          <w:lang w:eastAsia="en-AU"/>
        </w:rPr>
        <w:t xml:space="preserve">, A. M. (2004). Research synthesis and disseminating as a bridge to knowledge management: the Cochrane Collaboration . </w:t>
      </w:r>
      <w:r w:rsidRPr="00E16853">
        <w:rPr>
          <w:rFonts w:eastAsia="Times New Roman"/>
          <w:i/>
          <w:iCs/>
          <w:lang w:eastAsia="en-AU"/>
        </w:rPr>
        <w:t>Bulletin of the World Health Organization</w:t>
      </w:r>
      <w:r w:rsidRPr="00E16853">
        <w:rPr>
          <w:rFonts w:eastAsia="Times New Roman"/>
          <w:lang w:eastAsia="en-AU"/>
        </w:rPr>
        <w:t xml:space="preserve">, </w:t>
      </w:r>
      <w:r w:rsidRPr="00E16853">
        <w:rPr>
          <w:rFonts w:eastAsia="Times New Roman"/>
          <w:i/>
          <w:iCs/>
          <w:lang w:eastAsia="en-AU"/>
        </w:rPr>
        <w:t>82</w:t>
      </w:r>
      <w:r w:rsidRPr="00E16853">
        <w:rPr>
          <w:rFonts w:eastAsia="Times New Roman"/>
          <w:lang w:eastAsia="en-AU"/>
        </w:rPr>
        <w:t xml:space="preserve">(10), 778–783. Retrieved from f:%5CArt?culos en PDF%5C10564 </w:t>
      </w:r>
      <w:proofErr w:type="spellStart"/>
      <w:r w:rsidRPr="00E16853">
        <w:rPr>
          <w:rFonts w:eastAsia="Times New Roman"/>
          <w:lang w:eastAsia="en-AU"/>
        </w:rPr>
        <w:t>BullWordHealthOrgan</w:t>
      </w:r>
      <w:proofErr w:type="spellEnd"/>
      <w:r w:rsidRPr="00E16853">
        <w:rPr>
          <w:rFonts w:eastAsia="Times New Roman"/>
          <w:lang w:eastAsia="en-AU"/>
        </w:rPr>
        <w:t xml:space="preserve"> Volmink.pdf%5Cnhttp://www.who.int/bulletin/volumes/82/10/en/</w:t>
      </w:r>
    </w:p>
    <w:p w14:paraId="0629247F" w14:textId="77777777" w:rsidR="0093470E" w:rsidRPr="00E16853" w:rsidRDefault="0093470E" w:rsidP="0093470E">
      <w:pPr>
        <w:spacing w:before="100" w:beforeAutospacing="1" w:after="100" w:afterAutospacing="1"/>
        <w:ind w:left="480" w:hanging="480"/>
        <w:rPr>
          <w:rFonts w:eastAsia="Times New Roman"/>
          <w:iCs/>
          <w:lang w:eastAsia="en-AU"/>
        </w:rPr>
      </w:pPr>
      <w:r w:rsidRPr="00E16853">
        <w:rPr>
          <w:rFonts w:eastAsia="Times New Roman"/>
          <w:lang w:eastAsia="en-AU"/>
        </w:rPr>
        <w:t xml:space="preserve">West, E. A., </w:t>
      </w:r>
      <w:proofErr w:type="spellStart"/>
      <w:r w:rsidRPr="00E16853">
        <w:rPr>
          <w:rFonts w:eastAsia="Times New Roman"/>
          <w:lang w:eastAsia="en-AU"/>
        </w:rPr>
        <w:t>McCollow</w:t>
      </w:r>
      <w:proofErr w:type="spellEnd"/>
      <w:r w:rsidRPr="00E16853">
        <w:rPr>
          <w:rFonts w:eastAsia="Times New Roman"/>
          <w:lang w:eastAsia="en-AU"/>
        </w:rPr>
        <w:t xml:space="preserve">, M., </w:t>
      </w:r>
      <w:proofErr w:type="spellStart"/>
      <w:r w:rsidRPr="00E16853">
        <w:rPr>
          <w:rFonts w:eastAsia="Times New Roman"/>
          <w:lang w:eastAsia="en-AU"/>
        </w:rPr>
        <w:t>Umbarger</w:t>
      </w:r>
      <w:proofErr w:type="spellEnd"/>
      <w:r w:rsidRPr="00E16853">
        <w:rPr>
          <w:rFonts w:eastAsia="Times New Roman"/>
          <w:lang w:eastAsia="en-AU"/>
        </w:rPr>
        <w:t xml:space="preserve">, G., Kidwell, J., &amp; Cote, D. L. (2013). Current status of evidence-based practice for students with intellectual disability and autism spectrum disorders. </w:t>
      </w:r>
      <w:r w:rsidRPr="00E16853">
        <w:rPr>
          <w:rFonts w:eastAsia="Times New Roman"/>
          <w:i/>
          <w:lang w:eastAsia="en-AU"/>
        </w:rPr>
        <w:t>Education and Training in Autism and Developmental Disabilities, 48(</w:t>
      </w:r>
      <w:r w:rsidRPr="00E16853">
        <w:rPr>
          <w:rFonts w:eastAsia="Times New Roman"/>
          <w:lang w:eastAsia="en-AU"/>
        </w:rPr>
        <w:t xml:space="preserve">4), 443-455. </w:t>
      </w:r>
    </w:p>
    <w:p w14:paraId="7369DE4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WHO. (2014). A Policy Guide for Implementing Essential Interventions for Reproductive, Maternal, Newborn and Child Health (RMNCH): A </w:t>
      </w:r>
      <w:proofErr w:type="spellStart"/>
      <w:r w:rsidRPr="00E16853">
        <w:rPr>
          <w:rFonts w:eastAsia="Times New Roman"/>
          <w:lang w:eastAsia="en-AU"/>
        </w:rPr>
        <w:t>Multisectoral</w:t>
      </w:r>
      <w:proofErr w:type="spellEnd"/>
      <w:r w:rsidRPr="00E16853">
        <w:rPr>
          <w:rFonts w:eastAsia="Times New Roman"/>
          <w:lang w:eastAsia="en-AU"/>
        </w:rPr>
        <w:t xml:space="preserve"> Policy Compendium for RMNCH, 1–56. Retrieved from http://www.who.int/pmnch/knowledge/publications/policy_compendium.pdf?ua=1</w:t>
      </w:r>
    </w:p>
    <w:p w14:paraId="3F81F25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WHO. (2013). Transforming and scaling up health professionals’ education and training: World Health Organization guidelines 2013. </w:t>
      </w:r>
      <w:r w:rsidRPr="00E16853">
        <w:rPr>
          <w:rFonts w:eastAsia="Times New Roman"/>
          <w:i/>
          <w:iCs/>
          <w:lang w:eastAsia="en-AU"/>
        </w:rPr>
        <w:t>Guidelines</w:t>
      </w:r>
      <w:r w:rsidRPr="00E16853">
        <w:rPr>
          <w:rFonts w:eastAsia="Times New Roman"/>
          <w:lang w:eastAsia="en-AU"/>
        </w:rPr>
        <w:t>, 124. https://doi.org/10.1613/jair.301</w:t>
      </w:r>
    </w:p>
    <w:p w14:paraId="773B8AD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World Health Organization. (2011). Closing the gap: policy into practice on social determinants of health, 56.</w:t>
      </w:r>
    </w:p>
    <w:p w14:paraId="424B192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World Health Organization. (2016). Global strategy on human resources for health: Workforce 2030. </w:t>
      </w:r>
      <w:r w:rsidRPr="00E16853">
        <w:rPr>
          <w:rFonts w:eastAsia="Times New Roman"/>
          <w:i/>
          <w:iCs/>
          <w:lang w:eastAsia="en-AU"/>
        </w:rPr>
        <w:t>Who</w:t>
      </w:r>
      <w:r w:rsidRPr="00E16853">
        <w:rPr>
          <w:rFonts w:eastAsia="Times New Roman"/>
          <w:lang w:eastAsia="en-AU"/>
        </w:rPr>
        <w:t>, 64. https://doi.org/10.1017/CBO9781107415324.004</w:t>
      </w:r>
    </w:p>
    <w:p w14:paraId="5610B120"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Worton</w:t>
      </w:r>
      <w:proofErr w:type="spellEnd"/>
      <w:r w:rsidRPr="00E16853">
        <w:rPr>
          <w:rFonts w:eastAsia="Times New Roman"/>
          <w:lang w:eastAsia="en-AU"/>
        </w:rPr>
        <w:t xml:space="preserve">, M. (2013). What are universities for in 21st century. </w:t>
      </w:r>
      <w:r w:rsidRPr="00E16853">
        <w:rPr>
          <w:rFonts w:eastAsia="Times New Roman"/>
          <w:i/>
          <w:iCs/>
          <w:lang w:eastAsia="en-AU"/>
        </w:rPr>
        <w:t>Eurasian Higher Education Leaders Forum Conference Proceedings</w:t>
      </w:r>
      <w:r w:rsidRPr="00E16853">
        <w:rPr>
          <w:rFonts w:eastAsia="Times New Roman"/>
          <w:lang w:eastAsia="en-AU"/>
        </w:rPr>
        <w:t>, (August). Retrieved from http://eric.ed.gov/?id=ED541898</w:t>
      </w:r>
    </w:p>
    <w:p w14:paraId="59680F29"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Zwickey</w:t>
      </w:r>
      <w:proofErr w:type="spellEnd"/>
      <w:r w:rsidRPr="00E16853">
        <w:rPr>
          <w:rFonts w:eastAsia="Times New Roman"/>
          <w:lang w:eastAsia="en-AU"/>
        </w:rPr>
        <w:t xml:space="preserve">, H., </w:t>
      </w:r>
      <w:proofErr w:type="spellStart"/>
      <w:r w:rsidRPr="00E16853">
        <w:rPr>
          <w:rFonts w:eastAsia="Times New Roman"/>
          <w:lang w:eastAsia="en-AU"/>
        </w:rPr>
        <w:t>Schiffke</w:t>
      </w:r>
      <w:proofErr w:type="spellEnd"/>
      <w:r w:rsidRPr="00E16853">
        <w:rPr>
          <w:rFonts w:eastAsia="Times New Roman"/>
          <w:lang w:eastAsia="en-AU"/>
        </w:rPr>
        <w:t xml:space="preserve">, H., Fleishman, S., Haas, M., </w:t>
      </w:r>
      <w:proofErr w:type="spellStart"/>
      <w:r w:rsidRPr="00E16853">
        <w:rPr>
          <w:rFonts w:eastAsia="Times New Roman"/>
          <w:lang w:eastAsia="en-AU"/>
        </w:rPr>
        <w:t>Cruser</w:t>
      </w:r>
      <w:proofErr w:type="spellEnd"/>
      <w:r w:rsidRPr="00E16853">
        <w:rPr>
          <w:rFonts w:eastAsia="Times New Roman"/>
          <w:lang w:eastAsia="en-AU"/>
        </w:rPr>
        <w:t xml:space="preserve">, des A., </w:t>
      </w:r>
      <w:proofErr w:type="spellStart"/>
      <w:r w:rsidRPr="00E16853">
        <w:rPr>
          <w:rFonts w:eastAsia="Times New Roman"/>
          <w:lang w:eastAsia="en-AU"/>
        </w:rPr>
        <w:t>LeFebvre</w:t>
      </w:r>
      <w:proofErr w:type="spellEnd"/>
      <w:r w:rsidRPr="00E16853">
        <w:rPr>
          <w:rFonts w:eastAsia="Times New Roman"/>
          <w:lang w:eastAsia="en-AU"/>
        </w:rPr>
        <w:t xml:space="preserve">, R., … </w:t>
      </w:r>
      <w:proofErr w:type="spellStart"/>
      <w:r w:rsidRPr="00E16853">
        <w:rPr>
          <w:rFonts w:eastAsia="Times New Roman"/>
          <w:lang w:eastAsia="en-AU"/>
        </w:rPr>
        <w:t>Gaster</w:t>
      </w:r>
      <w:proofErr w:type="spellEnd"/>
      <w:r w:rsidRPr="00E16853">
        <w:rPr>
          <w:rFonts w:eastAsia="Times New Roman"/>
          <w:lang w:eastAsia="en-AU"/>
        </w:rPr>
        <w:t xml:space="preserve">, B. (2014). Teaching Evidence-Based Medicine at Complementary and Alternative Medicine Institutions: Strategies, Competencies, and Evaluation. </w:t>
      </w:r>
      <w:r w:rsidRPr="00E16853">
        <w:rPr>
          <w:rFonts w:eastAsia="Times New Roman"/>
          <w:i/>
          <w:iCs/>
          <w:lang w:eastAsia="en-AU"/>
        </w:rPr>
        <w:t>The Journal of Alternative and Complementary Medicine</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(12), 925–931. https://doi.org/10.1089/acm.2014.0087</w:t>
      </w:r>
    </w:p>
    <w:p w14:paraId="081A7F60" w14:textId="77777777" w:rsidR="0093470E" w:rsidRPr="00E16853" w:rsidRDefault="0093470E" w:rsidP="0093470E"/>
    <w:p w14:paraId="7B95336E" w14:textId="77777777" w:rsidR="0093470E" w:rsidRPr="00E16853" w:rsidRDefault="0093470E" w:rsidP="007674CF">
      <w:pPr>
        <w:pStyle w:val="NumberedHeading2"/>
      </w:pPr>
      <w:bookmarkStart w:id="176" w:name="_Toc508637973"/>
      <w:bookmarkStart w:id="177" w:name="_Toc509950686"/>
      <w:r w:rsidRPr="00E16853">
        <w:t>Effectiveness of research and evidence institutions</w:t>
      </w:r>
      <w:bookmarkEnd w:id="176"/>
      <w:bookmarkEnd w:id="177"/>
    </w:p>
    <w:p w14:paraId="25E2ED9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Alexander, L., &amp; Allen, D. (2011). Establishing an evidence-based inpatient medical oncology fluid balance measurement policy. </w:t>
      </w:r>
      <w:r w:rsidRPr="00E16853">
        <w:rPr>
          <w:rFonts w:eastAsia="Times New Roman"/>
          <w:i/>
          <w:iCs/>
          <w:lang w:eastAsia="en-AU"/>
        </w:rPr>
        <w:t>Clinical Journal of Oncology Nursing</w:t>
      </w:r>
      <w:r w:rsidRPr="00E16853">
        <w:rPr>
          <w:rFonts w:eastAsia="Times New Roman"/>
          <w:lang w:eastAsia="en-AU"/>
        </w:rPr>
        <w:t xml:space="preserve">, </w:t>
      </w:r>
      <w:r w:rsidRPr="00E16853">
        <w:rPr>
          <w:rFonts w:eastAsia="Times New Roman"/>
          <w:i/>
          <w:iCs/>
          <w:lang w:eastAsia="en-AU"/>
        </w:rPr>
        <w:t>15</w:t>
      </w:r>
      <w:r w:rsidRPr="00E16853">
        <w:rPr>
          <w:rFonts w:eastAsia="Times New Roman"/>
          <w:lang w:eastAsia="en-AU"/>
        </w:rPr>
        <w:t>(1), 23–25. https://doi.org/10.1188/11.CJON.23-25</w:t>
      </w:r>
    </w:p>
    <w:p w14:paraId="0DC1594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American, P., &amp; Bureau, S. (2001). Pan American Sanitary </w:t>
      </w:r>
      <w:r w:rsidR="00972B56" w:rsidRPr="00E16853">
        <w:rPr>
          <w:rFonts w:eastAsia="Times New Roman"/>
          <w:lang w:eastAsia="en-AU"/>
        </w:rPr>
        <w:t>Bureau,</w:t>
      </w:r>
      <w:r w:rsidRPr="00E16853">
        <w:rPr>
          <w:rFonts w:eastAsia="Times New Roman"/>
          <w:lang w:eastAsia="en-AU"/>
        </w:rPr>
        <w:t xml:space="preserve"> Regional Office of the WORLD HEALTH ORGANIZATION STRATEGIES FOR UTILIZATION OF SCIENTIFIC INFORMATION IN DECISION-MAKING FOR HEALTH EQUITY Division of Health and Human Development </w:t>
      </w:r>
      <w:r w:rsidR="00972B56" w:rsidRPr="00E16853">
        <w:rPr>
          <w:rFonts w:eastAsia="Times New Roman"/>
          <w:lang w:eastAsia="en-AU"/>
        </w:rPr>
        <w:t>(HDP)</w:t>
      </w:r>
      <w:r w:rsidRPr="00E16853">
        <w:rPr>
          <w:rFonts w:eastAsia="Times New Roman"/>
          <w:lang w:eastAsia="en-AU"/>
        </w:rPr>
        <w:t>, (June).</w:t>
      </w:r>
    </w:p>
    <w:p w14:paraId="4D89CA3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Bain, A., &amp; Swan, G. (2011). Technology enhanced feedback tools as a knowledge management mechanism for supporting professional growth and school reform. </w:t>
      </w:r>
      <w:r w:rsidRPr="00E16853">
        <w:rPr>
          <w:rFonts w:eastAsia="Times New Roman"/>
          <w:i/>
          <w:iCs/>
          <w:lang w:eastAsia="en-AU"/>
        </w:rPr>
        <w:t>Educational Technology Research and Development</w:t>
      </w:r>
      <w:r w:rsidRPr="00E16853">
        <w:rPr>
          <w:rFonts w:eastAsia="Times New Roman"/>
          <w:lang w:eastAsia="en-AU"/>
        </w:rPr>
        <w:t xml:space="preserve">, </w:t>
      </w:r>
      <w:r w:rsidRPr="00E16853">
        <w:rPr>
          <w:rFonts w:eastAsia="Times New Roman"/>
          <w:i/>
          <w:iCs/>
          <w:lang w:eastAsia="en-AU"/>
        </w:rPr>
        <w:t>59</w:t>
      </w:r>
      <w:r w:rsidRPr="00E16853">
        <w:rPr>
          <w:rFonts w:eastAsia="Times New Roman"/>
          <w:lang w:eastAsia="en-AU"/>
        </w:rPr>
        <w:t>(5), 673–685. https://doi.org/10.1007/s11423-011-9201-x</w:t>
      </w:r>
    </w:p>
    <w:p w14:paraId="3A1F4AE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Barrett, P. (2009). An online nursing leadership literature centre at the University of Manitoba Health Sciences Libraries. </w:t>
      </w:r>
      <w:r w:rsidRPr="00E16853">
        <w:rPr>
          <w:rFonts w:eastAsia="Times New Roman"/>
          <w:i/>
          <w:iCs/>
          <w:lang w:eastAsia="en-AU"/>
        </w:rPr>
        <w:t>Health Information &amp; Libraries Journal</w:t>
      </w:r>
      <w:r w:rsidRPr="00E16853">
        <w:rPr>
          <w:rFonts w:eastAsia="Times New Roman"/>
          <w:lang w:eastAsia="en-AU"/>
        </w:rPr>
        <w:t xml:space="preserve">, </w:t>
      </w:r>
      <w:r w:rsidRPr="00E16853">
        <w:rPr>
          <w:rFonts w:eastAsia="Times New Roman"/>
          <w:i/>
          <w:iCs/>
          <w:lang w:eastAsia="en-AU"/>
        </w:rPr>
        <w:t>26</w:t>
      </w:r>
      <w:r w:rsidRPr="00E16853">
        <w:rPr>
          <w:rFonts w:eastAsia="Times New Roman"/>
          <w:lang w:eastAsia="en-AU"/>
        </w:rPr>
        <w:t>(3), 232–239. Retrieved from http://10.0.4.87/j.1471-1842.2008.00828.x</w:t>
      </w:r>
    </w:p>
    <w:p w14:paraId="5D89CFEB"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Biesta</w:t>
      </w:r>
      <w:proofErr w:type="spellEnd"/>
      <w:r w:rsidRPr="00E16853">
        <w:rPr>
          <w:rFonts w:eastAsia="Times New Roman"/>
          <w:lang w:eastAsia="en-AU"/>
        </w:rPr>
        <w:t xml:space="preserve">, G. J. J. (2010). Why “What Works” Still Won’t Work: From Evidence-Based Education to Value-Based Education. </w:t>
      </w:r>
      <w:r w:rsidRPr="00E16853">
        <w:rPr>
          <w:rFonts w:eastAsia="Times New Roman"/>
          <w:i/>
          <w:iCs/>
          <w:lang w:eastAsia="en-AU"/>
        </w:rPr>
        <w:t>Studies in Philosophy and Education</w:t>
      </w:r>
      <w:r w:rsidRPr="00E16853">
        <w:rPr>
          <w:rFonts w:eastAsia="Times New Roman"/>
          <w:lang w:eastAsia="en-AU"/>
        </w:rPr>
        <w:t xml:space="preserve">, </w:t>
      </w:r>
      <w:r w:rsidRPr="00E16853">
        <w:rPr>
          <w:rFonts w:eastAsia="Times New Roman"/>
          <w:i/>
          <w:iCs/>
          <w:lang w:eastAsia="en-AU"/>
        </w:rPr>
        <w:t>29</w:t>
      </w:r>
      <w:r w:rsidRPr="00E16853">
        <w:rPr>
          <w:rFonts w:eastAsia="Times New Roman"/>
          <w:lang w:eastAsia="en-AU"/>
        </w:rPr>
        <w:t>(5), 491–503. https://doi.org/10.1007/s11217-010-9191-x</w:t>
      </w:r>
    </w:p>
    <w:p w14:paraId="0AFA4D3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Blackley, S., Sheffield, R., Maynard, N., </w:t>
      </w:r>
      <w:proofErr w:type="spellStart"/>
      <w:r w:rsidRPr="00E16853">
        <w:rPr>
          <w:rFonts w:eastAsia="Times New Roman"/>
          <w:lang w:eastAsia="en-AU"/>
        </w:rPr>
        <w:t>Koul</w:t>
      </w:r>
      <w:proofErr w:type="spellEnd"/>
      <w:r w:rsidRPr="00E16853">
        <w:rPr>
          <w:rFonts w:eastAsia="Times New Roman"/>
          <w:lang w:eastAsia="en-AU"/>
        </w:rPr>
        <w:t xml:space="preserve">, R., &amp; Walker, R. (2017). </w:t>
      </w:r>
      <w:proofErr w:type="spellStart"/>
      <w:r w:rsidRPr="00E16853">
        <w:rPr>
          <w:rFonts w:eastAsia="Times New Roman"/>
          <w:lang w:eastAsia="en-AU"/>
        </w:rPr>
        <w:t>Makerspace</w:t>
      </w:r>
      <w:proofErr w:type="spellEnd"/>
      <w:r w:rsidRPr="00E16853">
        <w:rPr>
          <w:rFonts w:eastAsia="Times New Roman"/>
          <w:lang w:eastAsia="en-AU"/>
        </w:rPr>
        <w:t xml:space="preserve"> and reflective </w:t>
      </w:r>
      <w:r w:rsidR="00972B56" w:rsidRPr="00E16853">
        <w:rPr>
          <w:rFonts w:eastAsia="Times New Roman"/>
          <w:lang w:eastAsia="en-AU"/>
        </w:rPr>
        <w:t>practice:</w:t>
      </w:r>
      <w:r w:rsidRPr="00E16853">
        <w:rPr>
          <w:rFonts w:eastAsia="Times New Roman"/>
          <w:lang w:eastAsia="en-AU"/>
        </w:rPr>
        <w:t xml:space="preserve"> Advancing pre-service teachers in STEM education. </w:t>
      </w:r>
      <w:r w:rsidRPr="00E16853">
        <w:rPr>
          <w:rFonts w:eastAsia="Times New Roman"/>
          <w:i/>
          <w:iCs/>
          <w:lang w:eastAsia="en-AU"/>
        </w:rPr>
        <w:t>Australian Journal of Teacher Education</w:t>
      </w:r>
      <w:r w:rsidRPr="00E16853">
        <w:rPr>
          <w:rFonts w:eastAsia="Times New Roman"/>
          <w:lang w:eastAsia="en-AU"/>
        </w:rPr>
        <w:t xml:space="preserve">, </w:t>
      </w:r>
      <w:r w:rsidRPr="00E16853">
        <w:rPr>
          <w:rFonts w:eastAsia="Times New Roman"/>
          <w:i/>
          <w:iCs/>
          <w:lang w:eastAsia="en-AU"/>
        </w:rPr>
        <w:t>42</w:t>
      </w:r>
      <w:r w:rsidRPr="00E16853">
        <w:rPr>
          <w:rFonts w:eastAsia="Times New Roman"/>
          <w:lang w:eastAsia="en-AU"/>
        </w:rPr>
        <w:t>(3), 22–37. Retrieved from http://ro.ecu.edu.au/cgi/viewcontent.cgi?article=3243&amp;context=ajte</w:t>
      </w:r>
    </w:p>
    <w:p w14:paraId="3F708DC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Burns, T., &amp; </w:t>
      </w:r>
      <w:proofErr w:type="spellStart"/>
      <w:r w:rsidRPr="00E16853">
        <w:rPr>
          <w:rFonts w:eastAsia="Times New Roman"/>
          <w:lang w:eastAsia="en-AU"/>
        </w:rPr>
        <w:t>Schuller</w:t>
      </w:r>
      <w:proofErr w:type="spellEnd"/>
      <w:r w:rsidRPr="00E16853">
        <w:rPr>
          <w:rFonts w:eastAsia="Times New Roman"/>
          <w:lang w:eastAsia="en-AU"/>
        </w:rPr>
        <w:t xml:space="preserve">, T. (2007). Chapter 1 The Evidence Agenda Part </w:t>
      </w:r>
      <w:r w:rsidR="00972B56" w:rsidRPr="00E16853">
        <w:rPr>
          <w:rFonts w:eastAsia="Times New Roman"/>
          <w:lang w:eastAsia="en-AU"/>
        </w:rPr>
        <w:t>One:</w:t>
      </w:r>
      <w:r w:rsidRPr="00E16853">
        <w:rPr>
          <w:rFonts w:eastAsia="Times New Roman"/>
          <w:lang w:eastAsia="en-AU"/>
        </w:rPr>
        <w:t xml:space="preserve"> Setting the </w:t>
      </w:r>
      <w:r w:rsidR="00972B56" w:rsidRPr="00E16853">
        <w:rPr>
          <w:rFonts w:eastAsia="Times New Roman"/>
          <w:lang w:eastAsia="en-AU"/>
        </w:rPr>
        <w:t>Stage:</w:t>
      </w:r>
      <w:r w:rsidRPr="00E16853">
        <w:rPr>
          <w:rFonts w:eastAsia="Times New Roman"/>
          <w:lang w:eastAsia="en-AU"/>
        </w:rPr>
        <w:t xml:space="preserve"> The Evidence Agenda and Methodological Issues. </w:t>
      </w:r>
      <w:r w:rsidRPr="00E16853">
        <w:rPr>
          <w:rFonts w:eastAsia="Times New Roman"/>
          <w:i/>
          <w:iCs/>
          <w:lang w:eastAsia="en-AU"/>
        </w:rPr>
        <w:t>Educational Research</w:t>
      </w:r>
      <w:r w:rsidRPr="00E16853">
        <w:rPr>
          <w:rFonts w:eastAsia="Times New Roman"/>
          <w:lang w:eastAsia="en-AU"/>
        </w:rPr>
        <w:t>.</w:t>
      </w:r>
    </w:p>
    <w:p w14:paraId="5BFB9C2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Connon</w:t>
      </w:r>
      <w:proofErr w:type="spellEnd"/>
      <w:r w:rsidRPr="00E16853">
        <w:rPr>
          <w:rFonts w:eastAsia="Times New Roman"/>
          <w:lang w:eastAsia="en-AU"/>
        </w:rPr>
        <w:t xml:space="preserve">, E. (2009). Technology speaks. </w:t>
      </w:r>
      <w:r w:rsidRPr="00E16853">
        <w:rPr>
          <w:rFonts w:eastAsia="Times New Roman"/>
          <w:i/>
          <w:iCs/>
          <w:lang w:eastAsia="en-AU"/>
        </w:rPr>
        <w:t>Policy &amp; Practice of Public Human Services</w:t>
      </w:r>
      <w:r w:rsidRPr="00E16853">
        <w:rPr>
          <w:rFonts w:eastAsia="Times New Roman"/>
          <w:lang w:eastAsia="en-AU"/>
        </w:rPr>
        <w:t>, (August), 35.</w:t>
      </w:r>
    </w:p>
    <w:p w14:paraId="5EA258F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Cosgrove, L., &amp; Wheeler, E. E. (2013). Drug firms, the codification of diagnostic categories, and bias in clinical guidelines. </w:t>
      </w:r>
      <w:r w:rsidRPr="00E16853">
        <w:rPr>
          <w:rFonts w:eastAsia="Times New Roman"/>
          <w:i/>
          <w:iCs/>
          <w:lang w:eastAsia="en-AU"/>
        </w:rPr>
        <w:t>Journal of Law, Medicine and Ethics</w:t>
      </w:r>
      <w:r w:rsidRPr="00E16853">
        <w:rPr>
          <w:rFonts w:eastAsia="Times New Roman"/>
          <w:lang w:eastAsia="en-AU"/>
        </w:rPr>
        <w:t xml:space="preserve">, </w:t>
      </w:r>
      <w:r w:rsidRPr="00E16853">
        <w:rPr>
          <w:rFonts w:eastAsia="Times New Roman"/>
          <w:i/>
          <w:iCs/>
          <w:lang w:eastAsia="en-AU"/>
        </w:rPr>
        <w:t>41</w:t>
      </w:r>
      <w:r w:rsidRPr="00E16853">
        <w:rPr>
          <w:rFonts w:eastAsia="Times New Roman"/>
          <w:lang w:eastAsia="en-AU"/>
        </w:rPr>
        <w:t>(3), 644–653. https://doi.org/10.1111/jlme.12074</w:t>
      </w:r>
    </w:p>
    <w:p w14:paraId="153CAD1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Council, T., &amp; Children, E. (2014). Evidence-Based Special Education in the Context of Scarce Evidence-Based Practices. </w:t>
      </w:r>
      <w:r w:rsidRPr="00E16853">
        <w:rPr>
          <w:rFonts w:eastAsia="Times New Roman"/>
          <w:i/>
          <w:iCs/>
          <w:lang w:eastAsia="en-AU"/>
        </w:rPr>
        <w:t>TEACHING Exceptional Children</w:t>
      </w:r>
      <w:r w:rsidRPr="00E16853">
        <w:rPr>
          <w:rFonts w:eastAsia="Times New Roman"/>
          <w:lang w:eastAsia="en-AU"/>
        </w:rPr>
        <w:t xml:space="preserve">, </w:t>
      </w:r>
      <w:r w:rsidRPr="00E16853">
        <w:rPr>
          <w:rFonts w:eastAsia="Times New Roman"/>
          <w:i/>
          <w:iCs/>
          <w:lang w:eastAsia="en-AU"/>
        </w:rPr>
        <w:t>47</w:t>
      </w:r>
      <w:r w:rsidRPr="00E16853">
        <w:rPr>
          <w:rFonts w:eastAsia="Times New Roman"/>
          <w:lang w:eastAsia="en-AU"/>
        </w:rPr>
        <w:t>(2), 81–84. https://doi.org/10.1177/0040059914551921</w:t>
      </w:r>
    </w:p>
    <w:p w14:paraId="53C81FC5"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Dahm</w:t>
      </w:r>
      <w:proofErr w:type="spellEnd"/>
      <w:r w:rsidRPr="00E16853">
        <w:rPr>
          <w:rFonts w:eastAsia="Times New Roman"/>
          <w:lang w:eastAsia="en-AU"/>
        </w:rPr>
        <w:t xml:space="preserve">, P., &amp; </w:t>
      </w:r>
      <w:proofErr w:type="spellStart"/>
      <w:r w:rsidRPr="00E16853">
        <w:rPr>
          <w:rFonts w:eastAsia="Times New Roman"/>
          <w:lang w:eastAsia="en-AU"/>
        </w:rPr>
        <w:t>Djulbegovic</w:t>
      </w:r>
      <w:proofErr w:type="spellEnd"/>
      <w:r w:rsidRPr="00E16853">
        <w:rPr>
          <w:rFonts w:eastAsia="Times New Roman"/>
          <w:lang w:eastAsia="en-AU"/>
        </w:rPr>
        <w:t xml:space="preserve">, B. (2011). The Australian “FORM” approach to guideline development: The quest for the perfect system. </w:t>
      </w:r>
      <w:r w:rsidRPr="00E16853">
        <w:rPr>
          <w:rFonts w:eastAsia="Times New Roman"/>
          <w:i/>
          <w:iCs/>
          <w:lang w:eastAsia="en-AU"/>
        </w:rPr>
        <w:t>BMC Medical Research Methodology</w:t>
      </w:r>
      <w:r w:rsidRPr="00E16853">
        <w:rPr>
          <w:rFonts w:eastAsia="Times New Roman"/>
          <w:lang w:eastAsia="en-AU"/>
        </w:rPr>
        <w:t xml:space="preserve">, </w:t>
      </w:r>
      <w:r w:rsidRPr="00E16853">
        <w:rPr>
          <w:rFonts w:eastAsia="Times New Roman"/>
          <w:i/>
          <w:iCs/>
          <w:lang w:eastAsia="en-AU"/>
        </w:rPr>
        <w:t>11</w:t>
      </w:r>
      <w:r w:rsidRPr="00E16853">
        <w:rPr>
          <w:rFonts w:eastAsia="Times New Roman"/>
          <w:lang w:eastAsia="en-AU"/>
        </w:rPr>
        <w:t>(1), 17–19. Retrieved from http://10.0.4.162/1471-2288-11-17</w:t>
      </w:r>
    </w:p>
    <w:p w14:paraId="3F77A40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Dobbins, M., </w:t>
      </w:r>
      <w:proofErr w:type="spellStart"/>
      <w:r w:rsidRPr="00E16853">
        <w:rPr>
          <w:rFonts w:eastAsia="Times New Roman"/>
          <w:lang w:eastAsia="en-AU"/>
        </w:rPr>
        <w:t>DeCorby</w:t>
      </w:r>
      <w:proofErr w:type="spellEnd"/>
      <w:r w:rsidRPr="00E16853">
        <w:rPr>
          <w:rFonts w:eastAsia="Times New Roman"/>
          <w:lang w:eastAsia="en-AU"/>
        </w:rPr>
        <w:t xml:space="preserve">, K., Robeson, P., </w:t>
      </w:r>
      <w:proofErr w:type="spellStart"/>
      <w:r w:rsidRPr="00E16853">
        <w:rPr>
          <w:rFonts w:eastAsia="Times New Roman"/>
          <w:lang w:eastAsia="en-AU"/>
        </w:rPr>
        <w:t>Husson</w:t>
      </w:r>
      <w:proofErr w:type="spellEnd"/>
      <w:r w:rsidRPr="00E16853">
        <w:rPr>
          <w:rFonts w:eastAsia="Times New Roman"/>
          <w:lang w:eastAsia="en-AU"/>
        </w:rPr>
        <w:t xml:space="preserve">, H., </w:t>
      </w:r>
      <w:proofErr w:type="spellStart"/>
      <w:r w:rsidRPr="00E16853">
        <w:rPr>
          <w:rFonts w:eastAsia="Times New Roman"/>
          <w:lang w:eastAsia="en-AU"/>
        </w:rPr>
        <w:t>Tirilis</w:t>
      </w:r>
      <w:proofErr w:type="spellEnd"/>
      <w:r w:rsidRPr="00E16853">
        <w:rPr>
          <w:rFonts w:eastAsia="Times New Roman"/>
          <w:lang w:eastAsia="en-AU"/>
        </w:rPr>
        <w:t xml:space="preserve">, D., &amp; Greco, L. (2010). A knowledge management tool for public health: health-evidence.ca. </w:t>
      </w:r>
      <w:r w:rsidRPr="00E16853">
        <w:rPr>
          <w:rFonts w:eastAsia="Times New Roman"/>
          <w:i/>
          <w:iCs/>
          <w:lang w:eastAsia="en-AU"/>
        </w:rPr>
        <w:t>BMC Public Health</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 496. https://doi.org/https://dx.doi.org/10.1186/1471-2458-10-496</w:t>
      </w:r>
    </w:p>
    <w:p w14:paraId="6BDD7E9B"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Elfner</w:t>
      </w:r>
      <w:proofErr w:type="spellEnd"/>
      <w:r w:rsidRPr="00E16853">
        <w:rPr>
          <w:rFonts w:eastAsia="Times New Roman"/>
          <w:lang w:eastAsia="en-AU"/>
        </w:rPr>
        <w:t>, L. E., Falk-</w:t>
      </w:r>
      <w:proofErr w:type="spellStart"/>
      <w:r w:rsidRPr="00E16853">
        <w:rPr>
          <w:rFonts w:eastAsia="Times New Roman"/>
          <w:lang w:eastAsia="en-AU"/>
        </w:rPr>
        <w:t>krzesinski</w:t>
      </w:r>
      <w:proofErr w:type="spellEnd"/>
      <w:r w:rsidRPr="00E16853">
        <w:rPr>
          <w:rFonts w:eastAsia="Times New Roman"/>
          <w:lang w:eastAsia="en-AU"/>
        </w:rPr>
        <w:t>, H., Sullivan, K. O., Deborah, L., Baker, J., &amp; Pita-</w:t>
      </w:r>
      <w:proofErr w:type="spellStart"/>
      <w:r w:rsidRPr="00E16853">
        <w:rPr>
          <w:rFonts w:eastAsia="Times New Roman"/>
          <w:lang w:eastAsia="en-AU"/>
        </w:rPr>
        <w:t>szczesnieioski</w:t>
      </w:r>
      <w:proofErr w:type="spellEnd"/>
      <w:r w:rsidRPr="00E16853">
        <w:rPr>
          <w:rFonts w:eastAsia="Times New Roman"/>
          <w:lang w:eastAsia="en-AU"/>
        </w:rPr>
        <w:t>, A. (</w:t>
      </w:r>
      <w:proofErr w:type="spellStart"/>
      <w:r w:rsidRPr="00E16853">
        <w:rPr>
          <w:rFonts w:eastAsia="Times New Roman"/>
          <w:lang w:eastAsia="en-AU"/>
        </w:rPr>
        <w:t>n.d.</w:t>
      </w:r>
      <w:proofErr w:type="spellEnd"/>
      <w:r w:rsidRPr="00E16853">
        <w:rPr>
          <w:rFonts w:eastAsia="Times New Roman"/>
          <w:lang w:eastAsia="en-AU"/>
        </w:rPr>
        <w:t>). Team Science.</w:t>
      </w:r>
    </w:p>
    <w:p w14:paraId="2B4EF220"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Flodgren</w:t>
      </w:r>
      <w:proofErr w:type="spellEnd"/>
      <w:r w:rsidRPr="00E16853">
        <w:rPr>
          <w:rFonts w:eastAsia="Times New Roman"/>
          <w:lang w:eastAsia="en-AU"/>
        </w:rPr>
        <w:t xml:space="preserve">, G., </w:t>
      </w:r>
      <w:proofErr w:type="spellStart"/>
      <w:r w:rsidRPr="00E16853">
        <w:rPr>
          <w:rFonts w:eastAsia="Times New Roman"/>
          <w:lang w:eastAsia="en-AU"/>
        </w:rPr>
        <w:t>Mx</w:t>
      </w:r>
      <w:proofErr w:type="spellEnd"/>
      <w:r w:rsidRPr="00E16853">
        <w:rPr>
          <w:rFonts w:eastAsia="Times New Roman"/>
          <w:lang w:eastAsia="en-AU"/>
        </w:rPr>
        <w:t xml:space="preserve">, R., &amp; Cole, N. (2012). Effectiveness of organisational infrastructures to promote evidence-based nursing practice (Review). </w:t>
      </w:r>
      <w:r w:rsidRPr="00E16853">
        <w:rPr>
          <w:rFonts w:eastAsia="Times New Roman"/>
          <w:i/>
          <w:iCs/>
          <w:lang w:eastAsia="en-AU"/>
        </w:rPr>
        <w:t>Cochrane Library of Systematic Reviews</w:t>
      </w:r>
      <w:r w:rsidRPr="00E16853">
        <w:rPr>
          <w:rFonts w:eastAsia="Times New Roman"/>
          <w:lang w:eastAsia="en-AU"/>
        </w:rPr>
        <w:t>, (2). https://doi.org/10.1002/14651858.CD002212.pub2.www.cochranelibrary.com</w:t>
      </w:r>
    </w:p>
    <w:p w14:paraId="0EAB8C2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it-IT" w:eastAsia="en-AU"/>
        </w:rPr>
        <w:t xml:space="preserve">Garcia-Carrion, R., Gomez, A., Molina, S., &amp; Ionescu, V. (2017). </w:t>
      </w:r>
      <w:r w:rsidRPr="00E16853">
        <w:rPr>
          <w:rFonts w:eastAsia="Times New Roman"/>
          <w:lang w:eastAsia="en-AU"/>
        </w:rPr>
        <w:t xml:space="preserve">Teacher Education in Schools as Learning Communities. </w:t>
      </w:r>
      <w:r w:rsidRPr="00E16853">
        <w:rPr>
          <w:rFonts w:eastAsia="Times New Roman"/>
          <w:i/>
          <w:iCs/>
          <w:lang w:eastAsia="en-AU"/>
        </w:rPr>
        <w:t>Australian Journal of Teacher Education</w:t>
      </w:r>
      <w:r w:rsidRPr="00E16853">
        <w:rPr>
          <w:rFonts w:eastAsia="Times New Roman"/>
          <w:lang w:eastAsia="en-AU"/>
        </w:rPr>
        <w:t xml:space="preserve">, </w:t>
      </w:r>
      <w:r w:rsidRPr="00E16853">
        <w:rPr>
          <w:rFonts w:eastAsia="Times New Roman"/>
          <w:i/>
          <w:iCs/>
          <w:lang w:eastAsia="en-AU"/>
        </w:rPr>
        <w:t>42</w:t>
      </w:r>
      <w:r w:rsidRPr="00E16853">
        <w:rPr>
          <w:rFonts w:eastAsia="Times New Roman"/>
          <w:lang w:eastAsia="en-AU"/>
        </w:rPr>
        <w:t>(4), 44–56.</w:t>
      </w:r>
    </w:p>
    <w:p w14:paraId="662D1F9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Healey, M., Suzuki, N., </w:t>
      </w:r>
      <w:proofErr w:type="spellStart"/>
      <w:r w:rsidRPr="00E16853">
        <w:rPr>
          <w:rFonts w:eastAsia="Times New Roman"/>
          <w:lang w:eastAsia="en-AU"/>
        </w:rPr>
        <w:t>Vardeleon</w:t>
      </w:r>
      <w:proofErr w:type="spellEnd"/>
      <w:r w:rsidRPr="00E16853">
        <w:rPr>
          <w:rFonts w:eastAsia="Times New Roman"/>
          <w:lang w:eastAsia="en-AU"/>
        </w:rPr>
        <w:t xml:space="preserve">, A., &amp; Gerber, D. (2016). The Clinical Scholar: Formal Recognition of Nurse Clinicians’ Collaborative Activities. </w:t>
      </w:r>
      <w:r w:rsidRPr="00E16853">
        <w:rPr>
          <w:rFonts w:eastAsia="Times New Roman"/>
          <w:i/>
          <w:iCs/>
          <w:lang w:eastAsia="en-AU"/>
        </w:rPr>
        <w:t>Oncology Nursing Forum</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(2), 494.</w:t>
      </w:r>
    </w:p>
    <w:p w14:paraId="6C21D91E" w14:textId="77777777" w:rsidR="0093470E" w:rsidRPr="00001EEB" w:rsidRDefault="0093470E" w:rsidP="0093470E">
      <w:pPr>
        <w:spacing w:before="100" w:beforeAutospacing="1" w:after="100" w:afterAutospacing="1"/>
        <w:ind w:left="480" w:hanging="480"/>
        <w:rPr>
          <w:rFonts w:eastAsia="Times New Roman"/>
          <w:lang w:val="fr-FR" w:eastAsia="en-AU"/>
        </w:rPr>
      </w:pPr>
      <w:r w:rsidRPr="00E16853">
        <w:rPr>
          <w:rFonts w:eastAsia="Times New Roman"/>
          <w:lang w:eastAsia="en-AU"/>
        </w:rPr>
        <w:t xml:space="preserve">Holmes, B., </w:t>
      </w:r>
      <w:proofErr w:type="spellStart"/>
      <w:r w:rsidRPr="00E16853">
        <w:rPr>
          <w:rFonts w:eastAsia="Times New Roman"/>
          <w:lang w:eastAsia="en-AU"/>
        </w:rPr>
        <w:t>Scarrow</w:t>
      </w:r>
      <w:proofErr w:type="spellEnd"/>
      <w:r w:rsidRPr="00E16853">
        <w:rPr>
          <w:rFonts w:eastAsia="Times New Roman"/>
          <w:lang w:eastAsia="en-AU"/>
        </w:rPr>
        <w:t xml:space="preserve">, G., &amp; </w:t>
      </w:r>
      <w:proofErr w:type="spellStart"/>
      <w:r w:rsidRPr="00E16853">
        <w:rPr>
          <w:rFonts w:eastAsia="Times New Roman"/>
          <w:lang w:eastAsia="en-AU"/>
        </w:rPr>
        <w:t>Schellenberg</w:t>
      </w:r>
      <w:proofErr w:type="spellEnd"/>
      <w:r w:rsidRPr="00E16853">
        <w:rPr>
          <w:rFonts w:eastAsia="Times New Roman"/>
          <w:lang w:eastAsia="en-AU"/>
        </w:rPr>
        <w:t xml:space="preserve">, M. (2012). Translating evidence into practice: the role of health research funders. </w:t>
      </w:r>
      <w:proofErr w:type="spellStart"/>
      <w:r w:rsidRPr="00001EEB">
        <w:rPr>
          <w:rFonts w:eastAsia="Times New Roman"/>
          <w:i/>
          <w:iCs/>
          <w:lang w:val="fr-FR" w:eastAsia="en-AU"/>
        </w:rPr>
        <w:t>Implementation</w:t>
      </w:r>
      <w:proofErr w:type="spellEnd"/>
      <w:r w:rsidRPr="00001EEB">
        <w:rPr>
          <w:rFonts w:eastAsia="Times New Roman"/>
          <w:i/>
          <w:iCs/>
          <w:lang w:val="fr-FR" w:eastAsia="en-AU"/>
        </w:rPr>
        <w:t xml:space="preserve"> Science</w:t>
      </w:r>
      <w:r w:rsidRPr="00001EEB">
        <w:rPr>
          <w:rFonts w:eastAsia="Times New Roman"/>
          <w:lang w:val="fr-FR" w:eastAsia="en-AU"/>
        </w:rPr>
        <w:t xml:space="preserve">, </w:t>
      </w:r>
      <w:r w:rsidRPr="00001EEB">
        <w:rPr>
          <w:rFonts w:eastAsia="Times New Roman"/>
          <w:i/>
          <w:iCs/>
          <w:lang w:val="fr-FR" w:eastAsia="en-AU"/>
        </w:rPr>
        <w:t>7</w:t>
      </w:r>
      <w:r w:rsidRPr="00001EEB">
        <w:rPr>
          <w:rFonts w:eastAsia="Times New Roman"/>
          <w:lang w:val="fr-FR" w:eastAsia="en-AU"/>
        </w:rPr>
        <w:t>(1), 39. https://doi.org/10.1186/1748-5908-7-39</w:t>
      </w:r>
    </w:p>
    <w:p w14:paraId="69933800"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001EEB">
        <w:rPr>
          <w:rFonts w:eastAsia="Times New Roman"/>
          <w:lang w:val="fr-FR" w:eastAsia="en-AU"/>
        </w:rPr>
        <w:t>Honeycutt</w:t>
      </w:r>
      <w:proofErr w:type="spellEnd"/>
      <w:r w:rsidRPr="00001EEB">
        <w:rPr>
          <w:rFonts w:eastAsia="Times New Roman"/>
          <w:lang w:val="fr-FR" w:eastAsia="en-AU"/>
        </w:rPr>
        <w:t xml:space="preserve">, S., Carvalho, M., </w:t>
      </w:r>
      <w:proofErr w:type="spellStart"/>
      <w:r w:rsidRPr="00001EEB">
        <w:rPr>
          <w:rFonts w:eastAsia="Times New Roman"/>
          <w:lang w:val="fr-FR" w:eastAsia="en-AU"/>
        </w:rPr>
        <w:t>Glanz</w:t>
      </w:r>
      <w:proofErr w:type="spellEnd"/>
      <w:r w:rsidRPr="00001EEB">
        <w:rPr>
          <w:rFonts w:eastAsia="Times New Roman"/>
          <w:lang w:val="fr-FR" w:eastAsia="en-AU"/>
        </w:rPr>
        <w:t xml:space="preserve">, K., Daniel, S. D., &amp; </w:t>
      </w:r>
      <w:proofErr w:type="spellStart"/>
      <w:r w:rsidRPr="00001EEB">
        <w:rPr>
          <w:rFonts w:eastAsia="Times New Roman"/>
          <w:lang w:val="fr-FR" w:eastAsia="en-AU"/>
        </w:rPr>
        <w:t>Kegler</w:t>
      </w:r>
      <w:proofErr w:type="spellEnd"/>
      <w:r w:rsidRPr="00001EEB">
        <w:rPr>
          <w:rFonts w:eastAsia="Times New Roman"/>
          <w:lang w:val="fr-FR" w:eastAsia="en-AU"/>
        </w:rPr>
        <w:t xml:space="preserve">, M. C. (2012). </w:t>
      </w:r>
      <w:r w:rsidRPr="00E16853">
        <w:rPr>
          <w:rFonts w:eastAsia="Times New Roman"/>
          <w:lang w:eastAsia="en-AU"/>
        </w:rPr>
        <w:t xml:space="preserve">Research to reality: a process evaluation of a mini-grants program to disseminate evidence-based nutrition programs to rural churches and worksites. </w:t>
      </w:r>
      <w:r w:rsidRPr="00E16853">
        <w:rPr>
          <w:rFonts w:eastAsia="Times New Roman"/>
          <w:i/>
          <w:iCs/>
          <w:lang w:eastAsia="en-AU"/>
        </w:rPr>
        <w:t xml:space="preserve">Journal of Public Health Management and </w:t>
      </w:r>
      <w:r w:rsidR="00972B56" w:rsidRPr="00E16853">
        <w:rPr>
          <w:rFonts w:eastAsia="Times New Roman"/>
          <w:i/>
          <w:iCs/>
          <w:lang w:eastAsia="en-AU"/>
        </w:rPr>
        <w:t>Practice:</w:t>
      </w:r>
      <w:r w:rsidRPr="00E16853">
        <w:rPr>
          <w:rFonts w:eastAsia="Times New Roman"/>
          <w:i/>
          <w:iCs/>
          <w:lang w:eastAsia="en-AU"/>
        </w:rPr>
        <w:t xml:space="preserve"> JPHMP</w:t>
      </w:r>
      <w:r w:rsidRPr="00E16853">
        <w:rPr>
          <w:rFonts w:eastAsia="Times New Roman"/>
          <w:lang w:eastAsia="en-AU"/>
        </w:rPr>
        <w:t xml:space="preserve">, </w:t>
      </w:r>
      <w:r w:rsidRPr="00E16853">
        <w:rPr>
          <w:rFonts w:eastAsia="Times New Roman"/>
          <w:i/>
          <w:iCs/>
          <w:lang w:eastAsia="en-AU"/>
        </w:rPr>
        <w:t>18</w:t>
      </w:r>
      <w:r w:rsidRPr="00E16853">
        <w:rPr>
          <w:rFonts w:eastAsia="Times New Roman"/>
          <w:lang w:eastAsia="en-AU"/>
        </w:rPr>
        <w:t>(5), 431–439. https://doi.org/https://dx.doi.org/10.1097/PHH.0b013e31822d4c69</w:t>
      </w:r>
    </w:p>
    <w:p w14:paraId="4FD84B9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lastRenderedPageBreak/>
        <w:t>LaRocca</w:t>
      </w:r>
      <w:proofErr w:type="spellEnd"/>
      <w:r w:rsidRPr="00E16853">
        <w:rPr>
          <w:rFonts w:eastAsia="Times New Roman"/>
          <w:lang w:eastAsia="en-AU"/>
        </w:rPr>
        <w:t xml:space="preserve">, R., Yost, J., Dobbins, M., </w:t>
      </w:r>
      <w:proofErr w:type="spellStart"/>
      <w:r w:rsidRPr="00E16853">
        <w:rPr>
          <w:rFonts w:eastAsia="Times New Roman"/>
          <w:lang w:eastAsia="en-AU"/>
        </w:rPr>
        <w:t>Ciliska</w:t>
      </w:r>
      <w:proofErr w:type="spellEnd"/>
      <w:r w:rsidRPr="00E16853">
        <w:rPr>
          <w:rFonts w:eastAsia="Times New Roman"/>
          <w:lang w:eastAsia="en-AU"/>
        </w:rPr>
        <w:t xml:space="preserve">, D., &amp; Butt, M. (2012). The effectiveness of knowledge translation strategies used in public health: a systematic review (Structured abstract). </w:t>
      </w:r>
      <w:r w:rsidRPr="00E16853">
        <w:rPr>
          <w:rFonts w:eastAsia="Times New Roman"/>
          <w:i/>
          <w:iCs/>
          <w:lang w:eastAsia="en-AU"/>
        </w:rPr>
        <w:t>BMC Public Health</w:t>
      </w:r>
      <w:r w:rsidRPr="00E16853">
        <w:rPr>
          <w:rFonts w:eastAsia="Times New Roman"/>
          <w:lang w:eastAsia="en-AU"/>
        </w:rPr>
        <w:t>. Retrieved from http://onlinelibrary.wiley.com/o/cochrane/cldare/articles/DARE-12013015857/frame.html</w:t>
      </w:r>
    </w:p>
    <w:p w14:paraId="37D9AA4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League, K., </w:t>
      </w:r>
      <w:proofErr w:type="spellStart"/>
      <w:r w:rsidRPr="00E16853">
        <w:rPr>
          <w:rFonts w:eastAsia="Times New Roman"/>
          <w:lang w:eastAsia="en-AU"/>
        </w:rPr>
        <w:t>Christenbery</w:t>
      </w:r>
      <w:proofErr w:type="spellEnd"/>
      <w:r w:rsidRPr="00E16853">
        <w:rPr>
          <w:rFonts w:eastAsia="Times New Roman"/>
          <w:lang w:eastAsia="en-AU"/>
        </w:rPr>
        <w:t xml:space="preserve">, T., Sandlin, V., </w:t>
      </w:r>
      <w:proofErr w:type="spellStart"/>
      <w:r w:rsidRPr="00E16853">
        <w:rPr>
          <w:rFonts w:eastAsia="Times New Roman"/>
          <w:lang w:eastAsia="en-AU"/>
        </w:rPr>
        <w:t>Arnow</w:t>
      </w:r>
      <w:proofErr w:type="spellEnd"/>
      <w:r w:rsidRPr="00E16853">
        <w:rPr>
          <w:rFonts w:eastAsia="Times New Roman"/>
          <w:lang w:eastAsia="en-AU"/>
        </w:rPr>
        <w:t xml:space="preserve">, D., Moss, K., &amp; Wells, N. (2012). Increasing Nurses’ Access to Evidence Through a Web-Based Resource. </w:t>
      </w:r>
      <w:r w:rsidRPr="00E16853">
        <w:rPr>
          <w:rFonts w:eastAsia="Times New Roman"/>
          <w:i/>
          <w:iCs/>
          <w:lang w:eastAsia="en-AU"/>
        </w:rPr>
        <w:t>JONA: The Journal of Nursing Administration</w:t>
      </w:r>
      <w:r w:rsidRPr="00E16853">
        <w:rPr>
          <w:rFonts w:eastAsia="Times New Roman"/>
          <w:lang w:eastAsia="en-AU"/>
        </w:rPr>
        <w:t xml:space="preserve">, </w:t>
      </w:r>
      <w:r w:rsidRPr="00E16853">
        <w:rPr>
          <w:rFonts w:eastAsia="Times New Roman"/>
          <w:i/>
          <w:iCs/>
          <w:lang w:eastAsia="en-AU"/>
        </w:rPr>
        <w:t>42</w:t>
      </w:r>
      <w:r w:rsidRPr="00E16853">
        <w:rPr>
          <w:rFonts w:eastAsia="Times New Roman"/>
          <w:lang w:eastAsia="en-AU"/>
        </w:rPr>
        <w:t>(11), 531–535. https://doi.org/10.1097/NNA.0b013e3182714476</w:t>
      </w:r>
    </w:p>
    <w:p w14:paraId="3466B412"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Lebard</w:t>
      </w:r>
      <w:proofErr w:type="spellEnd"/>
      <w:r w:rsidRPr="00E16853">
        <w:rPr>
          <w:rFonts w:eastAsia="Times New Roman"/>
          <w:lang w:eastAsia="en-AU"/>
        </w:rPr>
        <w:t xml:space="preserve">, R. J., </w:t>
      </w:r>
      <w:proofErr w:type="spellStart"/>
      <w:r w:rsidRPr="00E16853">
        <w:rPr>
          <w:rFonts w:eastAsia="Times New Roman"/>
          <w:lang w:eastAsia="en-AU"/>
        </w:rPr>
        <w:t>Brynn</w:t>
      </w:r>
      <w:proofErr w:type="spellEnd"/>
      <w:r w:rsidRPr="00E16853">
        <w:rPr>
          <w:rFonts w:eastAsia="Times New Roman"/>
          <w:lang w:eastAsia="en-AU"/>
        </w:rPr>
        <w:t xml:space="preserve">, D. H., &amp; </w:t>
      </w:r>
      <w:proofErr w:type="spellStart"/>
      <w:r w:rsidRPr="00E16853">
        <w:rPr>
          <w:rFonts w:eastAsia="Times New Roman"/>
          <w:lang w:eastAsia="en-AU"/>
        </w:rPr>
        <w:t>Quinnell</w:t>
      </w:r>
      <w:proofErr w:type="spellEnd"/>
      <w:r w:rsidRPr="00E16853">
        <w:rPr>
          <w:rFonts w:eastAsia="Times New Roman"/>
          <w:lang w:eastAsia="en-AU"/>
        </w:rPr>
        <w:t xml:space="preserve">, R. (2017). Spaces to Engage Students with </w:t>
      </w:r>
      <w:proofErr w:type="spellStart"/>
      <w:r w:rsidRPr="00E16853">
        <w:rPr>
          <w:rFonts w:eastAsia="Times New Roman"/>
          <w:lang w:eastAsia="en-AU"/>
        </w:rPr>
        <w:t>eScience</w:t>
      </w:r>
      <w:proofErr w:type="spellEnd"/>
      <w:r w:rsidRPr="00E16853">
        <w:rPr>
          <w:rFonts w:eastAsia="Times New Roman"/>
          <w:lang w:eastAsia="en-AU"/>
        </w:rPr>
        <w:t xml:space="preserve">. </w:t>
      </w:r>
      <w:r w:rsidRPr="00E16853">
        <w:rPr>
          <w:rFonts w:eastAsia="Times New Roman"/>
          <w:i/>
          <w:iCs/>
          <w:lang w:eastAsia="en-AU"/>
        </w:rPr>
        <w:t>Teaching Science</w:t>
      </w:r>
      <w:r w:rsidRPr="00E16853">
        <w:rPr>
          <w:rFonts w:eastAsia="Times New Roman"/>
          <w:lang w:eastAsia="en-AU"/>
        </w:rPr>
        <w:t xml:space="preserve">, </w:t>
      </w:r>
      <w:r w:rsidRPr="00E16853">
        <w:rPr>
          <w:rFonts w:eastAsia="Times New Roman"/>
          <w:i/>
          <w:iCs/>
          <w:lang w:eastAsia="en-AU"/>
        </w:rPr>
        <w:t>63</w:t>
      </w:r>
      <w:r w:rsidRPr="00E16853">
        <w:rPr>
          <w:rFonts w:eastAsia="Times New Roman"/>
          <w:lang w:eastAsia="en-AU"/>
        </w:rPr>
        <w:t>(1).</w:t>
      </w:r>
    </w:p>
    <w:p w14:paraId="6316F28D"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Mancini, M. A., &amp; Miner, C. S. (2013). Learning and Change in a Community Mental Health Setting. </w:t>
      </w:r>
      <w:r w:rsidRPr="00E16853">
        <w:rPr>
          <w:rFonts w:eastAsia="Times New Roman"/>
          <w:i/>
          <w:iCs/>
          <w:lang w:eastAsia="en-AU"/>
        </w:rPr>
        <w:t>Journal of Evidence-Based Social Work</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(5), 494–504. Retrieved from http://10.0.4.56/15433714.2012.760944</w:t>
      </w:r>
    </w:p>
    <w:p w14:paraId="0263E72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McCormack, L., Sheridan, S., Lewis, M., </w:t>
      </w:r>
      <w:proofErr w:type="spellStart"/>
      <w:r w:rsidRPr="00E16853">
        <w:rPr>
          <w:rFonts w:eastAsia="Times New Roman"/>
          <w:lang w:eastAsia="en-AU"/>
        </w:rPr>
        <w:t>Boudewyns</w:t>
      </w:r>
      <w:proofErr w:type="spellEnd"/>
      <w:r w:rsidRPr="00E16853">
        <w:rPr>
          <w:rFonts w:eastAsia="Times New Roman"/>
          <w:lang w:eastAsia="en-AU"/>
        </w:rPr>
        <w:t xml:space="preserve">, V., Melvin, C., </w:t>
      </w:r>
      <w:proofErr w:type="spellStart"/>
      <w:r w:rsidRPr="00E16853">
        <w:rPr>
          <w:rFonts w:eastAsia="Times New Roman"/>
          <w:lang w:eastAsia="en-AU"/>
        </w:rPr>
        <w:t>Kistler</w:t>
      </w:r>
      <w:proofErr w:type="spellEnd"/>
      <w:r w:rsidRPr="00E16853">
        <w:rPr>
          <w:rFonts w:eastAsia="Times New Roman"/>
          <w:lang w:eastAsia="en-AU"/>
        </w:rPr>
        <w:t xml:space="preserve">, C., … </w:t>
      </w:r>
      <w:proofErr w:type="spellStart"/>
      <w:r w:rsidRPr="00E16853">
        <w:rPr>
          <w:rFonts w:eastAsia="Times New Roman"/>
          <w:lang w:eastAsia="en-AU"/>
        </w:rPr>
        <w:t>Lohr</w:t>
      </w:r>
      <w:proofErr w:type="spellEnd"/>
      <w:r w:rsidRPr="00E16853">
        <w:rPr>
          <w:rFonts w:eastAsia="Times New Roman"/>
          <w:lang w:eastAsia="en-AU"/>
        </w:rPr>
        <w:t xml:space="preserve">, K. (2013). Communication and dissemination strategies to facilitate the use of health-related evidence (Structured abstract). </w:t>
      </w:r>
      <w:r w:rsidRPr="00E16853">
        <w:rPr>
          <w:rFonts w:eastAsia="Times New Roman"/>
          <w:i/>
          <w:iCs/>
          <w:lang w:eastAsia="en-AU"/>
        </w:rPr>
        <w:t>Database of Abstracts of Reviews of Effects</w:t>
      </w:r>
      <w:r w:rsidRPr="00E16853">
        <w:rPr>
          <w:rFonts w:eastAsia="Times New Roman"/>
          <w:lang w:eastAsia="en-AU"/>
        </w:rPr>
        <w:t>. Agency for Healthcare Research and Quality. Retrieved from http://onlinelibrary.wiley.com/o/cochrane/cldare/articles/DARE-12013066997/frame.html</w:t>
      </w:r>
    </w:p>
    <w:p w14:paraId="4DA7E4D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McEvoy</w:t>
      </w:r>
      <w:proofErr w:type="spellEnd"/>
      <w:r w:rsidRPr="00E16853">
        <w:rPr>
          <w:rFonts w:eastAsia="Times New Roman"/>
          <w:lang w:eastAsia="en-AU"/>
        </w:rPr>
        <w:t xml:space="preserve">, M. P., </w:t>
      </w:r>
      <w:proofErr w:type="spellStart"/>
      <w:r w:rsidRPr="00E16853">
        <w:rPr>
          <w:rFonts w:eastAsia="Times New Roman"/>
          <w:lang w:eastAsia="en-AU"/>
        </w:rPr>
        <w:t>Crilly</w:t>
      </w:r>
      <w:proofErr w:type="spellEnd"/>
      <w:r w:rsidRPr="00E16853">
        <w:rPr>
          <w:rFonts w:eastAsia="Times New Roman"/>
          <w:lang w:eastAsia="en-AU"/>
        </w:rPr>
        <w:t xml:space="preserve">, M., Young, T., </w:t>
      </w:r>
      <w:proofErr w:type="spellStart"/>
      <w:r w:rsidRPr="00E16853">
        <w:rPr>
          <w:rFonts w:eastAsia="Times New Roman"/>
          <w:lang w:eastAsia="en-AU"/>
        </w:rPr>
        <w:t>Farrelly</w:t>
      </w:r>
      <w:proofErr w:type="spellEnd"/>
      <w:r w:rsidRPr="00E16853">
        <w:rPr>
          <w:rFonts w:eastAsia="Times New Roman"/>
          <w:lang w:eastAsia="en-AU"/>
        </w:rPr>
        <w:t xml:space="preserve">, J., &amp; Lewis, L. K. (2016). How Comprehensively Is Evidence-Based Practice Represented in Australian Health Professional Accreditation Documents? A Systematic Audit. </w:t>
      </w:r>
      <w:r w:rsidRPr="00E16853">
        <w:rPr>
          <w:rFonts w:eastAsia="Times New Roman"/>
          <w:i/>
          <w:iCs/>
          <w:lang w:eastAsia="en-AU"/>
        </w:rPr>
        <w:t>Teaching and Learning in Medicine</w:t>
      </w:r>
      <w:r w:rsidRPr="00E16853">
        <w:rPr>
          <w:rFonts w:eastAsia="Times New Roman"/>
          <w:lang w:eastAsia="en-AU"/>
        </w:rPr>
        <w:t xml:space="preserve">, </w:t>
      </w:r>
      <w:r w:rsidRPr="00E16853">
        <w:rPr>
          <w:rFonts w:eastAsia="Times New Roman"/>
          <w:i/>
          <w:iCs/>
          <w:lang w:eastAsia="en-AU"/>
        </w:rPr>
        <w:t>28</w:t>
      </w:r>
      <w:r w:rsidRPr="00E16853">
        <w:rPr>
          <w:rFonts w:eastAsia="Times New Roman"/>
          <w:lang w:eastAsia="en-AU"/>
        </w:rPr>
        <w:t>(1), 26–34. https://doi.org/10.1080/10401334.2015.1107490</w:t>
      </w:r>
    </w:p>
    <w:p w14:paraId="3D03CB6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Murthy, L., </w:t>
      </w:r>
      <w:proofErr w:type="spellStart"/>
      <w:r w:rsidRPr="00E16853">
        <w:rPr>
          <w:rFonts w:eastAsia="Times New Roman"/>
          <w:lang w:eastAsia="en-AU"/>
        </w:rPr>
        <w:t>Shepperd</w:t>
      </w:r>
      <w:proofErr w:type="spellEnd"/>
      <w:r w:rsidRPr="00E16853">
        <w:rPr>
          <w:rFonts w:eastAsia="Times New Roman"/>
          <w:lang w:eastAsia="en-AU"/>
        </w:rPr>
        <w:t xml:space="preserve">, S., Clarke, M. J., Garner, S. E., </w:t>
      </w:r>
      <w:proofErr w:type="spellStart"/>
      <w:r w:rsidRPr="00E16853">
        <w:rPr>
          <w:rFonts w:eastAsia="Times New Roman"/>
          <w:lang w:eastAsia="en-AU"/>
        </w:rPr>
        <w:t>Lavis</w:t>
      </w:r>
      <w:proofErr w:type="spellEnd"/>
      <w:r w:rsidRPr="00E16853">
        <w:rPr>
          <w:rFonts w:eastAsia="Times New Roman"/>
          <w:lang w:eastAsia="en-AU"/>
        </w:rPr>
        <w:t xml:space="preserve">, J. N., Perrier, L., … Straus, S. E. (2012). Interventions to improve the use of systematic reviews in decision-making by health system managers, policy makers and clinicians. </w:t>
      </w:r>
      <w:r w:rsidRPr="00E16853">
        <w:rPr>
          <w:rFonts w:eastAsia="Times New Roman"/>
          <w:i/>
          <w:iCs/>
          <w:lang w:eastAsia="en-AU"/>
        </w:rPr>
        <w:t>Cochrane Database of Systematic Reviews</w:t>
      </w:r>
      <w:r w:rsidRPr="00E16853">
        <w:rPr>
          <w:rFonts w:eastAsia="Times New Roman"/>
          <w:lang w:eastAsia="en-AU"/>
        </w:rPr>
        <w:t>, (9). https://doi.org/10.1002/14651858.CD009401.pub2</w:t>
      </w:r>
    </w:p>
    <w:p w14:paraId="559E119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Paper, W. (2008). Lessons from the literature. </w:t>
      </w:r>
      <w:r w:rsidRPr="00E16853">
        <w:rPr>
          <w:rFonts w:eastAsia="Times New Roman"/>
          <w:i/>
          <w:iCs/>
          <w:lang w:eastAsia="en-AU"/>
        </w:rPr>
        <w:t>Evidence &amp; Policy: A Journal of Research, Debate and Practice</w:t>
      </w:r>
      <w:r w:rsidRPr="00E16853">
        <w:rPr>
          <w:rFonts w:eastAsia="Times New Roman"/>
          <w:lang w:eastAsia="en-AU"/>
        </w:rPr>
        <w:t xml:space="preserve">, </w:t>
      </w:r>
      <w:r w:rsidRPr="00E16853">
        <w:rPr>
          <w:rFonts w:eastAsia="Times New Roman"/>
          <w:i/>
          <w:iCs/>
          <w:lang w:eastAsia="en-AU"/>
        </w:rPr>
        <w:t>4</w:t>
      </w:r>
      <w:r w:rsidRPr="00E16853">
        <w:rPr>
          <w:rFonts w:eastAsia="Times New Roman"/>
          <w:lang w:eastAsia="en-AU"/>
        </w:rPr>
        <w:t>(2), 273–293. https://doi.org/10.1332/174426408784614635</w:t>
      </w:r>
    </w:p>
    <w:p w14:paraId="2C15C76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Projects, H. C. (</w:t>
      </w:r>
      <w:proofErr w:type="spellStart"/>
      <w:r w:rsidRPr="00E16853">
        <w:rPr>
          <w:rFonts w:eastAsia="Times New Roman"/>
          <w:lang w:eastAsia="en-AU"/>
        </w:rPr>
        <w:t>n.d.</w:t>
      </w:r>
      <w:proofErr w:type="spellEnd"/>
      <w:r w:rsidRPr="00E16853">
        <w:rPr>
          <w:rFonts w:eastAsia="Times New Roman"/>
          <w:lang w:eastAsia="en-AU"/>
        </w:rPr>
        <w:t xml:space="preserve">). AND ENVIRONMENTAL Health and environment What do we </w:t>
      </w:r>
      <w:r w:rsidR="00972B56" w:rsidRPr="00E16853">
        <w:rPr>
          <w:rFonts w:eastAsia="Times New Roman"/>
          <w:lang w:eastAsia="en-AU"/>
        </w:rPr>
        <w:t>know?</w:t>
      </w:r>
      <w:r w:rsidRPr="00E16853">
        <w:rPr>
          <w:rFonts w:eastAsia="Times New Roman"/>
          <w:lang w:eastAsia="en-AU"/>
        </w:rPr>
        <w:t xml:space="preserve"> What can we </w:t>
      </w:r>
      <w:r w:rsidR="00972B56" w:rsidRPr="00E16853">
        <w:rPr>
          <w:rFonts w:eastAsia="Times New Roman"/>
          <w:lang w:eastAsia="en-AU"/>
        </w:rPr>
        <w:t>do?</w:t>
      </w:r>
      <w:r w:rsidRPr="00E16853">
        <w:rPr>
          <w:rFonts w:eastAsia="Times New Roman"/>
          <w:lang w:eastAsia="en-AU"/>
        </w:rPr>
        <w:t xml:space="preserve"> </w:t>
      </w:r>
      <w:r w:rsidR="00972B56" w:rsidRPr="00E16853">
        <w:rPr>
          <w:rFonts w:eastAsia="Times New Roman"/>
          <w:lang w:eastAsia="en-AU"/>
        </w:rPr>
        <w:t>WHO’</w:t>
      </w:r>
      <w:r w:rsidRPr="00E16853">
        <w:rPr>
          <w:rFonts w:eastAsia="Times New Roman"/>
          <w:lang w:eastAsia="en-AU"/>
        </w:rPr>
        <w:t xml:space="preserve"> s APPROACH TO FILLING THE KNOWLEDGE – ACTION GAP.</w:t>
      </w:r>
    </w:p>
    <w:p w14:paraId="5A8F12A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Quan</w:t>
      </w:r>
      <w:proofErr w:type="spellEnd"/>
      <w:r w:rsidRPr="00E16853">
        <w:rPr>
          <w:rFonts w:eastAsia="Times New Roman"/>
          <w:lang w:eastAsia="en-AU"/>
        </w:rPr>
        <w:t xml:space="preserve">, X., &amp; Joseph, A. (2001). Design research and practice. </w:t>
      </w:r>
      <w:r w:rsidRPr="00E16853">
        <w:rPr>
          <w:rFonts w:eastAsia="Times New Roman"/>
          <w:i/>
          <w:iCs/>
          <w:lang w:eastAsia="en-AU"/>
        </w:rPr>
        <w:t>Healthcare Design</w:t>
      </w:r>
      <w:r w:rsidRPr="00E16853">
        <w:rPr>
          <w:rFonts w:eastAsia="Times New Roman"/>
          <w:lang w:eastAsia="en-AU"/>
        </w:rPr>
        <w:t>.</w:t>
      </w:r>
    </w:p>
    <w:p w14:paraId="3DCA996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Robertson, A., Walker, C. S., Stovall, M., &amp; </w:t>
      </w:r>
      <w:proofErr w:type="spellStart"/>
      <w:r w:rsidR="00972B56" w:rsidRPr="00E16853">
        <w:rPr>
          <w:rFonts w:eastAsia="Times New Roman"/>
          <w:lang w:eastAsia="en-AU"/>
        </w:rPr>
        <w:t>McCuskey</w:t>
      </w:r>
      <w:proofErr w:type="spellEnd"/>
      <w:r w:rsidRPr="00E16853">
        <w:rPr>
          <w:rFonts w:eastAsia="Times New Roman"/>
          <w:lang w:eastAsia="en-AU"/>
        </w:rPr>
        <w:t xml:space="preserve">, L. (2015). Use of evidence-based substance use treatment practices in Mississippi. </w:t>
      </w:r>
      <w:r w:rsidRPr="00E16853">
        <w:rPr>
          <w:rFonts w:eastAsia="Times New Roman"/>
          <w:i/>
          <w:iCs/>
          <w:lang w:eastAsia="en-AU"/>
        </w:rPr>
        <w:t>Evaluation and Program Planning</w:t>
      </w:r>
      <w:r w:rsidRPr="00E16853">
        <w:rPr>
          <w:rFonts w:eastAsia="Times New Roman"/>
          <w:lang w:eastAsia="en-AU"/>
        </w:rPr>
        <w:t xml:space="preserve">, </w:t>
      </w:r>
      <w:r w:rsidRPr="00E16853">
        <w:rPr>
          <w:rFonts w:eastAsia="Times New Roman"/>
          <w:i/>
          <w:iCs/>
          <w:lang w:eastAsia="en-AU"/>
        </w:rPr>
        <w:t>52</w:t>
      </w:r>
      <w:r w:rsidRPr="00E16853">
        <w:rPr>
          <w:rFonts w:eastAsia="Times New Roman"/>
          <w:lang w:eastAsia="en-AU"/>
        </w:rPr>
        <w:t>, 198–204. https://doi.org/10.1016/j.evalprogplan.2015.06.002</w:t>
      </w:r>
    </w:p>
    <w:p w14:paraId="206B17D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Rodrigues, R. J. (2000). Information systems: the key to evidence-based health practice. </w:t>
      </w:r>
      <w:r w:rsidRPr="00E16853">
        <w:rPr>
          <w:rFonts w:eastAsia="Times New Roman"/>
          <w:i/>
          <w:iCs/>
          <w:lang w:eastAsia="en-AU"/>
        </w:rPr>
        <w:t>Bulletin of the World Health Organization</w:t>
      </w:r>
      <w:r w:rsidRPr="00E16853">
        <w:rPr>
          <w:rFonts w:eastAsia="Times New Roman"/>
          <w:lang w:eastAsia="en-AU"/>
        </w:rPr>
        <w:t xml:space="preserve">, </w:t>
      </w:r>
      <w:r w:rsidRPr="00E16853">
        <w:rPr>
          <w:rFonts w:eastAsia="Times New Roman"/>
          <w:i/>
          <w:iCs/>
          <w:lang w:eastAsia="en-AU"/>
        </w:rPr>
        <w:t>78</w:t>
      </w:r>
      <w:r w:rsidRPr="00E16853">
        <w:rPr>
          <w:rFonts w:eastAsia="Times New Roman"/>
          <w:lang w:eastAsia="en-AU"/>
        </w:rPr>
        <w:t>(11), 1344–1351. https://doi.org/10.1590/S0042-96862000001100010</w:t>
      </w:r>
    </w:p>
    <w:p w14:paraId="477EB21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Shapiro, J. S., </w:t>
      </w:r>
      <w:proofErr w:type="spellStart"/>
      <w:r w:rsidRPr="00E16853">
        <w:rPr>
          <w:rFonts w:eastAsia="Times New Roman"/>
          <w:lang w:eastAsia="en-AU"/>
        </w:rPr>
        <w:t>Grannis</w:t>
      </w:r>
      <w:proofErr w:type="spellEnd"/>
      <w:r w:rsidRPr="00E16853">
        <w:rPr>
          <w:rFonts w:eastAsia="Times New Roman"/>
          <w:lang w:eastAsia="en-AU"/>
        </w:rPr>
        <w:t xml:space="preserve">, S. J., Revere, D., Hanes, P., Davidson, A., Hunter, C., … Platt, R. (2007). Evaluating public health uses of health information exchange. </w:t>
      </w:r>
      <w:r w:rsidRPr="00E16853">
        <w:rPr>
          <w:rFonts w:eastAsia="Times New Roman"/>
          <w:i/>
          <w:iCs/>
          <w:lang w:eastAsia="en-AU"/>
        </w:rPr>
        <w:t>Journal of Biomedical Informatics</w:t>
      </w:r>
      <w:r w:rsidRPr="00E16853">
        <w:rPr>
          <w:rFonts w:eastAsia="Times New Roman"/>
          <w:lang w:eastAsia="en-AU"/>
        </w:rPr>
        <w:t xml:space="preserve">, </w:t>
      </w:r>
      <w:r w:rsidRPr="00E16853">
        <w:rPr>
          <w:rFonts w:eastAsia="Times New Roman"/>
          <w:i/>
          <w:iCs/>
          <w:lang w:eastAsia="en-AU"/>
        </w:rPr>
        <w:t>40</w:t>
      </w:r>
      <w:r w:rsidRPr="00E16853">
        <w:rPr>
          <w:rFonts w:eastAsia="Times New Roman"/>
          <w:lang w:eastAsia="en-AU"/>
        </w:rPr>
        <w:t>(6), S46–S49. https://doi.org/10.1016/j.jbi.2007.08.003</w:t>
      </w:r>
    </w:p>
    <w:p w14:paraId="62837A3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Siaki</w:t>
      </w:r>
      <w:proofErr w:type="spellEnd"/>
      <w:r w:rsidRPr="00E16853">
        <w:rPr>
          <w:rFonts w:eastAsia="Times New Roman"/>
          <w:lang w:eastAsia="en-AU"/>
        </w:rPr>
        <w:t xml:space="preserve">, L. A., </w:t>
      </w:r>
      <w:proofErr w:type="spellStart"/>
      <w:r w:rsidRPr="00E16853">
        <w:rPr>
          <w:rFonts w:eastAsia="Times New Roman"/>
          <w:lang w:eastAsia="en-AU"/>
        </w:rPr>
        <w:t>Lentino</w:t>
      </w:r>
      <w:proofErr w:type="spellEnd"/>
      <w:r w:rsidRPr="00E16853">
        <w:rPr>
          <w:rFonts w:eastAsia="Times New Roman"/>
          <w:lang w:eastAsia="en-AU"/>
        </w:rPr>
        <w:t xml:space="preserve">, C. V, Mark, D. D., &amp; Hopkins-Chadwick, D. L. (2014). Achieving army nursing evidence-based practice competencies through a civilian-military nurse partnership. </w:t>
      </w:r>
      <w:r w:rsidRPr="00E16853">
        <w:rPr>
          <w:rFonts w:eastAsia="Times New Roman"/>
          <w:i/>
          <w:iCs/>
          <w:lang w:eastAsia="en-AU"/>
        </w:rPr>
        <w:t>U.S. Army Medical Department Journal</w:t>
      </w:r>
      <w:r w:rsidRPr="00E16853">
        <w:rPr>
          <w:rFonts w:eastAsia="Times New Roman"/>
          <w:lang w:eastAsia="en-AU"/>
        </w:rPr>
        <w:t>, 42–51.</w:t>
      </w:r>
    </w:p>
    <w:p w14:paraId="68F489F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Smith, R. (2006). The beginning of evidence based practice: searching the literature. </w:t>
      </w:r>
      <w:r w:rsidRPr="00E16853">
        <w:rPr>
          <w:rFonts w:eastAsia="Times New Roman"/>
          <w:i/>
          <w:iCs/>
          <w:lang w:eastAsia="en-AU"/>
        </w:rPr>
        <w:t>Oncology Nursing Forum</w:t>
      </w:r>
      <w:r w:rsidRPr="00E16853">
        <w:rPr>
          <w:rFonts w:eastAsia="Times New Roman"/>
          <w:lang w:eastAsia="en-AU"/>
        </w:rPr>
        <w:t xml:space="preserve">, </w:t>
      </w:r>
      <w:r w:rsidRPr="00E16853">
        <w:rPr>
          <w:rFonts w:eastAsia="Times New Roman"/>
          <w:i/>
          <w:iCs/>
          <w:lang w:eastAsia="en-AU"/>
        </w:rPr>
        <w:t>33</w:t>
      </w:r>
      <w:r w:rsidRPr="00E16853">
        <w:rPr>
          <w:rFonts w:eastAsia="Times New Roman"/>
          <w:lang w:eastAsia="en-AU"/>
        </w:rPr>
        <w:t>(2), 437.</w:t>
      </w:r>
    </w:p>
    <w:p w14:paraId="085D977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The World Health Organization. (2012). The WHO strategy on research for health. </w:t>
      </w:r>
      <w:r w:rsidRPr="00E16853">
        <w:rPr>
          <w:rFonts w:eastAsia="Times New Roman"/>
          <w:i/>
          <w:iCs/>
          <w:lang w:eastAsia="en-AU"/>
        </w:rPr>
        <w:t>The WHO Strategy on Research for Health</w:t>
      </w:r>
      <w:r w:rsidRPr="00E16853">
        <w:rPr>
          <w:rFonts w:eastAsia="Times New Roman"/>
          <w:lang w:eastAsia="en-AU"/>
        </w:rPr>
        <w:t>, 53. Retrieved from http://www.who.int/phi/WHO_Strategy_on_research_for_health.pdf</w:t>
      </w:r>
    </w:p>
    <w:p w14:paraId="09891FDB"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Trust, T. (2017). Using cultural historical activity theory to examine how teachers seek and share knowledge in a peer-to-peer professional development network. </w:t>
      </w:r>
      <w:r w:rsidRPr="00E16853">
        <w:rPr>
          <w:rFonts w:eastAsia="Times New Roman"/>
          <w:i/>
          <w:iCs/>
          <w:lang w:eastAsia="en-AU"/>
        </w:rPr>
        <w:t>Australasian Journal of Educational Technology</w:t>
      </w:r>
      <w:r w:rsidRPr="00E16853">
        <w:rPr>
          <w:rFonts w:eastAsia="Times New Roman"/>
          <w:lang w:eastAsia="en-AU"/>
        </w:rPr>
        <w:t xml:space="preserve">, </w:t>
      </w:r>
      <w:r w:rsidRPr="00E16853">
        <w:rPr>
          <w:rFonts w:eastAsia="Times New Roman"/>
          <w:i/>
          <w:iCs/>
          <w:lang w:eastAsia="en-AU"/>
        </w:rPr>
        <w:t>33</w:t>
      </w:r>
      <w:r w:rsidRPr="00E16853">
        <w:rPr>
          <w:rFonts w:eastAsia="Times New Roman"/>
          <w:lang w:eastAsia="en-AU"/>
        </w:rPr>
        <w:t>(1), 98–113. Retrieved from https://ajet.org.au/index.php/AJET/article/download/2593/1404</w:t>
      </w:r>
    </w:p>
    <w:p w14:paraId="6C97C3B0"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Volmink</w:t>
      </w:r>
      <w:proofErr w:type="spellEnd"/>
      <w:r w:rsidRPr="00E16853">
        <w:rPr>
          <w:rFonts w:eastAsia="Times New Roman"/>
          <w:lang w:eastAsia="en-AU"/>
        </w:rPr>
        <w:t xml:space="preserve">, J., Siegfried, N., Robertson, K., &amp; </w:t>
      </w:r>
      <w:proofErr w:type="spellStart"/>
      <w:r w:rsidRPr="00E16853">
        <w:rPr>
          <w:rFonts w:eastAsia="Times New Roman"/>
          <w:lang w:eastAsia="en-AU"/>
        </w:rPr>
        <w:t>Gulmezoglu</w:t>
      </w:r>
      <w:proofErr w:type="spellEnd"/>
      <w:r w:rsidRPr="00E16853">
        <w:rPr>
          <w:rFonts w:eastAsia="Times New Roman"/>
          <w:lang w:eastAsia="en-AU"/>
        </w:rPr>
        <w:t xml:space="preserve">, A. M. (2004). Research synthesis and disseminating as a bridge to knowledge management: the Cochrane </w:t>
      </w:r>
      <w:r w:rsidR="00972B56" w:rsidRPr="00E16853">
        <w:rPr>
          <w:rFonts w:eastAsia="Times New Roman"/>
          <w:lang w:eastAsia="en-AU"/>
        </w:rPr>
        <w:t>Collaboration.</w:t>
      </w:r>
      <w:r w:rsidRPr="00E16853">
        <w:rPr>
          <w:rFonts w:eastAsia="Times New Roman"/>
          <w:lang w:eastAsia="en-AU"/>
        </w:rPr>
        <w:t xml:space="preserve"> </w:t>
      </w:r>
      <w:r w:rsidRPr="00E16853">
        <w:rPr>
          <w:rFonts w:eastAsia="Times New Roman"/>
          <w:i/>
          <w:iCs/>
          <w:lang w:eastAsia="en-AU"/>
        </w:rPr>
        <w:t>Bulletin of the World Health Organization</w:t>
      </w:r>
      <w:r w:rsidRPr="00E16853">
        <w:rPr>
          <w:rFonts w:eastAsia="Times New Roman"/>
          <w:lang w:eastAsia="en-AU"/>
        </w:rPr>
        <w:t xml:space="preserve">, </w:t>
      </w:r>
      <w:r w:rsidRPr="00E16853">
        <w:rPr>
          <w:rFonts w:eastAsia="Times New Roman"/>
          <w:i/>
          <w:iCs/>
          <w:lang w:eastAsia="en-AU"/>
        </w:rPr>
        <w:t>82</w:t>
      </w:r>
      <w:r w:rsidRPr="00E16853">
        <w:rPr>
          <w:rFonts w:eastAsia="Times New Roman"/>
          <w:lang w:eastAsia="en-AU"/>
        </w:rPr>
        <w:t xml:space="preserve">(10), 778–783. Retrieved from f:%5CArt?culos en PDF%5C10564 </w:t>
      </w:r>
      <w:proofErr w:type="spellStart"/>
      <w:r w:rsidRPr="00E16853">
        <w:rPr>
          <w:rFonts w:eastAsia="Times New Roman"/>
          <w:lang w:eastAsia="en-AU"/>
        </w:rPr>
        <w:t>BullWordHealthOrgan</w:t>
      </w:r>
      <w:proofErr w:type="spellEnd"/>
      <w:r w:rsidRPr="00E16853">
        <w:rPr>
          <w:rFonts w:eastAsia="Times New Roman"/>
          <w:lang w:eastAsia="en-AU"/>
        </w:rPr>
        <w:t xml:space="preserve"> Volmink.pdf%5Cnhttp://www.who.int/bulletin/volumes/82/10/en/</w:t>
      </w:r>
    </w:p>
    <w:p w14:paraId="153B1A7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Wallace Ruth, Devine Amanda, C. L. (2017). Determining educators’ needs to support healthy eating environments in early childhood settings. </w:t>
      </w:r>
      <w:r w:rsidRPr="00E16853">
        <w:rPr>
          <w:rFonts w:eastAsia="Times New Roman"/>
          <w:i/>
          <w:iCs/>
          <w:lang w:eastAsia="en-AU"/>
        </w:rPr>
        <w:t>Australasian Journal of Early Childhood</w:t>
      </w:r>
      <w:r w:rsidRPr="00E16853">
        <w:rPr>
          <w:rFonts w:eastAsia="Times New Roman"/>
          <w:lang w:eastAsia="en-AU"/>
        </w:rPr>
        <w:t xml:space="preserve">, </w:t>
      </w:r>
      <w:r w:rsidRPr="00E16853">
        <w:rPr>
          <w:rFonts w:eastAsia="Times New Roman"/>
          <w:i/>
          <w:iCs/>
          <w:lang w:eastAsia="en-AU"/>
        </w:rPr>
        <w:t>42</w:t>
      </w:r>
      <w:r w:rsidRPr="00E16853">
        <w:rPr>
          <w:rFonts w:eastAsia="Times New Roman"/>
          <w:lang w:eastAsia="en-AU"/>
        </w:rPr>
        <w:t>(2), 20–28. https://doi.org/http://dx.doi.org/10.23965/AJEC.42.2.03</w:t>
      </w:r>
    </w:p>
    <w:p w14:paraId="1772434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West, E. A., Travers, J. C., Kemper, T. D., Liberty, L. M., Cote, D. L., </w:t>
      </w:r>
      <w:proofErr w:type="spellStart"/>
      <w:r w:rsidRPr="00E16853">
        <w:rPr>
          <w:rFonts w:eastAsia="Times New Roman"/>
          <w:lang w:eastAsia="en-AU"/>
        </w:rPr>
        <w:t>McCollow</w:t>
      </w:r>
      <w:proofErr w:type="spellEnd"/>
      <w:r w:rsidRPr="00E16853">
        <w:rPr>
          <w:rFonts w:eastAsia="Times New Roman"/>
          <w:lang w:eastAsia="en-AU"/>
        </w:rPr>
        <w:t xml:space="preserve">, M. M., &amp; </w:t>
      </w:r>
      <w:proofErr w:type="spellStart"/>
      <w:r w:rsidRPr="00E16853">
        <w:rPr>
          <w:rFonts w:eastAsia="Times New Roman"/>
          <w:lang w:eastAsia="en-AU"/>
        </w:rPr>
        <w:t>Stansberry</w:t>
      </w:r>
      <w:proofErr w:type="spellEnd"/>
      <w:r w:rsidRPr="00E16853">
        <w:rPr>
          <w:rFonts w:eastAsia="Times New Roman"/>
          <w:lang w:eastAsia="en-AU"/>
        </w:rPr>
        <w:t xml:space="preserve"> </w:t>
      </w:r>
      <w:proofErr w:type="spellStart"/>
      <w:r w:rsidRPr="00E16853">
        <w:rPr>
          <w:rFonts w:eastAsia="Times New Roman"/>
          <w:lang w:eastAsia="en-AU"/>
        </w:rPr>
        <w:t>Brusnahan</w:t>
      </w:r>
      <w:proofErr w:type="spellEnd"/>
      <w:r w:rsidRPr="00E16853">
        <w:rPr>
          <w:rFonts w:eastAsia="Times New Roman"/>
          <w:lang w:eastAsia="en-AU"/>
        </w:rPr>
        <w:t xml:space="preserve">, L. L. (2016). Racial and Ethnic Diversity of Participants in Research Supporting Evidence-Based Practices for Learners </w:t>
      </w:r>
      <w:r w:rsidR="00972B56" w:rsidRPr="00E16853">
        <w:rPr>
          <w:rFonts w:eastAsia="Times New Roman"/>
          <w:lang w:eastAsia="en-AU"/>
        </w:rPr>
        <w:t>with</w:t>
      </w:r>
      <w:r w:rsidRPr="00E16853">
        <w:rPr>
          <w:rFonts w:eastAsia="Times New Roman"/>
          <w:lang w:eastAsia="en-AU"/>
        </w:rPr>
        <w:t xml:space="preserve"> Autism Spectrum Disorder. </w:t>
      </w:r>
      <w:r w:rsidRPr="00E16853">
        <w:rPr>
          <w:rFonts w:eastAsia="Times New Roman"/>
          <w:i/>
          <w:iCs/>
          <w:lang w:eastAsia="en-AU"/>
        </w:rPr>
        <w:t>The Journal of Special Education</w:t>
      </w:r>
      <w:r w:rsidRPr="00E16853">
        <w:rPr>
          <w:rFonts w:eastAsia="Times New Roman"/>
          <w:lang w:eastAsia="en-AU"/>
        </w:rPr>
        <w:t xml:space="preserve">, </w:t>
      </w:r>
      <w:r w:rsidRPr="00E16853">
        <w:rPr>
          <w:rFonts w:eastAsia="Times New Roman"/>
          <w:i/>
          <w:iCs/>
          <w:lang w:eastAsia="en-AU"/>
        </w:rPr>
        <w:t>50</w:t>
      </w:r>
      <w:r w:rsidRPr="00E16853">
        <w:rPr>
          <w:rFonts w:eastAsia="Times New Roman"/>
          <w:lang w:eastAsia="en-AU"/>
        </w:rPr>
        <w:t>(3), 151–163. https://doi.org/10.1177/0022466916632495</w:t>
      </w:r>
    </w:p>
    <w:p w14:paraId="158C000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WHO. (2003). </w:t>
      </w:r>
      <w:r w:rsidRPr="00E16853">
        <w:rPr>
          <w:rFonts w:eastAsia="Times New Roman"/>
          <w:i/>
          <w:lang w:eastAsia="en-AU"/>
        </w:rPr>
        <w:t>Guidelines for WHO guidelines.</w:t>
      </w:r>
      <w:r w:rsidRPr="00E16853">
        <w:rPr>
          <w:rFonts w:eastAsia="Times New Roman"/>
          <w:lang w:eastAsia="en-AU"/>
        </w:rPr>
        <w:t xml:space="preserve"> </w:t>
      </w:r>
      <w:r w:rsidRPr="00E16853">
        <w:rPr>
          <w:rFonts w:eastAsia="Times New Roman"/>
          <w:iCs/>
          <w:lang w:eastAsia="en-AU"/>
        </w:rPr>
        <w:t xml:space="preserve">Geneva, Switzerland: Global Programme on Evidence for Health Policy, World Health Organization. </w:t>
      </w:r>
    </w:p>
    <w:p w14:paraId="36E971A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WHO. (2004). World Report on Knowledge for Better Health: Strengthening health systems, 162. Retrieved from http://books.google.com/books?id=IgTIjQ06LssC</w:t>
      </w:r>
    </w:p>
    <w:p w14:paraId="34B998C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WHO. (2006). </w:t>
      </w:r>
      <w:r w:rsidRPr="00E16853">
        <w:rPr>
          <w:rFonts w:eastAsia="Times New Roman"/>
          <w:i/>
          <w:iCs/>
          <w:lang w:eastAsia="en-AU"/>
        </w:rPr>
        <w:t xml:space="preserve">Research for </w:t>
      </w:r>
      <w:r w:rsidR="00972B56" w:rsidRPr="00E16853">
        <w:rPr>
          <w:rFonts w:eastAsia="Times New Roman"/>
          <w:i/>
          <w:iCs/>
          <w:lang w:eastAsia="en-AU"/>
        </w:rPr>
        <w:t>Health</w:t>
      </w:r>
      <w:r w:rsidRPr="00E16853">
        <w:rPr>
          <w:rFonts w:eastAsia="Times New Roman"/>
          <w:i/>
          <w:iCs/>
          <w:lang w:eastAsia="en-AU"/>
        </w:rPr>
        <w:t xml:space="preserve"> </w:t>
      </w:r>
      <w:r w:rsidR="00972B56" w:rsidRPr="00E16853">
        <w:rPr>
          <w:rFonts w:eastAsia="Times New Roman"/>
          <w:i/>
          <w:iCs/>
          <w:lang w:eastAsia="en-AU"/>
        </w:rPr>
        <w:t>a</w:t>
      </w:r>
      <w:r w:rsidRPr="00E16853">
        <w:rPr>
          <w:rFonts w:eastAsia="Times New Roman"/>
          <w:i/>
          <w:iCs/>
          <w:lang w:eastAsia="en-AU"/>
        </w:rPr>
        <w:t xml:space="preserve"> Position Paper on WHO’s Role and Responsibilities in Health Research</w:t>
      </w:r>
      <w:r w:rsidRPr="00E16853">
        <w:rPr>
          <w:rFonts w:eastAsia="Times New Roman"/>
          <w:lang w:eastAsia="en-AU"/>
        </w:rPr>
        <w:t>.</w:t>
      </w:r>
    </w:p>
    <w:p w14:paraId="4F26582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World Health Organization. (2013). Use of systematic reviews of the evidence in public health nutrition: proceedings of an informal consultation held., (October). Retrieved from http://apps.who.int/iris/bitstream/10665/85792/1/9789241506038_eng.pdf</w:t>
      </w:r>
    </w:p>
    <w:p w14:paraId="675C19CF" w14:textId="11E0E433" w:rsidR="0093470E" w:rsidRPr="00EC3DE6" w:rsidRDefault="0093470E" w:rsidP="00EC3DE6">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Zwickey</w:t>
      </w:r>
      <w:proofErr w:type="spellEnd"/>
      <w:r w:rsidRPr="00E16853">
        <w:rPr>
          <w:rFonts w:eastAsia="Times New Roman"/>
          <w:lang w:eastAsia="en-AU"/>
        </w:rPr>
        <w:t xml:space="preserve">, H., </w:t>
      </w:r>
      <w:proofErr w:type="spellStart"/>
      <w:r w:rsidRPr="00E16853">
        <w:rPr>
          <w:rFonts w:eastAsia="Times New Roman"/>
          <w:lang w:eastAsia="en-AU"/>
        </w:rPr>
        <w:t>Schiffke</w:t>
      </w:r>
      <w:proofErr w:type="spellEnd"/>
      <w:r w:rsidRPr="00E16853">
        <w:rPr>
          <w:rFonts w:eastAsia="Times New Roman"/>
          <w:lang w:eastAsia="en-AU"/>
        </w:rPr>
        <w:t xml:space="preserve">, H., Fleishman, S., Haas, M., </w:t>
      </w:r>
      <w:proofErr w:type="spellStart"/>
      <w:r w:rsidRPr="00E16853">
        <w:rPr>
          <w:rFonts w:eastAsia="Times New Roman"/>
          <w:lang w:eastAsia="en-AU"/>
        </w:rPr>
        <w:t>Cruser</w:t>
      </w:r>
      <w:proofErr w:type="spellEnd"/>
      <w:r w:rsidRPr="00E16853">
        <w:rPr>
          <w:rFonts w:eastAsia="Times New Roman"/>
          <w:lang w:eastAsia="en-AU"/>
        </w:rPr>
        <w:t xml:space="preserve">, des A., </w:t>
      </w:r>
      <w:proofErr w:type="spellStart"/>
      <w:r w:rsidRPr="00E16853">
        <w:rPr>
          <w:rFonts w:eastAsia="Times New Roman"/>
          <w:lang w:eastAsia="en-AU"/>
        </w:rPr>
        <w:t>LeFebvre</w:t>
      </w:r>
      <w:proofErr w:type="spellEnd"/>
      <w:r w:rsidRPr="00E16853">
        <w:rPr>
          <w:rFonts w:eastAsia="Times New Roman"/>
          <w:lang w:eastAsia="en-AU"/>
        </w:rPr>
        <w:t xml:space="preserve">, R., … </w:t>
      </w:r>
      <w:proofErr w:type="spellStart"/>
      <w:r w:rsidRPr="00E16853">
        <w:rPr>
          <w:rFonts w:eastAsia="Times New Roman"/>
          <w:lang w:eastAsia="en-AU"/>
        </w:rPr>
        <w:t>Gaster</w:t>
      </w:r>
      <w:proofErr w:type="spellEnd"/>
      <w:r w:rsidRPr="00E16853">
        <w:rPr>
          <w:rFonts w:eastAsia="Times New Roman"/>
          <w:lang w:eastAsia="en-AU"/>
        </w:rPr>
        <w:t xml:space="preserve">, B. (2014). Teaching Evidence-Based Medicine at Complementary and Alternative Medicine Institutions: Strategies, Competencies, and Evaluation. </w:t>
      </w:r>
      <w:r w:rsidRPr="00E16853">
        <w:rPr>
          <w:rFonts w:eastAsia="Times New Roman"/>
          <w:i/>
          <w:iCs/>
          <w:lang w:eastAsia="en-AU"/>
        </w:rPr>
        <w:t>The Journal of Alternative and Complementary Medicine</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(12), 925–931. https:</w:t>
      </w:r>
      <w:r w:rsidR="00EC3DE6">
        <w:rPr>
          <w:rFonts w:eastAsia="Times New Roman"/>
          <w:lang w:eastAsia="en-AU"/>
        </w:rPr>
        <w:t>//doi.org/10.1089/acm.2014.0087</w:t>
      </w:r>
    </w:p>
    <w:p w14:paraId="5357057F" w14:textId="77777777" w:rsidR="0093470E" w:rsidRPr="00E16853" w:rsidRDefault="0093470E" w:rsidP="007674CF">
      <w:pPr>
        <w:pStyle w:val="NumberedHeading2"/>
      </w:pPr>
      <w:bookmarkStart w:id="178" w:name="_Toc508637974"/>
      <w:bookmarkStart w:id="179" w:name="_Toc509950687"/>
      <w:r w:rsidRPr="00E16853">
        <w:t>Function and functionality of research and evidence institutions</w:t>
      </w:r>
      <w:bookmarkEnd w:id="178"/>
      <w:bookmarkEnd w:id="179"/>
    </w:p>
    <w:p w14:paraId="4C7AB72C"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Bruns</w:t>
      </w:r>
      <w:proofErr w:type="spellEnd"/>
      <w:r w:rsidRPr="00E16853">
        <w:rPr>
          <w:rFonts w:eastAsia="Times New Roman"/>
          <w:lang w:eastAsia="en-AU"/>
        </w:rPr>
        <w:t xml:space="preserve">, E. J., Duong, M. T., Lyon, A. R., </w:t>
      </w:r>
      <w:proofErr w:type="spellStart"/>
      <w:r w:rsidRPr="00E16853">
        <w:rPr>
          <w:rFonts w:eastAsia="Times New Roman"/>
          <w:lang w:eastAsia="en-AU"/>
        </w:rPr>
        <w:t>Pullmann</w:t>
      </w:r>
      <w:proofErr w:type="spellEnd"/>
      <w:r w:rsidRPr="00E16853">
        <w:rPr>
          <w:rFonts w:eastAsia="Times New Roman"/>
          <w:lang w:eastAsia="en-AU"/>
        </w:rPr>
        <w:t xml:space="preserve">, M. D., Cook, C. R., Cheney, D., &amp; McCauley, E. (2016). Fostering SMART partnerships to develop an effective continuum of </w:t>
      </w:r>
      <w:proofErr w:type="spellStart"/>
      <w:r w:rsidRPr="00E16853">
        <w:rPr>
          <w:rFonts w:eastAsia="Times New Roman"/>
          <w:lang w:eastAsia="en-AU"/>
        </w:rPr>
        <w:t>behavioral</w:t>
      </w:r>
      <w:proofErr w:type="spellEnd"/>
      <w:r w:rsidRPr="00E16853">
        <w:rPr>
          <w:rFonts w:eastAsia="Times New Roman"/>
          <w:lang w:eastAsia="en-AU"/>
        </w:rPr>
        <w:t xml:space="preserve"> health services and supports in schools. </w:t>
      </w:r>
      <w:r w:rsidRPr="00E16853">
        <w:rPr>
          <w:rFonts w:eastAsia="Times New Roman"/>
          <w:i/>
          <w:iCs/>
          <w:lang w:eastAsia="en-AU"/>
        </w:rPr>
        <w:t>American Journal of Orthopsychiatry</w:t>
      </w:r>
      <w:r w:rsidRPr="00E16853">
        <w:rPr>
          <w:rFonts w:eastAsia="Times New Roman"/>
          <w:lang w:eastAsia="en-AU"/>
        </w:rPr>
        <w:t>. https://doi.org/10.1037/ort0000083</w:t>
      </w:r>
    </w:p>
    <w:p w14:paraId="1AD1EB4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Dobbins, M., </w:t>
      </w:r>
      <w:proofErr w:type="spellStart"/>
      <w:r w:rsidRPr="00E16853">
        <w:rPr>
          <w:rFonts w:eastAsia="Times New Roman"/>
          <w:lang w:eastAsia="en-AU"/>
        </w:rPr>
        <w:t>Decorby</w:t>
      </w:r>
      <w:proofErr w:type="spellEnd"/>
      <w:r w:rsidRPr="00E16853">
        <w:rPr>
          <w:rFonts w:eastAsia="Times New Roman"/>
          <w:lang w:eastAsia="en-AU"/>
        </w:rPr>
        <w:t xml:space="preserve">, K., Robeson, P., </w:t>
      </w:r>
      <w:proofErr w:type="spellStart"/>
      <w:r w:rsidRPr="00E16853">
        <w:rPr>
          <w:rFonts w:eastAsia="Times New Roman"/>
          <w:lang w:eastAsia="en-AU"/>
        </w:rPr>
        <w:t>Husson</w:t>
      </w:r>
      <w:proofErr w:type="spellEnd"/>
      <w:r w:rsidRPr="00E16853">
        <w:rPr>
          <w:rFonts w:eastAsia="Times New Roman"/>
          <w:lang w:eastAsia="en-AU"/>
        </w:rPr>
        <w:t xml:space="preserve">, H., </w:t>
      </w:r>
      <w:proofErr w:type="spellStart"/>
      <w:r w:rsidRPr="00E16853">
        <w:rPr>
          <w:rFonts w:eastAsia="Times New Roman"/>
          <w:lang w:eastAsia="en-AU"/>
        </w:rPr>
        <w:t>Tirilis</w:t>
      </w:r>
      <w:proofErr w:type="spellEnd"/>
      <w:r w:rsidRPr="00E16853">
        <w:rPr>
          <w:rFonts w:eastAsia="Times New Roman"/>
          <w:lang w:eastAsia="en-AU"/>
        </w:rPr>
        <w:t>, D., &amp; Greco, L. (2010). A knowledge management tool for public health: health-evidence.ca. https://doi.org/10.1186/1471-2458-10-496</w:t>
      </w:r>
    </w:p>
    <w:p w14:paraId="023ACF0B"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Drabble, L., Lemon, K., </w:t>
      </w:r>
      <w:proofErr w:type="spellStart"/>
      <w:r w:rsidRPr="00E16853">
        <w:rPr>
          <w:rFonts w:eastAsia="Times New Roman"/>
          <w:lang w:eastAsia="en-AU"/>
        </w:rPr>
        <w:t>D’Andrade</w:t>
      </w:r>
      <w:proofErr w:type="spellEnd"/>
      <w:r w:rsidRPr="00E16853">
        <w:rPr>
          <w:rFonts w:eastAsia="Times New Roman"/>
          <w:lang w:eastAsia="en-AU"/>
        </w:rPr>
        <w:t xml:space="preserve">, A., </w:t>
      </w:r>
      <w:proofErr w:type="spellStart"/>
      <w:r w:rsidRPr="00E16853">
        <w:rPr>
          <w:rFonts w:eastAsia="Times New Roman"/>
          <w:lang w:eastAsia="en-AU"/>
        </w:rPr>
        <w:t>Donoviel</w:t>
      </w:r>
      <w:proofErr w:type="spellEnd"/>
      <w:r w:rsidRPr="00E16853">
        <w:rPr>
          <w:rFonts w:eastAsia="Times New Roman"/>
          <w:lang w:eastAsia="en-AU"/>
        </w:rPr>
        <w:t xml:space="preserve">, B., &amp; Le, J. (2013). Child Welfare Partnership for Research and Training: A Title IV-E University/Community Collaborative Research Model. </w:t>
      </w:r>
      <w:r w:rsidRPr="00E16853">
        <w:rPr>
          <w:rFonts w:eastAsia="Times New Roman"/>
          <w:i/>
          <w:iCs/>
          <w:lang w:eastAsia="en-AU"/>
        </w:rPr>
        <w:t>Journal of Public Child Welfare</w:t>
      </w:r>
      <w:r w:rsidRPr="00E16853">
        <w:rPr>
          <w:rFonts w:eastAsia="Times New Roman"/>
          <w:lang w:eastAsia="en-AU"/>
        </w:rPr>
        <w:t>. https://doi.org/10.1080/15548732.2013.802267</w:t>
      </w:r>
    </w:p>
    <w:p w14:paraId="252595D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Holmes, B., </w:t>
      </w:r>
      <w:proofErr w:type="spellStart"/>
      <w:r w:rsidRPr="00E16853">
        <w:rPr>
          <w:rFonts w:eastAsia="Times New Roman"/>
          <w:lang w:eastAsia="en-AU"/>
        </w:rPr>
        <w:t>Scarrow</w:t>
      </w:r>
      <w:proofErr w:type="spellEnd"/>
      <w:r w:rsidRPr="00E16853">
        <w:rPr>
          <w:rFonts w:eastAsia="Times New Roman"/>
          <w:lang w:eastAsia="en-AU"/>
        </w:rPr>
        <w:t xml:space="preserve">, G., &amp; </w:t>
      </w:r>
      <w:proofErr w:type="spellStart"/>
      <w:r w:rsidRPr="00E16853">
        <w:rPr>
          <w:rFonts w:eastAsia="Times New Roman"/>
          <w:lang w:eastAsia="en-AU"/>
        </w:rPr>
        <w:t>Schellenberg</w:t>
      </w:r>
      <w:proofErr w:type="spellEnd"/>
      <w:r w:rsidRPr="00E16853">
        <w:rPr>
          <w:rFonts w:eastAsia="Times New Roman"/>
          <w:lang w:eastAsia="en-AU"/>
        </w:rPr>
        <w:t xml:space="preserve">, M. (2012). Translating evidence into practice: The role of health research funders. </w:t>
      </w:r>
      <w:r w:rsidRPr="00E16853">
        <w:rPr>
          <w:rFonts w:eastAsia="Times New Roman"/>
          <w:i/>
          <w:iCs/>
          <w:lang w:eastAsia="en-AU"/>
        </w:rPr>
        <w:t>Implementation Science</w:t>
      </w:r>
      <w:r w:rsidRPr="00E16853">
        <w:rPr>
          <w:rFonts w:eastAsia="Times New Roman"/>
          <w:lang w:eastAsia="en-AU"/>
        </w:rPr>
        <w:t>. https://doi.org/10.1186/1748-5908-7-39</w:t>
      </w:r>
    </w:p>
    <w:p w14:paraId="2DF21F7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Mahoney, J. S. (2009). Evidence-based practice and research </w:t>
      </w:r>
      <w:r w:rsidR="00972B56" w:rsidRPr="00E16853">
        <w:rPr>
          <w:rFonts w:eastAsia="Times New Roman"/>
          <w:lang w:eastAsia="en-AU"/>
        </w:rPr>
        <w:t>scholar’s</w:t>
      </w:r>
      <w:r w:rsidRPr="00E16853">
        <w:rPr>
          <w:rFonts w:eastAsia="Times New Roman"/>
          <w:lang w:eastAsia="en-AU"/>
        </w:rPr>
        <w:t xml:space="preserve"> programs: Supporting excellence in psychiatric nursing. </w:t>
      </w:r>
      <w:r w:rsidRPr="00E16853">
        <w:rPr>
          <w:rFonts w:eastAsia="Times New Roman"/>
          <w:i/>
          <w:iCs/>
          <w:lang w:eastAsia="en-AU"/>
        </w:rPr>
        <w:t>Bulletin of the Menninger Clinic</w:t>
      </w:r>
      <w:r w:rsidRPr="00E16853">
        <w:rPr>
          <w:rFonts w:eastAsia="Times New Roman"/>
          <w:lang w:eastAsia="en-AU"/>
        </w:rPr>
        <w:t xml:space="preserve">, </w:t>
      </w:r>
      <w:r w:rsidRPr="00E16853">
        <w:rPr>
          <w:rFonts w:eastAsia="Times New Roman"/>
          <w:i/>
          <w:iCs/>
          <w:lang w:eastAsia="en-AU"/>
        </w:rPr>
        <w:t>73</w:t>
      </w:r>
      <w:r w:rsidRPr="00E16853">
        <w:rPr>
          <w:rFonts w:eastAsia="Times New Roman"/>
          <w:lang w:eastAsia="en-AU"/>
        </w:rPr>
        <w:t>(4). https://doi.org/10.1521/bumc.2009.73.4.355</w:t>
      </w:r>
    </w:p>
    <w:p w14:paraId="3CADF83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Matchar</w:t>
      </w:r>
      <w:proofErr w:type="spellEnd"/>
      <w:r w:rsidRPr="00E16853">
        <w:rPr>
          <w:rFonts w:eastAsia="Times New Roman"/>
          <w:lang w:eastAsia="en-AU"/>
        </w:rPr>
        <w:t xml:space="preserve">, D. B., </w:t>
      </w:r>
      <w:proofErr w:type="spellStart"/>
      <w:r w:rsidRPr="00E16853">
        <w:rPr>
          <w:rFonts w:eastAsia="Times New Roman"/>
          <w:lang w:eastAsia="en-AU"/>
        </w:rPr>
        <w:t>Westermann</w:t>
      </w:r>
      <w:proofErr w:type="spellEnd"/>
      <w:r w:rsidRPr="00E16853">
        <w:rPr>
          <w:rFonts w:eastAsia="Times New Roman"/>
          <w:lang w:eastAsia="en-AU"/>
        </w:rPr>
        <w:t xml:space="preserve">-Clark, E. V., </w:t>
      </w:r>
      <w:proofErr w:type="spellStart"/>
      <w:r w:rsidRPr="00E16853">
        <w:rPr>
          <w:rFonts w:eastAsia="Times New Roman"/>
          <w:lang w:eastAsia="en-AU"/>
        </w:rPr>
        <w:t>McCrory</w:t>
      </w:r>
      <w:proofErr w:type="spellEnd"/>
      <w:r w:rsidRPr="00E16853">
        <w:rPr>
          <w:rFonts w:eastAsia="Times New Roman"/>
          <w:lang w:eastAsia="en-AU"/>
        </w:rPr>
        <w:t xml:space="preserve">, D. C., </w:t>
      </w:r>
      <w:proofErr w:type="spellStart"/>
      <w:r w:rsidRPr="00E16853">
        <w:rPr>
          <w:rFonts w:eastAsia="Times New Roman"/>
          <w:lang w:eastAsia="en-AU"/>
        </w:rPr>
        <w:t>Patwardhan</w:t>
      </w:r>
      <w:proofErr w:type="spellEnd"/>
      <w:r w:rsidRPr="00E16853">
        <w:rPr>
          <w:rFonts w:eastAsia="Times New Roman"/>
          <w:lang w:eastAsia="en-AU"/>
        </w:rPr>
        <w:t xml:space="preserve">, M., </w:t>
      </w:r>
      <w:proofErr w:type="spellStart"/>
      <w:r w:rsidRPr="00E16853">
        <w:rPr>
          <w:rFonts w:eastAsia="Times New Roman"/>
          <w:lang w:eastAsia="en-AU"/>
        </w:rPr>
        <w:t>Samsa</w:t>
      </w:r>
      <w:proofErr w:type="spellEnd"/>
      <w:r w:rsidRPr="00E16853">
        <w:rPr>
          <w:rFonts w:eastAsia="Times New Roman"/>
          <w:lang w:eastAsia="en-AU"/>
        </w:rPr>
        <w:t xml:space="preserve">, G., </w:t>
      </w:r>
      <w:proofErr w:type="spellStart"/>
      <w:r w:rsidRPr="00E16853">
        <w:rPr>
          <w:rFonts w:eastAsia="Times New Roman"/>
          <w:lang w:eastAsia="en-AU"/>
        </w:rPr>
        <w:t>Kulasingam</w:t>
      </w:r>
      <w:proofErr w:type="spellEnd"/>
      <w:r w:rsidRPr="00E16853">
        <w:rPr>
          <w:rFonts w:eastAsia="Times New Roman"/>
          <w:lang w:eastAsia="en-AU"/>
        </w:rPr>
        <w:t xml:space="preserve">, S., … Liu, K. (2005). Dissemination of Evidence-based Practice </w:t>
      </w:r>
      <w:proofErr w:type="spellStart"/>
      <w:r w:rsidRPr="00E16853">
        <w:rPr>
          <w:rFonts w:eastAsia="Times New Roman"/>
          <w:lang w:eastAsia="en-AU"/>
        </w:rPr>
        <w:t>Center</w:t>
      </w:r>
      <w:proofErr w:type="spellEnd"/>
      <w:r w:rsidRPr="00E16853">
        <w:rPr>
          <w:rFonts w:eastAsia="Times New Roman"/>
          <w:lang w:eastAsia="en-AU"/>
        </w:rPr>
        <w:t xml:space="preserve"> reports. </w:t>
      </w:r>
      <w:r w:rsidRPr="00E16853">
        <w:rPr>
          <w:rFonts w:eastAsia="Times New Roman"/>
          <w:i/>
          <w:iCs/>
          <w:lang w:eastAsia="en-AU"/>
        </w:rPr>
        <w:t>Annals of Internal Medicine</w:t>
      </w:r>
      <w:r w:rsidRPr="00E16853">
        <w:rPr>
          <w:rFonts w:eastAsia="Times New Roman"/>
          <w:lang w:eastAsia="en-AU"/>
        </w:rPr>
        <w:t>.</w:t>
      </w:r>
    </w:p>
    <w:p w14:paraId="7918239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Rosen, A., </w:t>
      </w:r>
      <w:proofErr w:type="spellStart"/>
      <w:r w:rsidRPr="00E16853">
        <w:rPr>
          <w:rFonts w:eastAsia="Times New Roman"/>
          <w:lang w:eastAsia="en-AU"/>
        </w:rPr>
        <w:t>McGorry</w:t>
      </w:r>
      <w:proofErr w:type="spellEnd"/>
      <w:r w:rsidRPr="00E16853">
        <w:rPr>
          <w:rFonts w:eastAsia="Times New Roman"/>
          <w:lang w:eastAsia="en-AU"/>
        </w:rPr>
        <w:t xml:space="preserve">, P., Groom, G., </w:t>
      </w:r>
      <w:proofErr w:type="spellStart"/>
      <w:r w:rsidRPr="00E16853">
        <w:rPr>
          <w:rFonts w:eastAsia="Times New Roman"/>
          <w:lang w:eastAsia="en-AU"/>
        </w:rPr>
        <w:t>Hickie</w:t>
      </w:r>
      <w:proofErr w:type="spellEnd"/>
      <w:r w:rsidRPr="00E16853">
        <w:rPr>
          <w:rFonts w:eastAsia="Times New Roman"/>
          <w:lang w:eastAsia="en-AU"/>
        </w:rPr>
        <w:t xml:space="preserve">, I., </w:t>
      </w:r>
      <w:proofErr w:type="spellStart"/>
      <w:r w:rsidRPr="00E16853">
        <w:rPr>
          <w:rFonts w:eastAsia="Times New Roman"/>
          <w:lang w:eastAsia="en-AU"/>
        </w:rPr>
        <w:t>Gurr</w:t>
      </w:r>
      <w:proofErr w:type="spellEnd"/>
      <w:r w:rsidRPr="00E16853">
        <w:rPr>
          <w:rFonts w:eastAsia="Times New Roman"/>
          <w:lang w:eastAsia="en-AU"/>
        </w:rPr>
        <w:t xml:space="preserve">, R., Hocking, B., … Stanley, F. (2004). Australia needs a mental health commission. </w:t>
      </w:r>
      <w:r w:rsidRPr="00E16853">
        <w:rPr>
          <w:rFonts w:eastAsia="Times New Roman"/>
          <w:i/>
          <w:iCs/>
          <w:lang w:eastAsia="en-AU"/>
        </w:rPr>
        <w:t>Australasian Psychiatry</w:t>
      </w:r>
      <w:r w:rsidRPr="00E16853">
        <w:rPr>
          <w:rFonts w:eastAsia="Times New Roman"/>
          <w:lang w:eastAsia="en-AU"/>
        </w:rPr>
        <w:t>. https://doi.org/10.1111/j.1039-8562.2004.02116.x</w:t>
      </w:r>
    </w:p>
    <w:p w14:paraId="2E1AD20B" w14:textId="77777777" w:rsidR="0093470E" w:rsidRPr="00E16853" w:rsidRDefault="0093470E" w:rsidP="0093470E">
      <w:pPr>
        <w:spacing w:before="100" w:beforeAutospacing="1" w:after="100" w:afterAutospacing="1"/>
        <w:ind w:left="480" w:hanging="480"/>
        <w:rPr>
          <w:rFonts w:eastAsia="Times New Roman"/>
          <w:lang w:val="fr-FR" w:eastAsia="en-AU"/>
        </w:rPr>
      </w:pPr>
      <w:r w:rsidRPr="00E16853">
        <w:rPr>
          <w:rFonts w:eastAsia="Times New Roman"/>
          <w:lang w:val="de-DE" w:eastAsia="en-AU"/>
        </w:rPr>
        <w:t xml:space="preserve">Smits, P. A., &amp; Denis, J.-L. (2014). </w:t>
      </w:r>
      <w:r w:rsidRPr="00E16853">
        <w:rPr>
          <w:rFonts w:eastAsia="Times New Roman"/>
          <w:lang w:eastAsia="en-AU"/>
        </w:rPr>
        <w:t xml:space="preserve">How research funding agencies support science integration into policy and practice: An international overview. </w:t>
      </w:r>
      <w:proofErr w:type="spellStart"/>
      <w:r w:rsidRPr="00E16853">
        <w:rPr>
          <w:rFonts w:eastAsia="Times New Roman"/>
          <w:i/>
          <w:iCs/>
          <w:lang w:val="fr-FR" w:eastAsia="en-AU"/>
        </w:rPr>
        <w:t>Implementation</w:t>
      </w:r>
      <w:proofErr w:type="spellEnd"/>
      <w:r w:rsidRPr="00E16853">
        <w:rPr>
          <w:rFonts w:eastAsia="Times New Roman"/>
          <w:i/>
          <w:iCs/>
          <w:lang w:val="fr-FR" w:eastAsia="en-AU"/>
        </w:rPr>
        <w:t xml:space="preserve"> Science</w:t>
      </w:r>
      <w:r w:rsidRPr="00E16853">
        <w:rPr>
          <w:rFonts w:eastAsia="Times New Roman"/>
          <w:lang w:val="fr-FR" w:eastAsia="en-AU"/>
        </w:rPr>
        <w:t>. https://doi.org/10.1186/1748-5908-9-28</w:t>
      </w:r>
    </w:p>
    <w:p w14:paraId="55F8B6A7"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val="fr-FR" w:eastAsia="en-AU"/>
        </w:rPr>
        <w:t>Stetler</w:t>
      </w:r>
      <w:proofErr w:type="spellEnd"/>
      <w:r w:rsidRPr="00E16853">
        <w:rPr>
          <w:rFonts w:eastAsia="Times New Roman"/>
          <w:lang w:val="fr-FR" w:eastAsia="en-AU"/>
        </w:rPr>
        <w:t xml:space="preserve">, C. B., </w:t>
      </w:r>
      <w:proofErr w:type="spellStart"/>
      <w:r w:rsidRPr="00E16853">
        <w:rPr>
          <w:rFonts w:eastAsia="Times New Roman"/>
          <w:lang w:val="fr-FR" w:eastAsia="en-AU"/>
        </w:rPr>
        <w:t>Mittman</w:t>
      </w:r>
      <w:proofErr w:type="spellEnd"/>
      <w:r w:rsidRPr="00E16853">
        <w:rPr>
          <w:rFonts w:eastAsia="Times New Roman"/>
          <w:lang w:val="fr-FR" w:eastAsia="en-AU"/>
        </w:rPr>
        <w:t xml:space="preserve">, B. S., &amp; Francis, J. (2008). </w:t>
      </w:r>
      <w:r w:rsidRPr="00E16853">
        <w:rPr>
          <w:rFonts w:eastAsia="Times New Roman"/>
          <w:lang w:eastAsia="en-AU"/>
        </w:rPr>
        <w:t xml:space="preserve">Overview of the VA Quality Enhancement Research Initiative (QUERI) and QUERI theme articles: QUERI Series. </w:t>
      </w:r>
      <w:r w:rsidRPr="00E16853">
        <w:rPr>
          <w:rFonts w:eastAsia="Times New Roman"/>
          <w:i/>
          <w:iCs/>
          <w:lang w:eastAsia="en-AU"/>
        </w:rPr>
        <w:t>Implementation Science</w:t>
      </w:r>
      <w:r w:rsidRPr="00E16853">
        <w:rPr>
          <w:rFonts w:eastAsia="Times New Roman"/>
          <w:lang w:eastAsia="en-AU"/>
        </w:rPr>
        <w:t>. https://doi.org/10.1186/1748-5908-3-8</w:t>
      </w:r>
    </w:p>
    <w:p w14:paraId="4184098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Whitelaw, N. (2010). System change and organizational capacity for evidence-based practices: Lessons from the field. </w:t>
      </w:r>
      <w:r w:rsidRPr="00E16853">
        <w:rPr>
          <w:rFonts w:eastAsia="Times New Roman"/>
          <w:i/>
          <w:iCs/>
          <w:lang w:eastAsia="en-AU"/>
        </w:rPr>
        <w:t>Journal of the American Society on Aging</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(43).</w:t>
      </w:r>
    </w:p>
    <w:p w14:paraId="016E1FE4" w14:textId="77777777" w:rsidR="0093470E" w:rsidRPr="00E16853" w:rsidRDefault="0093470E" w:rsidP="007674CF">
      <w:pPr>
        <w:pStyle w:val="NumberedHeading2"/>
      </w:pPr>
      <w:bookmarkStart w:id="180" w:name="_Toc508637975"/>
      <w:bookmarkStart w:id="181" w:name="_Toc509950688"/>
      <w:r w:rsidRPr="00E16853">
        <w:t>Governance of research and evidence and institutions</w:t>
      </w:r>
      <w:bookmarkEnd w:id="180"/>
      <w:bookmarkEnd w:id="181"/>
      <w:r w:rsidRPr="00E16853">
        <w:t xml:space="preserve"> </w:t>
      </w:r>
    </w:p>
    <w:p w14:paraId="78CA28DE" w14:textId="77777777" w:rsidR="0093470E" w:rsidRPr="00E16853" w:rsidRDefault="0093470E" w:rsidP="0093470E">
      <w:pPr>
        <w:widowControl w:val="0"/>
        <w:autoSpaceDE w:val="0"/>
        <w:autoSpaceDN w:val="0"/>
        <w:adjustRightInd w:val="0"/>
        <w:ind w:left="480" w:hanging="480"/>
        <w:rPr>
          <w:noProof/>
        </w:rPr>
      </w:pPr>
      <w:r w:rsidRPr="00E16853">
        <w:rPr>
          <w:noProof/>
        </w:rPr>
        <w:t xml:space="preserve">Abdul-hamid, H., Mintz, S., &amp; Saraogi, N. (2017). </w:t>
      </w:r>
      <w:r w:rsidRPr="00E16853">
        <w:rPr>
          <w:i/>
          <w:iCs/>
          <w:noProof/>
        </w:rPr>
        <w:t>From Compliance to Learning: A System for Harnessing the Power of Data in the State of Maryland</w:t>
      </w:r>
      <w:r w:rsidRPr="00E16853">
        <w:rPr>
          <w:noProof/>
        </w:rPr>
        <w:t>. Washington DC, USA: World Bank.</w:t>
      </w:r>
    </w:p>
    <w:p w14:paraId="7E8ED1F2"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Adedoyin</w:t>
      </w:r>
      <w:proofErr w:type="spellEnd"/>
      <w:r w:rsidRPr="00E16853">
        <w:rPr>
          <w:rFonts w:eastAsia="Times New Roman"/>
          <w:lang w:eastAsia="en-AU"/>
        </w:rPr>
        <w:t xml:space="preserve">, A. C. A. (2016). Deploying virtual communities of practice as a digital tool in social work: a rapid review and critique of the literature, </w:t>
      </w:r>
      <w:r w:rsidRPr="00E16853">
        <w:rPr>
          <w:rFonts w:eastAsia="Times New Roman"/>
          <w:i/>
          <w:iCs/>
          <w:lang w:eastAsia="en-AU"/>
        </w:rPr>
        <w:t>35</w:t>
      </w:r>
      <w:r w:rsidRPr="00E16853">
        <w:rPr>
          <w:rFonts w:eastAsia="Times New Roman"/>
          <w:lang w:eastAsia="en-AU"/>
        </w:rPr>
        <w:t>(3), 357–370. https://doi.org/10.1080/02615479.2016.1154660</w:t>
      </w:r>
    </w:p>
    <w:p w14:paraId="48191BB0"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Antoniou, G. A., </w:t>
      </w:r>
      <w:proofErr w:type="spellStart"/>
      <w:r w:rsidRPr="00E16853">
        <w:rPr>
          <w:rFonts w:eastAsia="Times New Roman"/>
          <w:lang w:eastAsia="en-AU"/>
        </w:rPr>
        <w:t>Mavroforou</w:t>
      </w:r>
      <w:proofErr w:type="spellEnd"/>
      <w:r w:rsidRPr="00E16853">
        <w:rPr>
          <w:rFonts w:eastAsia="Times New Roman"/>
          <w:lang w:eastAsia="en-AU"/>
        </w:rPr>
        <w:t xml:space="preserve">, A., Antoniou, S. A., Murray, D., </w:t>
      </w:r>
      <w:proofErr w:type="spellStart"/>
      <w:r w:rsidRPr="00E16853">
        <w:rPr>
          <w:rFonts w:eastAsia="Times New Roman"/>
          <w:lang w:eastAsia="en-AU"/>
        </w:rPr>
        <w:t>Kuhan</w:t>
      </w:r>
      <w:proofErr w:type="spellEnd"/>
      <w:r w:rsidRPr="00E16853">
        <w:rPr>
          <w:rFonts w:eastAsia="Times New Roman"/>
          <w:lang w:eastAsia="en-AU"/>
        </w:rPr>
        <w:t xml:space="preserve">, G., &amp; </w:t>
      </w:r>
      <w:proofErr w:type="spellStart"/>
      <w:r w:rsidRPr="00E16853">
        <w:rPr>
          <w:rFonts w:eastAsia="Times New Roman"/>
          <w:lang w:eastAsia="en-AU"/>
        </w:rPr>
        <w:t>Giannoukas</w:t>
      </w:r>
      <w:proofErr w:type="spellEnd"/>
      <w:r w:rsidRPr="00E16853">
        <w:rPr>
          <w:rFonts w:eastAsia="Times New Roman"/>
          <w:lang w:eastAsia="en-AU"/>
        </w:rPr>
        <w:t xml:space="preserve">, A. D. (2013). Evidence-based medicine in vascular and endovascular practice. </w:t>
      </w:r>
      <w:r w:rsidRPr="00E16853">
        <w:rPr>
          <w:rFonts w:eastAsia="Times New Roman"/>
          <w:i/>
          <w:iCs/>
          <w:lang w:eastAsia="en-AU"/>
        </w:rPr>
        <w:t>Journal of Endovascular Therapy</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(5), 678–683. https://doi.org/10.1583/13-4356.1</w:t>
      </w:r>
    </w:p>
    <w:p w14:paraId="064802A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Baez, T. (2005). Evidenced-Based Practice for Anxiety Disorders in College Mental Health. </w:t>
      </w:r>
      <w:r w:rsidRPr="00E16853">
        <w:rPr>
          <w:rFonts w:eastAsia="Times New Roman"/>
          <w:i/>
          <w:iCs/>
          <w:lang w:eastAsia="en-AU"/>
        </w:rPr>
        <w:t>Journal of College Student Psychotherapy</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(1), 33–48. https://doi.org/10.1300/J035v20n01</w:t>
      </w:r>
    </w:p>
    <w:p w14:paraId="1399D69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Barrett, P. (2009). An online nursing leadership literature centre at the university of </w:t>
      </w:r>
      <w:proofErr w:type="spellStart"/>
      <w:r w:rsidRPr="00E16853">
        <w:rPr>
          <w:rFonts w:eastAsia="Times New Roman"/>
          <w:lang w:eastAsia="en-AU"/>
        </w:rPr>
        <w:t>manitoba</w:t>
      </w:r>
      <w:proofErr w:type="spellEnd"/>
      <w:r w:rsidRPr="00E16853">
        <w:rPr>
          <w:rFonts w:eastAsia="Times New Roman"/>
          <w:lang w:eastAsia="en-AU"/>
        </w:rPr>
        <w:t xml:space="preserve"> health sciences libraries. </w:t>
      </w:r>
      <w:r w:rsidRPr="00E16853">
        <w:rPr>
          <w:rFonts w:eastAsia="Times New Roman"/>
          <w:i/>
          <w:iCs/>
          <w:lang w:eastAsia="en-AU"/>
        </w:rPr>
        <w:t>Health Information and Libraries Journal</w:t>
      </w:r>
      <w:r w:rsidRPr="00E16853">
        <w:rPr>
          <w:rFonts w:eastAsia="Times New Roman"/>
          <w:lang w:eastAsia="en-AU"/>
        </w:rPr>
        <w:t xml:space="preserve">, </w:t>
      </w:r>
      <w:r w:rsidRPr="00E16853">
        <w:rPr>
          <w:rFonts w:eastAsia="Times New Roman"/>
          <w:i/>
          <w:iCs/>
          <w:lang w:eastAsia="en-AU"/>
        </w:rPr>
        <w:t>26</w:t>
      </w:r>
      <w:r w:rsidRPr="00E16853">
        <w:rPr>
          <w:rFonts w:eastAsia="Times New Roman"/>
          <w:lang w:eastAsia="en-AU"/>
        </w:rPr>
        <w:t>(3), 232–239. https://doi.org/10.1111/j.1471-1842.2008.00828.x</w:t>
      </w:r>
    </w:p>
    <w:p w14:paraId="0FC97117" w14:textId="77777777" w:rsidR="0093470E" w:rsidRPr="00E16853" w:rsidRDefault="0093470E" w:rsidP="0093470E">
      <w:pPr>
        <w:spacing w:before="100" w:beforeAutospacing="1" w:after="100" w:afterAutospacing="1"/>
        <w:ind w:left="480" w:hanging="480"/>
        <w:rPr>
          <w:rFonts w:eastAsia="Times New Roman"/>
          <w:lang w:eastAsia="en-AU"/>
        </w:rPr>
      </w:pPr>
      <w:r w:rsidRPr="00001EEB">
        <w:rPr>
          <w:rFonts w:eastAsia="Times New Roman"/>
          <w:lang w:eastAsia="en-AU"/>
        </w:rPr>
        <w:t>Baya-</w:t>
      </w:r>
      <w:proofErr w:type="spellStart"/>
      <w:r w:rsidRPr="00001EEB">
        <w:rPr>
          <w:rFonts w:eastAsia="Times New Roman"/>
          <w:lang w:eastAsia="en-AU"/>
        </w:rPr>
        <w:t>laffite</w:t>
      </w:r>
      <w:proofErr w:type="spellEnd"/>
      <w:r w:rsidRPr="00001EEB">
        <w:rPr>
          <w:rFonts w:eastAsia="Times New Roman"/>
          <w:lang w:eastAsia="en-AU"/>
        </w:rPr>
        <w:t>, N. (</w:t>
      </w:r>
      <w:proofErr w:type="spellStart"/>
      <w:r w:rsidRPr="00001EEB">
        <w:rPr>
          <w:rFonts w:eastAsia="Times New Roman"/>
          <w:lang w:eastAsia="en-AU"/>
        </w:rPr>
        <w:t>n.d.</w:t>
      </w:r>
      <w:proofErr w:type="spellEnd"/>
      <w:r w:rsidRPr="00001EEB">
        <w:rPr>
          <w:rFonts w:eastAsia="Times New Roman"/>
          <w:lang w:eastAsia="en-AU"/>
        </w:rPr>
        <w:t xml:space="preserve">). </w:t>
      </w:r>
      <w:r w:rsidRPr="00E16853">
        <w:rPr>
          <w:rFonts w:eastAsia="Times New Roman"/>
          <w:i/>
          <w:iCs/>
          <w:lang w:eastAsia="en-AU"/>
        </w:rPr>
        <w:t xml:space="preserve">Mapping out the </w:t>
      </w:r>
      <w:r w:rsidR="00972B56" w:rsidRPr="00E16853">
        <w:rPr>
          <w:rFonts w:eastAsia="Times New Roman"/>
          <w:i/>
          <w:iCs/>
          <w:lang w:eastAsia="en-AU"/>
        </w:rPr>
        <w:t>Research.</w:t>
      </w:r>
      <w:r w:rsidRPr="00E16853">
        <w:rPr>
          <w:rFonts w:eastAsia="Times New Roman"/>
          <w:i/>
          <w:iCs/>
          <w:lang w:eastAsia="en-AU"/>
        </w:rPr>
        <w:t xml:space="preserve"> Policy Matrix Highlights from the </w:t>
      </w:r>
      <w:proofErr w:type="spellStart"/>
      <w:r w:rsidRPr="00E16853">
        <w:rPr>
          <w:rFonts w:eastAsia="Times New Roman"/>
          <w:i/>
          <w:iCs/>
          <w:lang w:eastAsia="en-AU"/>
        </w:rPr>
        <w:t>Firsllnternational</w:t>
      </w:r>
      <w:proofErr w:type="spellEnd"/>
      <w:r w:rsidRPr="00E16853">
        <w:rPr>
          <w:rFonts w:eastAsia="Times New Roman"/>
          <w:lang w:eastAsia="en-AU"/>
        </w:rPr>
        <w:t>.</w:t>
      </w:r>
    </w:p>
    <w:p w14:paraId="3E042ED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Beck, S. L. (</w:t>
      </w:r>
      <w:proofErr w:type="spellStart"/>
      <w:r w:rsidRPr="00E16853">
        <w:rPr>
          <w:rFonts w:eastAsia="Times New Roman"/>
          <w:lang w:eastAsia="en-AU"/>
        </w:rPr>
        <w:t>n.d.</w:t>
      </w:r>
      <w:proofErr w:type="spellEnd"/>
      <w:r w:rsidRPr="00E16853">
        <w:rPr>
          <w:rFonts w:eastAsia="Times New Roman"/>
          <w:lang w:eastAsia="en-AU"/>
        </w:rPr>
        <w:t xml:space="preserve">). Quality Measures: A Call to Action. </w:t>
      </w:r>
      <w:r w:rsidRPr="00E16853">
        <w:rPr>
          <w:rFonts w:eastAsia="Times New Roman"/>
          <w:i/>
          <w:iCs/>
          <w:lang w:eastAsia="en-AU"/>
        </w:rPr>
        <w:t>Clinical Journal of Oncology Nursing</w:t>
      </w:r>
      <w:r w:rsidRPr="00E16853">
        <w:rPr>
          <w:rFonts w:eastAsia="Times New Roman"/>
          <w:lang w:eastAsia="en-AU"/>
        </w:rPr>
        <w:t xml:space="preserve">, </w:t>
      </w:r>
      <w:r w:rsidRPr="00E16853">
        <w:rPr>
          <w:rFonts w:eastAsia="Times New Roman"/>
          <w:i/>
          <w:iCs/>
          <w:lang w:eastAsia="en-AU"/>
        </w:rPr>
        <w:t>18</w:t>
      </w:r>
      <w:r w:rsidRPr="00E16853">
        <w:rPr>
          <w:rFonts w:eastAsia="Times New Roman"/>
          <w:lang w:eastAsia="en-AU"/>
        </w:rPr>
        <w:t>(5), 5.</w:t>
      </w:r>
    </w:p>
    <w:p w14:paraId="41868DE8"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Bexon</w:t>
      </w:r>
      <w:proofErr w:type="spellEnd"/>
      <w:r w:rsidRPr="00E16853">
        <w:rPr>
          <w:rFonts w:eastAsia="Times New Roman"/>
          <w:lang w:eastAsia="en-AU"/>
        </w:rPr>
        <w:t xml:space="preserve">, N., Brice, A., &amp; Booth, A. (2003). Using research in practice. </w:t>
      </w:r>
      <w:r w:rsidRPr="00E16853">
        <w:rPr>
          <w:rFonts w:eastAsia="Times New Roman"/>
          <w:i/>
          <w:iCs/>
          <w:lang w:eastAsia="en-AU"/>
        </w:rPr>
        <w:t>Health Information &amp; Libraries Journal</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 240–243. https://doi.org/463 [</w:t>
      </w:r>
      <w:proofErr w:type="spellStart"/>
      <w:r w:rsidRPr="00E16853">
        <w:rPr>
          <w:rFonts w:eastAsia="Times New Roman"/>
          <w:lang w:eastAsia="en-AU"/>
        </w:rPr>
        <w:t>pii</w:t>
      </w:r>
      <w:proofErr w:type="spellEnd"/>
      <w:r w:rsidRPr="00E16853">
        <w:rPr>
          <w:rFonts w:eastAsia="Times New Roman"/>
          <w:lang w:eastAsia="en-AU"/>
        </w:rPr>
        <w:t>]</w:t>
      </w:r>
    </w:p>
    <w:p w14:paraId="61FECAE8"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lastRenderedPageBreak/>
        <w:t>Biesta</w:t>
      </w:r>
      <w:proofErr w:type="spellEnd"/>
      <w:r w:rsidRPr="00E16853">
        <w:rPr>
          <w:rFonts w:eastAsia="Times New Roman"/>
          <w:lang w:eastAsia="en-AU"/>
        </w:rPr>
        <w:t xml:space="preserve">, G. (2007). Why ‘what </w:t>
      </w:r>
      <w:r w:rsidR="00972B56" w:rsidRPr="00E16853">
        <w:rPr>
          <w:rFonts w:eastAsia="Times New Roman"/>
          <w:lang w:eastAsia="en-AU"/>
        </w:rPr>
        <w:t>works</w:t>
      </w:r>
      <w:r w:rsidRPr="00E16853">
        <w:rPr>
          <w:rFonts w:eastAsia="Times New Roman"/>
          <w:lang w:eastAsia="en-AU"/>
        </w:rPr>
        <w:t xml:space="preserve"> won’t work: Evidence-based practice and democratic deficit in education research. </w:t>
      </w:r>
      <w:r w:rsidRPr="00E16853">
        <w:rPr>
          <w:rFonts w:eastAsia="Times New Roman"/>
          <w:i/>
          <w:iCs/>
          <w:lang w:eastAsia="en-AU"/>
        </w:rPr>
        <w:t>Educational Theory</w:t>
      </w:r>
      <w:r w:rsidRPr="00E16853">
        <w:rPr>
          <w:rFonts w:eastAsia="Times New Roman"/>
          <w:lang w:eastAsia="en-AU"/>
        </w:rPr>
        <w:t xml:space="preserve">, </w:t>
      </w:r>
      <w:r w:rsidRPr="00E16853">
        <w:rPr>
          <w:rFonts w:eastAsia="Times New Roman"/>
          <w:i/>
          <w:iCs/>
          <w:lang w:eastAsia="en-AU"/>
        </w:rPr>
        <w:t>57</w:t>
      </w:r>
      <w:r w:rsidRPr="00E16853">
        <w:rPr>
          <w:rFonts w:eastAsia="Times New Roman"/>
          <w:lang w:eastAsia="en-AU"/>
        </w:rPr>
        <w:t>(1), 1–22. https://doi.org/10.1111/j.1741-5446.2006.00241.x</w:t>
      </w:r>
    </w:p>
    <w:p w14:paraId="06BB0704" w14:textId="77777777" w:rsidR="0093470E" w:rsidRPr="00E16853" w:rsidRDefault="0093470E" w:rsidP="0093470E">
      <w:pPr>
        <w:spacing w:before="100" w:beforeAutospacing="1" w:after="100" w:afterAutospacing="1"/>
        <w:ind w:left="480" w:hanging="480"/>
        <w:rPr>
          <w:rFonts w:eastAsia="Times New Roman"/>
          <w:lang w:val="nl-NL" w:eastAsia="en-AU"/>
        </w:rPr>
      </w:pPr>
      <w:r w:rsidRPr="00E16853">
        <w:rPr>
          <w:rFonts w:eastAsia="Times New Roman"/>
          <w:lang w:eastAsia="en-AU"/>
        </w:rPr>
        <w:t xml:space="preserve">Black, N., &amp; Donald, A. (2001). Evidence based policy: proceed with care. </w:t>
      </w:r>
      <w:r w:rsidRPr="00E16853">
        <w:rPr>
          <w:rFonts w:eastAsia="Times New Roman"/>
          <w:i/>
          <w:iCs/>
          <w:lang w:val="nl-NL" w:eastAsia="en-AU"/>
        </w:rPr>
        <w:t>Bmj</w:t>
      </w:r>
      <w:r w:rsidRPr="00E16853">
        <w:rPr>
          <w:rFonts w:eastAsia="Times New Roman"/>
          <w:lang w:val="nl-NL" w:eastAsia="en-AU"/>
        </w:rPr>
        <w:t xml:space="preserve">, </w:t>
      </w:r>
      <w:r w:rsidRPr="00E16853">
        <w:rPr>
          <w:rFonts w:eastAsia="Times New Roman"/>
          <w:i/>
          <w:iCs/>
          <w:lang w:val="nl-NL" w:eastAsia="en-AU"/>
        </w:rPr>
        <w:t>323</w:t>
      </w:r>
      <w:r w:rsidRPr="00E16853">
        <w:rPr>
          <w:rFonts w:eastAsia="Times New Roman"/>
          <w:lang w:val="nl-NL" w:eastAsia="en-AU"/>
        </w:rPr>
        <w:t>(7307), 275–279. https://doi.org/10.1136/bmj.323.7307.275</w:t>
      </w:r>
    </w:p>
    <w:p w14:paraId="5008EB0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nl-NL" w:eastAsia="en-AU"/>
        </w:rPr>
        <w:t xml:space="preserve">Blase, K. A., Van Dyke, M., &amp; Fixsen, D. (2009). </w:t>
      </w:r>
      <w:r w:rsidRPr="00E16853">
        <w:rPr>
          <w:rFonts w:eastAsia="Times New Roman"/>
          <w:lang w:eastAsia="en-AU"/>
        </w:rPr>
        <w:t xml:space="preserve">Commentary: “Evidence-based programming in the context of practice and policy.” </w:t>
      </w:r>
      <w:r w:rsidRPr="00E16853">
        <w:rPr>
          <w:rFonts w:eastAsia="Times New Roman"/>
          <w:i/>
          <w:iCs/>
          <w:lang w:eastAsia="en-AU"/>
        </w:rPr>
        <w:t>SRCD Social Policy Report</w:t>
      </w:r>
      <w:r w:rsidRPr="00E16853">
        <w:rPr>
          <w:rFonts w:eastAsia="Times New Roman"/>
          <w:lang w:eastAsia="en-AU"/>
        </w:rPr>
        <w:t xml:space="preserve">, </w:t>
      </w:r>
      <w:r w:rsidRPr="00E16853">
        <w:rPr>
          <w:rFonts w:eastAsia="Times New Roman"/>
          <w:i/>
          <w:iCs/>
          <w:lang w:eastAsia="en-AU"/>
        </w:rPr>
        <w:t>23</w:t>
      </w:r>
      <w:r w:rsidRPr="00E16853">
        <w:rPr>
          <w:rFonts w:eastAsia="Times New Roman"/>
          <w:lang w:eastAsia="en-AU"/>
        </w:rPr>
        <w:t>(3), 13–14. Retrieved from http://www.srcd.org/publications/social-policy-report</w:t>
      </w:r>
    </w:p>
    <w:p w14:paraId="012D962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Boaz, A., Grayson, L., Levitt, R., &amp; </w:t>
      </w:r>
      <w:proofErr w:type="spellStart"/>
      <w:r w:rsidRPr="00E16853">
        <w:rPr>
          <w:rFonts w:eastAsia="Times New Roman"/>
          <w:lang w:eastAsia="en-AU"/>
        </w:rPr>
        <w:t>Solesbury</w:t>
      </w:r>
      <w:proofErr w:type="spellEnd"/>
      <w:r w:rsidRPr="00E16853">
        <w:rPr>
          <w:rFonts w:eastAsia="Times New Roman"/>
          <w:lang w:eastAsia="en-AU"/>
        </w:rPr>
        <w:t xml:space="preserve">, W. (2008). Does evidence-based policy work? Learning from the UK experience - Research Repository, </w:t>
      </w:r>
      <w:r w:rsidRPr="00E16853">
        <w:rPr>
          <w:rFonts w:eastAsia="Times New Roman"/>
          <w:i/>
          <w:iCs/>
          <w:lang w:eastAsia="en-AU"/>
        </w:rPr>
        <w:t>4</w:t>
      </w:r>
      <w:r w:rsidRPr="00E16853">
        <w:rPr>
          <w:rFonts w:eastAsia="Times New Roman"/>
          <w:lang w:eastAsia="en-AU"/>
        </w:rPr>
        <w:t>(2), 233–253. https://doi.org/10.1332/174426408784614680</w:t>
      </w:r>
    </w:p>
    <w:p w14:paraId="4CE646DC" w14:textId="77777777" w:rsidR="0093470E" w:rsidRPr="00E16853" w:rsidRDefault="0093470E" w:rsidP="0093470E">
      <w:pPr>
        <w:spacing w:before="100" w:beforeAutospacing="1" w:after="100" w:afterAutospacing="1"/>
        <w:ind w:left="480" w:hanging="480"/>
        <w:rPr>
          <w:rFonts w:eastAsia="Times New Roman"/>
          <w:lang w:val="pl-PL" w:eastAsia="en-AU"/>
        </w:rPr>
      </w:pPr>
      <w:r w:rsidRPr="00E16853">
        <w:rPr>
          <w:rFonts w:eastAsia="Times New Roman"/>
          <w:lang w:eastAsia="en-AU"/>
        </w:rPr>
        <w:t xml:space="preserve">Booth, A. (2016). Moving Beyond Effectiveness: On Evidence Based Health Information (EBHI) as a Complex Intervention. </w:t>
      </w:r>
      <w:r w:rsidRPr="00E16853">
        <w:rPr>
          <w:rFonts w:eastAsia="Times New Roman"/>
          <w:i/>
          <w:iCs/>
          <w:lang w:val="pl-PL" w:eastAsia="en-AU"/>
        </w:rPr>
        <w:t>Zeszyty Naukowe Ochrony Zdrowia. Zdrowie Publiczne I Zarzadzanie</w:t>
      </w:r>
      <w:r w:rsidRPr="00E16853">
        <w:rPr>
          <w:rFonts w:eastAsia="Times New Roman"/>
          <w:lang w:val="pl-PL" w:eastAsia="en-AU"/>
        </w:rPr>
        <w:t xml:space="preserve">, </w:t>
      </w:r>
      <w:r w:rsidRPr="00E16853">
        <w:rPr>
          <w:rFonts w:eastAsia="Times New Roman"/>
          <w:i/>
          <w:iCs/>
          <w:lang w:val="pl-PL" w:eastAsia="en-AU"/>
        </w:rPr>
        <w:t>14</w:t>
      </w:r>
      <w:r w:rsidRPr="00E16853">
        <w:rPr>
          <w:rFonts w:eastAsia="Times New Roman"/>
          <w:lang w:val="pl-PL" w:eastAsia="en-AU"/>
        </w:rPr>
        <w:t>(2), 74–85. https://doi.org/http://dx.doi.org/10.4467/20842627OZ.16.011.5573</w:t>
      </w:r>
    </w:p>
    <w:p w14:paraId="393946F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Butcher, N., &amp; </w:t>
      </w:r>
      <w:proofErr w:type="spellStart"/>
      <w:r w:rsidRPr="00E16853">
        <w:rPr>
          <w:rFonts w:eastAsia="Times New Roman"/>
          <w:lang w:eastAsia="en-AU"/>
        </w:rPr>
        <w:t>Bodrogini</w:t>
      </w:r>
      <w:proofErr w:type="spellEnd"/>
      <w:r w:rsidRPr="00E16853">
        <w:rPr>
          <w:rFonts w:eastAsia="Times New Roman"/>
          <w:lang w:eastAsia="en-AU"/>
        </w:rPr>
        <w:t>, P. (2016). Building and sustaining national ICT / education agencies: Lessons from Indonesia.</w:t>
      </w:r>
    </w:p>
    <w:p w14:paraId="6563EC8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Callahan, D., &amp; </w:t>
      </w:r>
      <w:proofErr w:type="spellStart"/>
      <w:r w:rsidRPr="00E16853">
        <w:rPr>
          <w:rFonts w:eastAsia="Times New Roman"/>
          <w:lang w:eastAsia="en-AU"/>
        </w:rPr>
        <w:t>Lamm</w:t>
      </w:r>
      <w:proofErr w:type="spellEnd"/>
      <w:r w:rsidRPr="00E16853">
        <w:rPr>
          <w:rFonts w:eastAsia="Times New Roman"/>
          <w:lang w:eastAsia="en-AU"/>
        </w:rPr>
        <w:t xml:space="preserve">, E. (2015). </w:t>
      </w:r>
      <w:r w:rsidRPr="00E16853">
        <w:rPr>
          <w:rFonts w:eastAsia="Times New Roman"/>
          <w:i/>
          <w:iCs/>
          <w:lang w:eastAsia="en-AU"/>
        </w:rPr>
        <w:t xml:space="preserve">Global bioethics: What for? </w:t>
      </w:r>
      <w:r w:rsidRPr="00E16853">
        <w:rPr>
          <w:rFonts w:eastAsia="Times New Roman"/>
          <w:iCs/>
          <w:lang w:eastAsia="en-AU"/>
        </w:rPr>
        <w:t xml:space="preserve">Paris, France: UNESCO. </w:t>
      </w:r>
    </w:p>
    <w:p w14:paraId="457715B2" w14:textId="28360549"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Center</w:t>
      </w:r>
      <w:proofErr w:type="spellEnd"/>
      <w:r w:rsidRPr="00E16853">
        <w:rPr>
          <w:rFonts w:eastAsia="Times New Roman"/>
          <w:lang w:eastAsia="en-AU"/>
        </w:rPr>
        <w:t xml:space="preserve"> for Mental Health in School. (2014). </w:t>
      </w:r>
      <w:r w:rsidRPr="00E16853">
        <w:rPr>
          <w:rFonts w:eastAsia="Times New Roman"/>
          <w:i/>
          <w:iCs/>
          <w:lang w:eastAsia="en-AU"/>
        </w:rPr>
        <w:t xml:space="preserve">Bringing new prototypes into practice: Dissemination, implementation and </w:t>
      </w:r>
      <w:proofErr w:type="spellStart"/>
      <w:r w:rsidRPr="00E16853">
        <w:rPr>
          <w:rFonts w:eastAsia="Times New Roman"/>
          <w:i/>
          <w:iCs/>
          <w:lang w:eastAsia="en-AU"/>
        </w:rPr>
        <w:t>fa</w:t>
      </w:r>
      <w:r w:rsidR="004C7EA4">
        <w:rPr>
          <w:rFonts w:eastAsia="Times New Roman"/>
          <w:i/>
          <w:iCs/>
          <w:lang w:eastAsia="en-AU"/>
        </w:rPr>
        <w:t>,</w:t>
      </w:r>
      <w:r w:rsidRPr="00E16853">
        <w:rPr>
          <w:rFonts w:eastAsia="Times New Roman"/>
          <w:i/>
          <w:iCs/>
          <w:lang w:eastAsia="en-AU"/>
        </w:rPr>
        <w:t>cilitating</w:t>
      </w:r>
      <w:proofErr w:type="spellEnd"/>
      <w:r w:rsidRPr="00E16853">
        <w:rPr>
          <w:rFonts w:eastAsia="Times New Roman"/>
          <w:i/>
          <w:iCs/>
          <w:lang w:eastAsia="en-AU"/>
        </w:rPr>
        <w:t xml:space="preserve"> transformation</w:t>
      </w:r>
      <w:r w:rsidRPr="00E16853">
        <w:rPr>
          <w:rFonts w:eastAsia="Times New Roman"/>
          <w:lang w:eastAsia="en-AU"/>
        </w:rPr>
        <w:t>.</w:t>
      </w:r>
    </w:p>
    <w:p w14:paraId="04882F26"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Cilenti</w:t>
      </w:r>
      <w:proofErr w:type="spellEnd"/>
      <w:r w:rsidRPr="00E16853">
        <w:rPr>
          <w:rFonts w:eastAsia="Times New Roman"/>
          <w:lang w:eastAsia="en-AU"/>
        </w:rPr>
        <w:t xml:space="preserve">, D., </w:t>
      </w:r>
      <w:proofErr w:type="spellStart"/>
      <w:r w:rsidRPr="00E16853">
        <w:rPr>
          <w:rFonts w:eastAsia="Times New Roman"/>
          <w:lang w:eastAsia="en-AU"/>
        </w:rPr>
        <w:t>Brownson</w:t>
      </w:r>
      <w:proofErr w:type="spellEnd"/>
      <w:r w:rsidRPr="00E16853">
        <w:rPr>
          <w:rFonts w:eastAsia="Times New Roman"/>
          <w:lang w:eastAsia="en-AU"/>
        </w:rPr>
        <w:t xml:space="preserve">, R. C., </w:t>
      </w:r>
      <w:proofErr w:type="spellStart"/>
      <w:r w:rsidRPr="00E16853">
        <w:rPr>
          <w:rFonts w:eastAsia="Times New Roman"/>
          <w:lang w:eastAsia="en-AU"/>
        </w:rPr>
        <w:t>Umble</w:t>
      </w:r>
      <w:proofErr w:type="spellEnd"/>
      <w:r w:rsidRPr="00E16853">
        <w:rPr>
          <w:rFonts w:eastAsia="Times New Roman"/>
          <w:lang w:eastAsia="en-AU"/>
        </w:rPr>
        <w:t xml:space="preserve">, K., Erwin, P. C., &amp; Summers, R. (2012). Information-Seeking behaviours and other factors contributing to successful implementation of evidence-based practices in local health departments. </w:t>
      </w:r>
      <w:r w:rsidRPr="00E16853">
        <w:rPr>
          <w:rFonts w:eastAsia="Times New Roman"/>
          <w:i/>
          <w:iCs/>
          <w:lang w:eastAsia="en-AU"/>
        </w:rPr>
        <w:t>Journal of Public Health Management and Practice</w:t>
      </w:r>
      <w:r w:rsidRPr="00E16853">
        <w:rPr>
          <w:rFonts w:eastAsia="Times New Roman"/>
          <w:lang w:eastAsia="en-AU"/>
        </w:rPr>
        <w:t xml:space="preserve">, </w:t>
      </w:r>
      <w:r w:rsidRPr="00E16853">
        <w:rPr>
          <w:rFonts w:eastAsia="Times New Roman"/>
          <w:i/>
          <w:iCs/>
          <w:lang w:eastAsia="en-AU"/>
        </w:rPr>
        <w:t>18</w:t>
      </w:r>
      <w:r w:rsidRPr="00E16853">
        <w:rPr>
          <w:rFonts w:eastAsia="Times New Roman"/>
          <w:lang w:eastAsia="en-AU"/>
        </w:rPr>
        <w:t>(6), 571–576. https://doi.org/10.1097/PHH.0b013e31825ce8e2.Information-seeking</w:t>
      </w:r>
    </w:p>
    <w:p w14:paraId="77858457" w14:textId="2CECFFD4" w:rsidR="0093470E"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Cook, J., Ruggiero, K., Shore, S., </w:t>
      </w:r>
      <w:proofErr w:type="spellStart"/>
      <w:r w:rsidRPr="00E16853">
        <w:rPr>
          <w:rFonts w:eastAsia="Times New Roman"/>
          <w:lang w:eastAsia="en-AU"/>
        </w:rPr>
        <w:t>Daggett</w:t>
      </w:r>
      <w:proofErr w:type="spellEnd"/>
      <w:r w:rsidRPr="00E16853">
        <w:rPr>
          <w:rFonts w:eastAsia="Times New Roman"/>
          <w:lang w:eastAsia="en-AU"/>
        </w:rPr>
        <w:t xml:space="preserve">, P., &amp; Butler, S. (2007). Public-Academic Collaboration in the Application of Evidence-Based Practice in Texas Mental Health System Redesign. </w:t>
      </w:r>
      <w:r w:rsidRPr="00E16853">
        <w:rPr>
          <w:rFonts w:eastAsia="Times New Roman"/>
          <w:i/>
          <w:iCs/>
          <w:lang w:eastAsia="en-AU"/>
        </w:rPr>
        <w:t>International Journal of Mental Health</w:t>
      </w:r>
      <w:r w:rsidRPr="00E16853">
        <w:rPr>
          <w:rFonts w:eastAsia="Times New Roman"/>
          <w:lang w:eastAsia="en-AU"/>
        </w:rPr>
        <w:t xml:space="preserve">, </w:t>
      </w:r>
      <w:r w:rsidRPr="00E16853">
        <w:rPr>
          <w:rFonts w:eastAsia="Times New Roman"/>
          <w:i/>
          <w:iCs/>
          <w:lang w:eastAsia="en-AU"/>
        </w:rPr>
        <w:t>36</w:t>
      </w:r>
      <w:r w:rsidRPr="00E16853">
        <w:rPr>
          <w:rFonts w:eastAsia="Times New Roman"/>
          <w:lang w:eastAsia="en-AU"/>
        </w:rPr>
        <w:t xml:space="preserve">(2), 36–49. </w:t>
      </w:r>
      <w:hyperlink r:id="rId29" w:tooltip="https://doi.org/10.2753/IMH0020-7411360204" w:history="1">
        <w:r w:rsidR="00CA18E5" w:rsidRPr="00E2700D">
          <w:rPr>
            <w:rStyle w:val="Hyperlink"/>
            <w:rFonts w:eastAsia="Times New Roman"/>
            <w:lang w:eastAsia="en-AU"/>
          </w:rPr>
          <w:t>https://doi.org/10.2753/IMH0020-7411360204</w:t>
        </w:r>
      </w:hyperlink>
    </w:p>
    <w:p w14:paraId="418C9E46" w14:textId="3098264E" w:rsidR="00CA18E5" w:rsidRPr="004C7EA4" w:rsidRDefault="00C34538" w:rsidP="004C7EA4">
      <w:pPr>
        <w:autoSpaceDE w:val="0"/>
        <w:autoSpaceDN w:val="0"/>
        <w:adjustRightInd w:val="0"/>
        <w:spacing w:after="240" w:line="260" w:lineRule="atLeast"/>
        <w:rPr>
          <w:rFonts w:ascii="Times" w:hAnsi="Times" w:cs="Times"/>
          <w:color w:val="000000"/>
          <w:sz w:val="24"/>
          <w:szCs w:val="24"/>
          <w:lang w:val="en-US"/>
        </w:rPr>
      </w:pPr>
      <w:r>
        <w:rPr>
          <w:rFonts w:eastAsia="Times New Roman"/>
          <w:lang w:eastAsia="en-AU"/>
        </w:rPr>
        <w:t>Coburn, C</w:t>
      </w:r>
      <w:r w:rsidR="004C7EA4">
        <w:rPr>
          <w:rFonts w:eastAsia="Times New Roman"/>
          <w:lang w:eastAsia="en-AU"/>
        </w:rPr>
        <w:t xml:space="preserve">., </w:t>
      </w:r>
      <w:proofErr w:type="spellStart"/>
      <w:r w:rsidR="004C7EA4">
        <w:rPr>
          <w:rFonts w:eastAsia="Times New Roman"/>
          <w:lang w:eastAsia="en-AU"/>
        </w:rPr>
        <w:t>Toure</w:t>
      </w:r>
      <w:proofErr w:type="spellEnd"/>
      <w:r>
        <w:rPr>
          <w:rFonts w:eastAsia="Times New Roman"/>
          <w:lang w:eastAsia="en-AU"/>
        </w:rPr>
        <w:t>,</w:t>
      </w:r>
      <w:r w:rsidR="004C7EA4">
        <w:rPr>
          <w:rFonts w:eastAsia="Times New Roman"/>
          <w:lang w:eastAsia="en-AU"/>
        </w:rPr>
        <w:t xml:space="preserve"> </w:t>
      </w:r>
      <w:r>
        <w:rPr>
          <w:rFonts w:eastAsia="Times New Roman"/>
          <w:lang w:eastAsia="en-AU"/>
        </w:rPr>
        <w:t>J</w:t>
      </w:r>
      <w:r w:rsidR="004C7EA4">
        <w:rPr>
          <w:rFonts w:eastAsia="Times New Roman"/>
          <w:lang w:eastAsia="en-AU"/>
        </w:rPr>
        <w:t xml:space="preserve">.,&amp; Yamashita, M. (2009). </w:t>
      </w:r>
      <w:r w:rsidR="004C7EA4" w:rsidRPr="004C7EA4">
        <w:rPr>
          <w:rFonts w:eastAsia="Times New Roman"/>
          <w:lang w:val="en-US" w:eastAsia="en-AU"/>
        </w:rPr>
        <w:t>Evidence, Interpretation, and Persuasion: Instructional Decision Making at the District Central Office</w:t>
      </w:r>
      <w:r w:rsidR="004C7EA4">
        <w:rPr>
          <w:rFonts w:eastAsia="Times New Roman"/>
          <w:lang w:val="en-US" w:eastAsia="en-AU"/>
        </w:rPr>
        <w:t>.</w:t>
      </w:r>
      <w:r w:rsidR="004C7EA4" w:rsidRPr="004C7EA4">
        <w:rPr>
          <w:rFonts w:ascii="Times" w:hAnsi="Times" w:cs="Times"/>
          <w:i/>
          <w:iCs/>
          <w:color w:val="000000"/>
          <w:sz w:val="21"/>
          <w:szCs w:val="21"/>
          <w:lang w:val="en-US"/>
        </w:rPr>
        <w:t xml:space="preserve"> </w:t>
      </w:r>
      <w:r w:rsidR="004C7EA4">
        <w:rPr>
          <w:rFonts w:ascii="Times" w:hAnsi="Times" w:cs="Times"/>
          <w:i/>
          <w:iCs/>
          <w:color w:val="000000"/>
          <w:sz w:val="21"/>
          <w:szCs w:val="21"/>
          <w:lang w:val="en-US"/>
        </w:rPr>
        <w:t xml:space="preserve">Teachers College Record </w:t>
      </w:r>
      <w:r w:rsidR="004C7EA4">
        <w:rPr>
          <w:rFonts w:ascii="Times" w:hAnsi="Times" w:cs="Times"/>
          <w:color w:val="000000"/>
          <w:sz w:val="21"/>
          <w:szCs w:val="21"/>
          <w:lang w:val="en-US"/>
        </w:rPr>
        <w:t xml:space="preserve">Volume 111, Number 4, pp. 1115–1161 </w:t>
      </w:r>
    </w:p>
    <w:p w14:paraId="5832FF0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Dahm</w:t>
      </w:r>
      <w:proofErr w:type="spellEnd"/>
      <w:r w:rsidRPr="00E16853">
        <w:rPr>
          <w:rFonts w:eastAsia="Times New Roman"/>
          <w:lang w:eastAsia="en-AU"/>
        </w:rPr>
        <w:t xml:space="preserve">, P., &amp; </w:t>
      </w:r>
      <w:proofErr w:type="spellStart"/>
      <w:r w:rsidRPr="00E16853">
        <w:rPr>
          <w:rFonts w:eastAsia="Times New Roman"/>
          <w:lang w:eastAsia="en-AU"/>
        </w:rPr>
        <w:t>Djulbegovic</w:t>
      </w:r>
      <w:proofErr w:type="spellEnd"/>
      <w:r w:rsidRPr="00E16853">
        <w:rPr>
          <w:rFonts w:eastAsia="Times New Roman"/>
          <w:lang w:eastAsia="en-AU"/>
        </w:rPr>
        <w:t xml:space="preserve">, B. (2011). The Australian “FORM” approach to guideline development: The quest for the perfect system. </w:t>
      </w:r>
      <w:r w:rsidRPr="00E16853">
        <w:rPr>
          <w:rFonts w:eastAsia="Times New Roman"/>
          <w:i/>
          <w:iCs/>
          <w:lang w:eastAsia="en-AU"/>
        </w:rPr>
        <w:t>BMC Medical Research Methodology</w:t>
      </w:r>
      <w:r w:rsidRPr="00E16853">
        <w:rPr>
          <w:rFonts w:eastAsia="Times New Roman"/>
          <w:lang w:eastAsia="en-AU"/>
        </w:rPr>
        <w:t xml:space="preserve">, </w:t>
      </w:r>
      <w:r w:rsidRPr="00E16853">
        <w:rPr>
          <w:rFonts w:eastAsia="Times New Roman"/>
          <w:i/>
          <w:iCs/>
          <w:lang w:eastAsia="en-AU"/>
        </w:rPr>
        <w:t>11</w:t>
      </w:r>
      <w:r w:rsidRPr="00E16853">
        <w:rPr>
          <w:rFonts w:eastAsia="Times New Roman"/>
          <w:lang w:eastAsia="en-AU"/>
        </w:rPr>
        <w:t>, 0–3. https://doi.org/10.1186/1471-2288-11-17</w:t>
      </w:r>
    </w:p>
    <w:p w14:paraId="376DBDE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Day, J., </w:t>
      </w:r>
      <w:proofErr w:type="spellStart"/>
      <w:r w:rsidRPr="00E16853">
        <w:rPr>
          <w:rFonts w:eastAsia="Times New Roman"/>
          <w:lang w:eastAsia="en-AU"/>
        </w:rPr>
        <w:t>Lindauer</w:t>
      </w:r>
      <w:proofErr w:type="spellEnd"/>
      <w:r w:rsidRPr="00E16853">
        <w:rPr>
          <w:rFonts w:eastAsia="Times New Roman"/>
          <w:lang w:eastAsia="en-AU"/>
        </w:rPr>
        <w:t xml:space="preserve">, C., Parks, J., &amp; </w:t>
      </w:r>
      <w:proofErr w:type="spellStart"/>
      <w:r w:rsidRPr="00E16853">
        <w:rPr>
          <w:rFonts w:eastAsia="Times New Roman"/>
          <w:lang w:eastAsia="en-AU"/>
        </w:rPr>
        <w:t>Scala</w:t>
      </w:r>
      <w:proofErr w:type="spellEnd"/>
      <w:r w:rsidRPr="00E16853">
        <w:rPr>
          <w:rFonts w:eastAsia="Times New Roman"/>
          <w:lang w:eastAsia="en-AU"/>
        </w:rPr>
        <w:t xml:space="preserve">, E. (2017). Exploring the Best Practices of Nursing Research Councils in Magnet® Organizations. </w:t>
      </w:r>
      <w:r w:rsidRPr="00E16853">
        <w:rPr>
          <w:rFonts w:eastAsia="Times New Roman"/>
          <w:i/>
          <w:iCs/>
          <w:lang w:eastAsia="en-AU"/>
        </w:rPr>
        <w:t>JONA: The Journal of Nursing Administration</w:t>
      </w:r>
      <w:r w:rsidRPr="00E16853">
        <w:rPr>
          <w:rFonts w:eastAsia="Times New Roman"/>
          <w:lang w:eastAsia="en-AU"/>
        </w:rPr>
        <w:t xml:space="preserve">, </w:t>
      </w:r>
      <w:r w:rsidRPr="00E16853">
        <w:rPr>
          <w:rFonts w:eastAsia="Times New Roman"/>
          <w:i/>
          <w:iCs/>
          <w:lang w:eastAsia="en-AU"/>
        </w:rPr>
        <w:t>47</w:t>
      </w:r>
      <w:r w:rsidRPr="00E16853">
        <w:rPr>
          <w:rFonts w:eastAsia="Times New Roman"/>
          <w:lang w:eastAsia="en-AU"/>
        </w:rPr>
        <w:t>(5), 253–258. https://doi.org/10.1097/NNA.0000000000000475</w:t>
      </w:r>
    </w:p>
    <w:p w14:paraId="081A258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Development </w:t>
      </w:r>
      <w:proofErr w:type="spellStart"/>
      <w:r w:rsidRPr="00E16853">
        <w:rPr>
          <w:rFonts w:eastAsia="Times New Roman"/>
          <w:lang w:eastAsia="en-AU"/>
        </w:rPr>
        <w:t>Commitee</w:t>
      </w:r>
      <w:proofErr w:type="spellEnd"/>
      <w:r w:rsidRPr="00E16853">
        <w:rPr>
          <w:rFonts w:eastAsia="Times New Roman"/>
          <w:lang w:eastAsia="en-AU"/>
        </w:rPr>
        <w:t xml:space="preserve"> World Bank. (2010). </w:t>
      </w:r>
      <w:r w:rsidRPr="00E16853">
        <w:rPr>
          <w:rFonts w:eastAsia="Times New Roman"/>
          <w:i/>
          <w:iCs/>
          <w:lang w:eastAsia="en-AU"/>
        </w:rPr>
        <w:t>Strengthening governance and accountability review, results and roadmap</w:t>
      </w:r>
      <w:r w:rsidRPr="00E16853">
        <w:rPr>
          <w:rFonts w:eastAsia="Times New Roman"/>
          <w:lang w:eastAsia="en-AU"/>
        </w:rPr>
        <w:t>.</w:t>
      </w:r>
    </w:p>
    <w:p w14:paraId="6E1E55C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Development, A., &amp; </w:t>
      </w:r>
      <w:proofErr w:type="spellStart"/>
      <w:r w:rsidRPr="00E16853">
        <w:rPr>
          <w:rFonts w:eastAsia="Times New Roman"/>
          <w:lang w:eastAsia="en-AU"/>
        </w:rPr>
        <w:t>Creanor</w:t>
      </w:r>
      <w:proofErr w:type="spellEnd"/>
      <w:r w:rsidRPr="00E16853">
        <w:rPr>
          <w:rFonts w:eastAsia="Times New Roman"/>
          <w:lang w:eastAsia="en-AU"/>
        </w:rPr>
        <w:t>, L. (2008). Scholarship, leadership and technology: a case study of embedding evidence-based practice, (January 2011), 295–306.</w:t>
      </w:r>
    </w:p>
    <w:p w14:paraId="1CCD93C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Dodge, K. A. (2006). Professionalizing the practice of public policy in the prevention of violence. </w:t>
      </w:r>
      <w:r w:rsidRPr="00E16853">
        <w:rPr>
          <w:rFonts w:eastAsia="Times New Roman"/>
          <w:i/>
          <w:iCs/>
          <w:lang w:eastAsia="en-AU"/>
        </w:rPr>
        <w:t>Journal of Abnormal Child Psychology</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(4), 475–479. https://doi.org/10.1007/s10802-006-9040-0</w:t>
      </w:r>
    </w:p>
    <w:p w14:paraId="15ABF784"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Education Endowment Fund (EEF). (2016). </w:t>
      </w:r>
      <w:r w:rsidRPr="00E16853">
        <w:rPr>
          <w:rFonts w:eastAsia="Times New Roman"/>
          <w:i/>
          <w:lang w:eastAsia="en-AU"/>
        </w:rPr>
        <w:t xml:space="preserve">Annual Report 2015/16. </w:t>
      </w:r>
    </w:p>
    <w:p w14:paraId="014346D8"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Edwardson</w:t>
      </w:r>
      <w:proofErr w:type="spellEnd"/>
      <w:r w:rsidRPr="00E16853">
        <w:rPr>
          <w:rFonts w:eastAsia="Times New Roman"/>
          <w:lang w:eastAsia="en-AU"/>
        </w:rPr>
        <w:t xml:space="preserve">, S. R. (1984). Using Research in Practice. </w:t>
      </w:r>
      <w:r w:rsidRPr="00E16853">
        <w:rPr>
          <w:rFonts w:eastAsia="Times New Roman"/>
          <w:i/>
          <w:iCs/>
          <w:lang w:eastAsia="en-AU"/>
        </w:rPr>
        <w:t>Western Journal of Nursing Research</w:t>
      </w:r>
      <w:r w:rsidRPr="00E16853">
        <w:rPr>
          <w:rFonts w:eastAsia="Times New Roman"/>
          <w:lang w:eastAsia="en-AU"/>
        </w:rPr>
        <w:t xml:space="preserve">, </w:t>
      </w:r>
      <w:r w:rsidRPr="00E16853">
        <w:rPr>
          <w:rFonts w:eastAsia="Times New Roman"/>
          <w:i/>
          <w:iCs/>
          <w:lang w:eastAsia="en-AU"/>
        </w:rPr>
        <w:t>6</w:t>
      </w:r>
      <w:r w:rsidRPr="00E16853">
        <w:rPr>
          <w:rFonts w:eastAsia="Times New Roman"/>
          <w:lang w:eastAsia="en-AU"/>
        </w:rPr>
        <w:t>(1), 141–143. https://doi.org/10.1177/019394598400600122</w:t>
      </w:r>
    </w:p>
    <w:p w14:paraId="0D016F50"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Eldredge</w:t>
      </w:r>
      <w:proofErr w:type="spellEnd"/>
      <w:r w:rsidRPr="00E16853">
        <w:rPr>
          <w:rFonts w:eastAsia="Times New Roman"/>
          <w:lang w:eastAsia="en-AU"/>
        </w:rPr>
        <w:t xml:space="preserve">, J. D. (2016). Integrating research into practice. </w:t>
      </w:r>
      <w:r w:rsidRPr="00E16853">
        <w:rPr>
          <w:rFonts w:eastAsia="Times New Roman"/>
          <w:i/>
          <w:iCs/>
          <w:lang w:eastAsia="en-AU"/>
        </w:rPr>
        <w:t xml:space="preserve">Journal of the Medical Library </w:t>
      </w:r>
      <w:r w:rsidR="00972B56" w:rsidRPr="00E16853">
        <w:rPr>
          <w:rFonts w:eastAsia="Times New Roman"/>
          <w:i/>
          <w:iCs/>
          <w:lang w:eastAsia="en-AU"/>
        </w:rPr>
        <w:t>Association:</w:t>
      </w:r>
      <w:r w:rsidRPr="00E16853">
        <w:rPr>
          <w:rFonts w:eastAsia="Times New Roman"/>
          <w:i/>
          <w:iCs/>
          <w:lang w:eastAsia="en-AU"/>
        </w:rPr>
        <w:t xml:space="preserve"> JMLA</w:t>
      </w:r>
      <w:r w:rsidRPr="00E16853">
        <w:rPr>
          <w:rFonts w:eastAsia="Times New Roman"/>
          <w:lang w:eastAsia="en-AU"/>
        </w:rPr>
        <w:t xml:space="preserve">, </w:t>
      </w:r>
      <w:r w:rsidRPr="00E16853">
        <w:rPr>
          <w:rFonts w:eastAsia="Times New Roman"/>
          <w:i/>
          <w:iCs/>
          <w:lang w:eastAsia="en-AU"/>
        </w:rPr>
        <w:t>104</w:t>
      </w:r>
      <w:r w:rsidRPr="00E16853">
        <w:rPr>
          <w:rFonts w:eastAsia="Times New Roman"/>
          <w:lang w:eastAsia="en-AU"/>
        </w:rPr>
        <w:t>(4), 333–337. https://doi.org/10.3163/1536-5050.104.4.017</w:t>
      </w:r>
    </w:p>
    <w:p w14:paraId="0B18154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Eliriqsousi</w:t>
      </w:r>
      <w:proofErr w:type="spellEnd"/>
      <w:r w:rsidRPr="00E16853">
        <w:rPr>
          <w:rFonts w:eastAsia="Times New Roman"/>
          <w:lang w:eastAsia="en-AU"/>
        </w:rPr>
        <w:t>, M. (2015). State of Maryland EDUCATION MANAGEMENT INFORMATION SYSTEMS SABER Country Report 2015 Key Policy Areas Status.</w:t>
      </w:r>
    </w:p>
    <w:p w14:paraId="35F5E3A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English, R. (2016). Evidence-based Teaching Tactics for Frontline Staff Using the Clinical Nurse Scholar Model. </w:t>
      </w:r>
      <w:r w:rsidRPr="00E16853">
        <w:rPr>
          <w:rFonts w:eastAsia="Times New Roman"/>
          <w:i/>
          <w:iCs/>
          <w:lang w:eastAsia="en-AU"/>
        </w:rPr>
        <w:t>Journal for Nurse Practitioners</w:t>
      </w:r>
      <w:r w:rsidRPr="00E16853">
        <w:rPr>
          <w:rFonts w:eastAsia="Times New Roman"/>
          <w:lang w:eastAsia="en-AU"/>
        </w:rPr>
        <w:t xml:space="preserve">, </w:t>
      </w:r>
      <w:r w:rsidRPr="00E16853">
        <w:rPr>
          <w:rFonts w:eastAsia="Times New Roman"/>
          <w:i/>
          <w:iCs/>
          <w:lang w:eastAsia="en-AU"/>
        </w:rPr>
        <w:t>12</w:t>
      </w:r>
      <w:r w:rsidRPr="00E16853">
        <w:rPr>
          <w:rFonts w:eastAsia="Times New Roman"/>
          <w:lang w:eastAsia="en-AU"/>
        </w:rPr>
        <w:t>(1), e1–e5. https://doi.org/10.1016/j.nurpra.2015.08.033</w:t>
      </w:r>
    </w:p>
    <w:p w14:paraId="352B7A7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Equality, G., Standards, L., Study, M., &amp; Surveys, I. (</w:t>
      </w:r>
      <w:proofErr w:type="spellStart"/>
      <w:r w:rsidRPr="00E16853">
        <w:rPr>
          <w:rFonts w:eastAsia="Times New Roman"/>
          <w:lang w:eastAsia="en-AU"/>
        </w:rPr>
        <w:t>n.d.</w:t>
      </w:r>
      <w:proofErr w:type="spellEnd"/>
      <w:r w:rsidRPr="00E16853">
        <w:rPr>
          <w:rFonts w:eastAsia="Times New Roman"/>
          <w:lang w:eastAsia="en-AU"/>
        </w:rPr>
        <w:t xml:space="preserve">). Closing Gaps in Data and Evidence. In </w:t>
      </w:r>
      <w:r w:rsidRPr="00E16853">
        <w:rPr>
          <w:rFonts w:eastAsia="Times New Roman"/>
          <w:i/>
          <w:iCs/>
          <w:lang w:eastAsia="en-AU"/>
        </w:rPr>
        <w:t>Voice and agency: Empowering women and girls for shared prosperity</w:t>
      </w:r>
      <w:r w:rsidRPr="00E16853">
        <w:rPr>
          <w:rFonts w:eastAsia="Times New Roman"/>
          <w:lang w:eastAsia="en-AU"/>
        </w:rPr>
        <w:t xml:space="preserve"> (pp. 180–197).</w:t>
      </w:r>
    </w:p>
    <w:p w14:paraId="6005DB8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Erwin, P. C., </w:t>
      </w:r>
      <w:proofErr w:type="spellStart"/>
      <w:r w:rsidRPr="00E16853">
        <w:rPr>
          <w:rFonts w:eastAsia="Times New Roman"/>
          <w:lang w:eastAsia="en-AU"/>
        </w:rPr>
        <w:t>Brownson</w:t>
      </w:r>
      <w:proofErr w:type="spellEnd"/>
      <w:r w:rsidRPr="00E16853">
        <w:rPr>
          <w:rFonts w:eastAsia="Times New Roman"/>
          <w:lang w:eastAsia="en-AU"/>
        </w:rPr>
        <w:t xml:space="preserve">, R. C., </w:t>
      </w:r>
      <w:proofErr w:type="spellStart"/>
      <w:r w:rsidRPr="00E16853">
        <w:rPr>
          <w:rFonts w:eastAsia="Times New Roman"/>
          <w:lang w:eastAsia="en-AU"/>
        </w:rPr>
        <w:t>Livingood</w:t>
      </w:r>
      <w:proofErr w:type="spellEnd"/>
      <w:r w:rsidRPr="00E16853">
        <w:rPr>
          <w:rFonts w:eastAsia="Times New Roman"/>
          <w:lang w:eastAsia="en-AU"/>
        </w:rPr>
        <w:t xml:space="preserve">, W. C., Keck, C. W., &amp; Amos, K. (2017). Development of a research agenda focused on academic health departments. </w:t>
      </w:r>
      <w:r w:rsidRPr="00E16853">
        <w:rPr>
          <w:rFonts w:eastAsia="Times New Roman"/>
          <w:i/>
          <w:iCs/>
          <w:lang w:eastAsia="en-AU"/>
        </w:rPr>
        <w:t>American Journal of Public Health</w:t>
      </w:r>
      <w:r w:rsidRPr="00E16853">
        <w:rPr>
          <w:rFonts w:eastAsia="Times New Roman"/>
          <w:lang w:eastAsia="en-AU"/>
        </w:rPr>
        <w:t xml:space="preserve">, </w:t>
      </w:r>
      <w:r w:rsidRPr="00E16853">
        <w:rPr>
          <w:rFonts w:eastAsia="Times New Roman"/>
          <w:i/>
          <w:iCs/>
          <w:lang w:eastAsia="en-AU"/>
        </w:rPr>
        <w:t>107</w:t>
      </w:r>
      <w:r w:rsidRPr="00E16853">
        <w:rPr>
          <w:rFonts w:eastAsia="Times New Roman"/>
          <w:lang w:eastAsia="en-AU"/>
        </w:rPr>
        <w:t>(9), 1369–1375. https://doi.org/10.2105/AJPH.2017.303847</w:t>
      </w:r>
    </w:p>
    <w:p w14:paraId="5BC3C200"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Ferguson, M. J., Ryan, E., &amp; Spring, B. (2014). Stakeholder dialogue about evidence-based practice: An e-learning tool to facilitate discussion. </w:t>
      </w:r>
      <w:r w:rsidRPr="00E16853">
        <w:rPr>
          <w:rFonts w:eastAsia="Times New Roman"/>
          <w:i/>
          <w:iCs/>
          <w:lang w:eastAsia="en-AU"/>
        </w:rPr>
        <w:t>Public Health Yearbook 2013</w:t>
      </w:r>
      <w:r w:rsidRPr="00E16853">
        <w:rPr>
          <w:rFonts w:eastAsia="Times New Roman"/>
          <w:lang w:eastAsia="en-AU"/>
        </w:rPr>
        <w:t xml:space="preserve">, </w:t>
      </w:r>
      <w:r w:rsidRPr="00E16853">
        <w:rPr>
          <w:rFonts w:eastAsia="Times New Roman"/>
          <w:i/>
          <w:iCs/>
          <w:lang w:eastAsia="en-AU"/>
        </w:rPr>
        <w:t>5</w:t>
      </w:r>
      <w:r w:rsidRPr="00E16853">
        <w:rPr>
          <w:rFonts w:eastAsia="Times New Roman"/>
          <w:lang w:eastAsia="en-AU"/>
        </w:rPr>
        <w:t>(1), 63–71. Retrieved from http://ovidsp.ovid.com/ovidweb.cgi?T=JS&amp;CSC=Y&amp;NEWS=N&amp;PAGE=fulltext&amp;D=psyc12&amp;AN=2014-29083-006%0Ahttp://oxfordsfx.hosted.exlibrisgroup.com/oxford?sid=OVID:psycdb&amp;id=pmid:&amp;id=doi:&amp;issn=&amp;isbn=9781633210950&amp;volume=&amp;issue=&amp;spage=63&amp;pages=63-71&amp;date=2014&amp;title=</w:t>
      </w:r>
    </w:p>
    <w:p w14:paraId="7FF672C8"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Fineout-Overholt</w:t>
      </w:r>
      <w:proofErr w:type="spellEnd"/>
      <w:r w:rsidRPr="00E16853">
        <w:rPr>
          <w:rFonts w:eastAsia="Times New Roman"/>
          <w:lang w:eastAsia="en-AU"/>
        </w:rPr>
        <w:t xml:space="preserve">, E., Williamson, K. M., Gallagher-Ford, L., </w:t>
      </w:r>
      <w:proofErr w:type="spellStart"/>
      <w:r w:rsidRPr="00E16853">
        <w:rPr>
          <w:rFonts w:eastAsia="Times New Roman"/>
          <w:lang w:eastAsia="en-AU"/>
        </w:rPr>
        <w:t>Melnyk</w:t>
      </w:r>
      <w:proofErr w:type="spellEnd"/>
      <w:r w:rsidRPr="00E16853">
        <w:rPr>
          <w:rFonts w:eastAsia="Times New Roman"/>
          <w:lang w:eastAsia="en-AU"/>
        </w:rPr>
        <w:t xml:space="preserve">, B. M., &amp; Stillwell, S. B. (2011). Following the evidence: planning for sustainable change. </w:t>
      </w:r>
      <w:r w:rsidRPr="00E16853">
        <w:rPr>
          <w:rFonts w:eastAsia="Times New Roman"/>
          <w:i/>
          <w:iCs/>
          <w:lang w:eastAsia="en-AU"/>
        </w:rPr>
        <w:t>The American Journal of Nursing</w:t>
      </w:r>
      <w:r w:rsidRPr="00E16853">
        <w:rPr>
          <w:rFonts w:eastAsia="Times New Roman"/>
          <w:lang w:eastAsia="en-AU"/>
        </w:rPr>
        <w:t xml:space="preserve">, </w:t>
      </w:r>
      <w:r w:rsidRPr="00E16853">
        <w:rPr>
          <w:rFonts w:eastAsia="Times New Roman"/>
          <w:i/>
          <w:iCs/>
          <w:lang w:eastAsia="en-AU"/>
        </w:rPr>
        <w:t>111</w:t>
      </w:r>
      <w:r w:rsidRPr="00E16853">
        <w:rPr>
          <w:rFonts w:eastAsia="Times New Roman"/>
          <w:lang w:eastAsia="en-AU"/>
        </w:rPr>
        <w:t>(1), 54–60. https://doi.org/10.1097/01.NAJ.0000393062.83761.c0</w:t>
      </w:r>
    </w:p>
    <w:p w14:paraId="2C9E5B5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Fonteyn, M., Healey, M., Suzuki, N., &amp; Bauer-Wu, S. (2007). The Clinical Scholar: Formal Recognition of Nurse Clinicians’ Collaborative Activities. </w:t>
      </w:r>
      <w:r w:rsidRPr="00E16853">
        <w:rPr>
          <w:rFonts w:eastAsia="Times New Roman"/>
          <w:i/>
          <w:iCs/>
          <w:lang w:eastAsia="en-AU"/>
        </w:rPr>
        <w:t>Oncology Nursing Forum</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(2).</w:t>
      </w:r>
    </w:p>
    <w:p w14:paraId="5223F09A"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Ganseuer</w:t>
      </w:r>
      <w:proofErr w:type="spellEnd"/>
      <w:r w:rsidRPr="00E16853">
        <w:rPr>
          <w:rFonts w:eastAsia="Times New Roman"/>
          <w:lang w:eastAsia="en-AU"/>
        </w:rPr>
        <w:t xml:space="preserve">, C., &amp; </w:t>
      </w:r>
      <w:proofErr w:type="spellStart"/>
      <w:r w:rsidRPr="00E16853">
        <w:rPr>
          <w:rFonts w:eastAsia="Times New Roman"/>
          <w:lang w:eastAsia="en-AU"/>
        </w:rPr>
        <w:t>Pistor</w:t>
      </w:r>
      <w:proofErr w:type="spellEnd"/>
      <w:r w:rsidRPr="00E16853">
        <w:rPr>
          <w:rFonts w:eastAsia="Times New Roman"/>
          <w:lang w:eastAsia="en-AU"/>
        </w:rPr>
        <w:t xml:space="preserve">, P. (2017). </w:t>
      </w:r>
      <w:r w:rsidRPr="00E16853">
        <w:rPr>
          <w:rFonts w:eastAsia="Times New Roman"/>
          <w:i/>
          <w:iCs/>
          <w:lang w:eastAsia="en-AU"/>
        </w:rPr>
        <w:t>From tools to an internal quality assurance system: University of Duisburg-Essen, Germany</w:t>
      </w:r>
      <w:r w:rsidRPr="00E16853">
        <w:rPr>
          <w:rFonts w:eastAsia="Times New Roman"/>
          <w:lang w:eastAsia="en-AU"/>
        </w:rPr>
        <w:t>.</w:t>
      </w:r>
    </w:p>
    <w:p w14:paraId="47D21A6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Giles, E. (2009). A student initiated conference - fostering the teaching-research nexus in medical radiation science. In </w:t>
      </w:r>
      <w:r w:rsidRPr="00E16853">
        <w:rPr>
          <w:rFonts w:eastAsia="Times New Roman"/>
          <w:i/>
          <w:iCs/>
          <w:lang w:eastAsia="en-AU"/>
        </w:rPr>
        <w:t>32nd HERDSA Annual Conference</w:t>
      </w:r>
      <w:r w:rsidRPr="00E16853">
        <w:rPr>
          <w:rFonts w:eastAsia="Times New Roman"/>
          <w:lang w:eastAsia="en-AU"/>
        </w:rPr>
        <w:t>.</w:t>
      </w:r>
    </w:p>
    <w:p w14:paraId="624C1F82"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Handoll</w:t>
      </w:r>
      <w:proofErr w:type="spellEnd"/>
      <w:r w:rsidRPr="00E16853">
        <w:rPr>
          <w:rFonts w:eastAsia="Times New Roman"/>
          <w:lang w:eastAsia="en-AU"/>
        </w:rPr>
        <w:t xml:space="preserve">, H. H., Gillespie, W. J., Gillespie, L. D., &amp; </w:t>
      </w:r>
      <w:proofErr w:type="spellStart"/>
      <w:r w:rsidRPr="00E16853">
        <w:rPr>
          <w:rFonts w:eastAsia="Times New Roman"/>
          <w:lang w:eastAsia="en-AU"/>
        </w:rPr>
        <w:t>Madhok</w:t>
      </w:r>
      <w:proofErr w:type="spellEnd"/>
      <w:r w:rsidRPr="00E16853">
        <w:rPr>
          <w:rFonts w:eastAsia="Times New Roman"/>
          <w:lang w:eastAsia="en-AU"/>
        </w:rPr>
        <w:t xml:space="preserve">, R. (2008). The Cochrane Collaboration: a leading role in producing reliable evidence to inform healthcare decisions in musculoskeletal trauma and disorders. </w:t>
      </w:r>
      <w:r w:rsidRPr="00E16853">
        <w:rPr>
          <w:rFonts w:eastAsia="Times New Roman"/>
          <w:i/>
          <w:iCs/>
          <w:lang w:eastAsia="en-AU"/>
        </w:rPr>
        <w:t xml:space="preserve">Indian J </w:t>
      </w:r>
      <w:proofErr w:type="spellStart"/>
      <w:r w:rsidRPr="00E16853">
        <w:rPr>
          <w:rFonts w:eastAsia="Times New Roman"/>
          <w:i/>
          <w:iCs/>
          <w:lang w:eastAsia="en-AU"/>
        </w:rPr>
        <w:t>Orthop</w:t>
      </w:r>
      <w:proofErr w:type="spellEnd"/>
      <w:r w:rsidRPr="00E16853">
        <w:rPr>
          <w:rFonts w:eastAsia="Times New Roman"/>
          <w:lang w:eastAsia="en-AU"/>
        </w:rPr>
        <w:t>, 247–251. https://doi.org/10.4103/0019-5413.41849</w:t>
      </w:r>
    </w:p>
    <w:p w14:paraId="1D61B79D"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Hawkins, B., &amp; Parkhurst, J. (2016). The “good governance” of evidence in health policy. </w:t>
      </w:r>
      <w:r w:rsidRPr="00E16853">
        <w:rPr>
          <w:rFonts w:eastAsia="Times New Roman"/>
          <w:i/>
          <w:iCs/>
          <w:lang w:eastAsia="en-AU"/>
        </w:rPr>
        <w:t>Evidence &amp; Policy: A Journal of Research, Debate and Practice</w:t>
      </w:r>
      <w:r w:rsidRPr="00E16853">
        <w:rPr>
          <w:rFonts w:eastAsia="Times New Roman"/>
          <w:lang w:eastAsia="en-AU"/>
        </w:rPr>
        <w:t xml:space="preserve">, </w:t>
      </w:r>
      <w:r w:rsidRPr="00E16853">
        <w:rPr>
          <w:rFonts w:eastAsia="Times New Roman"/>
          <w:i/>
          <w:iCs/>
          <w:lang w:eastAsia="en-AU"/>
        </w:rPr>
        <w:t>12</w:t>
      </w:r>
      <w:r w:rsidRPr="00E16853">
        <w:rPr>
          <w:rFonts w:eastAsia="Times New Roman"/>
          <w:lang w:eastAsia="en-AU"/>
        </w:rPr>
        <w:t>(4), 575–592. https://doi.org/10.1332/174426415X14430058455412</w:t>
      </w:r>
    </w:p>
    <w:p w14:paraId="48CDBF6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Hobbs, R., &amp; Jensen, A. (2009). The </w:t>
      </w:r>
      <w:r w:rsidR="00972B56" w:rsidRPr="00E16853">
        <w:rPr>
          <w:rFonts w:eastAsia="Times New Roman"/>
          <w:lang w:eastAsia="en-AU"/>
        </w:rPr>
        <w:t>Past,</w:t>
      </w:r>
      <w:r w:rsidRPr="00E16853">
        <w:rPr>
          <w:rFonts w:eastAsia="Times New Roman"/>
          <w:lang w:eastAsia="en-AU"/>
        </w:rPr>
        <w:t xml:space="preserve"> </w:t>
      </w:r>
      <w:r w:rsidR="00972B56" w:rsidRPr="00E16853">
        <w:rPr>
          <w:rFonts w:eastAsia="Times New Roman"/>
          <w:lang w:eastAsia="en-AU"/>
        </w:rPr>
        <w:t>Present,</w:t>
      </w:r>
      <w:r w:rsidRPr="00E16853">
        <w:rPr>
          <w:rFonts w:eastAsia="Times New Roman"/>
          <w:lang w:eastAsia="en-AU"/>
        </w:rPr>
        <w:t xml:space="preserve"> and Future of Media Literacy Education, 11–32.</w:t>
      </w:r>
    </w:p>
    <w:p w14:paraId="1834A332"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Hopkins, B. T. M., &amp; Cady, J. A. (2015). What is the value of </w:t>
      </w:r>
      <w:r w:rsidR="00972B56" w:rsidRPr="00E16853">
        <w:rPr>
          <w:rFonts w:eastAsia="Times New Roman"/>
          <w:lang w:eastAsia="en-AU"/>
        </w:rPr>
        <w:t>ASHA?</w:t>
      </w:r>
      <w:r w:rsidRPr="00E16853">
        <w:rPr>
          <w:rFonts w:eastAsia="Times New Roman"/>
          <w:lang w:eastAsia="en-AU"/>
        </w:rPr>
        <w:t xml:space="preserve"> (April 2007), 434–437. https://doi.org/10.1038/sj.bdj.2015.43</w:t>
      </w:r>
    </w:p>
    <w:p w14:paraId="3665614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Issue, C., Making, E. D., &amp; Design, E. (2011). A Systematic Approach to the Inclusion of Evidence in Healthcare Design | Articles &amp; </w:t>
      </w:r>
      <w:r w:rsidR="00972B56" w:rsidRPr="00E16853">
        <w:rPr>
          <w:rFonts w:eastAsia="Times New Roman"/>
          <w:lang w:eastAsia="en-AU"/>
        </w:rPr>
        <w:t>AR</w:t>
      </w:r>
      <w:r w:rsidRPr="00E16853">
        <w:rPr>
          <w:rFonts w:eastAsia="Times New Roman"/>
          <w:lang w:eastAsia="en-AU"/>
        </w:rPr>
        <w:t xml:space="preserve"> ... Page 1 of 6 A Systematic Approach to the Inclusion of Evidence in Healthcare Design | Articles &amp; </w:t>
      </w:r>
      <w:r w:rsidR="00972B56" w:rsidRPr="00E16853">
        <w:rPr>
          <w:rFonts w:eastAsia="Times New Roman"/>
          <w:lang w:eastAsia="en-AU"/>
        </w:rPr>
        <w:t>AR</w:t>
      </w:r>
      <w:r w:rsidRPr="00E16853">
        <w:rPr>
          <w:rFonts w:eastAsia="Times New Roman"/>
          <w:lang w:eastAsia="en-AU"/>
        </w:rPr>
        <w:t xml:space="preserve"> ... Page 2 of 6, </w:t>
      </w:r>
      <w:r w:rsidRPr="00E16853">
        <w:rPr>
          <w:rFonts w:eastAsia="Times New Roman"/>
          <w:i/>
          <w:iCs/>
          <w:lang w:eastAsia="en-AU"/>
        </w:rPr>
        <w:t>4</w:t>
      </w:r>
      <w:r w:rsidRPr="00E16853">
        <w:rPr>
          <w:rFonts w:eastAsia="Times New Roman"/>
          <w:lang w:eastAsia="en-AU"/>
        </w:rPr>
        <w:t>(1999), 1–6.</w:t>
      </w:r>
    </w:p>
    <w:p w14:paraId="6A5279E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Jo, C., </w:t>
      </w:r>
      <w:proofErr w:type="spellStart"/>
      <w:r w:rsidRPr="00E16853">
        <w:rPr>
          <w:rFonts w:eastAsia="Times New Roman"/>
          <w:lang w:eastAsia="en-AU"/>
        </w:rPr>
        <w:t>Bacigalupo</w:t>
      </w:r>
      <w:proofErr w:type="spellEnd"/>
      <w:r w:rsidRPr="00E16853">
        <w:rPr>
          <w:rFonts w:eastAsia="Times New Roman"/>
          <w:lang w:eastAsia="en-AU"/>
        </w:rPr>
        <w:t xml:space="preserve">, R., </w:t>
      </w:r>
      <w:proofErr w:type="spellStart"/>
      <w:r w:rsidRPr="00E16853">
        <w:rPr>
          <w:rFonts w:eastAsia="Times New Roman"/>
          <w:lang w:eastAsia="en-AU"/>
        </w:rPr>
        <w:t>Halladay</w:t>
      </w:r>
      <w:proofErr w:type="spellEnd"/>
      <w:r w:rsidRPr="00E16853">
        <w:rPr>
          <w:rFonts w:eastAsia="Times New Roman"/>
          <w:lang w:eastAsia="en-AU"/>
        </w:rPr>
        <w:t xml:space="preserve">, L., &amp; Norwood, H. (2008). Research use and support needs, and research activity in social care: a cross-sectional survey in two councils with social services responsibilities in the UK. </w:t>
      </w:r>
      <w:r w:rsidRPr="00E16853">
        <w:rPr>
          <w:rFonts w:eastAsia="Times New Roman"/>
          <w:i/>
          <w:iCs/>
          <w:lang w:eastAsia="en-AU"/>
        </w:rPr>
        <w:t>Health &amp; Social Care in the Community</w:t>
      </w:r>
      <w:r w:rsidRPr="00E16853">
        <w:rPr>
          <w:rFonts w:eastAsia="Times New Roman"/>
          <w:lang w:eastAsia="en-AU"/>
        </w:rPr>
        <w:t xml:space="preserve">, </w:t>
      </w:r>
      <w:r w:rsidRPr="00E16853">
        <w:rPr>
          <w:rFonts w:eastAsia="Times New Roman"/>
          <w:i/>
          <w:iCs/>
          <w:lang w:eastAsia="en-AU"/>
        </w:rPr>
        <w:t>16</w:t>
      </w:r>
      <w:r w:rsidRPr="00E16853">
        <w:rPr>
          <w:rFonts w:eastAsia="Times New Roman"/>
          <w:lang w:eastAsia="en-AU"/>
        </w:rPr>
        <w:t>(5), 538–547. https://doi.org/10.1111/j.1365-2524.2008.00776.x</w:t>
      </w:r>
    </w:p>
    <w:p w14:paraId="791C405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Jones, A. (2007). The last days of empire: The demise of a profession? </w:t>
      </w:r>
      <w:r w:rsidRPr="00E16853">
        <w:rPr>
          <w:rFonts w:eastAsia="Times New Roman"/>
          <w:i/>
          <w:lang w:eastAsia="en-AU"/>
        </w:rPr>
        <w:t>Therapy Today, 18</w:t>
      </w:r>
      <w:r w:rsidRPr="00E16853">
        <w:rPr>
          <w:rFonts w:eastAsia="Times New Roman"/>
          <w:lang w:eastAsia="en-AU"/>
        </w:rPr>
        <w:t xml:space="preserve">(3). </w:t>
      </w:r>
    </w:p>
    <w:p w14:paraId="4BDDB2E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Kane, T. J. (2016). Connecting to practice: How we can put education research to work. </w:t>
      </w:r>
      <w:r w:rsidRPr="00E16853">
        <w:rPr>
          <w:rFonts w:eastAsia="Times New Roman"/>
          <w:i/>
          <w:iCs/>
          <w:lang w:eastAsia="en-AU"/>
        </w:rPr>
        <w:t>Education Next</w:t>
      </w:r>
      <w:r w:rsidRPr="00E16853">
        <w:rPr>
          <w:rFonts w:eastAsia="Times New Roman"/>
          <w:lang w:eastAsia="en-AU"/>
        </w:rPr>
        <w:t xml:space="preserve">, </w:t>
      </w:r>
      <w:r w:rsidRPr="00E16853">
        <w:rPr>
          <w:rFonts w:eastAsia="Times New Roman"/>
          <w:i/>
          <w:iCs/>
          <w:lang w:eastAsia="en-AU"/>
        </w:rPr>
        <w:t>16</w:t>
      </w:r>
      <w:r w:rsidRPr="00E16853">
        <w:rPr>
          <w:rFonts w:eastAsia="Times New Roman"/>
          <w:lang w:eastAsia="en-AU"/>
        </w:rPr>
        <w:t>(2), 81–87.</w:t>
      </w:r>
    </w:p>
    <w:p w14:paraId="13264694" w14:textId="77777777" w:rsidR="0093470E" w:rsidRPr="00E16853" w:rsidRDefault="0093470E" w:rsidP="0093470E">
      <w:pPr>
        <w:spacing w:before="100" w:beforeAutospacing="1" w:after="100" w:afterAutospacing="1"/>
        <w:ind w:left="480" w:hanging="480"/>
        <w:rPr>
          <w:rFonts w:eastAsia="Times New Roman"/>
          <w:lang w:eastAsia="en-AU"/>
        </w:rPr>
      </w:pPr>
      <w:r w:rsidRPr="001416C5">
        <w:rPr>
          <w:rFonts w:eastAsia="Times New Roman"/>
          <w:lang w:val="sv-SE" w:eastAsia="en-AU"/>
        </w:rPr>
        <w:t xml:space="preserve">Karlsson, P., Bergmark, A., &amp; Lundström, T. (2014). </w:t>
      </w:r>
      <w:r w:rsidRPr="00E16853">
        <w:rPr>
          <w:rFonts w:eastAsia="Times New Roman"/>
          <w:lang w:eastAsia="en-AU"/>
        </w:rPr>
        <w:t xml:space="preserve">Procedures and claims among US evidence producing organisations: The case of the incredible years programme. </w:t>
      </w:r>
      <w:r w:rsidRPr="00E16853">
        <w:rPr>
          <w:rFonts w:eastAsia="Times New Roman"/>
          <w:i/>
          <w:iCs/>
          <w:lang w:eastAsia="en-AU"/>
        </w:rPr>
        <w:t>Evidence and Policy</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(1), 61–76. https://doi.org/10.1332/174426513X672444</w:t>
      </w:r>
    </w:p>
    <w:p w14:paraId="3E6E67B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Kennedy, R., &amp; Davies, R. (2005). Welsh academy aims to strengthen nursing voice. </w:t>
      </w:r>
      <w:r w:rsidRPr="00E16853">
        <w:rPr>
          <w:rFonts w:eastAsia="Times New Roman"/>
          <w:i/>
          <w:iCs/>
          <w:lang w:eastAsia="en-AU"/>
        </w:rPr>
        <w:t>Nursing Standard</w:t>
      </w:r>
      <w:r w:rsidRPr="00E16853">
        <w:rPr>
          <w:rFonts w:eastAsia="Times New Roman"/>
          <w:lang w:eastAsia="en-AU"/>
        </w:rPr>
        <w:t xml:space="preserve">, </w:t>
      </w:r>
      <w:r w:rsidRPr="00E16853">
        <w:rPr>
          <w:rFonts w:eastAsia="Times New Roman"/>
          <w:i/>
          <w:iCs/>
          <w:lang w:eastAsia="en-AU"/>
        </w:rPr>
        <w:t>19</w:t>
      </w:r>
      <w:r w:rsidRPr="00E16853">
        <w:rPr>
          <w:rFonts w:eastAsia="Times New Roman"/>
          <w:lang w:eastAsia="en-AU"/>
        </w:rPr>
        <w:t>(28), 8.</w:t>
      </w:r>
    </w:p>
    <w:p w14:paraId="2C8EC4E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Kingston, B., </w:t>
      </w:r>
      <w:proofErr w:type="spellStart"/>
      <w:r w:rsidRPr="00E16853">
        <w:rPr>
          <w:rFonts w:eastAsia="Times New Roman"/>
          <w:lang w:eastAsia="en-AU"/>
        </w:rPr>
        <w:t>Bacallao</w:t>
      </w:r>
      <w:proofErr w:type="spellEnd"/>
      <w:r w:rsidRPr="00E16853">
        <w:rPr>
          <w:rFonts w:eastAsia="Times New Roman"/>
          <w:lang w:eastAsia="en-AU"/>
        </w:rPr>
        <w:t xml:space="preserve">, M., </w:t>
      </w:r>
      <w:proofErr w:type="spellStart"/>
      <w:r w:rsidRPr="00E16853">
        <w:rPr>
          <w:rFonts w:eastAsia="Times New Roman"/>
          <w:lang w:eastAsia="en-AU"/>
        </w:rPr>
        <w:t>Smokowski</w:t>
      </w:r>
      <w:proofErr w:type="spellEnd"/>
      <w:r w:rsidRPr="00E16853">
        <w:rPr>
          <w:rFonts w:eastAsia="Times New Roman"/>
          <w:lang w:eastAsia="en-AU"/>
        </w:rPr>
        <w:t xml:space="preserve">, P., Sullivan, T., &amp; Sutherland, K. (2016). Constructing “Packages” of Evidence-Based Programs to Prevent Youth Violence: Processes and Illustrative Examples </w:t>
      </w:r>
      <w:r w:rsidR="00972B56" w:rsidRPr="00E16853">
        <w:rPr>
          <w:rFonts w:eastAsia="Times New Roman"/>
          <w:lang w:eastAsia="en-AU"/>
        </w:rPr>
        <w:t>from</w:t>
      </w:r>
      <w:r w:rsidRPr="00E16853">
        <w:rPr>
          <w:rFonts w:eastAsia="Times New Roman"/>
          <w:lang w:eastAsia="en-AU"/>
        </w:rPr>
        <w:t xml:space="preserve"> the CDC’s Youth Violence Prevention </w:t>
      </w:r>
      <w:proofErr w:type="spellStart"/>
      <w:r w:rsidRPr="00E16853">
        <w:rPr>
          <w:rFonts w:eastAsia="Times New Roman"/>
          <w:lang w:eastAsia="en-AU"/>
        </w:rPr>
        <w:t>Centers</w:t>
      </w:r>
      <w:proofErr w:type="spellEnd"/>
      <w:r w:rsidRPr="00E16853">
        <w:rPr>
          <w:rFonts w:eastAsia="Times New Roman"/>
          <w:lang w:eastAsia="en-AU"/>
        </w:rPr>
        <w:t xml:space="preserve">. </w:t>
      </w:r>
      <w:r w:rsidRPr="00E16853">
        <w:rPr>
          <w:rFonts w:eastAsia="Times New Roman"/>
          <w:i/>
          <w:iCs/>
          <w:lang w:eastAsia="en-AU"/>
        </w:rPr>
        <w:t>Journal of Primary Prevention</w:t>
      </w:r>
      <w:r w:rsidRPr="00E16853">
        <w:rPr>
          <w:rFonts w:eastAsia="Times New Roman"/>
          <w:lang w:eastAsia="en-AU"/>
        </w:rPr>
        <w:t xml:space="preserve">, </w:t>
      </w:r>
      <w:r w:rsidRPr="00E16853">
        <w:rPr>
          <w:rFonts w:eastAsia="Times New Roman"/>
          <w:i/>
          <w:iCs/>
          <w:lang w:eastAsia="en-AU"/>
        </w:rPr>
        <w:t>37</w:t>
      </w:r>
      <w:r w:rsidRPr="00E16853">
        <w:rPr>
          <w:rFonts w:eastAsia="Times New Roman"/>
          <w:lang w:eastAsia="en-AU"/>
        </w:rPr>
        <w:t>(2), 141–163. https://doi.org/10.1007/s10935-016-0423-x</w:t>
      </w:r>
    </w:p>
    <w:p w14:paraId="7C24CCCC"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Lehna</w:t>
      </w:r>
      <w:proofErr w:type="spellEnd"/>
      <w:r w:rsidRPr="00E16853">
        <w:rPr>
          <w:rFonts w:eastAsia="Times New Roman"/>
          <w:lang w:eastAsia="en-AU"/>
        </w:rPr>
        <w:t xml:space="preserve">, C., Berger, J., Truman, A., Goldman, M., &amp; </w:t>
      </w:r>
      <w:proofErr w:type="spellStart"/>
      <w:r w:rsidRPr="00E16853">
        <w:rPr>
          <w:rFonts w:eastAsia="Times New Roman"/>
          <w:lang w:eastAsia="en-AU"/>
        </w:rPr>
        <w:t>Topp</w:t>
      </w:r>
      <w:proofErr w:type="spellEnd"/>
      <w:r w:rsidRPr="00E16853">
        <w:rPr>
          <w:rFonts w:eastAsia="Times New Roman"/>
          <w:lang w:eastAsia="en-AU"/>
        </w:rPr>
        <w:t xml:space="preserve">, R. (2010). Virtual journal club connects evidence to practice: An analysis of participant responses. </w:t>
      </w:r>
      <w:r w:rsidRPr="00E16853">
        <w:rPr>
          <w:rFonts w:eastAsia="Times New Roman"/>
          <w:i/>
          <w:iCs/>
          <w:lang w:eastAsia="en-AU"/>
        </w:rPr>
        <w:t>Journal of Nursing Administration</w:t>
      </w:r>
      <w:r w:rsidRPr="00E16853">
        <w:rPr>
          <w:rFonts w:eastAsia="Times New Roman"/>
          <w:lang w:eastAsia="en-AU"/>
        </w:rPr>
        <w:t xml:space="preserve">, </w:t>
      </w:r>
      <w:r w:rsidRPr="00E16853">
        <w:rPr>
          <w:rFonts w:eastAsia="Times New Roman"/>
          <w:i/>
          <w:iCs/>
          <w:lang w:eastAsia="en-AU"/>
        </w:rPr>
        <w:t>40</w:t>
      </w:r>
      <w:r w:rsidRPr="00E16853">
        <w:rPr>
          <w:rFonts w:eastAsia="Times New Roman"/>
          <w:lang w:eastAsia="en-AU"/>
        </w:rPr>
        <w:t>(12), 522–528. https://doi.org/10.1097/NNA.0b013e3181fc19c0</w:t>
      </w:r>
    </w:p>
    <w:p w14:paraId="2AD1AA1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Locke, B. D., </w:t>
      </w:r>
      <w:proofErr w:type="spellStart"/>
      <w:r w:rsidRPr="00E16853">
        <w:rPr>
          <w:rFonts w:eastAsia="Times New Roman"/>
          <w:lang w:eastAsia="en-AU"/>
        </w:rPr>
        <w:t>Bieschke</w:t>
      </w:r>
      <w:proofErr w:type="spellEnd"/>
      <w:r w:rsidRPr="00E16853">
        <w:rPr>
          <w:rFonts w:eastAsia="Times New Roman"/>
          <w:lang w:eastAsia="en-AU"/>
        </w:rPr>
        <w:t xml:space="preserve">, K. J., </w:t>
      </w:r>
      <w:proofErr w:type="spellStart"/>
      <w:r w:rsidRPr="00E16853">
        <w:rPr>
          <w:rFonts w:eastAsia="Times New Roman"/>
          <w:lang w:eastAsia="en-AU"/>
        </w:rPr>
        <w:t>Castonguay</w:t>
      </w:r>
      <w:proofErr w:type="spellEnd"/>
      <w:r w:rsidRPr="00E16853">
        <w:rPr>
          <w:rFonts w:eastAsia="Times New Roman"/>
          <w:lang w:eastAsia="en-AU"/>
        </w:rPr>
        <w:t xml:space="preserve">, L. G., &amp; Hayes, J. A. (2012). The </w:t>
      </w:r>
      <w:proofErr w:type="spellStart"/>
      <w:r w:rsidRPr="00E16853">
        <w:rPr>
          <w:rFonts w:eastAsia="Times New Roman"/>
          <w:lang w:eastAsia="en-AU"/>
        </w:rPr>
        <w:t>center</w:t>
      </w:r>
      <w:proofErr w:type="spellEnd"/>
      <w:r w:rsidRPr="00E16853">
        <w:rPr>
          <w:rFonts w:eastAsia="Times New Roman"/>
          <w:lang w:eastAsia="en-AU"/>
        </w:rPr>
        <w:t xml:space="preserve"> for collegiate mental health: Studying college student mental health through an innovative research infrastructure that brings science and practice together. </w:t>
      </w:r>
      <w:r w:rsidRPr="00E16853">
        <w:rPr>
          <w:rFonts w:eastAsia="Times New Roman"/>
          <w:i/>
          <w:iCs/>
          <w:lang w:eastAsia="en-AU"/>
        </w:rPr>
        <w:t>Harvard Review of Psychiatry</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(4), 233–245. https://doi.org/10.3109/10673229.2012.712837</w:t>
      </w:r>
    </w:p>
    <w:p w14:paraId="48780C0D"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Long, C. G., </w:t>
      </w:r>
      <w:proofErr w:type="spellStart"/>
      <w:r w:rsidRPr="00E16853">
        <w:rPr>
          <w:rFonts w:eastAsia="Times New Roman"/>
          <w:lang w:eastAsia="en-AU"/>
        </w:rPr>
        <w:t>Rmn</w:t>
      </w:r>
      <w:proofErr w:type="spellEnd"/>
      <w:r w:rsidRPr="00E16853">
        <w:rPr>
          <w:rFonts w:eastAsia="Times New Roman"/>
          <w:lang w:eastAsia="en-AU"/>
        </w:rPr>
        <w:t xml:space="preserve">, L. C., &amp; Mason, F. (2011). Effective therapeutic practice in </w:t>
      </w:r>
      <w:r w:rsidR="00972B56" w:rsidRPr="00E16853">
        <w:rPr>
          <w:rFonts w:eastAsia="Times New Roman"/>
          <w:lang w:eastAsia="en-AU"/>
        </w:rPr>
        <w:t>a secure woman’</w:t>
      </w:r>
      <w:r w:rsidRPr="00E16853">
        <w:rPr>
          <w:rFonts w:eastAsia="Times New Roman"/>
          <w:lang w:eastAsia="en-AU"/>
        </w:rPr>
        <w:t xml:space="preserve"> s </w:t>
      </w:r>
      <w:r w:rsidR="00972B56" w:rsidRPr="00E16853">
        <w:rPr>
          <w:rFonts w:eastAsia="Times New Roman"/>
          <w:lang w:eastAsia="en-AU"/>
        </w:rPr>
        <w:t>service:</w:t>
      </w:r>
      <w:r w:rsidRPr="00E16853">
        <w:rPr>
          <w:rFonts w:eastAsia="Times New Roman"/>
          <w:lang w:eastAsia="en-AU"/>
        </w:rPr>
        <w:t xml:space="preserve"> from vision to reality, 79–82.</w:t>
      </w:r>
    </w:p>
    <w:p w14:paraId="40732FA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Long, C. R., Ackerman, D. L., </w:t>
      </w:r>
      <w:proofErr w:type="spellStart"/>
      <w:r w:rsidRPr="00E16853">
        <w:rPr>
          <w:rFonts w:eastAsia="Times New Roman"/>
          <w:lang w:eastAsia="en-AU"/>
        </w:rPr>
        <w:t>Hammerschlag</w:t>
      </w:r>
      <w:proofErr w:type="spellEnd"/>
      <w:r w:rsidRPr="00E16853">
        <w:rPr>
          <w:rFonts w:eastAsia="Times New Roman"/>
          <w:lang w:eastAsia="en-AU"/>
        </w:rPr>
        <w:t xml:space="preserve">, R., </w:t>
      </w:r>
      <w:proofErr w:type="spellStart"/>
      <w:r w:rsidRPr="00E16853">
        <w:rPr>
          <w:rFonts w:eastAsia="Times New Roman"/>
          <w:lang w:eastAsia="en-AU"/>
        </w:rPr>
        <w:t>Delagran</w:t>
      </w:r>
      <w:proofErr w:type="spellEnd"/>
      <w:r w:rsidRPr="00E16853">
        <w:rPr>
          <w:rFonts w:eastAsia="Times New Roman"/>
          <w:lang w:eastAsia="en-AU"/>
        </w:rPr>
        <w:t xml:space="preserve">, L., Peterson, D. H., Berlin, M., &amp; Evans, R. L. (2014). Faculty Development Initiatives to Advance Research Literacy and Evidence-Based Practice at CAM Academic Institutions. </w:t>
      </w:r>
      <w:r w:rsidRPr="00E16853">
        <w:rPr>
          <w:rFonts w:eastAsia="Times New Roman"/>
          <w:i/>
          <w:iCs/>
          <w:lang w:eastAsia="en-AU"/>
        </w:rPr>
        <w:t>The Journal of Alternative and Complementary Medicine</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(7), 563–570. https://doi.org/10.1089/acm.2013.0385</w:t>
      </w:r>
    </w:p>
    <w:p w14:paraId="1DF901B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Macdonald, D. (2004). Evidence-based practice in health and physical education. </w:t>
      </w:r>
      <w:r w:rsidRPr="00E16853">
        <w:rPr>
          <w:rFonts w:eastAsia="Times New Roman"/>
          <w:i/>
          <w:iCs/>
          <w:lang w:eastAsia="en-AU"/>
        </w:rPr>
        <w:t>Waikato Journal of Education</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w:t>
      </w:r>
    </w:p>
    <w:p w14:paraId="74C3018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Maeda, A., Norris </w:t>
      </w:r>
      <w:proofErr w:type="spellStart"/>
      <w:r w:rsidRPr="00E16853">
        <w:rPr>
          <w:rFonts w:eastAsia="Times New Roman"/>
          <w:lang w:eastAsia="en-AU"/>
        </w:rPr>
        <w:t>Harrit</w:t>
      </w:r>
      <w:proofErr w:type="spellEnd"/>
      <w:r w:rsidRPr="00E16853">
        <w:rPr>
          <w:rFonts w:eastAsia="Times New Roman"/>
          <w:lang w:eastAsia="en-AU"/>
        </w:rPr>
        <w:t xml:space="preserve">, M., Mabuchi, S., </w:t>
      </w:r>
      <w:proofErr w:type="spellStart"/>
      <w:r w:rsidRPr="00E16853">
        <w:rPr>
          <w:rFonts w:eastAsia="Times New Roman"/>
          <w:lang w:eastAsia="en-AU"/>
        </w:rPr>
        <w:t>Siadat</w:t>
      </w:r>
      <w:proofErr w:type="spellEnd"/>
      <w:r w:rsidRPr="00E16853">
        <w:rPr>
          <w:rFonts w:eastAsia="Times New Roman"/>
          <w:lang w:eastAsia="en-AU"/>
        </w:rPr>
        <w:t xml:space="preserve">, B., &amp; </w:t>
      </w:r>
      <w:proofErr w:type="spellStart"/>
      <w:r w:rsidRPr="00E16853">
        <w:rPr>
          <w:rFonts w:eastAsia="Times New Roman"/>
          <w:lang w:eastAsia="en-AU"/>
        </w:rPr>
        <w:t>Nagpal</w:t>
      </w:r>
      <w:proofErr w:type="spellEnd"/>
      <w:r w:rsidRPr="00E16853">
        <w:rPr>
          <w:rFonts w:eastAsia="Times New Roman"/>
          <w:lang w:eastAsia="en-AU"/>
        </w:rPr>
        <w:t xml:space="preserve">, S. (2012). </w:t>
      </w:r>
      <w:r w:rsidRPr="00E16853">
        <w:rPr>
          <w:rFonts w:eastAsia="Times New Roman"/>
          <w:i/>
          <w:iCs/>
          <w:lang w:eastAsia="en-AU"/>
        </w:rPr>
        <w:t>Creating Evidence for Better Health Financing Decisions</w:t>
      </w:r>
      <w:r w:rsidRPr="00E16853">
        <w:rPr>
          <w:rFonts w:eastAsia="Times New Roman"/>
          <w:lang w:eastAsia="en-AU"/>
        </w:rPr>
        <w:t>. https://doi.org/10.1596/978-0-8213-9469-4</w:t>
      </w:r>
    </w:p>
    <w:p w14:paraId="781F49A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Mahoney, J. S. (2009). Evidence-based practice and research </w:t>
      </w:r>
      <w:r w:rsidR="00972B56" w:rsidRPr="00E16853">
        <w:rPr>
          <w:rFonts w:eastAsia="Times New Roman"/>
          <w:lang w:eastAsia="en-AU"/>
        </w:rPr>
        <w:t>scholar’s</w:t>
      </w:r>
      <w:r w:rsidRPr="00E16853">
        <w:rPr>
          <w:rFonts w:eastAsia="Times New Roman"/>
          <w:lang w:eastAsia="en-AU"/>
        </w:rPr>
        <w:t xml:space="preserve"> programs: Supporting excellence in psychiatric nursing. </w:t>
      </w:r>
      <w:r w:rsidRPr="00E16853">
        <w:rPr>
          <w:rFonts w:eastAsia="Times New Roman"/>
          <w:i/>
          <w:iCs/>
          <w:lang w:eastAsia="en-AU"/>
        </w:rPr>
        <w:t>Bulletin of the Menninger Clinic</w:t>
      </w:r>
      <w:r w:rsidRPr="00E16853">
        <w:rPr>
          <w:rFonts w:eastAsia="Times New Roman"/>
          <w:lang w:eastAsia="en-AU"/>
        </w:rPr>
        <w:t xml:space="preserve">, </w:t>
      </w:r>
      <w:r w:rsidRPr="00E16853">
        <w:rPr>
          <w:rFonts w:eastAsia="Times New Roman"/>
          <w:i/>
          <w:iCs/>
          <w:lang w:eastAsia="en-AU"/>
        </w:rPr>
        <w:t>73</w:t>
      </w:r>
      <w:r w:rsidRPr="00E16853">
        <w:rPr>
          <w:rFonts w:eastAsia="Times New Roman"/>
          <w:lang w:eastAsia="en-AU"/>
        </w:rPr>
        <w:t>(4). https://doi.org/10.1521/bumc.2009.73.4.355</w:t>
      </w:r>
    </w:p>
    <w:p w14:paraId="635A486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Mancini, M. A., &amp; Miner, C. S. (2013). Learning and change in a community mental health setting. </w:t>
      </w:r>
      <w:r w:rsidRPr="00E16853">
        <w:rPr>
          <w:rFonts w:eastAsia="Times New Roman"/>
          <w:i/>
          <w:iCs/>
          <w:lang w:eastAsia="en-AU"/>
        </w:rPr>
        <w:t>Journal of Evidence-Based Social Work</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(5), 494–504. https://doi.org/10.1080/15433714.2012.760944</w:t>
      </w:r>
    </w:p>
    <w:p w14:paraId="1997F66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McDermott, R. J., &amp; Glover, E. D. (2010). Formation and early history of the American Academy of Health </w:t>
      </w:r>
      <w:proofErr w:type="spellStart"/>
      <w:r w:rsidRPr="00E16853">
        <w:rPr>
          <w:rFonts w:eastAsia="Times New Roman"/>
          <w:lang w:eastAsia="en-AU"/>
        </w:rPr>
        <w:t>Behavior</w:t>
      </w:r>
      <w:proofErr w:type="spellEnd"/>
      <w:r w:rsidRPr="00E16853">
        <w:rPr>
          <w:rFonts w:eastAsia="Times New Roman"/>
          <w:lang w:eastAsia="en-AU"/>
        </w:rPr>
        <w:t xml:space="preserve">. </w:t>
      </w:r>
      <w:r w:rsidRPr="00E16853">
        <w:rPr>
          <w:rFonts w:eastAsia="Times New Roman"/>
          <w:i/>
          <w:iCs/>
          <w:lang w:eastAsia="en-AU"/>
        </w:rPr>
        <w:t xml:space="preserve">Am J Health </w:t>
      </w:r>
      <w:proofErr w:type="spellStart"/>
      <w:r w:rsidRPr="00E16853">
        <w:rPr>
          <w:rFonts w:eastAsia="Times New Roman"/>
          <w:i/>
          <w:iCs/>
          <w:lang w:eastAsia="en-AU"/>
        </w:rPr>
        <w:t>Behav</w:t>
      </w:r>
      <w:proofErr w:type="spellEnd"/>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(5), 563–572. https://doi.org/10.5555/ajhb.2010.34.5.563 [</w:t>
      </w:r>
      <w:proofErr w:type="spellStart"/>
      <w:r w:rsidRPr="00E16853">
        <w:rPr>
          <w:rFonts w:eastAsia="Times New Roman"/>
          <w:lang w:eastAsia="en-AU"/>
        </w:rPr>
        <w:t>pii</w:t>
      </w:r>
      <w:proofErr w:type="spellEnd"/>
      <w:r w:rsidRPr="00E16853">
        <w:rPr>
          <w:rFonts w:eastAsia="Times New Roman"/>
          <w:lang w:eastAsia="en-AU"/>
        </w:rPr>
        <w:t>]</w:t>
      </w:r>
    </w:p>
    <w:p w14:paraId="75D396B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Mcewen</w:t>
      </w:r>
      <w:proofErr w:type="spellEnd"/>
      <w:r w:rsidRPr="00E16853">
        <w:rPr>
          <w:rFonts w:eastAsia="Times New Roman"/>
          <w:lang w:eastAsia="en-AU"/>
        </w:rPr>
        <w:t xml:space="preserve">, J., </w:t>
      </w:r>
      <w:proofErr w:type="spellStart"/>
      <w:r w:rsidRPr="00E16853">
        <w:rPr>
          <w:rFonts w:eastAsia="Times New Roman"/>
          <w:lang w:eastAsia="en-AU"/>
        </w:rPr>
        <w:t>Crawshaw</w:t>
      </w:r>
      <w:proofErr w:type="spellEnd"/>
      <w:r w:rsidRPr="00E16853">
        <w:rPr>
          <w:rFonts w:eastAsia="Times New Roman"/>
          <w:lang w:eastAsia="en-AU"/>
        </w:rPr>
        <w:t xml:space="preserve">, M., </w:t>
      </w:r>
      <w:proofErr w:type="spellStart"/>
      <w:r w:rsidRPr="00E16853">
        <w:rPr>
          <w:rFonts w:eastAsia="Times New Roman"/>
          <w:lang w:eastAsia="en-AU"/>
        </w:rPr>
        <w:t>Liversedge</w:t>
      </w:r>
      <w:proofErr w:type="spellEnd"/>
      <w:r w:rsidRPr="00E16853">
        <w:rPr>
          <w:rFonts w:eastAsia="Times New Roman"/>
          <w:lang w:eastAsia="en-AU"/>
        </w:rPr>
        <w:t xml:space="preserve">, A., &amp; Bradley, G. (2008). Promoting change through research and evidence-informed practice: </w:t>
      </w:r>
      <w:r w:rsidR="00972B56" w:rsidRPr="00E16853">
        <w:rPr>
          <w:rFonts w:eastAsia="Times New Roman"/>
          <w:lang w:eastAsia="en-AU"/>
        </w:rPr>
        <w:t>A</w:t>
      </w:r>
      <w:r w:rsidRPr="00E16853">
        <w:rPr>
          <w:rFonts w:eastAsia="Times New Roman"/>
          <w:lang w:eastAsia="en-AU"/>
        </w:rPr>
        <w:t xml:space="preserve"> Knowledge Transfer Partnership project between a university and a local authority, </w:t>
      </w:r>
      <w:r w:rsidRPr="00E16853">
        <w:rPr>
          <w:rFonts w:eastAsia="Times New Roman"/>
          <w:i/>
          <w:iCs/>
          <w:lang w:eastAsia="en-AU"/>
        </w:rPr>
        <w:t>4</w:t>
      </w:r>
      <w:r w:rsidRPr="00E16853">
        <w:rPr>
          <w:rFonts w:eastAsia="Times New Roman"/>
          <w:lang w:eastAsia="en-AU"/>
        </w:rPr>
        <w:t>(4), 391–404.</w:t>
      </w:r>
    </w:p>
    <w:p w14:paraId="514AD70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McGagh</w:t>
      </w:r>
      <w:proofErr w:type="spellEnd"/>
      <w:r w:rsidRPr="00E16853">
        <w:rPr>
          <w:rFonts w:eastAsia="Times New Roman"/>
          <w:lang w:eastAsia="en-AU"/>
        </w:rPr>
        <w:t xml:space="preserve">, J., Marsh, H., Western, M., Thomas, P., Hastings, A., </w:t>
      </w:r>
      <w:proofErr w:type="spellStart"/>
      <w:r w:rsidRPr="00E16853">
        <w:rPr>
          <w:rFonts w:eastAsia="Times New Roman"/>
          <w:lang w:eastAsia="en-AU"/>
        </w:rPr>
        <w:t>Mihailova</w:t>
      </w:r>
      <w:proofErr w:type="spellEnd"/>
      <w:r w:rsidRPr="00E16853">
        <w:rPr>
          <w:rFonts w:eastAsia="Times New Roman"/>
          <w:lang w:eastAsia="en-AU"/>
        </w:rPr>
        <w:t xml:space="preserve">, M., &amp; Wenham, M. (2016). </w:t>
      </w:r>
      <w:r w:rsidRPr="00E16853">
        <w:rPr>
          <w:rFonts w:eastAsia="Times New Roman"/>
          <w:i/>
          <w:iCs/>
          <w:lang w:eastAsia="en-AU"/>
        </w:rPr>
        <w:t>Review of Australia’s Research Training System</w:t>
      </w:r>
      <w:r w:rsidRPr="00E16853">
        <w:rPr>
          <w:rFonts w:eastAsia="Times New Roman"/>
          <w:lang w:eastAsia="en-AU"/>
        </w:rPr>
        <w:t>.</w:t>
      </w:r>
    </w:p>
    <w:p w14:paraId="3F27356D"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McGlynn</w:t>
      </w:r>
      <w:proofErr w:type="spellEnd"/>
      <w:r w:rsidRPr="00E16853">
        <w:rPr>
          <w:rFonts w:eastAsia="Times New Roman"/>
          <w:lang w:eastAsia="en-AU"/>
        </w:rPr>
        <w:t xml:space="preserve">, E. (2003). An Evidence-Based National Quality Measurement and Reporting System. </w:t>
      </w:r>
      <w:r w:rsidRPr="00E16853">
        <w:rPr>
          <w:rFonts w:eastAsia="Times New Roman"/>
          <w:i/>
          <w:iCs/>
          <w:lang w:eastAsia="en-AU"/>
        </w:rPr>
        <w:t>Medical Care</w:t>
      </w:r>
      <w:r w:rsidRPr="00E16853">
        <w:rPr>
          <w:rFonts w:eastAsia="Times New Roman"/>
          <w:lang w:eastAsia="en-AU"/>
        </w:rPr>
        <w:t xml:space="preserve">, </w:t>
      </w:r>
      <w:r w:rsidRPr="00E16853">
        <w:rPr>
          <w:rFonts w:eastAsia="Times New Roman"/>
          <w:i/>
          <w:iCs/>
          <w:lang w:eastAsia="en-AU"/>
        </w:rPr>
        <w:t>41</w:t>
      </w:r>
      <w:r w:rsidRPr="00E16853">
        <w:rPr>
          <w:rFonts w:eastAsia="Times New Roman"/>
          <w:lang w:eastAsia="en-AU"/>
        </w:rPr>
        <w:t>(1), 1–12.</w:t>
      </w:r>
    </w:p>
    <w:p w14:paraId="5E397E4C"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Mcnaney</w:t>
      </w:r>
      <w:proofErr w:type="spellEnd"/>
      <w:r w:rsidRPr="00E16853">
        <w:rPr>
          <w:rFonts w:eastAsia="Times New Roman"/>
          <w:lang w:eastAsia="en-AU"/>
        </w:rPr>
        <w:t xml:space="preserve">, N., Care, I., &amp; Kingdom, U. (2013). The Advancing Quality Alliance integrated care discovery community – using a structured and systematic approach to change management at scale and pace through an evidence based Integration Framework Tool of key enablers for system level integration </w:t>
      </w:r>
      <w:proofErr w:type="spellStart"/>
      <w:r w:rsidRPr="00E16853">
        <w:rPr>
          <w:rFonts w:eastAsia="Times New Roman"/>
          <w:lang w:eastAsia="en-AU"/>
        </w:rPr>
        <w:t>Copyri</w:t>
      </w:r>
      <w:proofErr w:type="spellEnd"/>
      <w:r w:rsidRPr="00E16853">
        <w:rPr>
          <w:rFonts w:eastAsia="Times New Roman"/>
          <w:lang w:eastAsia="en-AU"/>
        </w:rPr>
        <w:t xml:space="preserve">. </w:t>
      </w:r>
      <w:r w:rsidRPr="00E16853">
        <w:rPr>
          <w:rFonts w:eastAsia="Times New Roman"/>
          <w:i/>
          <w:iCs/>
          <w:lang w:eastAsia="en-AU"/>
        </w:rPr>
        <w:t>International Journal of Integrated Care</w:t>
      </w:r>
      <w:r w:rsidRPr="00E16853">
        <w:rPr>
          <w:rFonts w:eastAsia="Times New Roman"/>
          <w:lang w:eastAsia="en-AU"/>
        </w:rPr>
        <w:t xml:space="preserve">, </w:t>
      </w:r>
      <w:r w:rsidRPr="00E16853">
        <w:rPr>
          <w:rFonts w:eastAsia="Times New Roman"/>
          <w:i/>
          <w:iCs/>
          <w:lang w:eastAsia="en-AU"/>
        </w:rPr>
        <w:t>13</w:t>
      </w:r>
      <w:r w:rsidRPr="00E16853">
        <w:rPr>
          <w:rFonts w:eastAsia="Times New Roman"/>
          <w:lang w:eastAsia="en-AU"/>
        </w:rPr>
        <w:t>(December).</w:t>
      </w:r>
    </w:p>
    <w:p w14:paraId="5EAF126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Means, S. N., </w:t>
      </w:r>
      <w:proofErr w:type="spellStart"/>
      <w:r w:rsidRPr="00E16853">
        <w:rPr>
          <w:rFonts w:eastAsia="Times New Roman"/>
          <w:lang w:eastAsia="en-AU"/>
        </w:rPr>
        <w:t>Magura</w:t>
      </w:r>
      <w:proofErr w:type="spellEnd"/>
      <w:r w:rsidRPr="00E16853">
        <w:rPr>
          <w:rFonts w:eastAsia="Times New Roman"/>
          <w:lang w:eastAsia="en-AU"/>
        </w:rPr>
        <w:t xml:space="preserve">, S., </w:t>
      </w:r>
      <w:proofErr w:type="spellStart"/>
      <w:r w:rsidRPr="00E16853">
        <w:rPr>
          <w:rFonts w:eastAsia="Times New Roman"/>
          <w:lang w:eastAsia="en-AU"/>
        </w:rPr>
        <w:t>Burkhardt</w:t>
      </w:r>
      <w:proofErr w:type="spellEnd"/>
      <w:r w:rsidRPr="00E16853">
        <w:rPr>
          <w:rFonts w:eastAsia="Times New Roman"/>
          <w:lang w:eastAsia="en-AU"/>
        </w:rPr>
        <w:t xml:space="preserve">, J. T., </w:t>
      </w:r>
      <w:proofErr w:type="spellStart"/>
      <w:r w:rsidRPr="00E16853">
        <w:rPr>
          <w:rFonts w:eastAsia="Times New Roman"/>
          <w:lang w:eastAsia="en-AU"/>
        </w:rPr>
        <w:t>Schröter</w:t>
      </w:r>
      <w:proofErr w:type="spellEnd"/>
      <w:r w:rsidRPr="00E16853">
        <w:rPr>
          <w:rFonts w:eastAsia="Times New Roman"/>
          <w:lang w:eastAsia="en-AU"/>
        </w:rPr>
        <w:t xml:space="preserve">, D. C., &amp; </w:t>
      </w:r>
      <w:proofErr w:type="spellStart"/>
      <w:r w:rsidRPr="00E16853">
        <w:rPr>
          <w:rFonts w:eastAsia="Times New Roman"/>
          <w:lang w:eastAsia="en-AU"/>
        </w:rPr>
        <w:t>Coryn</w:t>
      </w:r>
      <w:proofErr w:type="spellEnd"/>
      <w:r w:rsidRPr="00E16853">
        <w:rPr>
          <w:rFonts w:eastAsia="Times New Roman"/>
          <w:lang w:eastAsia="en-AU"/>
        </w:rPr>
        <w:t xml:space="preserve">, C. L. S. (2015). Comparing rating paradigms for evidence-based program registers in </w:t>
      </w:r>
      <w:proofErr w:type="spellStart"/>
      <w:r w:rsidRPr="00E16853">
        <w:rPr>
          <w:rFonts w:eastAsia="Times New Roman"/>
          <w:lang w:eastAsia="en-AU"/>
        </w:rPr>
        <w:t>behavioral</w:t>
      </w:r>
      <w:proofErr w:type="spellEnd"/>
      <w:r w:rsidRPr="00E16853">
        <w:rPr>
          <w:rFonts w:eastAsia="Times New Roman"/>
          <w:lang w:eastAsia="en-AU"/>
        </w:rPr>
        <w:t xml:space="preserve"> health: Evidentiary criteria and implications for assessing programs. </w:t>
      </w:r>
      <w:r w:rsidRPr="00E16853">
        <w:rPr>
          <w:rFonts w:eastAsia="Times New Roman"/>
          <w:i/>
          <w:iCs/>
          <w:lang w:eastAsia="en-AU"/>
        </w:rPr>
        <w:t>Evaluation and Program Planning</w:t>
      </w:r>
      <w:r w:rsidRPr="00E16853">
        <w:rPr>
          <w:rFonts w:eastAsia="Times New Roman"/>
          <w:lang w:eastAsia="en-AU"/>
        </w:rPr>
        <w:t xml:space="preserve">, </w:t>
      </w:r>
      <w:r w:rsidRPr="00E16853">
        <w:rPr>
          <w:rFonts w:eastAsia="Times New Roman"/>
          <w:i/>
          <w:iCs/>
          <w:lang w:eastAsia="en-AU"/>
        </w:rPr>
        <w:t>48</w:t>
      </w:r>
      <w:r w:rsidRPr="00E16853">
        <w:rPr>
          <w:rFonts w:eastAsia="Times New Roman"/>
          <w:lang w:eastAsia="en-AU"/>
        </w:rPr>
        <w:t>, 100–116. https://doi.org/10.1016/j.evalprogplan.2014.09.007</w:t>
      </w:r>
    </w:p>
    <w:p w14:paraId="7D630A95" w14:textId="77777777" w:rsidR="0093470E" w:rsidRPr="00E16853" w:rsidRDefault="0093470E" w:rsidP="0093470E">
      <w:pPr>
        <w:spacing w:before="100" w:beforeAutospacing="1" w:after="100" w:afterAutospacing="1"/>
        <w:ind w:left="480" w:hanging="480"/>
        <w:rPr>
          <w:rFonts w:eastAsia="Times New Roman"/>
          <w:lang w:eastAsia="en-AU"/>
        </w:rPr>
      </w:pPr>
      <w:r w:rsidRPr="00001EEB">
        <w:rPr>
          <w:rFonts w:eastAsia="Times New Roman"/>
          <w:lang w:eastAsia="en-AU"/>
        </w:rPr>
        <w:t xml:space="preserve">Moyer, V., &amp; </w:t>
      </w:r>
      <w:proofErr w:type="spellStart"/>
      <w:r w:rsidRPr="00001EEB">
        <w:rPr>
          <w:rFonts w:eastAsia="Times New Roman"/>
          <w:lang w:eastAsia="en-AU"/>
        </w:rPr>
        <w:t>Bibbins-domingo</w:t>
      </w:r>
      <w:proofErr w:type="spellEnd"/>
      <w:r w:rsidRPr="00001EEB">
        <w:rPr>
          <w:rFonts w:eastAsia="Times New Roman"/>
          <w:lang w:eastAsia="en-AU"/>
        </w:rPr>
        <w:t xml:space="preserve">, K. (2015). </w:t>
      </w:r>
      <w:r w:rsidRPr="00E16853">
        <w:rPr>
          <w:rFonts w:eastAsia="Times New Roman"/>
          <w:lang w:eastAsia="en-AU"/>
        </w:rPr>
        <w:t xml:space="preserve">The US Preventive Services Task </w:t>
      </w:r>
      <w:r w:rsidR="00972B56" w:rsidRPr="00E16853">
        <w:rPr>
          <w:rFonts w:eastAsia="Times New Roman"/>
          <w:lang w:eastAsia="en-AU"/>
        </w:rPr>
        <w:t>Force:</w:t>
      </w:r>
      <w:r w:rsidRPr="00E16853">
        <w:rPr>
          <w:rFonts w:eastAsia="Times New Roman"/>
          <w:lang w:eastAsia="en-AU"/>
        </w:rPr>
        <w:t xml:space="preserve"> What Is It and What Does It </w:t>
      </w:r>
      <w:r w:rsidR="00972B56" w:rsidRPr="00E16853">
        <w:rPr>
          <w:rFonts w:eastAsia="Times New Roman"/>
          <w:lang w:eastAsia="en-AU"/>
        </w:rPr>
        <w:t>Do?</w:t>
      </w:r>
      <w:r w:rsidRPr="00E16853">
        <w:rPr>
          <w:rFonts w:eastAsia="Times New Roman"/>
          <w:lang w:eastAsia="en-AU"/>
        </w:rPr>
        <w:t xml:space="preserve"> </w:t>
      </w:r>
      <w:r w:rsidRPr="00E16853">
        <w:rPr>
          <w:rFonts w:eastAsia="Times New Roman"/>
          <w:i/>
          <w:iCs/>
          <w:lang w:eastAsia="en-AU"/>
        </w:rPr>
        <w:t>76</w:t>
      </w:r>
      <w:r w:rsidRPr="00E16853">
        <w:rPr>
          <w:rFonts w:eastAsia="Times New Roman"/>
          <w:lang w:eastAsia="en-AU"/>
        </w:rPr>
        <w:t>(4), 238–242.</w:t>
      </w:r>
    </w:p>
    <w:p w14:paraId="5B99E34C"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Mulroy</w:t>
      </w:r>
      <w:proofErr w:type="spellEnd"/>
      <w:r w:rsidRPr="00E16853">
        <w:rPr>
          <w:rFonts w:eastAsia="Times New Roman"/>
          <w:lang w:eastAsia="en-AU"/>
        </w:rPr>
        <w:t xml:space="preserve">, E. (2008). University community partnerships that promote evidence-based macro practice. </w:t>
      </w:r>
      <w:r w:rsidRPr="00E16853">
        <w:rPr>
          <w:rFonts w:eastAsia="Times New Roman"/>
          <w:i/>
          <w:iCs/>
          <w:lang w:eastAsia="en-AU"/>
        </w:rPr>
        <w:t>Journal of Evidence-Based Social Work</w:t>
      </w:r>
      <w:r w:rsidRPr="00E16853">
        <w:rPr>
          <w:rFonts w:eastAsia="Times New Roman"/>
          <w:lang w:eastAsia="en-AU"/>
        </w:rPr>
        <w:t xml:space="preserve">, </w:t>
      </w:r>
      <w:r w:rsidRPr="00E16853">
        <w:rPr>
          <w:rFonts w:eastAsia="Times New Roman"/>
          <w:i/>
          <w:iCs/>
          <w:lang w:eastAsia="en-AU"/>
        </w:rPr>
        <w:t>5</w:t>
      </w:r>
      <w:r w:rsidRPr="00E16853">
        <w:rPr>
          <w:rFonts w:eastAsia="Times New Roman"/>
          <w:lang w:eastAsia="en-AU"/>
        </w:rPr>
        <w:t>(3–4), 497–517. https://doi.org/10.1080/15433710802084243</w:t>
      </w:r>
    </w:p>
    <w:p w14:paraId="39B1CD7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Nair, C. S., Wayland, C., &amp; </w:t>
      </w:r>
      <w:proofErr w:type="spellStart"/>
      <w:r w:rsidRPr="00E16853">
        <w:rPr>
          <w:rFonts w:eastAsia="Times New Roman"/>
          <w:lang w:eastAsia="en-AU"/>
        </w:rPr>
        <w:t>Mertova</w:t>
      </w:r>
      <w:proofErr w:type="spellEnd"/>
      <w:r w:rsidRPr="00E16853">
        <w:rPr>
          <w:rFonts w:eastAsia="Times New Roman"/>
          <w:lang w:eastAsia="en-AU"/>
        </w:rPr>
        <w:t xml:space="preserve">, P. (2009). A strategic central approach to data collection and integration: A case of a research-intensive university. </w:t>
      </w:r>
      <w:r w:rsidRPr="00E16853">
        <w:rPr>
          <w:rFonts w:eastAsia="Times New Roman"/>
          <w:i/>
          <w:iCs/>
          <w:lang w:eastAsia="en-AU"/>
        </w:rPr>
        <w:t>Journal of Institutional Research</w:t>
      </w:r>
      <w:r w:rsidRPr="00E16853">
        <w:rPr>
          <w:rFonts w:eastAsia="Times New Roman"/>
          <w:lang w:eastAsia="en-AU"/>
        </w:rPr>
        <w:t xml:space="preserve">, </w:t>
      </w:r>
      <w:r w:rsidRPr="00E16853">
        <w:rPr>
          <w:rFonts w:eastAsia="Times New Roman"/>
          <w:i/>
          <w:iCs/>
          <w:lang w:eastAsia="en-AU"/>
        </w:rPr>
        <w:t>15</w:t>
      </w:r>
      <w:r w:rsidRPr="00E16853">
        <w:rPr>
          <w:rFonts w:eastAsia="Times New Roman"/>
          <w:lang w:eastAsia="en-AU"/>
        </w:rPr>
        <w:t>(1), 1–8.</w:t>
      </w:r>
    </w:p>
    <w:p w14:paraId="75248640"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National Comprehensive </w:t>
      </w:r>
      <w:proofErr w:type="spellStart"/>
      <w:r w:rsidRPr="00E16853">
        <w:rPr>
          <w:rFonts w:eastAsia="Times New Roman"/>
          <w:lang w:eastAsia="en-AU"/>
        </w:rPr>
        <w:t>Center</w:t>
      </w:r>
      <w:proofErr w:type="spellEnd"/>
      <w:r w:rsidRPr="00E16853">
        <w:rPr>
          <w:rFonts w:eastAsia="Times New Roman"/>
          <w:lang w:eastAsia="en-AU"/>
        </w:rPr>
        <w:t xml:space="preserve"> for Teacher, Q. (2011). Innovation Configurations: Guidelines for Use in Institutions of Higher Education and Professional Development Evaluation. Retrieved from https://login.proxy.libraries.rutgers.edu/login?url=http://search.ebscohost.com/login.aspx?direct=true&amp;db=eric&amp;AN=ED543551&amp;site=ehost-live</w:t>
      </w:r>
    </w:p>
    <w:p w14:paraId="153F49A7"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Ness, E., &amp; Reeves, D. (2007). Developing electronic case report forms while establishing standards. </w:t>
      </w:r>
      <w:r w:rsidRPr="00E16853">
        <w:rPr>
          <w:rFonts w:eastAsia="Times New Roman"/>
          <w:i/>
          <w:iCs/>
          <w:lang w:eastAsia="en-AU"/>
        </w:rPr>
        <w:t>Oncology Nursing Forum</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(2).</w:t>
      </w:r>
    </w:p>
    <w:p w14:paraId="37F93DA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Ogden, T., &amp; </w:t>
      </w:r>
      <w:proofErr w:type="spellStart"/>
      <w:r w:rsidRPr="00E16853">
        <w:rPr>
          <w:rFonts w:eastAsia="Times New Roman"/>
          <w:lang w:eastAsia="en-AU"/>
        </w:rPr>
        <w:t>Teigen</w:t>
      </w:r>
      <w:proofErr w:type="spellEnd"/>
      <w:r w:rsidRPr="00E16853">
        <w:rPr>
          <w:rFonts w:eastAsia="Times New Roman"/>
          <w:lang w:eastAsia="en-AU"/>
        </w:rPr>
        <w:t xml:space="preserve">, K. S. (2010). Linking research, policy and practice in welfare services and education in </w:t>
      </w:r>
      <w:proofErr w:type="spellStart"/>
      <w:r w:rsidRPr="00E16853">
        <w:rPr>
          <w:rFonts w:eastAsia="Times New Roman"/>
          <w:lang w:eastAsia="en-AU"/>
        </w:rPr>
        <w:t>norway</w:t>
      </w:r>
      <w:proofErr w:type="spellEnd"/>
      <w:r w:rsidRPr="00E16853">
        <w:rPr>
          <w:rFonts w:eastAsia="Times New Roman"/>
          <w:lang w:eastAsia="en-AU"/>
        </w:rPr>
        <w:t xml:space="preserve">. </w:t>
      </w:r>
      <w:r w:rsidRPr="00E16853">
        <w:rPr>
          <w:rFonts w:eastAsia="Times New Roman"/>
          <w:i/>
          <w:iCs/>
          <w:lang w:eastAsia="en-AU"/>
        </w:rPr>
        <w:t>Policy</w:t>
      </w:r>
      <w:r w:rsidRPr="00E16853">
        <w:rPr>
          <w:rFonts w:eastAsia="Times New Roman"/>
          <w:lang w:eastAsia="en-AU"/>
        </w:rPr>
        <w:t xml:space="preserve">, </w:t>
      </w:r>
      <w:r w:rsidRPr="00E16853">
        <w:rPr>
          <w:rFonts w:eastAsia="Times New Roman"/>
          <w:i/>
          <w:iCs/>
          <w:lang w:eastAsia="en-AU"/>
        </w:rPr>
        <w:t>6</w:t>
      </w:r>
      <w:r w:rsidRPr="00E16853">
        <w:rPr>
          <w:rFonts w:eastAsia="Times New Roman"/>
          <w:lang w:eastAsia="en-AU"/>
        </w:rPr>
        <w:t>(2), 161–178.</w:t>
      </w:r>
    </w:p>
    <w:p w14:paraId="6FBEC2B2"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lastRenderedPageBreak/>
        <w:t>Palinkas</w:t>
      </w:r>
      <w:proofErr w:type="spellEnd"/>
      <w:r w:rsidRPr="00E16853">
        <w:rPr>
          <w:rFonts w:eastAsia="Times New Roman"/>
          <w:lang w:eastAsia="en-AU"/>
        </w:rPr>
        <w:t xml:space="preserve">, L. A., Holloway, I. W., Rice, E., Brown, C. H., Valente, T. W., &amp; Chamberlain, P. (2013). Influence network linkages across implementation strategy conditions in a randomized controlled trial of two strategies for scaling up evidence-based practices in public youth-serving systems. </w:t>
      </w:r>
      <w:r w:rsidRPr="00E16853">
        <w:rPr>
          <w:rFonts w:eastAsia="Times New Roman"/>
          <w:i/>
          <w:iCs/>
          <w:lang w:eastAsia="en-AU"/>
        </w:rPr>
        <w:t>Implementation Science</w:t>
      </w:r>
      <w:r w:rsidRPr="00E16853">
        <w:rPr>
          <w:rFonts w:eastAsia="Times New Roman"/>
          <w:lang w:eastAsia="en-AU"/>
        </w:rPr>
        <w:t xml:space="preserve">, </w:t>
      </w:r>
      <w:r w:rsidRPr="00E16853">
        <w:rPr>
          <w:rFonts w:eastAsia="Times New Roman"/>
          <w:i/>
          <w:iCs/>
          <w:lang w:eastAsia="en-AU"/>
        </w:rPr>
        <w:t>8</w:t>
      </w:r>
      <w:r w:rsidRPr="00E16853">
        <w:rPr>
          <w:rFonts w:eastAsia="Times New Roman"/>
          <w:lang w:eastAsia="en-AU"/>
        </w:rPr>
        <w:t>(1). https://doi.org/10.1186/1748-5908-8-133</w:t>
      </w:r>
    </w:p>
    <w:p w14:paraId="04402C1E"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Parnham</w:t>
      </w:r>
      <w:proofErr w:type="spellEnd"/>
      <w:r w:rsidRPr="00E16853">
        <w:rPr>
          <w:rFonts w:eastAsia="Times New Roman"/>
          <w:lang w:eastAsia="en-AU"/>
        </w:rPr>
        <w:t xml:space="preserve">, J. (2008). Chronic conditions guidelines: an introduction. </w:t>
      </w:r>
      <w:r w:rsidRPr="00E16853">
        <w:rPr>
          <w:rFonts w:eastAsia="Times New Roman"/>
          <w:i/>
          <w:iCs/>
          <w:lang w:eastAsia="en-AU"/>
        </w:rPr>
        <w:t>Primary Health Care</w:t>
      </w:r>
      <w:r w:rsidRPr="00E16853">
        <w:rPr>
          <w:rFonts w:eastAsia="Times New Roman"/>
          <w:lang w:eastAsia="en-AU"/>
        </w:rPr>
        <w:t xml:space="preserve">, </w:t>
      </w:r>
      <w:r w:rsidRPr="00E16853">
        <w:rPr>
          <w:rFonts w:eastAsia="Times New Roman"/>
          <w:i/>
          <w:iCs/>
          <w:lang w:eastAsia="en-AU"/>
        </w:rPr>
        <w:t>18</w:t>
      </w:r>
      <w:r w:rsidRPr="00E16853">
        <w:rPr>
          <w:rFonts w:eastAsia="Times New Roman"/>
          <w:lang w:eastAsia="en-AU"/>
        </w:rPr>
        <w:t>(1), 31–34 4p. Retrieved from http://search.ebscohost.com/login.aspx?direct=true&amp;db=c8h&amp;AN=105888877&amp;amp%5Cnlang=ja&amp;site=ehost-live</w:t>
      </w:r>
    </w:p>
    <w:p w14:paraId="2CE91B58"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Peterson, M., Harris, L., &amp; </w:t>
      </w:r>
      <w:proofErr w:type="spellStart"/>
      <w:r w:rsidRPr="00E16853">
        <w:rPr>
          <w:rFonts w:eastAsia="Times New Roman"/>
          <w:lang w:eastAsia="en-AU"/>
        </w:rPr>
        <w:t>Siemensma</w:t>
      </w:r>
      <w:proofErr w:type="spellEnd"/>
      <w:r w:rsidRPr="00E16853">
        <w:rPr>
          <w:rFonts w:eastAsia="Times New Roman"/>
          <w:lang w:eastAsia="en-AU"/>
        </w:rPr>
        <w:t xml:space="preserve">, G. (2015). The Clinical and Economic Value of Health Libraries in Patient Care. </w:t>
      </w:r>
      <w:r w:rsidRPr="00E16853">
        <w:rPr>
          <w:rFonts w:eastAsia="Times New Roman"/>
          <w:i/>
          <w:iCs/>
          <w:lang w:eastAsia="en-AU"/>
        </w:rPr>
        <w:t>Asia Pacific Journal of Health Management</w:t>
      </w:r>
      <w:r w:rsidRPr="00E16853">
        <w:rPr>
          <w:rFonts w:eastAsia="Times New Roman"/>
          <w:lang w:eastAsia="en-AU"/>
        </w:rPr>
        <w:t xml:space="preserve">, </w:t>
      </w:r>
      <w:r w:rsidRPr="00E16853">
        <w:rPr>
          <w:rFonts w:eastAsia="Times New Roman"/>
          <w:i/>
          <w:iCs/>
          <w:lang w:eastAsia="en-AU"/>
        </w:rPr>
        <w:t>10</w:t>
      </w:r>
      <w:r w:rsidRPr="00E16853">
        <w:rPr>
          <w:rFonts w:eastAsia="Times New Roman"/>
          <w:lang w:eastAsia="en-AU"/>
        </w:rPr>
        <w:t>(2), 65–67. Retrieved from http://www.redi-bw.de/db/ebsco.php/search.ebscohost.com/login.aspx%3Fdirect%3Dtrue%26db%3Dbuh%26AN%3D109950824%26site%3Dehost-live</w:t>
      </w:r>
    </w:p>
    <w:p w14:paraId="05CACB6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Pierce, C. (2011). Establishing a methodology for development and dissemination of nursing evidence-based practice to promote quality care. </w:t>
      </w:r>
      <w:r w:rsidRPr="00E16853">
        <w:rPr>
          <w:rFonts w:eastAsia="Times New Roman"/>
          <w:i/>
          <w:iCs/>
          <w:lang w:eastAsia="en-AU"/>
        </w:rPr>
        <w:t>The Army Medical Department Journal</w:t>
      </w:r>
      <w:r w:rsidRPr="00E16853">
        <w:rPr>
          <w:rFonts w:eastAsia="Times New Roman"/>
          <w:lang w:eastAsia="en-AU"/>
        </w:rPr>
        <w:t>, 41–44.</w:t>
      </w:r>
    </w:p>
    <w:p w14:paraId="4FE9C605"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Ravallion</w:t>
      </w:r>
      <w:proofErr w:type="spellEnd"/>
      <w:r w:rsidRPr="00E16853">
        <w:rPr>
          <w:rFonts w:eastAsia="Times New Roman"/>
          <w:lang w:eastAsia="en-AU"/>
        </w:rPr>
        <w:t xml:space="preserve">, M. (2009). Evaluation in the Practice of Development. </w:t>
      </w:r>
      <w:r w:rsidRPr="00E16853">
        <w:rPr>
          <w:rFonts w:eastAsia="Times New Roman"/>
          <w:i/>
          <w:iCs/>
          <w:lang w:eastAsia="en-AU"/>
        </w:rPr>
        <w:t xml:space="preserve">World Bank Res </w:t>
      </w:r>
      <w:proofErr w:type="spellStart"/>
      <w:r w:rsidRPr="00E16853">
        <w:rPr>
          <w:rFonts w:eastAsia="Times New Roman"/>
          <w:i/>
          <w:iCs/>
          <w:lang w:eastAsia="en-AU"/>
        </w:rPr>
        <w:t>Obs</w:t>
      </w:r>
      <w:proofErr w:type="spellEnd"/>
      <w:r w:rsidRPr="00E16853">
        <w:rPr>
          <w:rFonts w:eastAsia="Times New Roman"/>
          <w:lang w:eastAsia="en-AU"/>
        </w:rPr>
        <w:t xml:space="preserve">, </w:t>
      </w:r>
      <w:r w:rsidRPr="00E16853">
        <w:rPr>
          <w:rFonts w:eastAsia="Times New Roman"/>
          <w:i/>
          <w:iCs/>
          <w:lang w:eastAsia="en-AU"/>
        </w:rPr>
        <w:t>24</w:t>
      </w:r>
      <w:r w:rsidRPr="00E16853">
        <w:rPr>
          <w:rFonts w:eastAsia="Times New Roman"/>
          <w:lang w:eastAsia="en-AU"/>
        </w:rPr>
        <w:t>(1), 29–53. https://doi.org/10.1093/wbro/lkp002</w:t>
      </w:r>
    </w:p>
    <w:p w14:paraId="565E8FF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Reimer, B., </w:t>
      </w:r>
      <w:proofErr w:type="spellStart"/>
      <w:r w:rsidRPr="00E16853">
        <w:rPr>
          <w:rFonts w:eastAsia="Times New Roman"/>
          <w:lang w:eastAsia="en-AU"/>
        </w:rPr>
        <w:t>Sawka</w:t>
      </w:r>
      <w:proofErr w:type="spellEnd"/>
      <w:r w:rsidRPr="00E16853">
        <w:rPr>
          <w:rFonts w:eastAsia="Times New Roman"/>
          <w:lang w:eastAsia="en-AU"/>
        </w:rPr>
        <w:t xml:space="preserve">, E., &amp; James, D. (2005). Improving research transfer in the addictions field: A perspective from Canada. </w:t>
      </w:r>
      <w:r w:rsidRPr="00E16853">
        <w:rPr>
          <w:rFonts w:eastAsia="Times New Roman"/>
          <w:i/>
          <w:iCs/>
          <w:lang w:eastAsia="en-AU"/>
        </w:rPr>
        <w:t>Substance Use and Misuse</w:t>
      </w:r>
      <w:r w:rsidRPr="00E16853">
        <w:rPr>
          <w:rFonts w:eastAsia="Times New Roman"/>
          <w:lang w:eastAsia="en-AU"/>
        </w:rPr>
        <w:t xml:space="preserve">, </w:t>
      </w:r>
      <w:r w:rsidRPr="00E16853">
        <w:rPr>
          <w:rFonts w:eastAsia="Times New Roman"/>
          <w:i/>
          <w:iCs/>
          <w:lang w:eastAsia="en-AU"/>
        </w:rPr>
        <w:t>40</w:t>
      </w:r>
      <w:r w:rsidRPr="00E16853">
        <w:rPr>
          <w:rFonts w:eastAsia="Times New Roman"/>
          <w:lang w:eastAsia="en-AU"/>
        </w:rPr>
        <w:t>(11), 1707–1720. https://doi.org/10.1080/10826080500224533</w:t>
      </w:r>
    </w:p>
    <w:p w14:paraId="04C61B5A"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Reimer, B., </w:t>
      </w:r>
      <w:proofErr w:type="spellStart"/>
      <w:r w:rsidRPr="00E16853">
        <w:rPr>
          <w:rFonts w:eastAsia="Times New Roman"/>
          <w:lang w:eastAsia="en-AU"/>
        </w:rPr>
        <w:t>Sawka</w:t>
      </w:r>
      <w:proofErr w:type="spellEnd"/>
      <w:r w:rsidRPr="00E16853">
        <w:rPr>
          <w:rFonts w:eastAsia="Times New Roman"/>
          <w:lang w:eastAsia="en-AU"/>
        </w:rPr>
        <w:t xml:space="preserve">, E., &amp; James, D. (2005). Improving research transfer in the addictions field: A perspective from Canada. </w:t>
      </w:r>
      <w:r w:rsidRPr="00E16853">
        <w:rPr>
          <w:rFonts w:eastAsia="Times New Roman"/>
          <w:i/>
          <w:iCs/>
          <w:lang w:eastAsia="en-AU"/>
        </w:rPr>
        <w:t>Substance Use and Misuse</w:t>
      </w:r>
      <w:r w:rsidRPr="00E16853">
        <w:rPr>
          <w:rFonts w:eastAsia="Times New Roman"/>
          <w:lang w:eastAsia="en-AU"/>
        </w:rPr>
        <w:t xml:space="preserve">, </w:t>
      </w:r>
      <w:r w:rsidRPr="00E16853">
        <w:rPr>
          <w:rFonts w:eastAsia="Times New Roman"/>
          <w:i/>
          <w:iCs/>
          <w:lang w:eastAsia="en-AU"/>
        </w:rPr>
        <w:t>40</w:t>
      </w:r>
      <w:r w:rsidRPr="00E16853">
        <w:rPr>
          <w:rFonts w:eastAsia="Times New Roman"/>
          <w:lang w:eastAsia="en-AU"/>
        </w:rPr>
        <w:t>(11), 1707–1720. https://doi.org/10.1080/10826080500224533</w:t>
      </w:r>
    </w:p>
    <w:p w14:paraId="3F1401A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Review, R. (1998). Building an Evidence- based Approach to Social Interventions `. </w:t>
      </w:r>
      <w:r w:rsidRPr="00E16853">
        <w:rPr>
          <w:rFonts w:eastAsia="Times New Roman"/>
          <w:i/>
          <w:iCs/>
          <w:lang w:eastAsia="en-AU"/>
        </w:rPr>
        <w:t>Children &amp; Society</w:t>
      </w:r>
      <w:r w:rsidRPr="00E16853">
        <w:rPr>
          <w:rFonts w:eastAsia="Times New Roman"/>
          <w:lang w:eastAsia="en-AU"/>
        </w:rPr>
        <w:t xml:space="preserve">, </w:t>
      </w:r>
      <w:r w:rsidRPr="00E16853">
        <w:rPr>
          <w:rFonts w:eastAsia="Times New Roman"/>
          <w:i/>
          <w:iCs/>
          <w:lang w:eastAsia="en-AU"/>
        </w:rPr>
        <w:t>12</w:t>
      </w:r>
      <w:r w:rsidRPr="00E16853">
        <w:rPr>
          <w:rFonts w:eastAsia="Times New Roman"/>
          <w:lang w:eastAsia="en-AU"/>
        </w:rPr>
        <w:t>, 136–140.</w:t>
      </w:r>
    </w:p>
    <w:p w14:paraId="7D8FE86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Rodgers, P. L., </w:t>
      </w:r>
      <w:proofErr w:type="spellStart"/>
      <w:r w:rsidRPr="00E16853">
        <w:rPr>
          <w:rFonts w:eastAsia="Times New Roman"/>
          <w:lang w:eastAsia="en-AU"/>
        </w:rPr>
        <w:t>Sudak</w:t>
      </w:r>
      <w:proofErr w:type="spellEnd"/>
      <w:r w:rsidRPr="00E16853">
        <w:rPr>
          <w:rFonts w:eastAsia="Times New Roman"/>
          <w:lang w:eastAsia="en-AU"/>
        </w:rPr>
        <w:t xml:space="preserve">, H. S., Silverman, M. M., &amp; </w:t>
      </w:r>
      <w:proofErr w:type="spellStart"/>
      <w:r w:rsidRPr="00E16853">
        <w:rPr>
          <w:rFonts w:eastAsia="Times New Roman"/>
          <w:lang w:eastAsia="en-AU"/>
        </w:rPr>
        <w:t>Litts</w:t>
      </w:r>
      <w:proofErr w:type="spellEnd"/>
      <w:r w:rsidRPr="00E16853">
        <w:rPr>
          <w:rFonts w:eastAsia="Times New Roman"/>
          <w:lang w:eastAsia="en-AU"/>
        </w:rPr>
        <w:t xml:space="preserve">, D. a. (2007). Evidence-based practices project for suicide prevention. </w:t>
      </w:r>
      <w:r w:rsidRPr="00E16853">
        <w:rPr>
          <w:rFonts w:eastAsia="Times New Roman"/>
          <w:i/>
          <w:iCs/>
          <w:lang w:eastAsia="en-AU"/>
        </w:rPr>
        <w:t xml:space="preserve">Suicide &amp; Life-Threatening </w:t>
      </w:r>
      <w:proofErr w:type="spellStart"/>
      <w:r w:rsidRPr="00E16853">
        <w:rPr>
          <w:rFonts w:eastAsia="Times New Roman"/>
          <w:i/>
          <w:iCs/>
          <w:lang w:eastAsia="en-AU"/>
        </w:rPr>
        <w:t>Behavior</w:t>
      </w:r>
      <w:proofErr w:type="spellEnd"/>
      <w:r w:rsidRPr="00E16853">
        <w:rPr>
          <w:rFonts w:eastAsia="Times New Roman"/>
          <w:lang w:eastAsia="en-AU"/>
        </w:rPr>
        <w:t xml:space="preserve">, </w:t>
      </w:r>
      <w:r w:rsidRPr="00E16853">
        <w:rPr>
          <w:rFonts w:eastAsia="Times New Roman"/>
          <w:i/>
          <w:iCs/>
          <w:lang w:eastAsia="en-AU"/>
        </w:rPr>
        <w:t>37</w:t>
      </w:r>
      <w:r w:rsidRPr="00E16853">
        <w:rPr>
          <w:rFonts w:eastAsia="Times New Roman"/>
          <w:lang w:eastAsia="en-AU"/>
        </w:rPr>
        <w:t>(2), 154–64. https://doi.org/10.1521/suli.2007.37.2.154</w:t>
      </w:r>
    </w:p>
    <w:p w14:paraId="14D308D1"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Roemer, E. C., </w:t>
      </w:r>
      <w:proofErr w:type="spellStart"/>
      <w:r w:rsidRPr="00E16853">
        <w:rPr>
          <w:rFonts w:eastAsia="Times New Roman"/>
          <w:lang w:eastAsia="en-AU"/>
        </w:rPr>
        <w:t>Liss</w:t>
      </w:r>
      <w:proofErr w:type="spellEnd"/>
      <w:r w:rsidRPr="00E16853">
        <w:rPr>
          <w:rFonts w:eastAsia="Times New Roman"/>
          <w:lang w:eastAsia="en-AU"/>
        </w:rPr>
        <w:t xml:space="preserve">-Levinson, R. C., </w:t>
      </w:r>
      <w:proofErr w:type="spellStart"/>
      <w:r w:rsidRPr="00E16853">
        <w:rPr>
          <w:rFonts w:eastAsia="Times New Roman"/>
          <w:lang w:eastAsia="en-AU"/>
        </w:rPr>
        <w:t>Samoly</w:t>
      </w:r>
      <w:proofErr w:type="spellEnd"/>
      <w:r w:rsidRPr="00E16853">
        <w:rPr>
          <w:rFonts w:eastAsia="Times New Roman"/>
          <w:lang w:eastAsia="en-AU"/>
        </w:rPr>
        <w:t xml:space="preserve">, D. K., Guy, G. P., </w:t>
      </w:r>
      <w:proofErr w:type="spellStart"/>
      <w:r w:rsidRPr="00E16853">
        <w:rPr>
          <w:rFonts w:eastAsia="Times New Roman"/>
          <w:lang w:eastAsia="en-AU"/>
        </w:rPr>
        <w:t>Tabrizi</w:t>
      </w:r>
      <w:proofErr w:type="spellEnd"/>
      <w:r w:rsidRPr="00E16853">
        <w:rPr>
          <w:rFonts w:eastAsia="Times New Roman"/>
          <w:lang w:eastAsia="en-AU"/>
        </w:rPr>
        <w:t xml:space="preserve">, M. J., </w:t>
      </w:r>
      <w:proofErr w:type="spellStart"/>
      <w:r w:rsidRPr="00E16853">
        <w:rPr>
          <w:rFonts w:eastAsia="Times New Roman"/>
          <w:lang w:eastAsia="en-AU"/>
        </w:rPr>
        <w:t>Beckowski</w:t>
      </w:r>
      <w:proofErr w:type="spellEnd"/>
      <w:r w:rsidRPr="00E16853">
        <w:rPr>
          <w:rFonts w:eastAsia="Times New Roman"/>
          <w:lang w:eastAsia="en-AU"/>
        </w:rPr>
        <w:t xml:space="preserve">, M. S., … </w:t>
      </w:r>
      <w:proofErr w:type="spellStart"/>
      <w:r w:rsidRPr="00E16853">
        <w:rPr>
          <w:rFonts w:eastAsia="Times New Roman"/>
          <w:lang w:eastAsia="en-AU"/>
        </w:rPr>
        <w:t>Goetzel</w:t>
      </w:r>
      <w:proofErr w:type="spellEnd"/>
      <w:r w:rsidRPr="00E16853">
        <w:rPr>
          <w:rFonts w:eastAsia="Times New Roman"/>
          <w:lang w:eastAsia="en-AU"/>
        </w:rPr>
        <w:t xml:space="preserve">, R. Z. (2013). A descriptive evaluation of CDC’s LEAN Works! leading employees to activity and nutrition-a web-based employer tool for workplace obesity management. </w:t>
      </w:r>
      <w:r w:rsidRPr="00E16853">
        <w:rPr>
          <w:rFonts w:eastAsia="Times New Roman"/>
          <w:i/>
          <w:iCs/>
          <w:lang w:eastAsia="en-AU"/>
        </w:rPr>
        <w:t>American Journal of Health Promotion</w:t>
      </w:r>
      <w:r w:rsidRPr="00E16853">
        <w:rPr>
          <w:rFonts w:eastAsia="Times New Roman"/>
          <w:lang w:eastAsia="en-AU"/>
        </w:rPr>
        <w:t xml:space="preserve">, </w:t>
      </w:r>
      <w:r w:rsidRPr="00E16853">
        <w:rPr>
          <w:rFonts w:eastAsia="Times New Roman"/>
          <w:i/>
          <w:iCs/>
          <w:lang w:eastAsia="en-AU"/>
        </w:rPr>
        <w:t>27</w:t>
      </w:r>
      <w:r w:rsidRPr="00E16853">
        <w:rPr>
          <w:rFonts w:eastAsia="Times New Roman"/>
          <w:lang w:eastAsia="en-AU"/>
        </w:rPr>
        <w:t>(4), 245–251. https://doi.org/10.4278/ajhp.111003-QUAL-356</w:t>
      </w:r>
    </w:p>
    <w:p w14:paraId="7F05EE4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Russell, A., Hudson, R., Banks, S., Robinson, F., Pain, R., </w:t>
      </w:r>
      <w:proofErr w:type="spellStart"/>
      <w:r w:rsidRPr="00E16853">
        <w:rPr>
          <w:rFonts w:eastAsia="Times New Roman"/>
          <w:lang w:eastAsia="en-AU"/>
        </w:rPr>
        <w:t>Gollan</w:t>
      </w:r>
      <w:proofErr w:type="spellEnd"/>
      <w:r w:rsidRPr="00E16853">
        <w:rPr>
          <w:rFonts w:eastAsia="Times New Roman"/>
          <w:lang w:eastAsia="en-AU"/>
        </w:rPr>
        <w:t xml:space="preserve">, S., &amp; Brown, G. (2011). Community-University Collaborations: The Durham University Model. </w:t>
      </w:r>
      <w:r w:rsidRPr="00E16853">
        <w:rPr>
          <w:rFonts w:eastAsia="Times New Roman"/>
          <w:i/>
          <w:iCs/>
          <w:lang w:eastAsia="en-AU"/>
        </w:rPr>
        <w:t>International Journal of Community Research and Engagement</w:t>
      </w:r>
      <w:r w:rsidRPr="00E16853">
        <w:rPr>
          <w:rFonts w:eastAsia="Times New Roman"/>
          <w:lang w:eastAsia="en-AU"/>
        </w:rPr>
        <w:t xml:space="preserve">, </w:t>
      </w:r>
      <w:r w:rsidRPr="00E16853">
        <w:rPr>
          <w:rFonts w:eastAsia="Times New Roman"/>
          <w:i/>
          <w:iCs/>
          <w:lang w:eastAsia="en-AU"/>
        </w:rPr>
        <w:t>4</w:t>
      </w:r>
      <w:r w:rsidRPr="00E16853">
        <w:rPr>
          <w:rFonts w:eastAsia="Times New Roman"/>
          <w:lang w:eastAsia="en-AU"/>
        </w:rPr>
        <w:t>, 218–231.</w:t>
      </w:r>
    </w:p>
    <w:p w14:paraId="2193D88A"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Rychetnik</w:t>
      </w:r>
      <w:proofErr w:type="spellEnd"/>
      <w:r w:rsidRPr="00E16853">
        <w:rPr>
          <w:rFonts w:eastAsia="Times New Roman"/>
          <w:lang w:eastAsia="en-AU"/>
        </w:rPr>
        <w:t xml:space="preserve">, L., Bauman, A., Laws, R., King, L., </w:t>
      </w:r>
      <w:proofErr w:type="spellStart"/>
      <w:r w:rsidRPr="00E16853">
        <w:rPr>
          <w:rFonts w:eastAsia="Times New Roman"/>
          <w:lang w:eastAsia="en-AU"/>
        </w:rPr>
        <w:t>Rissel</w:t>
      </w:r>
      <w:proofErr w:type="spellEnd"/>
      <w:r w:rsidRPr="00E16853">
        <w:rPr>
          <w:rFonts w:eastAsia="Times New Roman"/>
          <w:lang w:eastAsia="en-AU"/>
        </w:rPr>
        <w:t xml:space="preserve">, C., </w:t>
      </w:r>
      <w:proofErr w:type="spellStart"/>
      <w:r w:rsidRPr="00E16853">
        <w:rPr>
          <w:rFonts w:eastAsia="Times New Roman"/>
          <w:lang w:eastAsia="en-AU"/>
        </w:rPr>
        <w:t>Nutbeam</w:t>
      </w:r>
      <w:proofErr w:type="spellEnd"/>
      <w:r w:rsidRPr="00E16853">
        <w:rPr>
          <w:rFonts w:eastAsia="Times New Roman"/>
          <w:lang w:eastAsia="en-AU"/>
        </w:rPr>
        <w:t xml:space="preserve">, D., … </w:t>
      </w:r>
      <w:proofErr w:type="spellStart"/>
      <w:r w:rsidRPr="00E16853">
        <w:rPr>
          <w:rFonts w:eastAsia="Times New Roman"/>
          <w:lang w:eastAsia="en-AU"/>
        </w:rPr>
        <w:t>Caterson</w:t>
      </w:r>
      <w:proofErr w:type="spellEnd"/>
      <w:r w:rsidRPr="00E16853">
        <w:rPr>
          <w:rFonts w:eastAsia="Times New Roman"/>
          <w:lang w:eastAsia="en-AU"/>
        </w:rPr>
        <w:t xml:space="preserve">, I. (2012). Translating research for evidence-based public health: key concepts and future directions. </w:t>
      </w:r>
      <w:r w:rsidRPr="00E16853">
        <w:rPr>
          <w:rFonts w:eastAsia="Times New Roman"/>
          <w:i/>
          <w:iCs/>
          <w:lang w:eastAsia="en-AU"/>
        </w:rPr>
        <w:t xml:space="preserve">J </w:t>
      </w:r>
      <w:proofErr w:type="spellStart"/>
      <w:r w:rsidRPr="00E16853">
        <w:rPr>
          <w:rFonts w:eastAsia="Times New Roman"/>
          <w:i/>
          <w:iCs/>
          <w:lang w:eastAsia="en-AU"/>
        </w:rPr>
        <w:t>Epidemiol</w:t>
      </w:r>
      <w:proofErr w:type="spellEnd"/>
      <w:r w:rsidRPr="00E16853">
        <w:rPr>
          <w:rFonts w:eastAsia="Times New Roman"/>
          <w:i/>
          <w:iCs/>
          <w:lang w:eastAsia="en-AU"/>
        </w:rPr>
        <w:t xml:space="preserve"> Community Health</w:t>
      </w:r>
      <w:r w:rsidRPr="00E16853">
        <w:rPr>
          <w:rFonts w:eastAsia="Times New Roman"/>
          <w:lang w:eastAsia="en-AU"/>
        </w:rPr>
        <w:t xml:space="preserve">, </w:t>
      </w:r>
      <w:r w:rsidRPr="00E16853">
        <w:rPr>
          <w:rFonts w:eastAsia="Times New Roman"/>
          <w:i/>
          <w:iCs/>
          <w:lang w:eastAsia="en-AU"/>
        </w:rPr>
        <w:t>66</w:t>
      </w:r>
      <w:r w:rsidRPr="00E16853">
        <w:rPr>
          <w:rFonts w:eastAsia="Times New Roman"/>
          <w:lang w:eastAsia="en-AU"/>
        </w:rPr>
        <w:t>(12), 1187–1192. https://doi.org/10.1136/jech-201</w:t>
      </w:r>
    </w:p>
    <w:p w14:paraId="3FE6F49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lastRenderedPageBreak/>
        <w:t xml:space="preserve">Schreiber, J., Downey, P., &amp; </w:t>
      </w:r>
      <w:proofErr w:type="spellStart"/>
      <w:r w:rsidRPr="00E16853">
        <w:rPr>
          <w:rFonts w:eastAsia="Times New Roman"/>
          <w:lang w:eastAsia="en-AU"/>
        </w:rPr>
        <w:t>Traister</w:t>
      </w:r>
      <w:proofErr w:type="spellEnd"/>
      <w:r w:rsidRPr="00E16853">
        <w:rPr>
          <w:rFonts w:eastAsia="Times New Roman"/>
          <w:lang w:eastAsia="en-AU"/>
        </w:rPr>
        <w:t xml:space="preserve">, J. (2009). Academic program support for evidence-based practice: a mixed-methods investigation. </w:t>
      </w:r>
      <w:r w:rsidRPr="00E16853">
        <w:rPr>
          <w:rFonts w:eastAsia="Times New Roman"/>
          <w:i/>
          <w:iCs/>
          <w:lang w:eastAsia="en-AU"/>
        </w:rPr>
        <w:t>Journal of Physical Therapy Education</w:t>
      </w:r>
      <w:r w:rsidRPr="00E16853">
        <w:rPr>
          <w:rFonts w:eastAsia="Times New Roman"/>
          <w:lang w:eastAsia="en-AU"/>
        </w:rPr>
        <w:t xml:space="preserve">, </w:t>
      </w:r>
      <w:r w:rsidRPr="00E16853">
        <w:rPr>
          <w:rFonts w:eastAsia="Times New Roman"/>
          <w:i/>
          <w:iCs/>
          <w:lang w:eastAsia="en-AU"/>
        </w:rPr>
        <w:t>23</w:t>
      </w:r>
      <w:r w:rsidRPr="00E16853">
        <w:rPr>
          <w:rFonts w:eastAsia="Times New Roman"/>
          <w:lang w:eastAsia="en-AU"/>
        </w:rPr>
        <w:t>(1), 36–43. Retrieved from http://search.ebscohost.com/login.aspx?direct=true&amp;db=c8h&amp;AN=2010324892&amp;site=ehost-live</w:t>
      </w:r>
    </w:p>
    <w:p w14:paraId="1A41D8CA"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Shivnan</w:t>
      </w:r>
      <w:proofErr w:type="spellEnd"/>
      <w:r w:rsidRPr="00E16853">
        <w:rPr>
          <w:rFonts w:eastAsia="Times New Roman"/>
          <w:lang w:eastAsia="en-AU"/>
        </w:rPr>
        <w:t xml:space="preserve">, J. (2006). Congruent Values, Shared Goals: The Magnet Recognition Program (MRP) and Oncology Nursing. </w:t>
      </w:r>
      <w:r w:rsidRPr="00E16853">
        <w:rPr>
          <w:rFonts w:eastAsia="Times New Roman"/>
          <w:i/>
          <w:iCs/>
          <w:lang w:eastAsia="en-AU"/>
        </w:rPr>
        <w:t>Oncology Nursing Forum</w:t>
      </w:r>
      <w:r w:rsidRPr="00E16853">
        <w:rPr>
          <w:rFonts w:eastAsia="Times New Roman"/>
          <w:lang w:eastAsia="en-AU"/>
        </w:rPr>
        <w:t xml:space="preserve">, </w:t>
      </w:r>
      <w:r w:rsidRPr="00E16853">
        <w:rPr>
          <w:rFonts w:eastAsia="Times New Roman"/>
          <w:i/>
          <w:iCs/>
          <w:lang w:eastAsia="en-AU"/>
        </w:rPr>
        <w:t>33</w:t>
      </w:r>
      <w:r w:rsidRPr="00E16853">
        <w:rPr>
          <w:rFonts w:eastAsia="Times New Roman"/>
          <w:lang w:eastAsia="en-AU"/>
        </w:rPr>
        <w:t>(2).</w:t>
      </w:r>
    </w:p>
    <w:p w14:paraId="6B267CF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Simmons, R. (2015). Constraints on evidence-based policy: Insights from government practices. </w:t>
      </w:r>
      <w:r w:rsidRPr="00E16853">
        <w:rPr>
          <w:rFonts w:eastAsia="Times New Roman"/>
          <w:i/>
          <w:iCs/>
          <w:lang w:eastAsia="en-AU"/>
        </w:rPr>
        <w:t>Building Research and Information</w:t>
      </w:r>
      <w:r w:rsidRPr="00E16853">
        <w:rPr>
          <w:rFonts w:eastAsia="Times New Roman"/>
          <w:lang w:eastAsia="en-AU"/>
        </w:rPr>
        <w:t xml:space="preserve">, </w:t>
      </w:r>
      <w:r w:rsidRPr="00E16853">
        <w:rPr>
          <w:rFonts w:eastAsia="Times New Roman"/>
          <w:i/>
          <w:iCs/>
          <w:lang w:eastAsia="en-AU"/>
        </w:rPr>
        <w:t>43</w:t>
      </w:r>
      <w:r w:rsidRPr="00E16853">
        <w:rPr>
          <w:rFonts w:eastAsia="Times New Roman"/>
          <w:lang w:eastAsia="en-AU"/>
        </w:rPr>
        <w:t>(4), 407–419. https://doi.org/10.1080/09613218.2015.1002355</w:t>
      </w:r>
    </w:p>
    <w:p w14:paraId="3E9624A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Skinner, K., &amp; Whyte, B. (2004). Going beyond training: theory and practice in managing learning. </w:t>
      </w:r>
      <w:r w:rsidRPr="00E16853">
        <w:rPr>
          <w:rFonts w:eastAsia="Times New Roman"/>
          <w:i/>
          <w:iCs/>
          <w:lang w:eastAsia="en-AU"/>
        </w:rPr>
        <w:t>Social Work Education</w:t>
      </w:r>
      <w:r w:rsidRPr="00E16853">
        <w:rPr>
          <w:rFonts w:eastAsia="Times New Roman"/>
          <w:lang w:eastAsia="en-AU"/>
        </w:rPr>
        <w:t xml:space="preserve">, </w:t>
      </w:r>
      <w:r w:rsidRPr="00E16853">
        <w:rPr>
          <w:rFonts w:eastAsia="Times New Roman"/>
          <w:i/>
          <w:iCs/>
          <w:lang w:eastAsia="en-AU"/>
        </w:rPr>
        <w:t>23</w:t>
      </w:r>
      <w:r w:rsidRPr="00E16853">
        <w:rPr>
          <w:rFonts w:eastAsia="Times New Roman"/>
          <w:lang w:eastAsia="en-AU"/>
        </w:rPr>
        <w:t>(4), 365–381. https://doi.org/10.1080/0261547042000244991</w:t>
      </w:r>
    </w:p>
    <w:p w14:paraId="210897E6"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SLA Research Committee, &amp; Marshall, J. G. (2003). </w:t>
      </w:r>
      <w:r w:rsidRPr="00E16853">
        <w:rPr>
          <w:rFonts w:eastAsia="Times New Roman"/>
          <w:i/>
          <w:iCs/>
          <w:lang w:eastAsia="en-AU"/>
        </w:rPr>
        <w:t>Influencing our professional practice by putting our knowledge to work</w:t>
      </w:r>
      <w:r w:rsidRPr="00E16853">
        <w:rPr>
          <w:rFonts w:eastAsia="Times New Roman"/>
          <w:lang w:eastAsia="en-AU"/>
        </w:rPr>
        <w:t>.</w:t>
      </w:r>
    </w:p>
    <w:p w14:paraId="61B810BE"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Snilstveit</w:t>
      </w:r>
      <w:proofErr w:type="spellEnd"/>
      <w:r w:rsidRPr="00E16853">
        <w:rPr>
          <w:rFonts w:eastAsia="Times New Roman"/>
          <w:lang w:eastAsia="en-AU"/>
        </w:rPr>
        <w:t xml:space="preserve">, B., </w:t>
      </w:r>
      <w:proofErr w:type="spellStart"/>
      <w:r w:rsidRPr="00E16853">
        <w:rPr>
          <w:rFonts w:eastAsia="Times New Roman"/>
          <w:lang w:eastAsia="en-AU"/>
        </w:rPr>
        <w:t>Vojtkova</w:t>
      </w:r>
      <w:proofErr w:type="spellEnd"/>
      <w:r w:rsidRPr="00E16853">
        <w:rPr>
          <w:rFonts w:eastAsia="Times New Roman"/>
          <w:lang w:eastAsia="en-AU"/>
        </w:rPr>
        <w:t xml:space="preserve">, M., </w:t>
      </w:r>
      <w:proofErr w:type="spellStart"/>
      <w:r w:rsidRPr="00E16853">
        <w:rPr>
          <w:rFonts w:eastAsia="Times New Roman"/>
          <w:lang w:eastAsia="en-AU"/>
        </w:rPr>
        <w:t>Bhavsar</w:t>
      </w:r>
      <w:proofErr w:type="spellEnd"/>
      <w:r w:rsidRPr="00E16853">
        <w:rPr>
          <w:rFonts w:eastAsia="Times New Roman"/>
          <w:lang w:eastAsia="en-AU"/>
        </w:rPr>
        <w:t xml:space="preserve">, A., &amp; </w:t>
      </w:r>
      <w:proofErr w:type="spellStart"/>
      <w:r w:rsidRPr="00E16853">
        <w:rPr>
          <w:rFonts w:eastAsia="Times New Roman"/>
          <w:lang w:eastAsia="en-AU"/>
        </w:rPr>
        <w:t>Gaarder</w:t>
      </w:r>
      <w:proofErr w:type="spellEnd"/>
      <w:r w:rsidRPr="00E16853">
        <w:rPr>
          <w:rFonts w:eastAsia="Times New Roman"/>
          <w:lang w:eastAsia="en-AU"/>
        </w:rPr>
        <w:t xml:space="preserve">, M. (2013). </w:t>
      </w:r>
      <w:r w:rsidRPr="00E16853">
        <w:rPr>
          <w:rFonts w:eastAsia="Times New Roman"/>
          <w:i/>
          <w:iCs/>
          <w:lang w:eastAsia="en-AU"/>
        </w:rPr>
        <w:t>Evidence Gap Maps: A Tool for Promoting Evidence-Informed Policy and Prioritizing Future Research</w:t>
      </w:r>
      <w:r w:rsidRPr="00E16853">
        <w:rPr>
          <w:rFonts w:eastAsia="Times New Roman"/>
          <w:lang w:eastAsia="en-AU"/>
        </w:rPr>
        <w:t xml:space="preserve">. </w:t>
      </w:r>
      <w:r w:rsidRPr="00E16853">
        <w:rPr>
          <w:rFonts w:eastAsia="Times New Roman"/>
          <w:i/>
          <w:iCs/>
          <w:lang w:eastAsia="en-AU"/>
        </w:rPr>
        <w:t>The World Bank Independent Evaluation Group</w:t>
      </w:r>
      <w:r w:rsidRPr="00E16853">
        <w:rPr>
          <w:rFonts w:eastAsia="Times New Roman"/>
          <w:lang w:eastAsia="en-AU"/>
        </w:rPr>
        <w:t xml:space="preserve"> (Vol. Policy Res). Retrieved from https://openknowledge.worldbank.org/handle/10986/16941</w:t>
      </w:r>
    </w:p>
    <w:p w14:paraId="6D67401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Stanhope, V., Tuchman, E., &amp; Sinclair, W. (2011). The Implementation of Mental Health Evidence Based Practices from the Educator, Clinician and Researcher Perspective. </w:t>
      </w:r>
      <w:r w:rsidRPr="00E16853">
        <w:rPr>
          <w:rFonts w:eastAsia="Times New Roman"/>
          <w:i/>
          <w:iCs/>
          <w:lang w:eastAsia="en-AU"/>
        </w:rPr>
        <w:t>Clinical Social Work Journal</w:t>
      </w:r>
      <w:r w:rsidRPr="00E16853">
        <w:rPr>
          <w:rFonts w:eastAsia="Times New Roman"/>
          <w:lang w:eastAsia="en-AU"/>
        </w:rPr>
        <w:t xml:space="preserve">, </w:t>
      </w:r>
      <w:r w:rsidRPr="00E16853">
        <w:rPr>
          <w:rFonts w:eastAsia="Times New Roman"/>
          <w:i/>
          <w:iCs/>
          <w:lang w:eastAsia="en-AU"/>
        </w:rPr>
        <w:t>39</w:t>
      </w:r>
      <w:r w:rsidRPr="00E16853">
        <w:rPr>
          <w:rFonts w:eastAsia="Times New Roman"/>
          <w:lang w:eastAsia="en-AU"/>
        </w:rPr>
        <w:t>(4), 369–378. https://doi.org/10.1007/s10615-010-0309-y</w:t>
      </w:r>
    </w:p>
    <w:p w14:paraId="2D125785"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Systematic, C., &amp; Training, R. (</w:t>
      </w:r>
      <w:proofErr w:type="spellStart"/>
      <w:r w:rsidRPr="00E16853">
        <w:rPr>
          <w:rFonts w:eastAsia="Times New Roman"/>
          <w:lang w:eastAsia="en-AU"/>
        </w:rPr>
        <w:t>n.d.</w:t>
      </w:r>
      <w:proofErr w:type="spellEnd"/>
      <w:r w:rsidRPr="00E16853">
        <w:rPr>
          <w:rFonts w:eastAsia="Times New Roman"/>
          <w:lang w:eastAsia="en-AU"/>
        </w:rPr>
        <w:t>). Making Evidence.</w:t>
      </w:r>
    </w:p>
    <w:p w14:paraId="33B466C1" w14:textId="77777777" w:rsidR="0093470E" w:rsidRPr="00E16853" w:rsidRDefault="0093470E" w:rsidP="0093470E">
      <w:pPr>
        <w:spacing w:before="100" w:beforeAutospacing="1" w:after="100" w:afterAutospacing="1"/>
        <w:ind w:left="480" w:hanging="480"/>
        <w:rPr>
          <w:rFonts w:eastAsia="Times New Roman"/>
          <w:lang w:eastAsia="en-AU"/>
        </w:rPr>
      </w:pPr>
      <w:proofErr w:type="spellStart"/>
      <w:r w:rsidRPr="00E16853">
        <w:rPr>
          <w:rFonts w:eastAsia="Times New Roman"/>
          <w:lang w:eastAsia="en-AU"/>
        </w:rPr>
        <w:t>Tieman</w:t>
      </w:r>
      <w:proofErr w:type="spellEnd"/>
      <w:r w:rsidRPr="00E16853">
        <w:rPr>
          <w:rFonts w:eastAsia="Times New Roman"/>
          <w:lang w:eastAsia="en-AU"/>
        </w:rPr>
        <w:t xml:space="preserve">, J. J., Abernethy, A. P., </w:t>
      </w:r>
      <w:proofErr w:type="spellStart"/>
      <w:r w:rsidRPr="00E16853">
        <w:rPr>
          <w:rFonts w:eastAsia="Times New Roman"/>
          <w:lang w:eastAsia="en-AU"/>
        </w:rPr>
        <w:t>Fazekas</w:t>
      </w:r>
      <w:proofErr w:type="spellEnd"/>
      <w:r w:rsidRPr="00E16853">
        <w:rPr>
          <w:rFonts w:eastAsia="Times New Roman"/>
          <w:lang w:eastAsia="en-AU"/>
        </w:rPr>
        <w:t xml:space="preserve">, B. S., &amp; </w:t>
      </w:r>
      <w:proofErr w:type="spellStart"/>
      <w:r w:rsidRPr="00E16853">
        <w:rPr>
          <w:rFonts w:eastAsia="Times New Roman"/>
          <w:lang w:eastAsia="en-AU"/>
        </w:rPr>
        <w:t>Currow</w:t>
      </w:r>
      <w:proofErr w:type="spellEnd"/>
      <w:r w:rsidRPr="00E16853">
        <w:rPr>
          <w:rFonts w:eastAsia="Times New Roman"/>
          <w:lang w:eastAsia="en-AU"/>
        </w:rPr>
        <w:t xml:space="preserve">, D. C. (2005). </w:t>
      </w:r>
      <w:proofErr w:type="spellStart"/>
      <w:r w:rsidRPr="00E16853">
        <w:rPr>
          <w:rFonts w:eastAsia="Times New Roman"/>
          <w:lang w:eastAsia="en-AU"/>
        </w:rPr>
        <w:t>CareSearch</w:t>
      </w:r>
      <w:proofErr w:type="spellEnd"/>
      <w:r w:rsidRPr="00E16853">
        <w:rPr>
          <w:rFonts w:eastAsia="Times New Roman"/>
          <w:lang w:eastAsia="en-AU"/>
        </w:rPr>
        <w:t xml:space="preserve">: Finding and evaluating Australia’s missing palliative care literature. </w:t>
      </w:r>
      <w:r w:rsidRPr="00E16853">
        <w:rPr>
          <w:rFonts w:eastAsia="Times New Roman"/>
          <w:i/>
          <w:iCs/>
          <w:lang w:eastAsia="en-AU"/>
        </w:rPr>
        <w:t>BMC Palliative Care</w:t>
      </w:r>
      <w:r w:rsidRPr="00E16853">
        <w:rPr>
          <w:rFonts w:eastAsia="Times New Roman"/>
          <w:lang w:eastAsia="en-AU"/>
        </w:rPr>
        <w:t xml:space="preserve">, </w:t>
      </w:r>
      <w:r w:rsidRPr="00E16853">
        <w:rPr>
          <w:rFonts w:eastAsia="Times New Roman"/>
          <w:i/>
          <w:iCs/>
          <w:lang w:eastAsia="en-AU"/>
        </w:rPr>
        <w:t>4</w:t>
      </w:r>
      <w:r w:rsidRPr="00E16853">
        <w:rPr>
          <w:rFonts w:eastAsia="Times New Roman"/>
          <w:lang w:eastAsia="en-AU"/>
        </w:rPr>
        <w:t>, 1–10. https://doi.org/10.1186/1472-684X-4-4</w:t>
      </w:r>
    </w:p>
    <w:p w14:paraId="2AD6C0FF"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UNESCO. (2016). </w:t>
      </w:r>
      <w:r w:rsidRPr="00E16853">
        <w:rPr>
          <w:rFonts w:eastAsia="Times New Roman"/>
          <w:i/>
          <w:iCs/>
          <w:lang w:eastAsia="en-AU"/>
        </w:rPr>
        <w:t>World Social Science Report World Social Science Report</w:t>
      </w:r>
      <w:r w:rsidRPr="00E16853">
        <w:rPr>
          <w:rFonts w:eastAsia="Times New Roman"/>
          <w:lang w:eastAsia="en-AU"/>
        </w:rPr>
        <w:t>.</w:t>
      </w:r>
    </w:p>
    <w:p w14:paraId="0BB6CA09"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UNESCO, &amp; European Commission. (2010). </w:t>
      </w:r>
      <w:r w:rsidRPr="00E16853">
        <w:rPr>
          <w:rFonts w:eastAsia="Times New Roman"/>
          <w:i/>
          <w:iCs/>
          <w:lang w:eastAsia="en-AU"/>
        </w:rPr>
        <w:t>National Bioethics Committees in Action</w:t>
      </w:r>
      <w:r w:rsidRPr="00E16853">
        <w:rPr>
          <w:rFonts w:eastAsia="Times New Roman"/>
          <w:lang w:eastAsia="en-AU"/>
        </w:rPr>
        <w:t>.</w:t>
      </w:r>
    </w:p>
    <w:p w14:paraId="7E71751C"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nl-NL" w:eastAsia="en-AU"/>
        </w:rPr>
        <w:t xml:space="preserve">van den Hoogen, Q. L. (2014). </w:t>
      </w:r>
      <w:r w:rsidRPr="00E16853">
        <w:rPr>
          <w:rFonts w:eastAsia="Times New Roman"/>
          <w:lang w:eastAsia="en-AU"/>
        </w:rPr>
        <w:t xml:space="preserve">New local cultural policy evaluation methods in the Netherlands: status and perspectives. </w:t>
      </w:r>
      <w:r w:rsidRPr="00E16853">
        <w:rPr>
          <w:rFonts w:eastAsia="Times New Roman"/>
          <w:i/>
          <w:iCs/>
          <w:lang w:eastAsia="en-AU"/>
        </w:rPr>
        <w:t>International Journal of Cultural Policy</w:t>
      </w:r>
      <w:r w:rsidRPr="00E16853">
        <w:rPr>
          <w:rFonts w:eastAsia="Times New Roman"/>
          <w:lang w:eastAsia="en-AU"/>
        </w:rPr>
        <w:t xml:space="preserve">, </w:t>
      </w:r>
      <w:r w:rsidRPr="00E16853">
        <w:rPr>
          <w:rFonts w:eastAsia="Times New Roman"/>
          <w:i/>
          <w:iCs/>
          <w:lang w:eastAsia="en-AU"/>
        </w:rPr>
        <w:t>20</w:t>
      </w:r>
      <w:r w:rsidRPr="00E16853">
        <w:rPr>
          <w:rFonts w:eastAsia="Times New Roman"/>
          <w:lang w:eastAsia="en-AU"/>
        </w:rPr>
        <w:t>(5), 613–636. https://doi.org/10.1080/10286632.2013.871005</w:t>
      </w:r>
    </w:p>
    <w:p w14:paraId="61A6BC10"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Walker, R., </w:t>
      </w:r>
      <w:proofErr w:type="spellStart"/>
      <w:r w:rsidRPr="00E16853">
        <w:rPr>
          <w:rFonts w:eastAsia="Times New Roman"/>
          <w:lang w:eastAsia="en-AU"/>
        </w:rPr>
        <w:t>Pietsch</w:t>
      </w:r>
      <w:proofErr w:type="spellEnd"/>
      <w:r w:rsidRPr="00E16853">
        <w:rPr>
          <w:rFonts w:eastAsia="Times New Roman"/>
          <w:lang w:eastAsia="en-AU"/>
        </w:rPr>
        <w:t xml:space="preserve">, J., Delaney, L., Hahn, B., </w:t>
      </w:r>
      <w:r w:rsidR="00972B56" w:rsidRPr="00E16853">
        <w:rPr>
          <w:rFonts w:eastAsia="Times New Roman"/>
          <w:lang w:eastAsia="en-AU"/>
        </w:rPr>
        <w:t>Wallace’</w:t>
      </w:r>
      <w:r w:rsidRPr="00E16853">
        <w:rPr>
          <w:rFonts w:eastAsia="Times New Roman"/>
          <w:lang w:eastAsia="en-AU"/>
        </w:rPr>
        <w:t xml:space="preserve">, C., &amp; Billings^, K. (2007). Partnership Management: Working Across Organisational Boundaries^ Central Victorian Health Alliance^ Inner </w:t>
      </w:r>
      <w:r w:rsidR="00972B56" w:rsidRPr="00E16853">
        <w:rPr>
          <w:rFonts w:eastAsia="Times New Roman"/>
          <w:lang w:eastAsia="en-AU"/>
        </w:rPr>
        <w:t>South-East</w:t>
      </w:r>
      <w:r w:rsidRPr="00E16853">
        <w:rPr>
          <w:rFonts w:eastAsia="Times New Roman"/>
          <w:lang w:eastAsia="en-AU"/>
        </w:rPr>
        <w:t xml:space="preserve"> Partnership in Community &amp; Health* Victorian Council of Social Service^.</w:t>
      </w:r>
    </w:p>
    <w:p w14:paraId="5489AC9E"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Whitelaw, N. (2010). System change and organizational capacity for evidence-based practices: Lessons from the field. </w:t>
      </w:r>
      <w:r w:rsidRPr="00E16853">
        <w:rPr>
          <w:rFonts w:eastAsia="Times New Roman"/>
          <w:i/>
          <w:iCs/>
          <w:lang w:eastAsia="en-AU"/>
        </w:rPr>
        <w:t>Journal of the American Society on Aging</w:t>
      </w:r>
      <w:r w:rsidRPr="00E16853">
        <w:rPr>
          <w:rFonts w:eastAsia="Times New Roman"/>
          <w:lang w:eastAsia="en-AU"/>
        </w:rPr>
        <w:t xml:space="preserve">, </w:t>
      </w:r>
      <w:r w:rsidRPr="00E16853">
        <w:rPr>
          <w:rFonts w:eastAsia="Times New Roman"/>
          <w:i/>
          <w:iCs/>
          <w:lang w:eastAsia="en-AU"/>
        </w:rPr>
        <w:t>34</w:t>
      </w:r>
      <w:r w:rsidRPr="00E16853">
        <w:rPr>
          <w:rFonts w:eastAsia="Times New Roman"/>
          <w:lang w:eastAsia="en-AU"/>
        </w:rPr>
        <w:t>(43).</w:t>
      </w:r>
    </w:p>
    <w:p w14:paraId="40B01E70"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eastAsia="en-AU"/>
        </w:rPr>
        <w:t xml:space="preserve">World Bank. (2016). Reforms. In </w:t>
      </w:r>
      <w:r w:rsidR="00972B56" w:rsidRPr="00E16853">
        <w:rPr>
          <w:rFonts w:eastAsia="Times New Roman"/>
          <w:i/>
          <w:iCs/>
          <w:lang w:eastAsia="en-AU"/>
        </w:rPr>
        <w:t>the</w:t>
      </w:r>
      <w:r w:rsidRPr="00E16853">
        <w:rPr>
          <w:rFonts w:eastAsia="Times New Roman"/>
          <w:i/>
          <w:iCs/>
          <w:lang w:eastAsia="en-AU"/>
        </w:rPr>
        <w:t xml:space="preserve"> World Bank </w:t>
      </w:r>
      <w:r w:rsidR="00972B56" w:rsidRPr="00E16853">
        <w:rPr>
          <w:rFonts w:eastAsia="Times New Roman"/>
          <w:i/>
          <w:iCs/>
          <w:lang w:eastAsia="en-AU"/>
        </w:rPr>
        <w:t>Group,</w:t>
      </w:r>
      <w:r w:rsidRPr="00E16853">
        <w:rPr>
          <w:rFonts w:eastAsia="Times New Roman"/>
          <w:i/>
          <w:iCs/>
          <w:lang w:eastAsia="en-AU"/>
        </w:rPr>
        <w:t xml:space="preserve"> A to Z 2016</w:t>
      </w:r>
      <w:r w:rsidRPr="00E16853">
        <w:rPr>
          <w:rFonts w:eastAsia="Times New Roman"/>
          <w:lang w:eastAsia="en-AU"/>
        </w:rPr>
        <w:t xml:space="preserve"> (pp. 151–152).</w:t>
      </w:r>
    </w:p>
    <w:p w14:paraId="3F8C7DE3" w14:textId="77777777" w:rsidR="0093470E" w:rsidRPr="00E16853" w:rsidRDefault="0093470E" w:rsidP="0093470E">
      <w:pPr>
        <w:spacing w:before="100" w:beforeAutospacing="1" w:after="100" w:afterAutospacing="1"/>
        <w:ind w:left="480" w:hanging="480"/>
        <w:rPr>
          <w:rFonts w:eastAsia="Times New Roman"/>
          <w:lang w:eastAsia="en-AU"/>
        </w:rPr>
      </w:pPr>
      <w:r w:rsidRPr="00E16853">
        <w:rPr>
          <w:rFonts w:eastAsia="Times New Roman"/>
          <w:lang w:val="pl-PL" w:eastAsia="en-AU"/>
        </w:rPr>
        <w:t xml:space="preserve">Zlotnik, J. L., &amp; Solt, B. E. (2008). </w:t>
      </w:r>
      <w:r w:rsidRPr="00E16853">
        <w:rPr>
          <w:rFonts w:eastAsia="Times New Roman"/>
          <w:lang w:eastAsia="en-AU"/>
        </w:rPr>
        <w:t>Developing Research Infrastructure: The Institute for the Advancement of Social Work Research, 201–208.</w:t>
      </w:r>
    </w:p>
    <w:p w14:paraId="0BC64715" w14:textId="77777777" w:rsidR="0093470E" w:rsidRPr="00E16853" w:rsidRDefault="0093470E" w:rsidP="00FC7FD6">
      <w:pPr>
        <w:spacing w:before="100" w:beforeAutospacing="1" w:after="100" w:afterAutospacing="1"/>
        <w:ind w:left="480" w:hanging="480"/>
      </w:pPr>
      <w:r w:rsidRPr="00E16853">
        <w:rPr>
          <w:rFonts w:eastAsia="Times New Roman"/>
          <w:lang w:eastAsia="en-AU"/>
        </w:rPr>
        <w:t xml:space="preserve">Evidence-Based Practice Resources. (2005). </w:t>
      </w:r>
      <w:r w:rsidRPr="00E16853">
        <w:rPr>
          <w:rFonts w:eastAsia="Times New Roman"/>
          <w:i/>
          <w:iCs/>
          <w:lang w:eastAsia="en-AU"/>
        </w:rPr>
        <w:t>The ASHA Leader</w:t>
      </w:r>
      <w:r w:rsidRPr="00E16853">
        <w:rPr>
          <w:rFonts w:eastAsia="Times New Roman"/>
          <w:lang w:eastAsia="en-AU"/>
        </w:rPr>
        <w:t>, 26–28.</w:t>
      </w:r>
    </w:p>
    <w:p w14:paraId="50A1AD65" w14:textId="77777777" w:rsidR="0093470E" w:rsidRDefault="0093470E" w:rsidP="0093470E"/>
    <w:p w14:paraId="07469186" w14:textId="6439796B" w:rsidR="0090428E" w:rsidRPr="006A3160" w:rsidRDefault="0090428E" w:rsidP="00E833DA">
      <w:pPr>
        <w:outlineLvl w:val="0"/>
        <w:rPr>
          <w:rFonts w:asciiTheme="majorHAnsi" w:eastAsiaTheme="majorEastAsia" w:hAnsiTheme="majorHAnsi" w:cstheme="majorBidi"/>
          <w:color w:val="063061" w:themeColor="accent1" w:themeShade="BF"/>
          <w:sz w:val="26"/>
          <w:szCs w:val="26"/>
        </w:rPr>
      </w:pPr>
      <w:bookmarkStart w:id="182" w:name="_Toc509950689"/>
      <w:r>
        <w:rPr>
          <w:rFonts w:asciiTheme="majorHAnsi" w:eastAsiaTheme="majorEastAsia" w:hAnsiTheme="majorHAnsi" w:cstheme="majorBidi"/>
          <w:color w:val="063061" w:themeColor="accent1" w:themeShade="BF"/>
          <w:sz w:val="26"/>
          <w:szCs w:val="26"/>
        </w:rPr>
        <w:t xml:space="preserve">Funding </w:t>
      </w:r>
      <w:r w:rsidRPr="006A3160">
        <w:rPr>
          <w:rFonts w:asciiTheme="majorHAnsi" w:eastAsiaTheme="majorEastAsia" w:hAnsiTheme="majorHAnsi" w:cstheme="majorBidi"/>
          <w:color w:val="063061" w:themeColor="accent1" w:themeShade="BF"/>
          <w:sz w:val="26"/>
          <w:szCs w:val="26"/>
        </w:rPr>
        <w:t>References</w:t>
      </w:r>
      <w:bookmarkEnd w:id="182"/>
    </w:p>
    <w:p w14:paraId="39496D10" w14:textId="77777777" w:rsidR="0090428E" w:rsidRDefault="0090428E" w:rsidP="0090428E">
      <w:r>
        <w:t>ANDI, (</w:t>
      </w:r>
      <w:proofErr w:type="spellStart"/>
      <w:r>
        <w:t>n.da</w:t>
      </w:r>
      <w:proofErr w:type="spellEnd"/>
      <w:r>
        <w:t xml:space="preserve">). </w:t>
      </w:r>
      <w:r w:rsidRPr="005C1F97">
        <w:rPr>
          <w:i/>
        </w:rPr>
        <w:t>Annual Report for Year Ended 30 June 2016</w:t>
      </w:r>
      <w:r>
        <w:t xml:space="preserve">, retrieved from </w:t>
      </w:r>
      <w:r w:rsidRPr="005C1F97">
        <w:t>http://www.andi.org.au/andi-resources.html</w:t>
      </w:r>
    </w:p>
    <w:p w14:paraId="50E9DF2B" w14:textId="77777777" w:rsidR="0090428E" w:rsidRDefault="0090428E" w:rsidP="0090428E">
      <w:r>
        <w:t>ANDI, (</w:t>
      </w:r>
      <w:proofErr w:type="spellStart"/>
      <w:r>
        <w:t>n.da</w:t>
      </w:r>
      <w:proofErr w:type="spellEnd"/>
      <w:r>
        <w:t xml:space="preserve">). </w:t>
      </w:r>
      <w:r w:rsidRPr="005C1F97">
        <w:rPr>
          <w:i/>
        </w:rPr>
        <w:t>Annual Report for Year Ended 30 June 2017</w:t>
      </w:r>
      <w:r>
        <w:t xml:space="preserve">, retrieved from </w:t>
      </w:r>
      <w:r w:rsidRPr="005C1F97">
        <w:t>http://www.andi.org.au/andi-resources.html</w:t>
      </w:r>
    </w:p>
    <w:p w14:paraId="37236517" w14:textId="1CE81FE0" w:rsidR="0090428E" w:rsidRDefault="0090428E" w:rsidP="0090428E">
      <w:r>
        <w:t>AITSL, (</w:t>
      </w:r>
      <w:proofErr w:type="spellStart"/>
      <w:r>
        <w:t>n.d</w:t>
      </w:r>
      <w:proofErr w:type="spellEnd"/>
      <w:r>
        <w:t xml:space="preserve">). </w:t>
      </w:r>
      <w:r w:rsidRPr="008C3872">
        <w:rPr>
          <w:i/>
        </w:rPr>
        <w:t>AITSL Strategic Plan 2017-2020: Increasing our impact</w:t>
      </w:r>
      <w:r>
        <w:t xml:space="preserve">, retrieved from </w:t>
      </w:r>
      <w:hyperlink r:id="rId30" w:tooltip="https://www.aitsl.edu.au/about-aitsl/governance" w:history="1">
        <w:r w:rsidRPr="00AD130E">
          <w:rPr>
            <w:rStyle w:val="Hyperlink"/>
          </w:rPr>
          <w:t>https://www.aitsl.edu.au/about-aitsl/governance</w:t>
        </w:r>
      </w:hyperlink>
    </w:p>
    <w:p w14:paraId="63E9EF7B" w14:textId="09B15B3E" w:rsidR="0090428E" w:rsidRDefault="0090428E" w:rsidP="0090428E">
      <w:r>
        <w:t xml:space="preserve">ARC, (2017). </w:t>
      </w:r>
      <w:r w:rsidRPr="004626E8">
        <w:rPr>
          <w:i/>
        </w:rPr>
        <w:t>National Competitive Grants Program Dataset</w:t>
      </w:r>
      <w:r>
        <w:t xml:space="preserve">, retrieved from </w:t>
      </w:r>
      <w:hyperlink r:id="rId31" w:tooltip="http://www.arc.gov.au/grants-dataset" w:history="1">
        <w:r w:rsidRPr="00AD130E">
          <w:rPr>
            <w:rStyle w:val="Hyperlink"/>
          </w:rPr>
          <w:t>http://www.arc.gov.au/grants-dataset</w:t>
        </w:r>
      </w:hyperlink>
    </w:p>
    <w:p w14:paraId="20953081" w14:textId="77777777" w:rsidR="0090428E" w:rsidRDefault="0090428E" w:rsidP="0090428E">
      <w:r>
        <w:t xml:space="preserve">Commonwealth of Australia, (2017). </w:t>
      </w:r>
      <w:r w:rsidRPr="00F83F03">
        <w:rPr>
          <w:i/>
        </w:rPr>
        <w:t>Budget 2017-18: Portfolio Budget Statements 2017-18, Budget Related Paper No. 1.5, Education and Training Portfolio</w:t>
      </w:r>
      <w:r>
        <w:t xml:space="preserve">. Australian Government: Canberra </w:t>
      </w:r>
    </w:p>
    <w:p w14:paraId="16729125" w14:textId="77777777" w:rsidR="0090428E" w:rsidRDefault="0090428E" w:rsidP="0090428E">
      <w:r>
        <w:t xml:space="preserve">Department of Finance, (2015). </w:t>
      </w:r>
      <w:r w:rsidRPr="00F945DE">
        <w:rPr>
          <w:i/>
        </w:rPr>
        <w:t>Australian Government Charging Framework: Resource Management Guide No. 302</w:t>
      </w:r>
      <w:r>
        <w:t xml:space="preserve">. Australian Government: Canberra </w:t>
      </w:r>
    </w:p>
    <w:p w14:paraId="4436E878" w14:textId="77777777" w:rsidR="0090428E" w:rsidRDefault="0090428E" w:rsidP="0090428E">
      <w:r>
        <w:t>Education Endowment Foundation, (</w:t>
      </w:r>
      <w:proofErr w:type="spellStart"/>
      <w:r>
        <w:t>n.da</w:t>
      </w:r>
      <w:proofErr w:type="spellEnd"/>
      <w:r>
        <w:t xml:space="preserve">). </w:t>
      </w:r>
      <w:r w:rsidRPr="008C3872">
        <w:rPr>
          <w:i/>
        </w:rPr>
        <w:t>Annual Report 2011/12</w:t>
      </w:r>
      <w:r>
        <w:t xml:space="preserve">, retrieved from </w:t>
      </w:r>
      <w:r w:rsidRPr="00002512">
        <w:t>https://educationendowmentfoundation.org.uk/about/annual-reports/2011-2014/</w:t>
      </w:r>
    </w:p>
    <w:p w14:paraId="09812DFF" w14:textId="77777777" w:rsidR="0090428E" w:rsidRDefault="0090428E" w:rsidP="0090428E">
      <w:r>
        <w:t>Education Endowment Foundation, (</w:t>
      </w:r>
      <w:proofErr w:type="spellStart"/>
      <w:r>
        <w:t>n.db</w:t>
      </w:r>
      <w:proofErr w:type="spellEnd"/>
      <w:r>
        <w:t xml:space="preserve">). </w:t>
      </w:r>
      <w:r w:rsidRPr="008C3872">
        <w:rPr>
          <w:i/>
        </w:rPr>
        <w:t>Annual Report 2012/13</w:t>
      </w:r>
      <w:r>
        <w:t xml:space="preserve">, retrieved from </w:t>
      </w:r>
      <w:r w:rsidRPr="00002512">
        <w:t>https://educationendowmentfoundation.org.uk/about/annual-reports/2011-2014/</w:t>
      </w:r>
    </w:p>
    <w:p w14:paraId="3BCE406A" w14:textId="77777777" w:rsidR="0090428E" w:rsidRDefault="0090428E" w:rsidP="0090428E">
      <w:r>
        <w:t>Education Endowment Foundation, (</w:t>
      </w:r>
      <w:proofErr w:type="spellStart"/>
      <w:r>
        <w:t>n.dc</w:t>
      </w:r>
      <w:proofErr w:type="spellEnd"/>
      <w:r>
        <w:t xml:space="preserve">). </w:t>
      </w:r>
      <w:r w:rsidRPr="008C3872">
        <w:rPr>
          <w:i/>
        </w:rPr>
        <w:t>Annual Report 2013/14</w:t>
      </w:r>
      <w:r>
        <w:t xml:space="preserve">, retrieved from </w:t>
      </w:r>
      <w:r w:rsidRPr="00002512">
        <w:t>https://educationendowmentfoundation.org.uk/about/annual-reports/2011-2014/</w:t>
      </w:r>
    </w:p>
    <w:p w14:paraId="728A05DC" w14:textId="77777777" w:rsidR="0090428E" w:rsidRDefault="0090428E" w:rsidP="0090428E">
      <w:proofErr w:type="spellStart"/>
      <w:r>
        <w:t>Gonski</w:t>
      </w:r>
      <w:proofErr w:type="spellEnd"/>
      <w:r>
        <w:t xml:space="preserve">, D., Boston, K., Greiner, K., Lawrence, C., Scales, B. &amp; </w:t>
      </w:r>
      <w:proofErr w:type="spellStart"/>
      <w:r>
        <w:t>Tannock</w:t>
      </w:r>
      <w:proofErr w:type="spellEnd"/>
      <w:r>
        <w:t xml:space="preserve">, P. (2011). </w:t>
      </w:r>
      <w:r w:rsidRPr="00773B7C">
        <w:rPr>
          <w:i/>
        </w:rPr>
        <w:t>Review of Funding for Schooling: Final Report</w:t>
      </w:r>
      <w:r>
        <w:t>. Australian Government, Canberra</w:t>
      </w:r>
    </w:p>
    <w:p w14:paraId="340FC395" w14:textId="77777777" w:rsidR="0090428E" w:rsidRDefault="0090428E" w:rsidP="0090428E">
      <w:r>
        <w:t xml:space="preserve">O’Connor, M., </w:t>
      </w:r>
      <w:proofErr w:type="spellStart"/>
      <w:r>
        <w:t>Quach</w:t>
      </w:r>
      <w:proofErr w:type="spellEnd"/>
      <w:r>
        <w:t xml:space="preserve">, J., </w:t>
      </w:r>
      <w:proofErr w:type="spellStart"/>
      <w:r>
        <w:t>Goldfeld</w:t>
      </w:r>
      <w:proofErr w:type="spellEnd"/>
      <w:r>
        <w:t xml:space="preserve">, S., Gold, L., Aston, R., </w:t>
      </w:r>
      <w:proofErr w:type="spellStart"/>
      <w:r>
        <w:t>Beatson</w:t>
      </w:r>
      <w:proofErr w:type="spellEnd"/>
      <w:r>
        <w:t xml:space="preserve">, R. &amp; Hopkins, D. (2015). </w:t>
      </w:r>
      <w:r w:rsidRPr="00773B7C">
        <w:rPr>
          <w:i/>
        </w:rPr>
        <w:t>Approaches to the provision of educational support for children and young people with additional health and developmental needs: Autism</w:t>
      </w:r>
      <w:r>
        <w:t xml:space="preserve">. Murdoch </w:t>
      </w:r>
      <w:proofErr w:type="spellStart"/>
      <w:r>
        <w:t>Childrens</w:t>
      </w:r>
      <w:proofErr w:type="spellEnd"/>
      <w:r>
        <w:t xml:space="preserve"> Research Institute, Melbourne</w:t>
      </w:r>
    </w:p>
    <w:p w14:paraId="5BCEEBF1" w14:textId="5A45E008" w:rsidR="0090428E" w:rsidRDefault="0090428E" w:rsidP="0090428E">
      <w:r>
        <w:t>Social Ventures Australia, (</w:t>
      </w:r>
      <w:proofErr w:type="spellStart"/>
      <w:r>
        <w:t>n.d.</w:t>
      </w:r>
      <w:proofErr w:type="spellEnd"/>
      <w:r>
        <w:t xml:space="preserve">). </w:t>
      </w:r>
      <w:r w:rsidRPr="008C3872">
        <w:rPr>
          <w:i/>
        </w:rPr>
        <w:t>SVA Annual Review 2016-2017</w:t>
      </w:r>
      <w:r>
        <w:t xml:space="preserve">, retrieved from </w:t>
      </w:r>
      <w:hyperlink r:id="rId32" w:tooltip="https://www.socialventures.com.au/sva-annual-review-2016-2017/" w:history="1">
        <w:r w:rsidRPr="00AD130E">
          <w:rPr>
            <w:rStyle w:val="Hyperlink"/>
          </w:rPr>
          <w:t>https://www.socialventures.com.au/sva-annual-review-2016-2017/</w:t>
        </w:r>
      </w:hyperlink>
    </w:p>
    <w:p w14:paraId="2C3E5AF6" w14:textId="77777777" w:rsidR="0090428E" w:rsidRDefault="0090428E" w:rsidP="0090428E">
      <w:proofErr w:type="spellStart"/>
      <w:r>
        <w:t>Tortora</w:t>
      </w:r>
      <w:proofErr w:type="spellEnd"/>
      <w:r>
        <w:t xml:space="preserve">, P. &amp; </w:t>
      </w:r>
      <w:proofErr w:type="spellStart"/>
      <w:r>
        <w:t>Steensen</w:t>
      </w:r>
      <w:proofErr w:type="spellEnd"/>
      <w:r>
        <w:t xml:space="preserve">, S. (2014). </w:t>
      </w:r>
      <w:r w:rsidRPr="00EB2F73">
        <w:rPr>
          <w:i/>
        </w:rPr>
        <w:t>Making earmarked funding more effective: Current practices and a way forward</w:t>
      </w:r>
      <w:r>
        <w:t>. OECD Publishing: Paris, France</w:t>
      </w:r>
    </w:p>
    <w:p w14:paraId="6F34641C" w14:textId="77777777" w:rsidR="0090428E" w:rsidRDefault="0090428E" w:rsidP="0090428E"/>
    <w:p w14:paraId="63E5F075" w14:textId="77777777" w:rsidR="0090428E" w:rsidRPr="00E16853" w:rsidRDefault="0090428E" w:rsidP="0093470E">
      <w:pPr>
        <w:sectPr w:rsidR="0090428E" w:rsidRPr="00E16853" w:rsidSect="008C52B2">
          <w:pgSz w:w="11906" w:h="16838"/>
          <w:pgMar w:top="1440" w:right="1440" w:bottom="1440" w:left="1440" w:header="708" w:footer="708" w:gutter="0"/>
          <w:cols w:space="708"/>
          <w:titlePg/>
          <w:docGrid w:linePitch="360"/>
        </w:sectPr>
      </w:pPr>
    </w:p>
    <w:p w14:paraId="6585E171" w14:textId="77777777" w:rsidR="0093470E" w:rsidRPr="00E16853" w:rsidRDefault="0093470E" w:rsidP="007674CF">
      <w:pPr>
        <w:pStyle w:val="NumberedHeading1"/>
      </w:pPr>
      <w:bookmarkStart w:id="183" w:name="_Toc508637976"/>
      <w:bookmarkStart w:id="184" w:name="_Toc509950690"/>
      <w:bookmarkStart w:id="185" w:name="_Ref510791837"/>
      <w:r w:rsidRPr="00E16853">
        <w:lastRenderedPageBreak/>
        <w:t>Appendix A: Summary of Literature Reviewed</w:t>
      </w:r>
      <w:bookmarkEnd w:id="183"/>
      <w:bookmarkEnd w:id="184"/>
      <w:bookmarkEnd w:id="185"/>
    </w:p>
    <w:p w14:paraId="5C269F84" w14:textId="77777777" w:rsidR="0093470E" w:rsidRPr="00E16853" w:rsidRDefault="0093470E" w:rsidP="0093470E"/>
    <w:p w14:paraId="50C26145" w14:textId="77777777" w:rsidR="0093470E" w:rsidRPr="00E16853" w:rsidRDefault="0093470E" w:rsidP="0093470E">
      <w:r w:rsidRPr="00E16853">
        <w:t xml:space="preserve">A summary of all peer-reviewed literature and grey literature sources is provided in this appendix. The inclusion criteria for reviewed studies includes; </w:t>
      </w:r>
    </w:p>
    <w:p w14:paraId="4C1A777F" w14:textId="77777777" w:rsidR="0093470E" w:rsidRPr="00E41B8F" w:rsidRDefault="0093470E" w:rsidP="00E41B8F">
      <w:pPr>
        <w:rPr>
          <w:i/>
          <w:iCs/>
        </w:rPr>
      </w:pPr>
      <w:bookmarkStart w:id="186" w:name="_Toc509950691"/>
      <w:r w:rsidRPr="00E41B8F">
        <w:rPr>
          <w:i/>
          <w:iCs/>
        </w:rPr>
        <w:t>Eligible studies</w:t>
      </w:r>
      <w:bookmarkEnd w:id="186"/>
      <w:r w:rsidRPr="00E41B8F">
        <w:rPr>
          <w:i/>
          <w:iCs/>
        </w:rPr>
        <w:t xml:space="preserve"> </w:t>
      </w:r>
    </w:p>
    <w:p w14:paraId="2E671E67" w14:textId="77777777" w:rsidR="0093470E" w:rsidRPr="00E16853" w:rsidRDefault="0093470E" w:rsidP="0093470E">
      <w:r w:rsidRPr="00E16853">
        <w:t>Rather than restrict the synthesis to specific study designs, the following secondary studies were included in the synthesis provided they included information relevant to the guiding questions:</w:t>
      </w:r>
    </w:p>
    <w:p w14:paraId="45061209" w14:textId="77777777" w:rsidR="0093470E" w:rsidRPr="00E16853" w:rsidRDefault="0093470E" w:rsidP="00375CD8">
      <w:pPr>
        <w:pStyle w:val="ListParagraph"/>
        <w:numPr>
          <w:ilvl w:val="0"/>
          <w:numId w:val="28"/>
        </w:numPr>
        <w:spacing w:after="160" w:line="259" w:lineRule="auto"/>
        <w:contextualSpacing/>
      </w:pPr>
      <w:r w:rsidRPr="00E16853">
        <w:t>Systematic reviews and/or meta-analyses of REI’s aiming to achieve EBP or EIP</w:t>
      </w:r>
    </w:p>
    <w:p w14:paraId="14EEBB17" w14:textId="77777777" w:rsidR="0093470E" w:rsidRPr="00E16853" w:rsidRDefault="0093470E" w:rsidP="00375CD8">
      <w:pPr>
        <w:pStyle w:val="ListParagraph"/>
        <w:numPr>
          <w:ilvl w:val="0"/>
          <w:numId w:val="28"/>
        </w:numPr>
        <w:spacing w:after="160" w:line="259" w:lineRule="auto"/>
        <w:contextualSpacing/>
      </w:pPr>
      <w:r w:rsidRPr="00E16853">
        <w:t xml:space="preserve">Narrative literature reviews of REIs </w:t>
      </w:r>
    </w:p>
    <w:p w14:paraId="258C1056" w14:textId="77777777" w:rsidR="0093470E" w:rsidRPr="00E16853" w:rsidRDefault="0093470E" w:rsidP="00375CD8">
      <w:pPr>
        <w:pStyle w:val="ListParagraph"/>
        <w:numPr>
          <w:ilvl w:val="0"/>
          <w:numId w:val="28"/>
        </w:numPr>
        <w:spacing w:after="160" w:line="259" w:lineRule="auto"/>
        <w:contextualSpacing/>
      </w:pPr>
      <w:r w:rsidRPr="00E16853">
        <w:t>Theoretical and/or position articles discussing the concept of REIs and their effectiveness</w:t>
      </w:r>
    </w:p>
    <w:p w14:paraId="095B88D0" w14:textId="77777777" w:rsidR="0093470E" w:rsidRPr="00E16853" w:rsidRDefault="0093470E" w:rsidP="00375CD8">
      <w:pPr>
        <w:pStyle w:val="ListParagraph"/>
        <w:numPr>
          <w:ilvl w:val="0"/>
          <w:numId w:val="28"/>
        </w:numPr>
        <w:spacing w:after="160" w:line="259" w:lineRule="auto"/>
        <w:contextualSpacing/>
      </w:pPr>
      <w:r w:rsidRPr="00E16853">
        <w:t xml:space="preserve">Annual reports for REIs </w:t>
      </w:r>
    </w:p>
    <w:p w14:paraId="179C57AD" w14:textId="77777777" w:rsidR="0093470E" w:rsidRPr="00E16853" w:rsidRDefault="0093470E" w:rsidP="00375CD8">
      <w:pPr>
        <w:pStyle w:val="ListParagraph"/>
        <w:numPr>
          <w:ilvl w:val="0"/>
          <w:numId w:val="28"/>
        </w:numPr>
        <w:spacing w:after="160" w:line="259" w:lineRule="auto"/>
        <w:contextualSpacing/>
      </w:pPr>
      <w:r w:rsidRPr="00E16853">
        <w:t>Implementation plans and/or REI policy documents</w:t>
      </w:r>
    </w:p>
    <w:p w14:paraId="63DC3F98" w14:textId="77777777" w:rsidR="0093470E" w:rsidRPr="00E16853" w:rsidRDefault="0093470E" w:rsidP="00375CD8">
      <w:pPr>
        <w:pStyle w:val="ListParagraph"/>
        <w:numPr>
          <w:ilvl w:val="0"/>
          <w:numId w:val="28"/>
        </w:numPr>
        <w:spacing w:after="160" w:line="259" w:lineRule="auto"/>
        <w:contextualSpacing/>
      </w:pPr>
      <w:r w:rsidRPr="00E16853">
        <w:t>Effectiveness studies on REIs</w:t>
      </w:r>
    </w:p>
    <w:p w14:paraId="13808975" w14:textId="77777777" w:rsidR="0093470E" w:rsidRPr="00E41B8F" w:rsidRDefault="0093470E" w:rsidP="00E41B8F">
      <w:pPr>
        <w:rPr>
          <w:i/>
          <w:iCs/>
        </w:rPr>
      </w:pPr>
      <w:bookmarkStart w:id="187" w:name="_Toc509950692"/>
      <w:r w:rsidRPr="00E41B8F">
        <w:rPr>
          <w:i/>
          <w:iCs/>
        </w:rPr>
        <w:t>Types of REIs</w:t>
      </w:r>
      <w:bookmarkEnd w:id="187"/>
    </w:p>
    <w:p w14:paraId="4525FBCF" w14:textId="77777777" w:rsidR="0093470E" w:rsidRPr="00E16853" w:rsidRDefault="0093470E" w:rsidP="0093470E">
      <w:r w:rsidRPr="00E16853">
        <w:t xml:space="preserve">The mapping exercise and process of sampling REI’s to identify interview participants highlights the breadth of REIs that exist in education, </w:t>
      </w:r>
      <w:r w:rsidRPr="00E16853">
        <w:rPr>
          <w:noProof/>
        </w:rPr>
        <w:t>health,</w:t>
      </w:r>
      <w:r w:rsidRPr="00E16853">
        <w:t xml:space="preserve"> and tourism sectors internationally. However, the literature on the effectiveness of these REI’s is not particularly well-developed and therefore the synthesis will focus on studies and literature associated with REI’s that include a stated aim to support EIP. </w:t>
      </w:r>
    </w:p>
    <w:p w14:paraId="5D3A17C7" w14:textId="77777777" w:rsidR="0093470E" w:rsidRPr="00E41B8F" w:rsidRDefault="0093470E" w:rsidP="00E41B8F">
      <w:pPr>
        <w:rPr>
          <w:i/>
          <w:iCs/>
        </w:rPr>
      </w:pPr>
      <w:bookmarkStart w:id="188" w:name="_Toc509950693"/>
      <w:r w:rsidRPr="00E41B8F">
        <w:rPr>
          <w:i/>
          <w:iCs/>
        </w:rPr>
        <w:t>Countries</w:t>
      </w:r>
      <w:bookmarkEnd w:id="188"/>
    </w:p>
    <w:p w14:paraId="18AF167F" w14:textId="77777777" w:rsidR="0093470E" w:rsidRPr="00E16853" w:rsidRDefault="0093470E" w:rsidP="0093470E">
      <w:r w:rsidRPr="00E16853">
        <w:t>Studies and literature on REIs in education/public health [mental health, health promotion]/tourism [hotel/accommodation, experiences, flights and travel] based in the following countries and were included:</w:t>
      </w:r>
    </w:p>
    <w:p w14:paraId="0FFEBA84" w14:textId="77777777" w:rsidR="0093470E" w:rsidRPr="00E16853" w:rsidRDefault="0093470E" w:rsidP="00375CD8">
      <w:pPr>
        <w:pStyle w:val="ListParagraph"/>
        <w:numPr>
          <w:ilvl w:val="0"/>
          <w:numId w:val="29"/>
        </w:numPr>
        <w:spacing w:after="160" w:line="259" w:lineRule="auto"/>
        <w:contextualSpacing/>
      </w:pPr>
      <w:r w:rsidRPr="00E16853">
        <w:t>USA</w:t>
      </w:r>
    </w:p>
    <w:p w14:paraId="3A460C28" w14:textId="77777777" w:rsidR="0093470E" w:rsidRPr="00E16853" w:rsidRDefault="0093470E" w:rsidP="00375CD8">
      <w:pPr>
        <w:pStyle w:val="ListParagraph"/>
        <w:numPr>
          <w:ilvl w:val="0"/>
          <w:numId w:val="29"/>
        </w:numPr>
        <w:spacing w:after="160" w:line="259" w:lineRule="auto"/>
        <w:contextualSpacing/>
      </w:pPr>
      <w:r w:rsidRPr="00E16853">
        <w:t>Canada</w:t>
      </w:r>
    </w:p>
    <w:p w14:paraId="2C4D28D5" w14:textId="77777777" w:rsidR="0093470E" w:rsidRPr="00E16853" w:rsidRDefault="0093470E" w:rsidP="00375CD8">
      <w:pPr>
        <w:pStyle w:val="ListParagraph"/>
        <w:numPr>
          <w:ilvl w:val="0"/>
          <w:numId w:val="29"/>
        </w:numPr>
        <w:spacing w:after="160" w:line="259" w:lineRule="auto"/>
        <w:contextualSpacing/>
      </w:pPr>
      <w:r w:rsidRPr="00E16853">
        <w:t>Australia</w:t>
      </w:r>
    </w:p>
    <w:p w14:paraId="2724461A" w14:textId="77777777" w:rsidR="0093470E" w:rsidRPr="00E16853" w:rsidRDefault="0093470E" w:rsidP="00375CD8">
      <w:pPr>
        <w:pStyle w:val="ListParagraph"/>
        <w:numPr>
          <w:ilvl w:val="0"/>
          <w:numId w:val="29"/>
        </w:numPr>
        <w:spacing w:after="160" w:line="259" w:lineRule="auto"/>
        <w:contextualSpacing/>
      </w:pPr>
      <w:r w:rsidRPr="00E16853">
        <w:t>New Zealand</w:t>
      </w:r>
    </w:p>
    <w:p w14:paraId="35A21B4D" w14:textId="77777777" w:rsidR="0093470E" w:rsidRPr="00E16853" w:rsidRDefault="0093470E" w:rsidP="00375CD8">
      <w:pPr>
        <w:pStyle w:val="ListParagraph"/>
        <w:numPr>
          <w:ilvl w:val="0"/>
          <w:numId w:val="29"/>
        </w:numPr>
        <w:spacing w:after="160" w:line="259" w:lineRule="auto"/>
        <w:contextualSpacing/>
      </w:pPr>
      <w:r w:rsidRPr="00E16853">
        <w:rPr>
          <w:noProof/>
        </w:rPr>
        <w:t>The United Kingdom</w:t>
      </w:r>
      <w:r w:rsidRPr="00E16853">
        <w:t xml:space="preserve"> and EU countries (excluding Finland) </w:t>
      </w:r>
    </w:p>
    <w:p w14:paraId="26FE3A3B" w14:textId="77777777" w:rsidR="0093470E" w:rsidRPr="00E41B8F" w:rsidRDefault="0093470E" w:rsidP="00E41B8F">
      <w:pPr>
        <w:rPr>
          <w:i/>
          <w:iCs/>
        </w:rPr>
      </w:pPr>
      <w:bookmarkStart w:id="189" w:name="_Toc509950694"/>
      <w:r w:rsidRPr="00E41B8F">
        <w:rPr>
          <w:i/>
          <w:iCs/>
        </w:rPr>
        <w:t>Publication details</w:t>
      </w:r>
      <w:bookmarkEnd w:id="189"/>
    </w:p>
    <w:p w14:paraId="020CBA6F" w14:textId="77777777" w:rsidR="0093470E" w:rsidRPr="00E16853" w:rsidRDefault="0093470E" w:rsidP="00375CD8">
      <w:pPr>
        <w:pStyle w:val="ListParagraph"/>
        <w:numPr>
          <w:ilvl w:val="0"/>
          <w:numId w:val="30"/>
        </w:numPr>
        <w:spacing w:after="0" w:line="240" w:lineRule="auto"/>
        <w:contextualSpacing/>
      </w:pPr>
      <w:r w:rsidRPr="00E16853">
        <w:t>Published after 2000</w:t>
      </w:r>
    </w:p>
    <w:p w14:paraId="3D58F55D" w14:textId="77777777" w:rsidR="0093470E" w:rsidRPr="00E16853" w:rsidRDefault="0093470E" w:rsidP="00375CD8">
      <w:pPr>
        <w:pStyle w:val="ListParagraph"/>
        <w:numPr>
          <w:ilvl w:val="0"/>
          <w:numId w:val="30"/>
        </w:numPr>
        <w:spacing w:after="0" w:line="240" w:lineRule="auto"/>
        <w:contextualSpacing/>
      </w:pPr>
      <w:r w:rsidRPr="00E16853">
        <w:t>Published in English language</w:t>
      </w:r>
    </w:p>
    <w:p w14:paraId="18C9BDBE" w14:textId="77777777" w:rsidR="0093470E" w:rsidRPr="00E16853" w:rsidRDefault="0093470E" w:rsidP="00375CD8">
      <w:pPr>
        <w:pStyle w:val="ListParagraph"/>
        <w:numPr>
          <w:ilvl w:val="0"/>
          <w:numId w:val="30"/>
        </w:numPr>
        <w:spacing w:after="0" w:line="240" w:lineRule="auto"/>
        <w:contextualSpacing/>
      </w:pPr>
      <w:r w:rsidRPr="00E16853">
        <w:t>Study was conducted or REI is based in included countries</w:t>
      </w:r>
    </w:p>
    <w:p w14:paraId="0E80DB0C" w14:textId="77777777" w:rsidR="0093470E" w:rsidRPr="00E16853" w:rsidRDefault="0093470E" w:rsidP="00375CD8">
      <w:pPr>
        <w:pStyle w:val="ListParagraph"/>
        <w:numPr>
          <w:ilvl w:val="0"/>
          <w:numId w:val="30"/>
        </w:numPr>
        <w:spacing w:after="0" w:line="240" w:lineRule="auto"/>
        <w:contextualSpacing/>
      </w:pPr>
      <w:r w:rsidRPr="00E16853">
        <w:t xml:space="preserve">Study or REI aims to achieve evidence-based or evidence-informed practice </w:t>
      </w:r>
    </w:p>
    <w:p w14:paraId="0060179B" w14:textId="77777777" w:rsidR="0093470E" w:rsidRPr="00E16853" w:rsidRDefault="0093470E" w:rsidP="00C34A88">
      <w:pPr>
        <w:pStyle w:val="ListParagraph"/>
        <w:numPr>
          <w:ilvl w:val="0"/>
          <w:numId w:val="30"/>
        </w:numPr>
        <w:spacing w:line="240" w:lineRule="auto"/>
        <w:contextualSpacing/>
      </w:pPr>
      <w:r w:rsidRPr="00E16853">
        <w:t>Study or REI reports on effectiveness OR governance OR functions and functionality OR grading evidence, OR evidence synthesis OR platforms OR knowledge translation</w:t>
      </w:r>
    </w:p>
    <w:p w14:paraId="01764A49" w14:textId="3BDBAAD2" w:rsidR="001A61C6" w:rsidRDefault="0093470E" w:rsidP="0093470E">
      <w:pPr>
        <w:sectPr w:rsidR="001A61C6" w:rsidSect="00690FBF">
          <w:footerReference w:type="default" r:id="rId33"/>
          <w:footerReference w:type="first" r:id="rId34"/>
          <w:pgSz w:w="11906" w:h="16838" w:code="9"/>
          <w:pgMar w:top="1134" w:right="1134" w:bottom="1134" w:left="1134" w:header="709" w:footer="709" w:gutter="0"/>
          <w:cols w:space="708"/>
          <w:titlePg/>
          <w:docGrid w:linePitch="360"/>
        </w:sectPr>
      </w:pPr>
      <w:r w:rsidRPr="00E16853">
        <w:t>The information presented in the table below is intended for use by the Education Excellence Review Secretariat and the Department of Education</w:t>
      </w:r>
      <w:r w:rsidR="00C34A88">
        <w:t xml:space="preserve"> of the Australian Government.</w:t>
      </w:r>
    </w:p>
    <w:p w14:paraId="320C961C" w14:textId="77777777" w:rsidR="0093470E" w:rsidRPr="00E16853" w:rsidRDefault="0093470E" w:rsidP="0093470E"/>
    <w:p w14:paraId="27E76BE1" w14:textId="7004514B" w:rsidR="0093470E" w:rsidRPr="00E16853" w:rsidRDefault="0093470E" w:rsidP="00813AA6">
      <w:pPr>
        <w:pStyle w:val="Caption2"/>
      </w:pPr>
      <w:bookmarkStart w:id="190" w:name="_Toc509845978"/>
      <w:bookmarkStart w:id="191" w:name="_Toc509950695"/>
      <w:bookmarkStart w:id="192" w:name="_Toc509951300"/>
      <w:r w:rsidRPr="00E16853">
        <w:t xml:space="preserve">Table </w:t>
      </w:r>
      <w:fldSimple w:instr=" SEQ Table \* ARABIC ">
        <w:r w:rsidR="004240AA">
          <w:rPr>
            <w:noProof/>
          </w:rPr>
          <w:t>14</w:t>
        </w:r>
      </w:fldSimple>
      <w:r w:rsidRPr="00E16853">
        <w:t>: Summary of reviewed literature</w:t>
      </w:r>
      <w:bookmarkEnd w:id="190"/>
      <w:bookmarkEnd w:id="191"/>
      <w:bookmarkEnd w:id="192"/>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2464"/>
        <w:gridCol w:w="1280"/>
        <w:gridCol w:w="2230"/>
        <w:gridCol w:w="1133"/>
        <w:gridCol w:w="1280"/>
        <w:gridCol w:w="744"/>
        <w:gridCol w:w="744"/>
        <w:gridCol w:w="744"/>
        <w:gridCol w:w="744"/>
        <w:gridCol w:w="744"/>
        <w:gridCol w:w="739"/>
      </w:tblGrid>
      <w:tr w:rsidR="0093470E" w:rsidRPr="004F464F" w14:paraId="7A910D68" w14:textId="77777777" w:rsidTr="007674CF">
        <w:trPr>
          <w:cantSplit/>
          <w:trHeight w:val="1291"/>
        </w:trPr>
        <w:tc>
          <w:tcPr>
            <w:tcW w:w="443" w:type="pct"/>
            <w:shd w:val="clear" w:color="auto" w:fill="ECC2B7" w:themeFill="accent6" w:themeFillTint="66"/>
            <w:vAlign w:val="bottom"/>
          </w:tcPr>
          <w:p w14:paraId="74225C45" w14:textId="77777777" w:rsidR="0093470E" w:rsidRPr="004F464F" w:rsidRDefault="0093470E" w:rsidP="004F464F">
            <w:pPr>
              <w:pStyle w:val="NoSpacing"/>
              <w:rPr>
                <w:b/>
              </w:rPr>
            </w:pPr>
            <w:r w:rsidRPr="004F464F">
              <w:rPr>
                <w:b/>
              </w:rPr>
              <w:t>Author (year)</w:t>
            </w:r>
          </w:p>
        </w:tc>
        <w:tc>
          <w:tcPr>
            <w:tcW w:w="874" w:type="pct"/>
            <w:shd w:val="clear" w:color="auto" w:fill="ECC2B7" w:themeFill="accent6" w:themeFillTint="66"/>
            <w:vAlign w:val="bottom"/>
          </w:tcPr>
          <w:p w14:paraId="653AB27C"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17DE1CC9"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3F03076A"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7240306B"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238E5A94"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2735B436"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524F4A4B"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46E1EE72"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64856507"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6C81A0AC"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43FDCC3D" w14:textId="77777777" w:rsidR="0093470E" w:rsidRPr="004F464F" w:rsidRDefault="0093470E" w:rsidP="004F464F">
            <w:pPr>
              <w:pStyle w:val="NoSpacing"/>
              <w:rPr>
                <w:b/>
              </w:rPr>
            </w:pPr>
            <w:r w:rsidRPr="004F464F">
              <w:rPr>
                <w:b/>
              </w:rPr>
              <w:t>Significance</w:t>
            </w:r>
          </w:p>
        </w:tc>
      </w:tr>
      <w:tr w:rsidR="0093470E" w:rsidRPr="00E16853" w14:paraId="79E0585D" w14:textId="77777777" w:rsidTr="007674CF">
        <w:tc>
          <w:tcPr>
            <w:tcW w:w="443" w:type="pct"/>
          </w:tcPr>
          <w:p w14:paraId="29BC596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Bain et al. (2011)</w:t>
            </w:r>
          </w:p>
        </w:tc>
        <w:tc>
          <w:tcPr>
            <w:tcW w:w="874" w:type="pct"/>
          </w:tcPr>
          <w:p w14:paraId="39BE796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Technology enhanced feedback tools as a knowledge management mechanism for supporting professional growth and school reform.</w:t>
            </w:r>
          </w:p>
        </w:tc>
        <w:tc>
          <w:tcPr>
            <w:tcW w:w="454" w:type="pct"/>
          </w:tcPr>
          <w:p w14:paraId="5B43DB4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Educational Technology Research and Development</w:t>
            </w:r>
          </w:p>
        </w:tc>
        <w:tc>
          <w:tcPr>
            <w:tcW w:w="791" w:type="pct"/>
          </w:tcPr>
          <w:p w14:paraId="5540067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Pilot study </w:t>
            </w:r>
          </w:p>
        </w:tc>
        <w:tc>
          <w:tcPr>
            <w:tcW w:w="402" w:type="pct"/>
          </w:tcPr>
          <w:p w14:paraId="1445BF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2C2270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NR</w:t>
            </w:r>
          </w:p>
        </w:tc>
        <w:tc>
          <w:tcPr>
            <w:tcW w:w="264" w:type="pct"/>
          </w:tcPr>
          <w:p w14:paraId="7D605A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46ED0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A4930B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4DF37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25B1AC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C1E84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3C38D18" w14:textId="77777777" w:rsidTr="007674CF">
        <w:tc>
          <w:tcPr>
            <w:tcW w:w="443" w:type="pct"/>
          </w:tcPr>
          <w:p w14:paraId="2EAAD70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Dobbins et al. (2010)</w:t>
            </w:r>
          </w:p>
        </w:tc>
        <w:tc>
          <w:tcPr>
            <w:tcW w:w="874" w:type="pct"/>
          </w:tcPr>
          <w:p w14:paraId="6B0903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 knowledge management tool for public health: health-evidence.ca.</w:t>
            </w:r>
          </w:p>
        </w:tc>
        <w:tc>
          <w:tcPr>
            <w:tcW w:w="454" w:type="pct"/>
          </w:tcPr>
          <w:p w14:paraId="53E6E0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BMC Public Health</w:t>
            </w:r>
          </w:p>
        </w:tc>
        <w:tc>
          <w:tcPr>
            <w:tcW w:w="791" w:type="pct"/>
          </w:tcPr>
          <w:p w14:paraId="5B3007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 of REI</w:t>
            </w:r>
          </w:p>
        </w:tc>
        <w:tc>
          <w:tcPr>
            <w:tcW w:w="402" w:type="pct"/>
          </w:tcPr>
          <w:p w14:paraId="5CA0AE0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1B424C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5986DF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64A5F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E45F1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2C4135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CB0D1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669613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F5044E0" w14:textId="77777777" w:rsidTr="007674CF">
        <w:tc>
          <w:tcPr>
            <w:tcW w:w="443" w:type="pct"/>
          </w:tcPr>
          <w:p w14:paraId="50088CD6"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LaRocca</w:t>
            </w:r>
            <w:proofErr w:type="spellEnd"/>
            <w:r w:rsidRPr="00E16853">
              <w:rPr>
                <w:rFonts w:eastAsia="Times New Roman"/>
                <w:color w:val="000000"/>
                <w:sz w:val="18"/>
                <w:szCs w:val="18"/>
              </w:rPr>
              <w:t xml:space="preserve"> et al. (2012)</w:t>
            </w:r>
          </w:p>
        </w:tc>
        <w:tc>
          <w:tcPr>
            <w:tcW w:w="874" w:type="pct"/>
          </w:tcPr>
          <w:p w14:paraId="730FD3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effectiveness of knowledge translation strategies used in public health: a systematic review (Structured abstract)</w:t>
            </w:r>
          </w:p>
        </w:tc>
        <w:tc>
          <w:tcPr>
            <w:tcW w:w="454" w:type="pct"/>
          </w:tcPr>
          <w:p w14:paraId="41373B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BMC Public Health</w:t>
            </w:r>
          </w:p>
        </w:tc>
        <w:tc>
          <w:tcPr>
            <w:tcW w:w="791" w:type="pct"/>
          </w:tcPr>
          <w:p w14:paraId="7F04DA5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Systematic review</w:t>
            </w:r>
          </w:p>
        </w:tc>
        <w:tc>
          <w:tcPr>
            <w:tcW w:w="402" w:type="pct"/>
          </w:tcPr>
          <w:p w14:paraId="7838DA0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 policy</w:t>
            </w:r>
          </w:p>
        </w:tc>
        <w:tc>
          <w:tcPr>
            <w:tcW w:w="454" w:type="pct"/>
          </w:tcPr>
          <w:p w14:paraId="38110EC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 [Canada, US, England, Norway]</w:t>
            </w:r>
          </w:p>
        </w:tc>
        <w:tc>
          <w:tcPr>
            <w:tcW w:w="264" w:type="pct"/>
          </w:tcPr>
          <w:p w14:paraId="017149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22CF9A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273957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73951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F06F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EE0560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A081891" w14:textId="77777777" w:rsidTr="007674CF">
        <w:tc>
          <w:tcPr>
            <w:tcW w:w="443" w:type="pct"/>
          </w:tcPr>
          <w:p w14:paraId="156EF70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OECD (2007)</w:t>
            </w:r>
          </w:p>
        </w:tc>
        <w:tc>
          <w:tcPr>
            <w:tcW w:w="874" w:type="pct"/>
          </w:tcPr>
          <w:p w14:paraId="5D0897F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Evidence in Education</w:t>
            </w:r>
          </w:p>
        </w:tc>
        <w:tc>
          <w:tcPr>
            <w:tcW w:w="454" w:type="pct"/>
          </w:tcPr>
          <w:p w14:paraId="2DBAF4A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OECD</w:t>
            </w:r>
          </w:p>
        </w:tc>
        <w:tc>
          <w:tcPr>
            <w:tcW w:w="791" w:type="pct"/>
          </w:tcPr>
          <w:p w14:paraId="7848E2F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Policy and commentary paper</w:t>
            </w:r>
          </w:p>
        </w:tc>
        <w:tc>
          <w:tcPr>
            <w:tcW w:w="402" w:type="pct"/>
          </w:tcPr>
          <w:p w14:paraId="1F38FDD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686E292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652D51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A411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264" w:type="pct"/>
          </w:tcPr>
          <w:p w14:paraId="2F2DFA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1F2F3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064350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F52796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33D5D0F" w14:textId="77777777" w:rsidTr="007674CF">
        <w:tc>
          <w:tcPr>
            <w:tcW w:w="443" w:type="pct"/>
          </w:tcPr>
          <w:p w14:paraId="53A35C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 (2003)</w:t>
            </w:r>
          </w:p>
        </w:tc>
        <w:tc>
          <w:tcPr>
            <w:tcW w:w="874" w:type="pct"/>
          </w:tcPr>
          <w:p w14:paraId="3D2819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Guidelines for who guidelines</w:t>
            </w:r>
          </w:p>
        </w:tc>
        <w:tc>
          <w:tcPr>
            <w:tcW w:w="454" w:type="pct"/>
          </w:tcPr>
          <w:p w14:paraId="466E6C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World Health Organization</w:t>
            </w:r>
          </w:p>
        </w:tc>
        <w:tc>
          <w:tcPr>
            <w:tcW w:w="791" w:type="pct"/>
          </w:tcPr>
          <w:p w14:paraId="155485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402" w:type="pct"/>
          </w:tcPr>
          <w:p w14:paraId="66A49A2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policy</w:t>
            </w:r>
          </w:p>
          <w:p w14:paraId="53BB2F00" w14:textId="77777777" w:rsidR="0093470E" w:rsidRPr="00E16853" w:rsidRDefault="0093470E" w:rsidP="004F464F">
            <w:pPr>
              <w:pStyle w:val="NoSpacing"/>
              <w:rPr>
                <w:rFonts w:eastAsia="Times New Roman"/>
                <w:color w:val="000000"/>
                <w:sz w:val="18"/>
                <w:szCs w:val="18"/>
              </w:rPr>
            </w:pPr>
          </w:p>
        </w:tc>
        <w:tc>
          <w:tcPr>
            <w:tcW w:w="454" w:type="pct"/>
          </w:tcPr>
          <w:p w14:paraId="4F06E2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International </w:t>
            </w:r>
          </w:p>
        </w:tc>
        <w:tc>
          <w:tcPr>
            <w:tcW w:w="264" w:type="pct"/>
          </w:tcPr>
          <w:p w14:paraId="562C17A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49327C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264" w:type="pct"/>
          </w:tcPr>
          <w:p w14:paraId="4C6997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9F2127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264" w:type="pct"/>
          </w:tcPr>
          <w:p w14:paraId="26BACAB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6FF17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E971A48" w14:textId="77777777" w:rsidTr="007674CF">
        <w:tc>
          <w:tcPr>
            <w:tcW w:w="443" w:type="pct"/>
          </w:tcPr>
          <w:p w14:paraId="4427EE47"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Volmink</w:t>
            </w:r>
            <w:proofErr w:type="spellEnd"/>
            <w:r w:rsidRPr="00E16853">
              <w:rPr>
                <w:rFonts w:eastAsia="Times New Roman"/>
                <w:color w:val="000000"/>
                <w:sz w:val="18"/>
                <w:szCs w:val="18"/>
              </w:rPr>
              <w:t xml:space="preserve"> et al. (2004)</w:t>
            </w:r>
          </w:p>
        </w:tc>
        <w:tc>
          <w:tcPr>
            <w:tcW w:w="874" w:type="pct"/>
          </w:tcPr>
          <w:p w14:paraId="4AECEDD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Research synthesis and disseminating as a bridge to knowledge management: the Cochrane Collaboration </w:t>
            </w:r>
          </w:p>
        </w:tc>
        <w:tc>
          <w:tcPr>
            <w:tcW w:w="454" w:type="pct"/>
          </w:tcPr>
          <w:p w14:paraId="7E6E09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Bulletin of the World Health Organization</w:t>
            </w:r>
          </w:p>
        </w:tc>
        <w:tc>
          <w:tcPr>
            <w:tcW w:w="791" w:type="pct"/>
          </w:tcPr>
          <w:p w14:paraId="5E6E977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402" w:type="pct"/>
          </w:tcPr>
          <w:p w14:paraId="53B66E2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 policy</w:t>
            </w:r>
          </w:p>
        </w:tc>
        <w:tc>
          <w:tcPr>
            <w:tcW w:w="454" w:type="pct"/>
          </w:tcPr>
          <w:p w14:paraId="18AC9C8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30FE5A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8D6A72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264" w:type="pct"/>
          </w:tcPr>
          <w:p w14:paraId="4DD824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8018ED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ED2FA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ED438E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E91C8BB" w14:textId="77777777" w:rsidTr="007674CF">
        <w:tc>
          <w:tcPr>
            <w:tcW w:w="443" w:type="pct"/>
          </w:tcPr>
          <w:p w14:paraId="25D8106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Rosen, et al. (2004)</w:t>
            </w:r>
          </w:p>
        </w:tc>
        <w:tc>
          <w:tcPr>
            <w:tcW w:w="874" w:type="pct"/>
          </w:tcPr>
          <w:p w14:paraId="6CF9130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 needs a mental health commission.</w:t>
            </w:r>
          </w:p>
        </w:tc>
        <w:tc>
          <w:tcPr>
            <w:tcW w:w="454" w:type="pct"/>
          </w:tcPr>
          <w:p w14:paraId="2A5B0F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0266628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2CDE83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6F78CFE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NZ</w:t>
            </w:r>
          </w:p>
        </w:tc>
        <w:tc>
          <w:tcPr>
            <w:tcW w:w="264" w:type="pct"/>
          </w:tcPr>
          <w:p w14:paraId="08CBC9F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D102A3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02FD11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0574AAF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67D03A4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A594AA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31EE34D" w14:textId="77777777" w:rsidTr="007674CF">
        <w:tc>
          <w:tcPr>
            <w:tcW w:w="443" w:type="pct"/>
          </w:tcPr>
          <w:p w14:paraId="09CE5C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Drabble, et al. (2013)</w:t>
            </w:r>
          </w:p>
        </w:tc>
        <w:tc>
          <w:tcPr>
            <w:tcW w:w="874" w:type="pct"/>
          </w:tcPr>
          <w:p w14:paraId="4CB293D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Child Welfare Partnership for Research and Training: A Title IV-E University/Community Collaborative Research Model.</w:t>
            </w:r>
          </w:p>
        </w:tc>
        <w:tc>
          <w:tcPr>
            <w:tcW w:w="454" w:type="pct"/>
          </w:tcPr>
          <w:p w14:paraId="79DF98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11FC3C76"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Intervention</w:t>
            </w:r>
          </w:p>
        </w:tc>
        <w:tc>
          <w:tcPr>
            <w:tcW w:w="402" w:type="pct"/>
          </w:tcPr>
          <w:p w14:paraId="14A830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Social work</w:t>
            </w:r>
          </w:p>
        </w:tc>
        <w:tc>
          <w:tcPr>
            <w:tcW w:w="454" w:type="pct"/>
          </w:tcPr>
          <w:p w14:paraId="1362B38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4C8D247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DBCE9C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362785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3AFD9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C3713C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7FEC0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2D75461C" w14:textId="77777777" w:rsidTr="007674CF">
        <w:trPr>
          <w:cantSplit/>
          <w:trHeight w:val="1291"/>
        </w:trPr>
        <w:tc>
          <w:tcPr>
            <w:tcW w:w="443" w:type="pct"/>
            <w:shd w:val="clear" w:color="auto" w:fill="ECC2B7" w:themeFill="accent6" w:themeFillTint="66"/>
            <w:vAlign w:val="bottom"/>
          </w:tcPr>
          <w:p w14:paraId="7302C4DB"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4C46F520"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5936B84C"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23491620"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45E28D49"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1F53042F"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4ED450AC"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4227A8E8"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06879EA2"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1BDD51DE"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149A8126"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06595DEF" w14:textId="77777777" w:rsidR="0093470E" w:rsidRPr="004F464F" w:rsidRDefault="0093470E" w:rsidP="004F464F">
            <w:pPr>
              <w:pStyle w:val="NoSpacing"/>
              <w:rPr>
                <w:b/>
              </w:rPr>
            </w:pPr>
            <w:r w:rsidRPr="004F464F">
              <w:rPr>
                <w:b/>
              </w:rPr>
              <w:t>Significance</w:t>
            </w:r>
          </w:p>
        </w:tc>
      </w:tr>
      <w:tr w:rsidR="0093470E" w:rsidRPr="00E16853" w14:paraId="234B27A1" w14:textId="77777777" w:rsidTr="007674CF">
        <w:tc>
          <w:tcPr>
            <w:tcW w:w="443" w:type="pct"/>
          </w:tcPr>
          <w:p w14:paraId="070F6110"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Matchar</w:t>
            </w:r>
            <w:proofErr w:type="spellEnd"/>
            <w:r w:rsidRPr="00E16853">
              <w:rPr>
                <w:rFonts w:eastAsia="Times New Roman"/>
                <w:color w:val="000000"/>
                <w:sz w:val="18"/>
                <w:szCs w:val="18"/>
              </w:rPr>
              <w:t xml:space="preserve"> et al. (2005)</w:t>
            </w:r>
          </w:p>
        </w:tc>
        <w:tc>
          <w:tcPr>
            <w:tcW w:w="874" w:type="pct"/>
          </w:tcPr>
          <w:p w14:paraId="740B61D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Dissemination of Evidence-based Practice </w:t>
            </w:r>
            <w:proofErr w:type="spellStart"/>
            <w:r w:rsidRPr="00E16853">
              <w:rPr>
                <w:rFonts w:eastAsia="Times New Roman"/>
                <w:color w:val="000000"/>
                <w:sz w:val="18"/>
                <w:szCs w:val="18"/>
              </w:rPr>
              <w:t>Center</w:t>
            </w:r>
            <w:proofErr w:type="spellEnd"/>
            <w:r w:rsidRPr="00E16853">
              <w:rPr>
                <w:rFonts w:eastAsia="Times New Roman"/>
                <w:color w:val="000000"/>
                <w:sz w:val="18"/>
                <w:szCs w:val="18"/>
              </w:rPr>
              <w:t xml:space="preserve"> Reports.</w:t>
            </w:r>
          </w:p>
        </w:tc>
        <w:tc>
          <w:tcPr>
            <w:tcW w:w="454" w:type="pct"/>
          </w:tcPr>
          <w:p w14:paraId="73B4D2A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7B01A222"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Intervention</w:t>
            </w:r>
          </w:p>
        </w:tc>
        <w:tc>
          <w:tcPr>
            <w:tcW w:w="402" w:type="pct"/>
          </w:tcPr>
          <w:p w14:paraId="08B5FA5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4851F5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0B52B8D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F8AE7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264" w:type="pct"/>
          </w:tcPr>
          <w:p w14:paraId="0EDA45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669DD0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4F456B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529E5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CAFF302" w14:textId="77777777" w:rsidTr="007674CF">
        <w:tc>
          <w:tcPr>
            <w:tcW w:w="443" w:type="pct"/>
          </w:tcPr>
          <w:p w14:paraId="153C0B4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Mahoney (2009)</w:t>
            </w:r>
          </w:p>
        </w:tc>
        <w:tc>
          <w:tcPr>
            <w:tcW w:w="874" w:type="pct"/>
          </w:tcPr>
          <w:p w14:paraId="3B8886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Evidence-based practice and research </w:t>
            </w:r>
            <w:r w:rsidR="00972B56" w:rsidRPr="00E16853">
              <w:rPr>
                <w:rFonts w:eastAsia="Times New Roman"/>
                <w:color w:val="000000"/>
                <w:sz w:val="18"/>
                <w:szCs w:val="18"/>
              </w:rPr>
              <w:t>scholar’s</w:t>
            </w:r>
            <w:r w:rsidRPr="00E16853">
              <w:rPr>
                <w:rFonts w:eastAsia="Times New Roman"/>
                <w:color w:val="000000"/>
                <w:sz w:val="18"/>
                <w:szCs w:val="18"/>
              </w:rPr>
              <w:t xml:space="preserve"> programs: Supporting excellence in psychiatric nursing</w:t>
            </w:r>
          </w:p>
        </w:tc>
        <w:tc>
          <w:tcPr>
            <w:tcW w:w="454" w:type="pct"/>
          </w:tcPr>
          <w:p w14:paraId="7F90EDD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76028FAD"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Intervention</w:t>
            </w:r>
          </w:p>
        </w:tc>
        <w:tc>
          <w:tcPr>
            <w:tcW w:w="402" w:type="pct"/>
          </w:tcPr>
          <w:p w14:paraId="5B4ECFD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7989406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 </w:t>
            </w:r>
          </w:p>
        </w:tc>
        <w:tc>
          <w:tcPr>
            <w:tcW w:w="264" w:type="pct"/>
          </w:tcPr>
          <w:p w14:paraId="2178979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A5B82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39ACC8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34A6246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64CF3B7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D2918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040F045" w14:textId="77777777" w:rsidTr="007674CF">
        <w:tc>
          <w:tcPr>
            <w:tcW w:w="443" w:type="pct"/>
          </w:tcPr>
          <w:p w14:paraId="750A5297"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Bruns</w:t>
            </w:r>
            <w:proofErr w:type="spellEnd"/>
            <w:r w:rsidRPr="00E16853">
              <w:rPr>
                <w:rFonts w:eastAsia="Times New Roman"/>
                <w:color w:val="000000"/>
                <w:sz w:val="18"/>
                <w:szCs w:val="18"/>
              </w:rPr>
              <w:t xml:space="preserve"> et al. (2016)</w:t>
            </w:r>
          </w:p>
        </w:tc>
        <w:tc>
          <w:tcPr>
            <w:tcW w:w="874" w:type="pct"/>
          </w:tcPr>
          <w:p w14:paraId="280F53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Fostering SMART partnerships to develop an effective continuum of </w:t>
            </w:r>
            <w:proofErr w:type="spellStart"/>
            <w:r w:rsidRPr="00E16853">
              <w:rPr>
                <w:rFonts w:eastAsia="Times New Roman"/>
                <w:color w:val="000000"/>
                <w:sz w:val="18"/>
                <w:szCs w:val="18"/>
              </w:rPr>
              <w:t>behavioral</w:t>
            </w:r>
            <w:proofErr w:type="spellEnd"/>
            <w:r w:rsidRPr="00E16853">
              <w:rPr>
                <w:rFonts w:eastAsia="Times New Roman"/>
                <w:color w:val="000000"/>
                <w:sz w:val="18"/>
                <w:szCs w:val="18"/>
              </w:rPr>
              <w:t xml:space="preserve"> health services and supports in schools.</w:t>
            </w:r>
          </w:p>
        </w:tc>
        <w:tc>
          <w:tcPr>
            <w:tcW w:w="454" w:type="pct"/>
          </w:tcPr>
          <w:p w14:paraId="6F12B8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3C329E2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7CEB10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60D82A1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FD2D67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67AA2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9C9E03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0ABE16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CF2AE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5267AC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99503A9" w14:textId="77777777" w:rsidTr="007674CF">
        <w:tc>
          <w:tcPr>
            <w:tcW w:w="443" w:type="pct"/>
          </w:tcPr>
          <w:p w14:paraId="164E67F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Smits et al. (2014)</w:t>
            </w:r>
          </w:p>
        </w:tc>
        <w:tc>
          <w:tcPr>
            <w:tcW w:w="874" w:type="pct"/>
          </w:tcPr>
          <w:p w14:paraId="58F6A9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How research funding agencies support science integration into policy and practice: An international overview.</w:t>
            </w:r>
          </w:p>
        </w:tc>
        <w:tc>
          <w:tcPr>
            <w:tcW w:w="454" w:type="pct"/>
          </w:tcPr>
          <w:p w14:paraId="09DCCCC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76A7D3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1F5DD8C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6E529D1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Canada</w:t>
            </w:r>
          </w:p>
        </w:tc>
        <w:tc>
          <w:tcPr>
            <w:tcW w:w="264" w:type="pct"/>
          </w:tcPr>
          <w:p w14:paraId="72606D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84DA1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52A27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D3E31F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60F7D3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B4462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54176ECA" w14:textId="77777777" w:rsidTr="007674CF">
        <w:tc>
          <w:tcPr>
            <w:tcW w:w="443" w:type="pct"/>
          </w:tcPr>
          <w:p w14:paraId="34BA15C7"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Stetler</w:t>
            </w:r>
            <w:proofErr w:type="spellEnd"/>
            <w:r w:rsidRPr="00E16853">
              <w:rPr>
                <w:rFonts w:eastAsia="Times New Roman"/>
                <w:color w:val="000000"/>
                <w:sz w:val="18"/>
                <w:szCs w:val="18"/>
              </w:rPr>
              <w:t xml:space="preserve"> et al. (2008)</w:t>
            </w:r>
          </w:p>
        </w:tc>
        <w:tc>
          <w:tcPr>
            <w:tcW w:w="874" w:type="pct"/>
          </w:tcPr>
          <w:p w14:paraId="61E253A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Overview of the VA Quality Enhancement Research Initiative (QUERI) and QUERI theme articles: QUERI Series.</w:t>
            </w:r>
          </w:p>
        </w:tc>
        <w:tc>
          <w:tcPr>
            <w:tcW w:w="454" w:type="pct"/>
          </w:tcPr>
          <w:p w14:paraId="42AFF7C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73C1330E"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Discussion</w:t>
            </w:r>
          </w:p>
        </w:tc>
        <w:tc>
          <w:tcPr>
            <w:tcW w:w="402" w:type="pct"/>
          </w:tcPr>
          <w:p w14:paraId="55D08EE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3D0726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661F2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95E7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FEE13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B76E6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0B78EE8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964337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9B28336" w14:textId="77777777" w:rsidTr="007674CF">
        <w:tc>
          <w:tcPr>
            <w:tcW w:w="443" w:type="pct"/>
            <w:shd w:val="clear" w:color="auto" w:fill="auto"/>
          </w:tcPr>
          <w:p w14:paraId="2202205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Whitelaw (2010)</w:t>
            </w:r>
          </w:p>
        </w:tc>
        <w:tc>
          <w:tcPr>
            <w:tcW w:w="874" w:type="pct"/>
            <w:shd w:val="clear" w:color="auto" w:fill="auto"/>
          </w:tcPr>
          <w:p w14:paraId="469E6A3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 Change and Organizational Capacity for Evidence-Based Practices: Lessons from the Field</w:t>
            </w:r>
          </w:p>
        </w:tc>
        <w:tc>
          <w:tcPr>
            <w:tcW w:w="454" w:type="pct"/>
            <w:shd w:val="clear" w:color="auto" w:fill="auto"/>
          </w:tcPr>
          <w:p w14:paraId="465E83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Research Article</w:t>
            </w:r>
          </w:p>
        </w:tc>
        <w:tc>
          <w:tcPr>
            <w:tcW w:w="791" w:type="pct"/>
            <w:shd w:val="clear" w:color="auto" w:fill="auto"/>
          </w:tcPr>
          <w:p w14:paraId="32E58BB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Systematic Review </w:t>
            </w:r>
          </w:p>
        </w:tc>
        <w:tc>
          <w:tcPr>
            <w:tcW w:w="402" w:type="pct"/>
            <w:shd w:val="clear" w:color="auto" w:fill="auto"/>
          </w:tcPr>
          <w:p w14:paraId="2B2E13D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shd w:val="clear" w:color="auto" w:fill="auto"/>
          </w:tcPr>
          <w:p w14:paraId="21BC24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shd w:val="clear" w:color="auto" w:fill="auto"/>
          </w:tcPr>
          <w:p w14:paraId="49E181A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Y</w:t>
            </w:r>
          </w:p>
        </w:tc>
        <w:tc>
          <w:tcPr>
            <w:tcW w:w="264" w:type="pct"/>
            <w:shd w:val="clear" w:color="auto" w:fill="auto"/>
          </w:tcPr>
          <w:p w14:paraId="6B387A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70C80F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shd w:val="clear" w:color="auto" w:fill="auto"/>
          </w:tcPr>
          <w:p w14:paraId="4601BF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4C2D6F1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shd w:val="clear" w:color="auto" w:fill="auto"/>
          </w:tcPr>
          <w:p w14:paraId="060ADC4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80BDEE7" w14:textId="77777777" w:rsidTr="007674CF">
        <w:tc>
          <w:tcPr>
            <w:tcW w:w="443" w:type="pct"/>
          </w:tcPr>
          <w:p w14:paraId="006097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Holmes et al.  (2012)</w:t>
            </w:r>
          </w:p>
        </w:tc>
        <w:tc>
          <w:tcPr>
            <w:tcW w:w="874" w:type="pct"/>
          </w:tcPr>
          <w:p w14:paraId="3D9B1196" w14:textId="7DB14097" w:rsidR="0093470E" w:rsidRDefault="0093470E" w:rsidP="004F464F">
            <w:pPr>
              <w:pStyle w:val="NoSpacing"/>
              <w:rPr>
                <w:rFonts w:eastAsia="Times New Roman"/>
                <w:color w:val="000000"/>
                <w:sz w:val="18"/>
                <w:szCs w:val="18"/>
              </w:rPr>
            </w:pPr>
            <w:r w:rsidRPr="00E16853">
              <w:rPr>
                <w:rFonts w:eastAsia="Times New Roman"/>
                <w:color w:val="000000"/>
                <w:sz w:val="18"/>
                <w:szCs w:val="18"/>
              </w:rPr>
              <w:t>Translating evidence into practice: the role of health research funders.</w:t>
            </w:r>
          </w:p>
          <w:p w14:paraId="00FE8E13" w14:textId="77777777" w:rsidR="0093470E" w:rsidRPr="00E16853" w:rsidRDefault="0093470E" w:rsidP="004F464F">
            <w:pPr>
              <w:pStyle w:val="NoSpacing"/>
              <w:rPr>
                <w:rFonts w:eastAsia="Times New Roman"/>
                <w:color w:val="000000"/>
                <w:sz w:val="18"/>
                <w:szCs w:val="18"/>
              </w:rPr>
            </w:pPr>
          </w:p>
        </w:tc>
        <w:tc>
          <w:tcPr>
            <w:tcW w:w="454" w:type="pct"/>
          </w:tcPr>
          <w:p w14:paraId="409D15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Article</w:t>
            </w:r>
          </w:p>
        </w:tc>
        <w:tc>
          <w:tcPr>
            <w:tcW w:w="791" w:type="pct"/>
          </w:tcPr>
          <w:p w14:paraId="65512B06"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Intervention</w:t>
            </w:r>
          </w:p>
        </w:tc>
        <w:tc>
          <w:tcPr>
            <w:tcW w:w="402" w:type="pct"/>
          </w:tcPr>
          <w:p w14:paraId="75EC78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Health</w:t>
            </w:r>
          </w:p>
        </w:tc>
        <w:tc>
          <w:tcPr>
            <w:tcW w:w="454" w:type="pct"/>
          </w:tcPr>
          <w:p w14:paraId="0BCBE90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28B7D43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F55029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B50648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2E09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F33425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C85FFCA" w14:textId="77777777" w:rsidR="008C52B2" w:rsidRDefault="0093470E" w:rsidP="004F464F">
            <w:pPr>
              <w:pStyle w:val="NoSpacing"/>
              <w:rPr>
                <w:rFonts w:eastAsia="Times New Roman"/>
                <w:color w:val="000000"/>
                <w:sz w:val="18"/>
                <w:szCs w:val="18"/>
              </w:rPr>
            </w:pPr>
            <w:r w:rsidRPr="00E16853">
              <w:rPr>
                <w:rFonts w:eastAsia="Times New Roman"/>
                <w:color w:val="000000"/>
                <w:sz w:val="18"/>
                <w:szCs w:val="18"/>
              </w:rPr>
              <w:t>U</w:t>
            </w:r>
          </w:p>
          <w:p w14:paraId="705F6E00" w14:textId="77777777" w:rsidR="0093470E" w:rsidRPr="008C52B2" w:rsidRDefault="0093470E" w:rsidP="008C52B2"/>
        </w:tc>
      </w:tr>
      <w:tr w:rsidR="0093470E" w:rsidRPr="004F464F" w14:paraId="7F380CA7" w14:textId="77777777" w:rsidTr="007674CF">
        <w:trPr>
          <w:cantSplit/>
          <w:trHeight w:val="1291"/>
        </w:trPr>
        <w:tc>
          <w:tcPr>
            <w:tcW w:w="443" w:type="pct"/>
            <w:shd w:val="clear" w:color="auto" w:fill="ECC2B7" w:themeFill="accent6" w:themeFillTint="66"/>
            <w:vAlign w:val="bottom"/>
          </w:tcPr>
          <w:p w14:paraId="1A7302C9"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493E9BB5"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01E83B8F"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45419765"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0059CB40"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0FD6FA4B"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454CD0E2"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2EF65ACE"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3C0661AF"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5BDE500A"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7AB164D3"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0275E0A7" w14:textId="77777777" w:rsidR="0093470E" w:rsidRPr="004F464F" w:rsidRDefault="0093470E" w:rsidP="004F464F">
            <w:pPr>
              <w:pStyle w:val="NoSpacing"/>
              <w:rPr>
                <w:b/>
              </w:rPr>
            </w:pPr>
            <w:r w:rsidRPr="004F464F">
              <w:rPr>
                <w:b/>
              </w:rPr>
              <w:t>Significance</w:t>
            </w:r>
          </w:p>
        </w:tc>
      </w:tr>
      <w:tr w:rsidR="0093470E" w:rsidRPr="00E16853" w14:paraId="682C3651" w14:textId="77777777" w:rsidTr="007674CF">
        <w:tc>
          <w:tcPr>
            <w:tcW w:w="443" w:type="pct"/>
          </w:tcPr>
          <w:p w14:paraId="244A666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 (2014)</w:t>
            </w:r>
          </w:p>
        </w:tc>
        <w:tc>
          <w:tcPr>
            <w:tcW w:w="874" w:type="pct"/>
          </w:tcPr>
          <w:p w14:paraId="554707A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 Policy Guide for Implementing Essential Interventions for Reproductive, Maternal, Newborn and Child Health (RMNCH): A </w:t>
            </w:r>
            <w:proofErr w:type="spellStart"/>
            <w:r w:rsidRPr="00E16853">
              <w:rPr>
                <w:rFonts w:eastAsia="Times New Roman"/>
                <w:color w:val="000000"/>
                <w:sz w:val="18"/>
                <w:szCs w:val="18"/>
              </w:rPr>
              <w:t>Multisectoral</w:t>
            </w:r>
            <w:proofErr w:type="spellEnd"/>
            <w:r w:rsidRPr="00E16853">
              <w:rPr>
                <w:rFonts w:eastAsia="Times New Roman"/>
                <w:color w:val="000000"/>
                <w:sz w:val="18"/>
                <w:szCs w:val="18"/>
              </w:rPr>
              <w:t xml:space="preserve"> Policy Compendium for RMNCH</w:t>
            </w:r>
          </w:p>
        </w:tc>
        <w:tc>
          <w:tcPr>
            <w:tcW w:w="454" w:type="pct"/>
          </w:tcPr>
          <w:p w14:paraId="20FE99F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Compendium</w:t>
            </w:r>
          </w:p>
        </w:tc>
        <w:tc>
          <w:tcPr>
            <w:tcW w:w="791" w:type="pct"/>
          </w:tcPr>
          <w:p w14:paraId="626681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Systematic Review</w:t>
            </w:r>
          </w:p>
        </w:tc>
        <w:tc>
          <w:tcPr>
            <w:tcW w:w="402" w:type="pct"/>
          </w:tcPr>
          <w:p w14:paraId="118EC88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2DB0A7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Multiple</w:t>
            </w:r>
          </w:p>
        </w:tc>
        <w:tc>
          <w:tcPr>
            <w:tcW w:w="264" w:type="pct"/>
          </w:tcPr>
          <w:p w14:paraId="6D1EA6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BE509A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CB057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41BE7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D8D48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032CE9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D982105" w14:textId="77777777" w:rsidTr="007674CF">
        <w:tc>
          <w:tcPr>
            <w:tcW w:w="443" w:type="pct"/>
          </w:tcPr>
          <w:p w14:paraId="032CBBF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Davidson et al. (2004)</w:t>
            </w:r>
          </w:p>
        </w:tc>
        <w:tc>
          <w:tcPr>
            <w:tcW w:w="874" w:type="pct"/>
          </w:tcPr>
          <w:p w14:paraId="663298F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 Primer on Current Evidence-Based Review Systems and Their Implications for </w:t>
            </w:r>
            <w:proofErr w:type="spellStart"/>
            <w:r w:rsidRPr="00E16853">
              <w:rPr>
                <w:rFonts w:eastAsia="Times New Roman"/>
                <w:color w:val="000000"/>
                <w:sz w:val="18"/>
                <w:szCs w:val="18"/>
              </w:rPr>
              <w:t>Behavioral</w:t>
            </w:r>
            <w:proofErr w:type="spellEnd"/>
            <w:r w:rsidRPr="00E16853">
              <w:rPr>
                <w:rFonts w:eastAsia="Times New Roman"/>
                <w:color w:val="000000"/>
                <w:sz w:val="18"/>
                <w:szCs w:val="18"/>
              </w:rPr>
              <w:t xml:space="preserve"> Medicine.</w:t>
            </w:r>
          </w:p>
        </w:tc>
        <w:tc>
          <w:tcPr>
            <w:tcW w:w="454" w:type="pct"/>
          </w:tcPr>
          <w:p w14:paraId="3E24019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065E135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Studies</w:t>
            </w:r>
          </w:p>
        </w:tc>
        <w:tc>
          <w:tcPr>
            <w:tcW w:w="402" w:type="pct"/>
          </w:tcPr>
          <w:p w14:paraId="6218B26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6880929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2784E37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017AEB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797665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63D339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4F07BC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8CA22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A2A7838" w14:textId="77777777" w:rsidTr="007674CF">
        <w:tc>
          <w:tcPr>
            <w:tcW w:w="443" w:type="pct"/>
          </w:tcPr>
          <w:p w14:paraId="403779B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Means et al. (2015)</w:t>
            </w:r>
          </w:p>
        </w:tc>
        <w:tc>
          <w:tcPr>
            <w:tcW w:w="874" w:type="pct"/>
          </w:tcPr>
          <w:p w14:paraId="2B45EEA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Comparing rating paradigms for evidence-based program registers in </w:t>
            </w:r>
            <w:proofErr w:type="spellStart"/>
            <w:r w:rsidRPr="00E16853">
              <w:rPr>
                <w:rFonts w:eastAsia="Times New Roman"/>
                <w:color w:val="000000"/>
                <w:sz w:val="18"/>
                <w:szCs w:val="18"/>
              </w:rPr>
              <w:t>behavioral</w:t>
            </w:r>
            <w:proofErr w:type="spellEnd"/>
            <w:r w:rsidRPr="00E16853">
              <w:rPr>
                <w:rFonts w:eastAsia="Times New Roman"/>
                <w:color w:val="000000"/>
                <w:sz w:val="18"/>
                <w:szCs w:val="18"/>
              </w:rPr>
              <w:t xml:space="preserve"> health: Evidentiary criteria and implications for assessing programs</w:t>
            </w:r>
          </w:p>
          <w:p w14:paraId="34E034FC" w14:textId="77777777" w:rsidR="0093470E" w:rsidRPr="00E16853" w:rsidRDefault="0093470E" w:rsidP="004F464F">
            <w:pPr>
              <w:pStyle w:val="NoSpacing"/>
              <w:rPr>
                <w:rFonts w:eastAsia="Times New Roman"/>
                <w:color w:val="000000"/>
                <w:sz w:val="18"/>
                <w:szCs w:val="18"/>
              </w:rPr>
            </w:pPr>
          </w:p>
        </w:tc>
        <w:tc>
          <w:tcPr>
            <w:tcW w:w="454" w:type="pct"/>
          </w:tcPr>
          <w:p w14:paraId="185D7E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55CF296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studies</w:t>
            </w:r>
          </w:p>
        </w:tc>
        <w:tc>
          <w:tcPr>
            <w:tcW w:w="402" w:type="pct"/>
          </w:tcPr>
          <w:p w14:paraId="0774ECA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2BA783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45AA4D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473C61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884553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7C5595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90275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E55BC6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9158031" w14:textId="77777777" w:rsidTr="007674CF">
        <w:tc>
          <w:tcPr>
            <w:tcW w:w="443" w:type="pct"/>
          </w:tcPr>
          <w:p w14:paraId="1A52AEE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King et al. (2009)</w:t>
            </w:r>
          </w:p>
        </w:tc>
        <w:tc>
          <w:tcPr>
            <w:tcW w:w="874" w:type="pct"/>
          </w:tcPr>
          <w:p w14:paraId="710D5E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Interventions for improving the psychosocial well-being of children affected by HIV and AIDS.</w:t>
            </w:r>
          </w:p>
        </w:tc>
        <w:tc>
          <w:tcPr>
            <w:tcW w:w="454" w:type="pct"/>
          </w:tcPr>
          <w:p w14:paraId="28EFAC1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0DA8F8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Meta-Synthesis</w:t>
            </w:r>
          </w:p>
        </w:tc>
        <w:tc>
          <w:tcPr>
            <w:tcW w:w="402" w:type="pct"/>
          </w:tcPr>
          <w:p w14:paraId="264C1E9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513E396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5B2E22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3DF23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27204D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B3008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C93EE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F7EA8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266CB3F" w14:textId="77777777" w:rsidTr="007674CF">
        <w:tc>
          <w:tcPr>
            <w:tcW w:w="443" w:type="pct"/>
          </w:tcPr>
          <w:p w14:paraId="78E3B6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Forman et al. (2016)</w:t>
            </w:r>
          </w:p>
        </w:tc>
        <w:tc>
          <w:tcPr>
            <w:tcW w:w="874" w:type="pct"/>
          </w:tcPr>
          <w:p w14:paraId="52E069B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Pragmatic recommendations to address challenges in disseminating evidenced-based treatment guidelines.</w:t>
            </w:r>
          </w:p>
        </w:tc>
        <w:tc>
          <w:tcPr>
            <w:tcW w:w="454" w:type="pct"/>
          </w:tcPr>
          <w:p w14:paraId="064467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09408131"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Policy paper</w:t>
            </w:r>
          </w:p>
        </w:tc>
        <w:tc>
          <w:tcPr>
            <w:tcW w:w="402" w:type="pct"/>
          </w:tcPr>
          <w:p w14:paraId="0AA8D7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0A7119A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2FF22B7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879F0C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9171B3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7C29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445A57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EE92CC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51A38EA6" w14:textId="77777777" w:rsidTr="007674CF">
        <w:tc>
          <w:tcPr>
            <w:tcW w:w="443" w:type="pct"/>
          </w:tcPr>
          <w:p w14:paraId="2C8FEF47"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Dozois</w:t>
            </w:r>
            <w:proofErr w:type="spellEnd"/>
            <w:r w:rsidRPr="00E16853">
              <w:rPr>
                <w:rFonts w:eastAsia="Times New Roman"/>
                <w:color w:val="000000"/>
                <w:sz w:val="18"/>
                <w:szCs w:val="18"/>
              </w:rPr>
              <w:t xml:space="preserve"> (2013)</w:t>
            </w:r>
          </w:p>
        </w:tc>
        <w:tc>
          <w:tcPr>
            <w:tcW w:w="874" w:type="pct"/>
          </w:tcPr>
          <w:p w14:paraId="28DB43E5" w14:textId="77777777" w:rsidR="0093470E" w:rsidRDefault="0093470E" w:rsidP="004F464F">
            <w:pPr>
              <w:pStyle w:val="NoSpacing"/>
              <w:rPr>
                <w:rFonts w:eastAsia="Times New Roman"/>
                <w:color w:val="000000"/>
                <w:sz w:val="18"/>
                <w:szCs w:val="18"/>
              </w:rPr>
            </w:pPr>
            <w:r w:rsidRPr="00E16853">
              <w:rPr>
                <w:rFonts w:eastAsia="Times New Roman"/>
                <w:color w:val="000000"/>
                <w:sz w:val="18"/>
                <w:szCs w:val="18"/>
              </w:rPr>
              <w:t>Psychological treatments: Putting evidence into practice and practice into evidence.</w:t>
            </w:r>
          </w:p>
          <w:p w14:paraId="7EC87E81" w14:textId="77777777" w:rsidR="0093470E" w:rsidRPr="00E16853" w:rsidRDefault="0093470E" w:rsidP="004F464F">
            <w:pPr>
              <w:pStyle w:val="NoSpacing"/>
              <w:rPr>
                <w:rFonts w:eastAsia="Times New Roman"/>
                <w:color w:val="000000"/>
                <w:sz w:val="18"/>
                <w:szCs w:val="18"/>
              </w:rPr>
            </w:pPr>
          </w:p>
        </w:tc>
        <w:tc>
          <w:tcPr>
            <w:tcW w:w="454" w:type="pct"/>
          </w:tcPr>
          <w:p w14:paraId="6CAA24A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564D1C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Commentary/Presidential Address</w:t>
            </w:r>
          </w:p>
        </w:tc>
        <w:tc>
          <w:tcPr>
            <w:tcW w:w="402" w:type="pct"/>
          </w:tcPr>
          <w:p w14:paraId="67462C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0A196EA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0CB6A7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6541B5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3A9AA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F101E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385C75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E1333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4346A58F" w14:textId="77777777" w:rsidTr="007674CF">
        <w:trPr>
          <w:cantSplit/>
          <w:trHeight w:val="1291"/>
        </w:trPr>
        <w:tc>
          <w:tcPr>
            <w:tcW w:w="443" w:type="pct"/>
            <w:shd w:val="clear" w:color="auto" w:fill="ECC2B7" w:themeFill="accent6" w:themeFillTint="66"/>
            <w:vAlign w:val="bottom"/>
          </w:tcPr>
          <w:p w14:paraId="0AA45E4F"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5EC2B4AB"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6E99F842"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23D5EAA6"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6097A0B8"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33FD9873"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22CE32F2"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5B85261C"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1E13E2DB"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7BF2A77F"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2710BF54"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4888CDA9" w14:textId="77777777" w:rsidR="0093470E" w:rsidRPr="004F464F" w:rsidRDefault="0093470E" w:rsidP="004F464F">
            <w:pPr>
              <w:pStyle w:val="NoSpacing"/>
              <w:rPr>
                <w:b/>
              </w:rPr>
            </w:pPr>
            <w:r w:rsidRPr="004F464F">
              <w:rPr>
                <w:b/>
              </w:rPr>
              <w:t>Significance</w:t>
            </w:r>
          </w:p>
        </w:tc>
      </w:tr>
      <w:tr w:rsidR="0093470E" w:rsidRPr="00E16853" w14:paraId="6CCC328A" w14:textId="77777777" w:rsidTr="007674CF">
        <w:tc>
          <w:tcPr>
            <w:tcW w:w="443" w:type="pct"/>
          </w:tcPr>
          <w:p w14:paraId="084A3EA3"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Cammy</w:t>
            </w:r>
            <w:proofErr w:type="spellEnd"/>
            <w:r w:rsidRPr="00E16853">
              <w:rPr>
                <w:rFonts w:eastAsia="Times New Roman"/>
                <w:color w:val="000000"/>
                <w:sz w:val="18"/>
                <w:szCs w:val="18"/>
              </w:rPr>
              <w:t xml:space="preserve">  (2016)</w:t>
            </w:r>
          </w:p>
        </w:tc>
        <w:tc>
          <w:tcPr>
            <w:tcW w:w="874" w:type="pct"/>
          </w:tcPr>
          <w:p w14:paraId="2351A4F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Right at Your Fingertips: Important Web-Based Resources for Understanding Evidence-Based Practices</w:t>
            </w:r>
          </w:p>
        </w:tc>
        <w:tc>
          <w:tcPr>
            <w:tcW w:w="454" w:type="pct"/>
          </w:tcPr>
          <w:p w14:paraId="0E3288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43BC975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Other - review of online resources</w:t>
            </w:r>
          </w:p>
        </w:tc>
        <w:tc>
          <w:tcPr>
            <w:tcW w:w="402" w:type="pct"/>
          </w:tcPr>
          <w:p w14:paraId="3507906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7E3B42B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427B40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D53DC0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52DCF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980B64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9DDC25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B7684A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52871A1" w14:textId="77777777" w:rsidTr="007674CF">
        <w:tc>
          <w:tcPr>
            <w:tcW w:w="443" w:type="pct"/>
          </w:tcPr>
          <w:p w14:paraId="70BBCE98"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Dozois</w:t>
            </w:r>
            <w:proofErr w:type="spellEnd"/>
            <w:r w:rsidRPr="00E16853">
              <w:rPr>
                <w:rFonts w:eastAsia="Times New Roman"/>
                <w:color w:val="000000"/>
                <w:sz w:val="18"/>
                <w:szCs w:val="18"/>
              </w:rPr>
              <w:t xml:space="preserve"> et al. (2014)</w:t>
            </w:r>
          </w:p>
        </w:tc>
        <w:tc>
          <w:tcPr>
            <w:tcW w:w="874" w:type="pct"/>
          </w:tcPr>
          <w:p w14:paraId="6FF17D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CPA Presidential Task Force on Evidence-Based Practice of Psychological Treatments.</w:t>
            </w:r>
          </w:p>
        </w:tc>
        <w:tc>
          <w:tcPr>
            <w:tcW w:w="454" w:type="pct"/>
          </w:tcPr>
          <w:p w14:paraId="1E74008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634634C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1762C2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42DBFC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0C68DF0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E4180E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1FA60C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D5F83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44DD48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8DE59D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D00E297" w14:textId="77777777" w:rsidTr="007674CF">
        <w:tc>
          <w:tcPr>
            <w:tcW w:w="443" w:type="pct"/>
          </w:tcPr>
          <w:p w14:paraId="6B9C0AF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Fisher  (2016)</w:t>
            </w:r>
          </w:p>
        </w:tc>
        <w:tc>
          <w:tcPr>
            <w:tcW w:w="874" w:type="pct"/>
          </w:tcPr>
          <w:p w14:paraId="5C5ECCD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Social Care Institute for Excellence and Evidence-Based Policy and Practice</w:t>
            </w:r>
          </w:p>
        </w:tc>
        <w:tc>
          <w:tcPr>
            <w:tcW w:w="454" w:type="pct"/>
          </w:tcPr>
          <w:p w14:paraId="3BE5968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71CD3A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6938B9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40278C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48447E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AC79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1B74C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006704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20E3A4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6DF3B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9B7BC95" w14:textId="77777777" w:rsidTr="007674CF">
        <w:tc>
          <w:tcPr>
            <w:tcW w:w="443" w:type="pct"/>
          </w:tcPr>
          <w:p w14:paraId="3601A2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 (2013)</w:t>
            </w:r>
          </w:p>
        </w:tc>
        <w:tc>
          <w:tcPr>
            <w:tcW w:w="874" w:type="pct"/>
          </w:tcPr>
          <w:p w14:paraId="77B1EB5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Transforming and scaling up health professionals' education and training: World Health Organization guidelines 2013</w:t>
            </w:r>
          </w:p>
        </w:tc>
        <w:tc>
          <w:tcPr>
            <w:tcW w:w="454" w:type="pct"/>
          </w:tcPr>
          <w:p w14:paraId="7F9D57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Other</w:t>
            </w:r>
          </w:p>
        </w:tc>
        <w:tc>
          <w:tcPr>
            <w:tcW w:w="791" w:type="pct"/>
          </w:tcPr>
          <w:p w14:paraId="5225F73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Systematic Review</w:t>
            </w:r>
          </w:p>
        </w:tc>
        <w:tc>
          <w:tcPr>
            <w:tcW w:w="402" w:type="pct"/>
          </w:tcPr>
          <w:p w14:paraId="158AF1A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0E6524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Multiple</w:t>
            </w:r>
          </w:p>
        </w:tc>
        <w:tc>
          <w:tcPr>
            <w:tcW w:w="264" w:type="pct"/>
          </w:tcPr>
          <w:p w14:paraId="5945833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AC7B1E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A005AA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AA2CF4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2F68E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7B3044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96B381F" w14:textId="77777777" w:rsidTr="007674CF">
        <w:tc>
          <w:tcPr>
            <w:tcW w:w="443" w:type="pct"/>
          </w:tcPr>
          <w:p w14:paraId="28CA8116"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McVay</w:t>
            </w:r>
            <w:proofErr w:type="spellEnd"/>
            <w:r w:rsidRPr="00E16853">
              <w:rPr>
                <w:rFonts w:eastAsia="Times New Roman"/>
                <w:color w:val="000000"/>
                <w:sz w:val="18"/>
                <w:szCs w:val="18"/>
              </w:rPr>
              <w:t xml:space="preserve"> et al. (2016)</w:t>
            </w:r>
          </w:p>
        </w:tc>
        <w:tc>
          <w:tcPr>
            <w:tcW w:w="874" w:type="pct"/>
          </w:tcPr>
          <w:p w14:paraId="7BC704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role of researchers in disseminating evidence to public health practice settings: a cross-sectional study.</w:t>
            </w:r>
          </w:p>
        </w:tc>
        <w:tc>
          <w:tcPr>
            <w:tcW w:w="454" w:type="pct"/>
          </w:tcPr>
          <w:p w14:paraId="1D03B43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322520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Survey</w:t>
            </w:r>
          </w:p>
        </w:tc>
        <w:tc>
          <w:tcPr>
            <w:tcW w:w="402" w:type="pct"/>
          </w:tcPr>
          <w:p w14:paraId="5564963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0EE3D3B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53DC0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D00E2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5FC002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FA003F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8C3C12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8D5495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09E7889" w14:textId="77777777" w:rsidTr="007674CF">
        <w:tc>
          <w:tcPr>
            <w:tcW w:w="443" w:type="pct"/>
            <w:shd w:val="clear" w:color="auto" w:fill="auto"/>
          </w:tcPr>
          <w:p w14:paraId="7154A2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Weaver et al. (2005)</w:t>
            </w:r>
          </w:p>
        </w:tc>
        <w:tc>
          <w:tcPr>
            <w:tcW w:w="874" w:type="pct"/>
            <w:shd w:val="clear" w:color="auto" w:fill="auto"/>
          </w:tcPr>
          <w:p w14:paraId="56EAECE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Bedside, classroom and bench: Collaborative strategies to generate evidence-based knowledge for nursing practice</w:t>
            </w:r>
          </w:p>
        </w:tc>
        <w:tc>
          <w:tcPr>
            <w:tcW w:w="454" w:type="pct"/>
            <w:shd w:val="clear" w:color="auto" w:fill="auto"/>
          </w:tcPr>
          <w:p w14:paraId="0D8F430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shd w:val="clear" w:color="auto" w:fill="auto"/>
          </w:tcPr>
          <w:p w14:paraId="4C0BD0C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Meta-synthesis</w:t>
            </w:r>
          </w:p>
        </w:tc>
        <w:tc>
          <w:tcPr>
            <w:tcW w:w="402" w:type="pct"/>
            <w:shd w:val="clear" w:color="auto" w:fill="auto"/>
          </w:tcPr>
          <w:p w14:paraId="7C54CBE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Nursing Education</w:t>
            </w:r>
          </w:p>
        </w:tc>
        <w:tc>
          <w:tcPr>
            <w:tcW w:w="454" w:type="pct"/>
            <w:shd w:val="clear" w:color="auto" w:fill="auto"/>
          </w:tcPr>
          <w:p w14:paraId="5C1EB7C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shd w:val="clear" w:color="auto" w:fill="auto"/>
          </w:tcPr>
          <w:p w14:paraId="217C3D5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 </w:t>
            </w:r>
          </w:p>
        </w:tc>
        <w:tc>
          <w:tcPr>
            <w:tcW w:w="264" w:type="pct"/>
            <w:shd w:val="clear" w:color="auto" w:fill="auto"/>
          </w:tcPr>
          <w:p w14:paraId="364AA8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692FD5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shd w:val="clear" w:color="auto" w:fill="auto"/>
          </w:tcPr>
          <w:p w14:paraId="6B2616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shd w:val="clear" w:color="auto" w:fill="auto"/>
          </w:tcPr>
          <w:p w14:paraId="2F3F20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shd w:val="clear" w:color="auto" w:fill="auto"/>
          </w:tcPr>
          <w:p w14:paraId="23C2BB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B70351E" w14:textId="77777777" w:rsidTr="007674CF">
        <w:tc>
          <w:tcPr>
            <w:tcW w:w="443" w:type="pct"/>
          </w:tcPr>
          <w:p w14:paraId="5A82CB00"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Duchnoski</w:t>
            </w:r>
            <w:proofErr w:type="spellEnd"/>
            <w:r w:rsidRPr="00E16853">
              <w:rPr>
                <w:rFonts w:eastAsia="Times New Roman"/>
                <w:color w:val="000000"/>
                <w:sz w:val="18"/>
                <w:szCs w:val="18"/>
              </w:rPr>
              <w:t xml:space="preserve"> et al. (2006)</w:t>
            </w:r>
          </w:p>
        </w:tc>
        <w:tc>
          <w:tcPr>
            <w:tcW w:w="874" w:type="pct"/>
          </w:tcPr>
          <w:p w14:paraId="66B2B7C9" w14:textId="77777777" w:rsidR="0093470E" w:rsidRDefault="0093470E" w:rsidP="004F464F">
            <w:pPr>
              <w:pStyle w:val="NoSpacing"/>
              <w:rPr>
                <w:rFonts w:eastAsia="Times New Roman"/>
                <w:color w:val="000000"/>
                <w:sz w:val="18"/>
                <w:szCs w:val="18"/>
              </w:rPr>
            </w:pPr>
            <w:r w:rsidRPr="00E16853">
              <w:rPr>
                <w:rFonts w:eastAsia="Times New Roman"/>
                <w:color w:val="000000"/>
                <w:sz w:val="18"/>
                <w:szCs w:val="18"/>
              </w:rPr>
              <w:t>Increasing the use of evidence-based strategies by special education teachers: A collaborative approach</w:t>
            </w:r>
          </w:p>
          <w:p w14:paraId="714177D4" w14:textId="77777777" w:rsidR="0093470E" w:rsidRDefault="0093470E" w:rsidP="004F464F">
            <w:pPr>
              <w:pStyle w:val="NoSpacing"/>
              <w:rPr>
                <w:rFonts w:eastAsia="Times New Roman"/>
                <w:color w:val="000000"/>
                <w:sz w:val="18"/>
                <w:szCs w:val="18"/>
              </w:rPr>
            </w:pPr>
          </w:p>
          <w:p w14:paraId="779EE9BD" w14:textId="77777777" w:rsidR="0093470E" w:rsidRPr="00E16853" w:rsidRDefault="0093470E" w:rsidP="004F464F">
            <w:pPr>
              <w:pStyle w:val="NoSpacing"/>
              <w:rPr>
                <w:rFonts w:eastAsia="Times New Roman"/>
                <w:color w:val="000000"/>
                <w:sz w:val="18"/>
                <w:szCs w:val="18"/>
              </w:rPr>
            </w:pPr>
          </w:p>
        </w:tc>
        <w:tc>
          <w:tcPr>
            <w:tcW w:w="454" w:type="pct"/>
          </w:tcPr>
          <w:p w14:paraId="2679DCE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2C1BD9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437749A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2505B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6FDF087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A5579A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28D83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5FB293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F6A0E0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2A83E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6961EE74" w14:textId="77777777" w:rsidTr="007674CF">
        <w:trPr>
          <w:cantSplit/>
          <w:trHeight w:val="1291"/>
        </w:trPr>
        <w:tc>
          <w:tcPr>
            <w:tcW w:w="443" w:type="pct"/>
            <w:shd w:val="clear" w:color="auto" w:fill="ECC2B7" w:themeFill="accent6" w:themeFillTint="66"/>
            <w:vAlign w:val="bottom"/>
          </w:tcPr>
          <w:p w14:paraId="3AB27EFD"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6CBE8780"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6461204D"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7D210BE7"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77D28644"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6275C787"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5B746460"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1B3BAB04"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5B1C80C2"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6F84772D"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47DCFE58"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04165FB2" w14:textId="77777777" w:rsidR="0093470E" w:rsidRPr="004F464F" w:rsidRDefault="0093470E" w:rsidP="004F464F">
            <w:pPr>
              <w:pStyle w:val="NoSpacing"/>
              <w:rPr>
                <w:b/>
              </w:rPr>
            </w:pPr>
            <w:r w:rsidRPr="004F464F">
              <w:rPr>
                <w:b/>
              </w:rPr>
              <w:t>Significance</w:t>
            </w:r>
          </w:p>
        </w:tc>
      </w:tr>
      <w:tr w:rsidR="0093470E" w:rsidRPr="00E16853" w14:paraId="26A0DD1C" w14:textId="77777777" w:rsidTr="007674CF">
        <w:tc>
          <w:tcPr>
            <w:tcW w:w="443" w:type="pct"/>
          </w:tcPr>
          <w:p w14:paraId="6D05BA38"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Ballou</w:t>
            </w:r>
            <w:proofErr w:type="spellEnd"/>
            <w:r w:rsidRPr="00E16853">
              <w:rPr>
                <w:rFonts w:eastAsia="Times New Roman"/>
                <w:color w:val="000000"/>
                <w:sz w:val="18"/>
                <w:szCs w:val="18"/>
              </w:rPr>
              <w:t xml:space="preserve"> et al. (2017)</w:t>
            </w:r>
          </w:p>
        </w:tc>
        <w:tc>
          <w:tcPr>
            <w:tcW w:w="874" w:type="pct"/>
          </w:tcPr>
          <w:p w14:paraId="0FC5ED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Lactation Skills Workshop: A Collaboration of the City of Dallas WIC and Local Hospitals.</w:t>
            </w:r>
          </w:p>
        </w:tc>
        <w:tc>
          <w:tcPr>
            <w:tcW w:w="454" w:type="pct"/>
          </w:tcPr>
          <w:p w14:paraId="373A19E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4B0143C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0A93243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49E0CE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04EEA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E90898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9F939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90E20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E05AA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A64586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A46A767" w14:textId="77777777" w:rsidTr="007674CF">
        <w:tc>
          <w:tcPr>
            <w:tcW w:w="443" w:type="pct"/>
          </w:tcPr>
          <w:p w14:paraId="044F45A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Schaeffer et al. (2005)</w:t>
            </w:r>
          </w:p>
        </w:tc>
        <w:tc>
          <w:tcPr>
            <w:tcW w:w="874" w:type="pct"/>
          </w:tcPr>
          <w:p w14:paraId="702FE04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Overcoming Challenges to Using Evidence-Based Interventions in Schools.</w:t>
            </w:r>
          </w:p>
        </w:tc>
        <w:tc>
          <w:tcPr>
            <w:tcW w:w="454" w:type="pct"/>
          </w:tcPr>
          <w:p w14:paraId="77BBB7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778103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2B60749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2E6528E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79DF2F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23354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3DE66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FBCDBD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B4A3FC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A7CA1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5439C888" w14:textId="77777777" w:rsidTr="007674CF">
        <w:tc>
          <w:tcPr>
            <w:tcW w:w="443" w:type="pct"/>
          </w:tcPr>
          <w:p w14:paraId="7390EC9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Powers et al. (2011)</w:t>
            </w:r>
          </w:p>
        </w:tc>
        <w:tc>
          <w:tcPr>
            <w:tcW w:w="874" w:type="pct"/>
          </w:tcPr>
          <w:p w14:paraId="19D226D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Supporting Evidence-based Practice in Schools with an Online Database of Best Practices.</w:t>
            </w:r>
          </w:p>
        </w:tc>
        <w:tc>
          <w:tcPr>
            <w:tcW w:w="454" w:type="pct"/>
          </w:tcPr>
          <w:p w14:paraId="2E28DDD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70D39C3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011C76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3C0BE5B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2F78D2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93C24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33E9E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465710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2AEDB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91C78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74CFDA5F" w14:textId="77777777" w:rsidTr="007674CF">
        <w:tc>
          <w:tcPr>
            <w:tcW w:w="443" w:type="pct"/>
          </w:tcPr>
          <w:p w14:paraId="47CEDFF3"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Haegerich</w:t>
            </w:r>
            <w:proofErr w:type="spellEnd"/>
            <w:r w:rsidRPr="00E16853">
              <w:rPr>
                <w:rFonts w:eastAsia="Times New Roman"/>
                <w:color w:val="000000"/>
                <w:sz w:val="18"/>
                <w:szCs w:val="18"/>
              </w:rPr>
              <w:t xml:space="preserve"> et al.  (2017)</w:t>
            </w:r>
          </w:p>
        </w:tc>
        <w:tc>
          <w:tcPr>
            <w:tcW w:w="874" w:type="pct"/>
          </w:tcPr>
          <w:p w14:paraId="66723F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Technical Packages in Injury and Violence Prevention to Move Evidence </w:t>
            </w:r>
            <w:r w:rsidR="005F186A" w:rsidRPr="00E16853">
              <w:rPr>
                <w:rFonts w:eastAsia="Times New Roman"/>
                <w:color w:val="000000"/>
                <w:sz w:val="18"/>
                <w:szCs w:val="18"/>
              </w:rPr>
              <w:t>into</w:t>
            </w:r>
            <w:r w:rsidRPr="00E16853">
              <w:rPr>
                <w:rFonts w:eastAsia="Times New Roman"/>
                <w:color w:val="000000"/>
                <w:sz w:val="18"/>
                <w:szCs w:val="18"/>
              </w:rPr>
              <w:t xml:space="preserve"> Practice.</w:t>
            </w:r>
          </w:p>
        </w:tc>
        <w:tc>
          <w:tcPr>
            <w:tcW w:w="454" w:type="pct"/>
          </w:tcPr>
          <w:p w14:paraId="47F1492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0E901AE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Evaluation </w:t>
            </w:r>
          </w:p>
        </w:tc>
        <w:tc>
          <w:tcPr>
            <w:tcW w:w="402" w:type="pct"/>
          </w:tcPr>
          <w:p w14:paraId="496529E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49051A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63D462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5D789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8D457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53E8D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BC8006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2C46E7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CA750B2" w14:textId="77777777" w:rsidTr="007674CF">
        <w:tc>
          <w:tcPr>
            <w:tcW w:w="443" w:type="pct"/>
          </w:tcPr>
          <w:p w14:paraId="64F95F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Bellamy et al. (2006)</w:t>
            </w:r>
          </w:p>
        </w:tc>
        <w:tc>
          <w:tcPr>
            <w:tcW w:w="874" w:type="pct"/>
          </w:tcPr>
          <w:p w14:paraId="4DCECE9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Current State of Evidence-Based Practice in Social Work: A Review of the Literature and Qualitative Analysis of Expert Interviews.</w:t>
            </w:r>
          </w:p>
        </w:tc>
        <w:tc>
          <w:tcPr>
            <w:tcW w:w="454" w:type="pct"/>
          </w:tcPr>
          <w:p w14:paraId="11D913B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4FD6DD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010404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Social work</w:t>
            </w:r>
          </w:p>
        </w:tc>
        <w:tc>
          <w:tcPr>
            <w:tcW w:w="454" w:type="pct"/>
          </w:tcPr>
          <w:p w14:paraId="121B5EE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3F13AB8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0A7BAC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DB497D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432EEF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107944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ACFB0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5977695" w14:textId="77777777" w:rsidTr="007674CF">
        <w:tc>
          <w:tcPr>
            <w:tcW w:w="443" w:type="pct"/>
          </w:tcPr>
          <w:p w14:paraId="59CF9108"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Tetroe</w:t>
            </w:r>
            <w:proofErr w:type="spellEnd"/>
            <w:r w:rsidRPr="00E16853">
              <w:rPr>
                <w:rFonts w:eastAsia="Times New Roman"/>
                <w:color w:val="000000"/>
                <w:sz w:val="18"/>
                <w:szCs w:val="18"/>
              </w:rPr>
              <w:t xml:space="preserve"> et al. (2011)</w:t>
            </w:r>
          </w:p>
        </w:tc>
        <w:tc>
          <w:tcPr>
            <w:tcW w:w="874" w:type="pct"/>
          </w:tcPr>
          <w:p w14:paraId="0AFBCD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What does it mean to transform knowledge into action in falls prevention research? Perspectives from the Canadian Institutes of Health Research.</w:t>
            </w:r>
          </w:p>
        </w:tc>
        <w:tc>
          <w:tcPr>
            <w:tcW w:w="454" w:type="pct"/>
          </w:tcPr>
          <w:p w14:paraId="7919C3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6C60155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Conceptual framework</w:t>
            </w:r>
          </w:p>
        </w:tc>
        <w:tc>
          <w:tcPr>
            <w:tcW w:w="402" w:type="pct"/>
          </w:tcPr>
          <w:p w14:paraId="3D1EAB2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5C98D23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Canada</w:t>
            </w:r>
          </w:p>
        </w:tc>
        <w:tc>
          <w:tcPr>
            <w:tcW w:w="264" w:type="pct"/>
          </w:tcPr>
          <w:p w14:paraId="6DC509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B03BF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9DDE3F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07F15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659844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33364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8712588" w14:textId="77777777" w:rsidTr="007674CF">
        <w:tc>
          <w:tcPr>
            <w:tcW w:w="443" w:type="pct"/>
          </w:tcPr>
          <w:p w14:paraId="3EACF0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Armstrong et al. (2007)</w:t>
            </w:r>
          </w:p>
        </w:tc>
        <w:tc>
          <w:tcPr>
            <w:tcW w:w="874" w:type="pct"/>
          </w:tcPr>
          <w:p w14:paraId="0B896A9F" w14:textId="77777777" w:rsidR="0093470E" w:rsidRDefault="0093470E" w:rsidP="004F464F">
            <w:pPr>
              <w:pStyle w:val="NoSpacing"/>
              <w:rPr>
                <w:rFonts w:eastAsia="Times New Roman"/>
                <w:color w:val="000000"/>
                <w:sz w:val="18"/>
                <w:szCs w:val="18"/>
              </w:rPr>
            </w:pPr>
            <w:r w:rsidRPr="00E16853">
              <w:rPr>
                <w:rFonts w:eastAsia="Times New Roman"/>
                <w:color w:val="000000"/>
                <w:sz w:val="18"/>
                <w:szCs w:val="18"/>
              </w:rPr>
              <w:t>The nature of evidence resources and knowledge translation for health promotion practitioners</w:t>
            </w:r>
          </w:p>
          <w:p w14:paraId="31CBFF0C" w14:textId="77777777" w:rsidR="0093470E" w:rsidRDefault="0093470E" w:rsidP="004F464F">
            <w:pPr>
              <w:pStyle w:val="NoSpacing"/>
              <w:rPr>
                <w:rFonts w:eastAsia="Times New Roman"/>
                <w:color w:val="000000"/>
                <w:sz w:val="18"/>
                <w:szCs w:val="18"/>
              </w:rPr>
            </w:pPr>
          </w:p>
          <w:p w14:paraId="7A044C6B" w14:textId="77777777" w:rsidR="0093470E" w:rsidRDefault="0093470E" w:rsidP="004F464F">
            <w:pPr>
              <w:pStyle w:val="NoSpacing"/>
              <w:rPr>
                <w:rFonts w:eastAsia="Times New Roman"/>
                <w:color w:val="000000"/>
                <w:sz w:val="18"/>
                <w:szCs w:val="18"/>
              </w:rPr>
            </w:pPr>
          </w:p>
          <w:p w14:paraId="11F495A4" w14:textId="77777777" w:rsidR="0093470E" w:rsidRPr="00E16853" w:rsidRDefault="0093470E" w:rsidP="004F464F">
            <w:pPr>
              <w:pStyle w:val="NoSpacing"/>
              <w:rPr>
                <w:rFonts w:eastAsia="Times New Roman"/>
                <w:color w:val="000000"/>
                <w:sz w:val="18"/>
                <w:szCs w:val="18"/>
              </w:rPr>
            </w:pPr>
          </w:p>
        </w:tc>
        <w:tc>
          <w:tcPr>
            <w:tcW w:w="454" w:type="pct"/>
          </w:tcPr>
          <w:p w14:paraId="6F1D76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584FDA2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Evaluation study</w:t>
            </w:r>
          </w:p>
        </w:tc>
        <w:tc>
          <w:tcPr>
            <w:tcW w:w="402" w:type="pct"/>
          </w:tcPr>
          <w:p w14:paraId="0A722D1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5938BA6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7053BC3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7693A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AEA2E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5185F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32592F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383F5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1A9151A1" w14:textId="77777777" w:rsidTr="007674CF">
        <w:trPr>
          <w:cantSplit/>
          <w:trHeight w:val="1291"/>
        </w:trPr>
        <w:tc>
          <w:tcPr>
            <w:tcW w:w="443" w:type="pct"/>
            <w:shd w:val="clear" w:color="auto" w:fill="ECC2B7" w:themeFill="accent6" w:themeFillTint="66"/>
            <w:vAlign w:val="bottom"/>
          </w:tcPr>
          <w:p w14:paraId="47B9820F"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32BF675F"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73ED6CE4"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76776EAC"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5EDDA276"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77AE6AF2"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7949BD32"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1CEC2DF6"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2BAC0784"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01A921EF"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50876C2B"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764D9D1D" w14:textId="77777777" w:rsidR="0093470E" w:rsidRPr="004F464F" w:rsidRDefault="0093470E" w:rsidP="004F464F">
            <w:pPr>
              <w:pStyle w:val="NoSpacing"/>
              <w:rPr>
                <w:b/>
              </w:rPr>
            </w:pPr>
            <w:r w:rsidRPr="004F464F">
              <w:rPr>
                <w:b/>
              </w:rPr>
              <w:t>Significance</w:t>
            </w:r>
          </w:p>
        </w:tc>
      </w:tr>
      <w:tr w:rsidR="0093470E" w:rsidRPr="00E16853" w14:paraId="6A0D332B" w14:textId="77777777" w:rsidTr="007674CF">
        <w:tc>
          <w:tcPr>
            <w:tcW w:w="443" w:type="pct"/>
          </w:tcPr>
          <w:p w14:paraId="53F55D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West et al. (2013)</w:t>
            </w:r>
          </w:p>
        </w:tc>
        <w:tc>
          <w:tcPr>
            <w:tcW w:w="874" w:type="pct"/>
          </w:tcPr>
          <w:p w14:paraId="0702E4C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Current Status of Evidence-Based Practice for Students with Intellectual Disability and Autism Spectrum Disorders</w:t>
            </w:r>
          </w:p>
        </w:tc>
        <w:tc>
          <w:tcPr>
            <w:tcW w:w="454" w:type="pct"/>
          </w:tcPr>
          <w:p w14:paraId="150F70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0C6344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studies</w:t>
            </w:r>
          </w:p>
        </w:tc>
        <w:tc>
          <w:tcPr>
            <w:tcW w:w="402" w:type="pct"/>
          </w:tcPr>
          <w:p w14:paraId="574E0C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6832C27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7E5C4A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5A0B5C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1698B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92308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FF81F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CE14B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57CABC09" w14:textId="77777777" w:rsidTr="007674CF">
        <w:tc>
          <w:tcPr>
            <w:tcW w:w="443" w:type="pct"/>
          </w:tcPr>
          <w:p w14:paraId="1770D95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Whitelaw (2010)</w:t>
            </w:r>
          </w:p>
        </w:tc>
        <w:tc>
          <w:tcPr>
            <w:tcW w:w="874" w:type="pct"/>
          </w:tcPr>
          <w:p w14:paraId="5F4F3E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System Change and Organizational Capacity for Evidence-Based Practices: Lessons from the Field</w:t>
            </w:r>
          </w:p>
        </w:tc>
        <w:tc>
          <w:tcPr>
            <w:tcW w:w="454" w:type="pct"/>
          </w:tcPr>
          <w:p w14:paraId="7E22F77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1E7C5A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studies</w:t>
            </w:r>
          </w:p>
        </w:tc>
        <w:tc>
          <w:tcPr>
            <w:tcW w:w="402" w:type="pct"/>
          </w:tcPr>
          <w:p w14:paraId="23AB00F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72517FA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3B9A83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1C6001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3FE25E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8010D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B7FEC0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58DB0F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3C4E769" w14:textId="77777777" w:rsidTr="007674CF">
        <w:tc>
          <w:tcPr>
            <w:tcW w:w="443" w:type="pct"/>
          </w:tcPr>
          <w:p w14:paraId="179C8A0D"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Farkas</w:t>
            </w:r>
            <w:proofErr w:type="spellEnd"/>
            <w:r w:rsidRPr="00E16853">
              <w:rPr>
                <w:rFonts w:eastAsia="Times New Roman"/>
                <w:color w:val="000000"/>
                <w:sz w:val="18"/>
                <w:szCs w:val="18"/>
              </w:rPr>
              <w:t>, (2007)</w:t>
            </w:r>
          </w:p>
        </w:tc>
        <w:tc>
          <w:tcPr>
            <w:tcW w:w="874" w:type="pct"/>
          </w:tcPr>
          <w:p w14:paraId="6B68D3F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Bridging science to service: Using Rehabilitation Research and Training </w:t>
            </w:r>
            <w:proofErr w:type="spellStart"/>
            <w:r w:rsidRPr="00E16853">
              <w:rPr>
                <w:rFonts w:eastAsia="Times New Roman"/>
                <w:color w:val="000000"/>
                <w:sz w:val="18"/>
                <w:szCs w:val="18"/>
              </w:rPr>
              <w:t>Center</w:t>
            </w:r>
            <w:proofErr w:type="spellEnd"/>
            <w:r w:rsidRPr="00E16853">
              <w:rPr>
                <w:rFonts w:eastAsia="Times New Roman"/>
                <w:color w:val="000000"/>
                <w:sz w:val="18"/>
                <w:szCs w:val="18"/>
              </w:rPr>
              <w:t xml:space="preserve"> program to ensure that research-based knowledge makes a difference</w:t>
            </w:r>
          </w:p>
        </w:tc>
        <w:tc>
          <w:tcPr>
            <w:tcW w:w="454" w:type="pct"/>
          </w:tcPr>
          <w:p w14:paraId="2F9869E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052354D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377A0C4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Mental Health</w:t>
            </w:r>
          </w:p>
        </w:tc>
        <w:tc>
          <w:tcPr>
            <w:tcW w:w="454" w:type="pct"/>
          </w:tcPr>
          <w:p w14:paraId="6036C4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301018B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491B4D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4D3A6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A4631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B7930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355204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020FAF6" w14:textId="77777777" w:rsidTr="007674CF">
        <w:tc>
          <w:tcPr>
            <w:tcW w:w="443" w:type="pct"/>
          </w:tcPr>
          <w:p w14:paraId="13EEA54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Joseph et al. (2008)</w:t>
            </w:r>
          </w:p>
        </w:tc>
        <w:tc>
          <w:tcPr>
            <w:tcW w:w="874" w:type="pct"/>
          </w:tcPr>
          <w:p w14:paraId="454656A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Pebble Projects: coordinated evidence-based case studies.</w:t>
            </w:r>
          </w:p>
        </w:tc>
        <w:tc>
          <w:tcPr>
            <w:tcW w:w="454" w:type="pct"/>
          </w:tcPr>
          <w:p w14:paraId="367611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6A9642A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Post-occupancy evaluation</w:t>
            </w:r>
          </w:p>
        </w:tc>
        <w:tc>
          <w:tcPr>
            <w:tcW w:w="402" w:type="pct"/>
          </w:tcPr>
          <w:p w14:paraId="21882F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0080ED0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6D11AB9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9F174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F1D049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74631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1AF5605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27D688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01788B8" w14:textId="77777777" w:rsidTr="007674CF">
        <w:tc>
          <w:tcPr>
            <w:tcW w:w="443" w:type="pct"/>
            <w:shd w:val="clear" w:color="auto" w:fill="auto"/>
          </w:tcPr>
          <w:p w14:paraId="7C486E0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Liang (2011)</w:t>
            </w:r>
          </w:p>
        </w:tc>
        <w:tc>
          <w:tcPr>
            <w:tcW w:w="874" w:type="pct"/>
            <w:shd w:val="clear" w:color="auto" w:fill="auto"/>
          </w:tcPr>
          <w:p w14:paraId="01B116E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Evidence-Informed Managerial Decision- Making: what evidence counts? (Part Two).</w:t>
            </w:r>
          </w:p>
        </w:tc>
        <w:tc>
          <w:tcPr>
            <w:tcW w:w="454" w:type="pct"/>
            <w:shd w:val="clear" w:color="auto" w:fill="auto"/>
          </w:tcPr>
          <w:p w14:paraId="01C7424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shd w:val="clear" w:color="auto" w:fill="auto"/>
          </w:tcPr>
          <w:p w14:paraId="544577E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w:t>
            </w:r>
            <w:r w:rsidR="001A5914">
              <w:rPr>
                <w:rFonts w:eastAsia="Times New Roman"/>
                <w:color w:val="000000"/>
                <w:sz w:val="18"/>
                <w:szCs w:val="18"/>
              </w:rPr>
              <w:t>Not clear</w:t>
            </w:r>
          </w:p>
        </w:tc>
        <w:tc>
          <w:tcPr>
            <w:tcW w:w="402" w:type="pct"/>
            <w:shd w:val="clear" w:color="auto" w:fill="auto"/>
          </w:tcPr>
          <w:p w14:paraId="0815C3E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shd w:val="clear" w:color="auto" w:fill="auto"/>
          </w:tcPr>
          <w:p w14:paraId="4609A28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shd w:val="clear" w:color="auto" w:fill="auto"/>
          </w:tcPr>
          <w:p w14:paraId="7AACE98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56890EF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630F98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684D177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708AF1E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shd w:val="clear" w:color="auto" w:fill="auto"/>
          </w:tcPr>
          <w:p w14:paraId="1D6ED61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8D8A522" w14:textId="77777777" w:rsidTr="007674CF">
        <w:tc>
          <w:tcPr>
            <w:tcW w:w="443" w:type="pct"/>
          </w:tcPr>
          <w:p w14:paraId="61E4D14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Research on Educational Effectiveness (SREE), Society (2011)</w:t>
            </w:r>
          </w:p>
        </w:tc>
        <w:tc>
          <w:tcPr>
            <w:tcW w:w="874" w:type="pct"/>
          </w:tcPr>
          <w:p w14:paraId="223EB51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Examining the Effectiveness of a Train-the-Trainer Model: Training Teachers to Use Pivotal Response Training</w:t>
            </w:r>
          </w:p>
        </w:tc>
        <w:tc>
          <w:tcPr>
            <w:tcW w:w="454" w:type="pct"/>
          </w:tcPr>
          <w:p w14:paraId="5AB520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71A101E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Post-occupancy evaluation</w:t>
            </w:r>
          </w:p>
        </w:tc>
        <w:tc>
          <w:tcPr>
            <w:tcW w:w="402" w:type="pct"/>
          </w:tcPr>
          <w:p w14:paraId="48D27E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4E5D9C6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7844F62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8A30F0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2836A0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688B35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554EE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63CE2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3B961C1" w14:textId="77777777" w:rsidTr="007674CF">
        <w:tc>
          <w:tcPr>
            <w:tcW w:w="443" w:type="pct"/>
          </w:tcPr>
          <w:p w14:paraId="6A43E98F" w14:textId="77777777" w:rsidR="0093470E" w:rsidRPr="00E16853" w:rsidRDefault="0093470E" w:rsidP="004F464F">
            <w:pPr>
              <w:pStyle w:val="NoSpacing"/>
              <w:rPr>
                <w:rFonts w:eastAsia="Times New Roman"/>
                <w:sz w:val="18"/>
                <w:szCs w:val="18"/>
              </w:rPr>
            </w:pPr>
            <w:r w:rsidRPr="00E16853">
              <w:rPr>
                <w:rFonts w:eastAsia="Times New Roman"/>
                <w:sz w:val="18"/>
                <w:szCs w:val="18"/>
              </w:rPr>
              <w:t>McDermott et al. (2010)</w:t>
            </w:r>
          </w:p>
        </w:tc>
        <w:tc>
          <w:tcPr>
            <w:tcW w:w="874" w:type="pct"/>
          </w:tcPr>
          <w:p w14:paraId="4A63F57B" w14:textId="77777777" w:rsidR="0093470E" w:rsidRDefault="0093470E" w:rsidP="004F464F">
            <w:pPr>
              <w:pStyle w:val="NoSpacing"/>
              <w:rPr>
                <w:rFonts w:eastAsia="Times New Roman"/>
                <w:sz w:val="18"/>
                <w:szCs w:val="18"/>
              </w:rPr>
            </w:pPr>
            <w:r w:rsidRPr="00E16853">
              <w:rPr>
                <w:rFonts w:eastAsia="Times New Roman"/>
                <w:sz w:val="18"/>
                <w:szCs w:val="18"/>
              </w:rPr>
              <w:t xml:space="preserve">Formation and Early History of The American Academy of Health </w:t>
            </w:r>
            <w:proofErr w:type="spellStart"/>
            <w:r w:rsidRPr="00E16853">
              <w:rPr>
                <w:rFonts w:eastAsia="Times New Roman"/>
                <w:sz w:val="18"/>
                <w:szCs w:val="18"/>
              </w:rPr>
              <w:t>Behavior</w:t>
            </w:r>
            <w:proofErr w:type="spellEnd"/>
            <w:r w:rsidRPr="00E16853">
              <w:rPr>
                <w:rFonts w:eastAsia="Times New Roman"/>
                <w:sz w:val="18"/>
                <w:szCs w:val="18"/>
              </w:rPr>
              <w:t>.</w:t>
            </w:r>
          </w:p>
          <w:p w14:paraId="77CD440D" w14:textId="77777777" w:rsidR="0093470E" w:rsidRDefault="0093470E" w:rsidP="004F464F">
            <w:pPr>
              <w:pStyle w:val="NoSpacing"/>
              <w:rPr>
                <w:rFonts w:eastAsia="Times New Roman"/>
                <w:sz w:val="18"/>
                <w:szCs w:val="18"/>
              </w:rPr>
            </w:pPr>
          </w:p>
          <w:p w14:paraId="18B894CC" w14:textId="77777777" w:rsidR="0093470E" w:rsidRPr="00E16853" w:rsidRDefault="0093470E" w:rsidP="004F464F">
            <w:pPr>
              <w:pStyle w:val="NoSpacing"/>
              <w:rPr>
                <w:rFonts w:eastAsia="Times New Roman"/>
                <w:sz w:val="18"/>
                <w:szCs w:val="18"/>
              </w:rPr>
            </w:pPr>
          </w:p>
        </w:tc>
        <w:tc>
          <w:tcPr>
            <w:tcW w:w="454" w:type="pct"/>
          </w:tcPr>
          <w:p w14:paraId="7C3103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7F525C4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Case study </w:t>
            </w:r>
          </w:p>
        </w:tc>
        <w:tc>
          <w:tcPr>
            <w:tcW w:w="402" w:type="pct"/>
          </w:tcPr>
          <w:p w14:paraId="15AB3F0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659EAA2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12F3024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FABECD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1A89AD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N </w:t>
            </w:r>
          </w:p>
        </w:tc>
        <w:tc>
          <w:tcPr>
            <w:tcW w:w="264" w:type="pct"/>
          </w:tcPr>
          <w:p w14:paraId="4C4800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N </w:t>
            </w:r>
          </w:p>
        </w:tc>
        <w:tc>
          <w:tcPr>
            <w:tcW w:w="264" w:type="pct"/>
          </w:tcPr>
          <w:p w14:paraId="014F6C0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EF122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r>
      <w:tr w:rsidR="0093470E" w:rsidRPr="004F464F" w14:paraId="791FBD63" w14:textId="77777777" w:rsidTr="007674CF">
        <w:trPr>
          <w:cantSplit/>
          <w:trHeight w:val="1291"/>
        </w:trPr>
        <w:tc>
          <w:tcPr>
            <w:tcW w:w="443" w:type="pct"/>
            <w:shd w:val="clear" w:color="auto" w:fill="ECC2B7" w:themeFill="accent6" w:themeFillTint="66"/>
            <w:vAlign w:val="bottom"/>
          </w:tcPr>
          <w:p w14:paraId="59E81802"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37EDD7F9"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3A833DBB"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57E3F358"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5EFB4A96"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6969519A"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086C7D7B"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451686D0"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0C3EBD12"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5DE81768"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2BD6CFA4"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6AE89EC4" w14:textId="77777777" w:rsidR="0093470E" w:rsidRPr="004F464F" w:rsidRDefault="0093470E" w:rsidP="004F464F">
            <w:pPr>
              <w:pStyle w:val="NoSpacing"/>
              <w:rPr>
                <w:b/>
              </w:rPr>
            </w:pPr>
            <w:r w:rsidRPr="004F464F">
              <w:rPr>
                <w:b/>
              </w:rPr>
              <w:t>Significance</w:t>
            </w:r>
          </w:p>
        </w:tc>
      </w:tr>
      <w:tr w:rsidR="0093470E" w:rsidRPr="00E16853" w14:paraId="1CE95584" w14:textId="77777777" w:rsidTr="007674CF">
        <w:tc>
          <w:tcPr>
            <w:tcW w:w="443" w:type="pct"/>
          </w:tcPr>
          <w:p w14:paraId="51B1664A" w14:textId="77777777" w:rsidR="0093470E" w:rsidRPr="00E16853" w:rsidRDefault="0093470E" w:rsidP="004F464F">
            <w:pPr>
              <w:pStyle w:val="NoSpacing"/>
              <w:rPr>
                <w:rFonts w:eastAsia="Times New Roman"/>
                <w:sz w:val="18"/>
                <w:szCs w:val="18"/>
              </w:rPr>
            </w:pPr>
            <w:proofErr w:type="spellStart"/>
            <w:r w:rsidRPr="00E16853">
              <w:rPr>
                <w:rFonts w:eastAsia="Times New Roman"/>
                <w:sz w:val="18"/>
                <w:szCs w:val="18"/>
              </w:rPr>
              <w:t>Parnham</w:t>
            </w:r>
            <w:proofErr w:type="spellEnd"/>
            <w:r w:rsidRPr="00E16853">
              <w:rPr>
                <w:rFonts w:eastAsia="Times New Roman"/>
                <w:sz w:val="18"/>
                <w:szCs w:val="18"/>
              </w:rPr>
              <w:t xml:space="preserve"> (2008)</w:t>
            </w:r>
          </w:p>
        </w:tc>
        <w:tc>
          <w:tcPr>
            <w:tcW w:w="874" w:type="pct"/>
          </w:tcPr>
          <w:p w14:paraId="1DAE114E" w14:textId="77777777" w:rsidR="0093470E" w:rsidRPr="00E16853" w:rsidRDefault="0093470E" w:rsidP="004F464F">
            <w:pPr>
              <w:pStyle w:val="NoSpacing"/>
              <w:rPr>
                <w:rFonts w:eastAsia="Times New Roman"/>
                <w:sz w:val="18"/>
                <w:szCs w:val="18"/>
              </w:rPr>
            </w:pPr>
            <w:r w:rsidRPr="00E16853">
              <w:rPr>
                <w:rFonts w:eastAsia="Times New Roman"/>
                <w:sz w:val="18"/>
                <w:szCs w:val="18"/>
              </w:rPr>
              <w:t>Chronic conditions guidelines: an introduction.</w:t>
            </w:r>
          </w:p>
        </w:tc>
        <w:tc>
          <w:tcPr>
            <w:tcW w:w="454" w:type="pct"/>
          </w:tcPr>
          <w:p w14:paraId="39DAB0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15BDB60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29FC6F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544E563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5C4F731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6EFE5E9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2F80AE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N </w:t>
            </w:r>
          </w:p>
        </w:tc>
        <w:tc>
          <w:tcPr>
            <w:tcW w:w="264" w:type="pct"/>
          </w:tcPr>
          <w:p w14:paraId="76B3AC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N </w:t>
            </w:r>
          </w:p>
        </w:tc>
        <w:tc>
          <w:tcPr>
            <w:tcW w:w="264" w:type="pct"/>
          </w:tcPr>
          <w:p w14:paraId="65F2A2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2" w:type="pct"/>
          </w:tcPr>
          <w:p w14:paraId="2860996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r>
      <w:tr w:rsidR="0093470E" w:rsidRPr="00E16853" w14:paraId="1C63EDB6" w14:textId="77777777" w:rsidTr="007674CF">
        <w:tc>
          <w:tcPr>
            <w:tcW w:w="443" w:type="pct"/>
            <w:shd w:val="clear" w:color="auto" w:fill="auto"/>
          </w:tcPr>
          <w:p w14:paraId="3E8267AB" w14:textId="77777777" w:rsidR="0093470E" w:rsidRPr="00E16853" w:rsidRDefault="0093470E" w:rsidP="004F464F">
            <w:pPr>
              <w:pStyle w:val="NoSpacing"/>
              <w:rPr>
                <w:rFonts w:eastAsia="Times New Roman"/>
                <w:sz w:val="18"/>
                <w:szCs w:val="18"/>
              </w:rPr>
            </w:pPr>
            <w:r w:rsidRPr="00E16853">
              <w:rPr>
                <w:rFonts w:eastAsia="Times New Roman"/>
                <w:sz w:val="18"/>
                <w:szCs w:val="18"/>
              </w:rPr>
              <w:t>Simmons, (2015)</w:t>
            </w:r>
          </w:p>
        </w:tc>
        <w:tc>
          <w:tcPr>
            <w:tcW w:w="874" w:type="pct"/>
            <w:shd w:val="clear" w:color="auto" w:fill="auto"/>
          </w:tcPr>
          <w:p w14:paraId="2BCFE63C" w14:textId="77777777" w:rsidR="0093470E" w:rsidRPr="00E16853" w:rsidRDefault="0093470E" w:rsidP="004F464F">
            <w:pPr>
              <w:pStyle w:val="NoSpacing"/>
              <w:rPr>
                <w:rFonts w:eastAsia="Times New Roman"/>
                <w:sz w:val="18"/>
                <w:szCs w:val="18"/>
              </w:rPr>
            </w:pPr>
            <w:r w:rsidRPr="00E16853">
              <w:rPr>
                <w:rFonts w:eastAsia="Times New Roman"/>
                <w:sz w:val="18"/>
                <w:szCs w:val="18"/>
              </w:rPr>
              <w:t>Constraints on evidence-based policy: insights from government practices.</w:t>
            </w:r>
          </w:p>
        </w:tc>
        <w:tc>
          <w:tcPr>
            <w:tcW w:w="454" w:type="pct"/>
            <w:shd w:val="clear" w:color="auto" w:fill="auto"/>
          </w:tcPr>
          <w:p w14:paraId="61C060D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shd w:val="clear" w:color="auto" w:fill="auto"/>
          </w:tcPr>
          <w:p w14:paraId="2C4FF82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shd w:val="clear" w:color="auto" w:fill="auto"/>
          </w:tcPr>
          <w:p w14:paraId="12F037D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Tourism</w:t>
            </w:r>
          </w:p>
          <w:p w14:paraId="249B82CF" w14:textId="77777777" w:rsidR="0093470E" w:rsidRPr="00E16853" w:rsidRDefault="0093470E" w:rsidP="004F464F">
            <w:pPr>
              <w:pStyle w:val="NoSpacing"/>
              <w:rPr>
                <w:rFonts w:eastAsia="Times New Roman"/>
                <w:color w:val="000000"/>
                <w:sz w:val="18"/>
                <w:szCs w:val="18"/>
              </w:rPr>
            </w:pPr>
          </w:p>
          <w:p w14:paraId="7CF60627" w14:textId="77777777" w:rsidR="0093470E" w:rsidRPr="00E16853" w:rsidRDefault="0093470E" w:rsidP="004F464F">
            <w:pPr>
              <w:pStyle w:val="NoSpacing"/>
              <w:rPr>
                <w:rFonts w:eastAsia="Times New Roman"/>
                <w:color w:val="000000"/>
                <w:sz w:val="18"/>
                <w:szCs w:val="18"/>
              </w:rPr>
            </w:pPr>
          </w:p>
        </w:tc>
        <w:tc>
          <w:tcPr>
            <w:tcW w:w="454" w:type="pct"/>
            <w:shd w:val="clear" w:color="auto" w:fill="auto"/>
          </w:tcPr>
          <w:p w14:paraId="055706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shd w:val="clear" w:color="auto" w:fill="auto"/>
          </w:tcPr>
          <w:p w14:paraId="76B05B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66B055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shd w:val="clear" w:color="auto" w:fill="auto"/>
          </w:tcPr>
          <w:p w14:paraId="15CA98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shd w:val="clear" w:color="auto" w:fill="auto"/>
          </w:tcPr>
          <w:p w14:paraId="1854FEF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shd w:val="clear" w:color="auto" w:fill="auto"/>
          </w:tcPr>
          <w:p w14:paraId="0FC6F5D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shd w:val="clear" w:color="auto" w:fill="auto"/>
          </w:tcPr>
          <w:p w14:paraId="5ED13ED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3228F77" w14:textId="77777777" w:rsidTr="007674CF">
        <w:tc>
          <w:tcPr>
            <w:tcW w:w="443" w:type="pct"/>
          </w:tcPr>
          <w:p w14:paraId="40A3166A" w14:textId="77777777" w:rsidR="0093470E" w:rsidRPr="00E16853" w:rsidRDefault="0093470E" w:rsidP="004F464F">
            <w:pPr>
              <w:pStyle w:val="NoSpacing"/>
              <w:rPr>
                <w:rFonts w:eastAsia="Times New Roman"/>
                <w:sz w:val="18"/>
                <w:szCs w:val="18"/>
              </w:rPr>
            </w:pPr>
            <w:r w:rsidRPr="00E16853">
              <w:rPr>
                <w:rFonts w:eastAsia="Times New Roman"/>
                <w:sz w:val="18"/>
                <w:szCs w:val="18"/>
              </w:rPr>
              <w:t>Hawkins et al. (2016)</w:t>
            </w:r>
          </w:p>
        </w:tc>
        <w:tc>
          <w:tcPr>
            <w:tcW w:w="874" w:type="pct"/>
          </w:tcPr>
          <w:p w14:paraId="4B9FBC4B" w14:textId="77777777" w:rsidR="0093470E" w:rsidRPr="00E16853" w:rsidRDefault="0093470E" w:rsidP="004F464F">
            <w:pPr>
              <w:pStyle w:val="NoSpacing"/>
              <w:rPr>
                <w:rFonts w:eastAsia="Times New Roman"/>
                <w:sz w:val="18"/>
                <w:szCs w:val="18"/>
              </w:rPr>
            </w:pPr>
            <w:r w:rsidRPr="00E16853">
              <w:rPr>
                <w:rFonts w:eastAsia="Times New Roman"/>
                <w:sz w:val="18"/>
                <w:szCs w:val="18"/>
              </w:rPr>
              <w:t>The Good Governance" of Evidence in Health Policy"</w:t>
            </w:r>
          </w:p>
        </w:tc>
        <w:tc>
          <w:tcPr>
            <w:tcW w:w="454" w:type="pct"/>
          </w:tcPr>
          <w:p w14:paraId="4A0776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1B5F52E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Theoretical </w:t>
            </w:r>
          </w:p>
        </w:tc>
        <w:tc>
          <w:tcPr>
            <w:tcW w:w="402" w:type="pct"/>
          </w:tcPr>
          <w:p w14:paraId="32FC8C9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Multi-sectorial</w:t>
            </w:r>
          </w:p>
        </w:tc>
        <w:tc>
          <w:tcPr>
            <w:tcW w:w="454" w:type="pct"/>
          </w:tcPr>
          <w:p w14:paraId="1DAB1FF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UK, US, EU (research funded by European Research Council)  </w:t>
            </w:r>
          </w:p>
        </w:tc>
        <w:tc>
          <w:tcPr>
            <w:tcW w:w="264" w:type="pct"/>
          </w:tcPr>
          <w:p w14:paraId="48F5A0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22D0E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65A37D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C1A652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BA6EE7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E183E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2942A040" w14:textId="77777777" w:rsidTr="007674CF">
        <w:tc>
          <w:tcPr>
            <w:tcW w:w="443" w:type="pct"/>
          </w:tcPr>
          <w:p w14:paraId="1FE68F57" w14:textId="77777777" w:rsidR="0093470E" w:rsidRPr="00E16853" w:rsidRDefault="0093470E" w:rsidP="004F464F">
            <w:pPr>
              <w:pStyle w:val="NoSpacing"/>
              <w:rPr>
                <w:rFonts w:eastAsia="Times New Roman"/>
                <w:sz w:val="18"/>
                <w:szCs w:val="18"/>
              </w:rPr>
            </w:pPr>
            <w:r w:rsidRPr="00E16853">
              <w:rPr>
                <w:rFonts w:eastAsia="Times New Roman"/>
                <w:sz w:val="18"/>
                <w:szCs w:val="18"/>
              </w:rPr>
              <w:t>Kane (2016)</w:t>
            </w:r>
          </w:p>
        </w:tc>
        <w:tc>
          <w:tcPr>
            <w:tcW w:w="874" w:type="pct"/>
          </w:tcPr>
          <w:p w14:paraId="6B15BE8A" w14:textId="77777777" w:rsidR="0093470E" w:rsidRPr="00E16853" w:rsidRDefault="0093470E" w:rsidP="004F464F">
            <w:pPr>
              <w:pStyle w:val="NoSpacing"/>
              <w:rPr>
                <w:rFonts w:eastAsia="Times New Roman"/>
                <w:sz w:val="18"/>
                <w:szCs w:val="18"/>
              </w:rPr>
            </w:pPr>
            <w:r w:rsidRPr="00E16853">
              <w:rPr>
                <w:rFonts w:eastAsia="Times New Roman"/>
                <w:sz w:val="18"/>
                <w:szCs w:val="18"/>
              </w:rPr>
              <w:t>Connecting to Practice</w:t>
            </w:r>
          </w:p>
        </w:tc>
        <w:tc>
          <w:tcPr>
            <w:tcW w:w="454" w:type="pct"/>
          </w:tcPr>
          <w:p w14:paraId="3C3BAE5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589C235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Position paper</w:t>
            </w:r>
          </w:p>
        </w:tc>
        <w:tc>
          <w:tcPr>
            <w:tcW w:w="402" w:type="pct"/>
          </w:tcPr>
          <w:p w14:paraId="79046B0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398A4A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096A25A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4833DF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090C25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31F788F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04E72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C9DB55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2F77AA8A" w14:textId="77777777" w:rsidTr="007674CF">
        <w:tc>
          <w:tcPr>
            <w:tcW w:w="443" w:type="pct"/>
          </w:tcPr>
          <w:p w14:paraId="7C0A90B6" w14:textId="77777777" w:rsidR="0093470E" w:rsidRPr="00E16853" w:rsidRDefault="0093470E" w:rsidP="004F464F">
            <w:pPr>
              <w:pStyle w:val="NoSpacing"/>
              <w:rPr>
                <w:rFonts w:eastAsia="Times New Roman"/>
                <w:sz w:val="18"/>
                <w:szCs w:val="18"/>
              </w:rPr>
            </w:pPr>
            <w:proofErr w:type="spellStart"/>
            <w:r w:rsidRPr="00E16853">
              <w:rPr>
                <w:rFonts w:eastAsia="Times New Roman"/>
                <w:sz w:val="18"/>
                <w:szCs w:val="18"/>
              </w:rPr>
              <w:t>Cilenti</w:t>
            </w:r>
            <w:proofErr w:type="spellEnd"/>
            <w:r w:rsidRPr="00E16853">
              <w:rPr>
                <w:rFonts w:eastAsia="Times New Roman"/>
                <w:sz w:val="18"/>
                <w:szCs w:val="18"/>
              </w:rPr>
              <w:t xml:space="preserve"> et al. (2012)</w:t>
            </w:r>
          </w:p>
        </w:tc>
        <w:tc>
          <w:tcPr>
            <w:tcW w:w="874" w:type="pct"/>
          </w:tcPr>
          <w:p w14:paraId="3C5E91AD"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Information-seeking </w:t>
            </w:r>
            <w:proofErr w:type="spellStart"/>
            <w:r w:rsidRPr="00E16853">
              <w:rPr>
                <w:rFonts w:eastAsia="Times New Roman"/>
                <w:sz w:val="18"/>
                <w:szCs w:val="18"/>
              </w:rPr>
              <w:t>behaviors</w:t>
            </w:r>
            <w:proofErr w:type="spellEnd"/>
            <w:r w:rsidRPr="00E16853">
              <w:rPr>
                <w:rFonts w:eastAsia="Times New Roman"/>
                <w:sz w:val="18"/>
                <w:szCs w:val="18"/>
              </w:rPr>
              <w:t xml:space="preserve"> and other factors contributing to successful implementation of evidence-based practices in local health departments.</w:t>
            </w:r>
          </w:p>
        </w:tc>
        <w:tc>
          <w:tcPr>
            <w:tcW w:w="454" w:type="pct"/>
          </w:tcPr>
          <w:p w14:paraId="1307618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1D3657E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Case study </w:t>
            </w:r>
          </w:p>
        </w:tc>
        <w:tc>
          <w:tcPr>
            <w:tcW w:w="402" w:type="pct"/>
          </w:tcPr>
          <w:p w14:paraId="48D738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03A02C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32E9FA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52C0F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5EAF0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 </w:t>
            </w:r>
          </w:p>
        </w:tc>
        <w:tc>
          <w:tcPr>
            <w:tcW w:w="264" w:type="pct"/>
          </w:tcPr>
          <w:p w14:paraId="496E837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FB5CB0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C3B06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r>
      <w:tr w:rsidR="0093470E" w:rsidRPr="00E16853" w14:paraId="797FB07D" w14:textId="77777777" w:rsidTr="007674CF">
        <w:tc>
          <w:tcPr>
            <w:tcW w:w="443" w:type="pct"/>
          </w:tcPr>
          <w:p w14:paraId="1CD63D16"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 Boaz et al. (2008)</w:t>
            </w:r>
          </w:p>
        </w:tc>
        <w:tc>
          <w:tcPr>
            <w:tcW w:w="874" w:type="pct"/>
          </w:tcPr>
          <w:p w14:paraId="61F23D5F" w14:textId="77777777" w:rsidR="0093470E" w:rsidRPr="00E16853" w:rsidRDefault="0093470E" w:rsidP="004F464F">
            <w:pPr>
              <w:pStyle w:val="NoSpacing"/>
              <w:rPr>
                <w:rFonts w:eastAsia="Times New Roman"/>
                <w:sz w:val="18"/>
                <w:szCs w:val="18"/>
              </w:rPr>
            </w:pPr>
            <w:r w:rsidRPr="00E16853">
              <w:rPr>
                <w:rFonts w:eastAsia="Times New Roman"/>
                <w:sz w:val="18"/>
                <w:szCs w:val="18"/>
              </w:rPr>
              <w:t>Does evidence-based policy work? Learning from the UK experience</w:t>
            </w:r>
          </w:p>
        </w:tc>
        <w:tc>
          <w:tcPr>
            <w:tcW w:w="454" w:type="pct"/>
          </w:tcPr>
          <w:p w14:paraId="252951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3D1C52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02992E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 health</w:t>
            </w:r>
          </w:p>
        </w:tc>
        <w:tc>
          <w:tcPr>
            <w:tcW w:w="454" w:type="pct"/>
          </w:tcPr>
          <w:p w14:paraId="499A58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414676F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74FFE1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62D275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EE2E5E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19B5E2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078130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723D42BC" w14:textId="77777777" w:rsidTr="007674CF">
        <w:tc>
          <w:tcPr>
            <w:tcW w:w="443" w:type="pct"/>
          </w:tcPr>
          <w:p w14:paraId="32A2924A" w14:textId="77777777" w:rsidR="0093470E" w:rsidRPr="00E16853" w:rsidRDefault="0093470E" w:rsidP="004F464F">
            <w:pPr>
              <w:pStyle w:val="NoSpacing"/>
              <w:rPr>
                <w:rFonts w:eastAsia="Times New Roman"/>
                <w:sz w:val="18"/>
                <w:szCs w:val="18"/>
              </w:rPr>
            </w:pPr>
            <w:r w:rsidRPr="00E16853">
              <w:rPr>
                <w:rFonts w:eastAsia="Times New Roman"/>
                <w:sz w:val="18"/>
                <w:szCs w:val="18"/>
              </w:rPr>
              <w:t>Moyer et al. (2015)</w:t>
            </w:r>
          </w:p>
        </w:tc>
        <w:tc>
          <w:tcPr>
            <w:tcW w:w="874" w:type="pct"/>
          </w:tcPr>
          <w:p w14:paraId="21D2E37F" w14:textId="77777777" w:rsidR="0093470E" w:rsidRPr="00E16853" w:rsidRDefault="0093470E" w:rsidP="004F464F">
            <w:pPr>
              <w:pStyle w:val="NoSpacing"/>
              <w:rPr>
                <w:rFonts w:eastAsia="Times New Roman"/>
                <w:sz w:val="18"/>
                <w:szCs w:val="18"/>
              </w:rPr>
            </w:pPr>
            <w:r w:rsidRPr="00E16853">
              <w:rPr>
                <w:rFonts w:eastAsia="Times New Roman"/>
                <w:sz w:val="18"/>
                <w:szCs w:val="18"/>
              </w:rPr>
              <w:t>The US Preventive Services Task Force: What Is It and What Does It Do?</w:t>
            </w:r>
          </w:p>
        </w:tc>
        <w:tc>
          <w:tcPr>
            <w:tcW w:w="454" w:type="pct"/>
          </w:tcPr>
          <w:p w14:paraId="326E44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 article</w:t>
            </w:r>
          </w:p>
        </w:tc>
        <w:tc>
          <w:tcPr>
            <w:tcW w:w="791" w:type="pct"/>
          </w:tcPr>
          <w:p w14:paraId="4B58C30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273E8A5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254EA2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54B6E94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82024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54226F6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481945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0C89FD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4D3F3D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2ABEEE14" w14:textId="77777777" w:rsidTr="007674CF">
        <w:tc>
          <w:tcPr>
            <w:tcW w:w="443" w:type="pct"/>
          </w:tcPr>
          <w:p w14:paraId="33360DC6" w14:textId="77777777" w:rsidR="0093470E" w:rsidRPr="00E16853" w:rsidRDefault="0093470E" w:rsidP="004F464F">
            <w:pPr>
              <w:pStyle w:val="NoSpacing"/>
              <w:rPr>
                <w:rFonts w:eastAsia="Times New Roman"/>
                <w:sz w:val="18"/>
                <w:szCs w:val="18"/>
              </w:rPr>
            </w:pPr>
            <w:r w:rsidRPr="00E16853">
              <w:rPr>
                <w:rFonts w:eastAsia="Times New Roman"/>
                <w:sz w:val="18"/>
                <w:szCs w:val="18"/>
              </w:rPr>
              <w:t>Maeda et al. (2012)</w:t>
            </w:r>
          </w:p>
        </w:tc>
        <w:tc>
          <w:tcPr>
            <w:tcW w:w="874" w:type="pct"/>
          </w:tcPr>
          <w:p w14:paraId="3BBB38ED" w14:textId="77777777" w:rsidR="0093470E" w:rsidRPr="00E16853" w:rsidRDefault="0093470E" w:rsidP="004F464F">
            <w:pPr>
              <w:pStyle w:val="NoSpacing"/>
              <w:rPr>
                <w:rFonts w:eastAsia="Times New Roman"/>
                <w:sz w:val="18"/>
                <w:szCs w:val="18"/>
              </w:rPr>
            </w:pPr>
            <w:r w:rsidRPr="00E16853">
              <w:rPr>
                <w:rFonts w:eastAsia="Times New Roman"/>
                <w:sz w:val="18"/>
                <w:szCs w:val="18"/>
              </w:rPr>
              <w:t>Creating Evidence for Better Health Financing Decisions</w:t>
            </w:r>
          </w:p>
        </w:tc>
        <w:tc>
          <w:tcPr>
            <w:tcW w:w="454" w:type="pct"/>
          </w:tcPr>
          <w:p w14:paraId="1883A7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DB703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Guide</w:t>
            </w:r>
          </w:p>
        </w:tc>
        <w:tc>
          <w:tcPr>
            <w:tcW w:w="402" w:type="pct"/>
          </w:tcPr>
          <w:p w14:paraId="40FDED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689231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4B8B5AA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3C22AD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9646E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3CF272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C0FA5C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F57EA2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2DE96E56" w14:textId="77777777" w:rsidTr="007674CF">
        <w:tc>
          <w:tcPr>
            <w:tcW w:w="443" w:type="pct"/>
          </w:tcPr>
          <w:p w14:paraId="79C03E2B" w14:textId="77777777" w:rsidR="0093470E" w:rsidRPr="00E16853" w:rsidRDefault="0093470E" w:rsidP="004F464F">
            <w:pPr>
              <w:pStyle w:val="NoSpacing"/>
              <w:rPr>
                <w:rFonts w:eastAsia="Times New Roman"/>
                <w:sz w:val="18"/>
                <w:szCs w:val="18"/>
              </w:rPr>
            </w:pPr>
            <w:r w:rsidRPr="00E16853">
              <w:rPr>
                <w:rFonts w:eastAsia="Times New Roman"/>
                <w:sz w:val="18"/>
                <w:szCs w:val="18"/>
              </w:rPr>
              <w:t>Gavin (2016)</w:t>
            </w:r>
          </w:p>
        </w:tc>
        <w:tc>
          <w:tcPr>
            <w:tcW w:w="874" w:type="pct"/>
          </w:tcPr>
          <w:p w14:paraId="5F1DEDB5" w14:textId="77777777" w:rsidR="0093470E" w:rsidRPr="00E16853" w:rsidRDefault="0093470E" w:rsidP="004F464F">
            <w:pPr>
              <w:pStyle w:val="NoSpacing"/>
              <w:rPr>
                <w:rFonts w:eastAsia="Times New Roman"/>
                <w:sz w:val="18"/>
                <w:szCs w:val="18"/>
              </w:rPr>
            </w:pPr>
            <w:r w:rsidRPr="00E16853">
              <w:rPr>
                <w:rFonts w:eastAsia="Times New Roman"/>
                <w:sz w:val="18"/>
                <w:szCs w:val="18"/>
              </w:rPr>
              <w:t>Building and Sustaining National ICT Education Agencies: Lessons from England (BECTA)</w:t>
            </w:r>
          </w:p>
        </w:tc>
        <w:tc>
          <w:tcPr>
            <w:tcW w:w="454" w:type="pct"/>
          </w:tcPr>
          <w:p w14:paraId="1A351CC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29E114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Case study </w:t>
            </w:r>
          </w:p>
        </w:tc>
        <w:tc>
          <w:tcPr>
            <w:tcW w:w="402" w:type="pct"/>
          </w:tcPr>
          <w:p w14:paraId="050A9F5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038FF42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UK </w:t>
            </w:r>
          </w:p>
        </w:tc>
        <w:tc>
          <w:tcPr>
            <w:tcW w:w="264" w:type="pct"/>
          </w:tcPr>
          <w:p w14:paraId="449625F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4F3B735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36C39D4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tcPr>
          <w:p w14:paraId="097679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124C31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A5E477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4F464F" w14:paraId="0939AEAA" w14:textId="77777777" w:rsidTr="007674CF">
        <w:trPr>
          <w:cantSplit/>
          <w:trHeight w:val="1291"/>
        </w:trPr>
        <w:tc>
          <w:tcPr>
            <w:tcW w:w="443" w:type="pct"/>
            <w:shd w:val="clear" w:color="auto" w:fill="ECC2B7" w:themeFill="accent6" w:themeFillTint="66"/>
            <w:vAlign w:val="bottom"/>
          </w:tcPr>
          <w:p w14:paraId="6F3AB09B" w14:textId="77777777" w:rsidR="0093470E" w:rsidRPr="004F464F" w:rsidRDefault="0093470E" w:rsidP="004F464F">
            <w:pPr>
              <w:pStyle w:val="NoSpacing"/>
              <w:rPr>
                <w:b/>
              </w:rPr>
            </w:pPr>
            <w:r w:rsidRPr="004F464F">
              <w:rPr>
                <w:b/>
              </w:rPr>
              <w:lastRenderedPageBreak/>
              <w:t>Author (year)</w:t>
            </w:r>
          </w:p>
        </w:tc>
        <w:tc>
          <w:tcPr>
            <w:tcW w:w="874" w:type="pct"/>
            <w:shd w:val="clear" w:color="auto" w:fill="ECC2B7" w:themeFill="accent6" w:themeFillTint="66"/>
            <w:vAlign w:val="bottom"/>
          </w:tcPr>
          <w:p w14:paraId="39962292"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4FB9030B"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07B6AC32"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05F89C8F"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2D9ADBBD"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28ECA792"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19E55193"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0D773D76"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327D8F2A"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15EA1A0C"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50F60564" w14:textId="77777777" w:rsidR="0093470E" w:rsidRPr="004F464F" w:rsidRDefault="0093470E" w:rsidP="004F464F">
            <w:pPr>
              <w:pStyle w:val="NoSpacing"/>
              <w:rPr>
                <w:b/>
              </w:rPr>
            </w:pPr>
            <w:r w:rsidRPr="004F464F">
              <w:rPr>
                <w:b/>
              </w:rPr>
              <w:t>Significance</w:t>
            </w:r>
          </w:p>
        </w:tc>
      </w:tr>
      <w:tr w:rsidR="0093470E" w:rsidRPr="00E16853" w14:paraId="249BE5DC" w14:textId="77777777" w:rsidTr="007674CF">
        <w:tc>
          <w:tcPr>
            <w:tcW w:w="443" w:type="pct"/>
          </w:tcPr>
          <w:p w14:paraId="04EE615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Assembly of Sixty- second WHO (2009)</w:t>
            </w:r>
          </w:p>
        </w:tc>
        <w:tc>
          <w:tcPr>
            <w:tcW w:w="874" w:type="pct"/>
          </w:tcPr>
          <w:p w14:paraId="4819E9B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WHO’s role and responsibilities in health research Draft WHO strategy on research for health</w:t>
            </w:r>
          </w:p>
        </w:tc>
        <w:tc>
          <w:tcPr>
            <w:tcW w:w="454" w:type="pct"/>
          </w:tcPr>
          <w:p w14:paraId="25276BB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Executive Board Session</w:t>
            </w:r>
          </w:p>
        </w:tc>
        <w:tc>
          <w:tcPr>
            <w:tcW w:w="791" w:type="pct"/>
          </w:tcPr>
          <w:p w14:paraId="745C36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402" w:type="pct"/>
          </w:tcPr>
          <w:p w14:paraId="10AB6E7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1BB95B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30E674F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422C60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513FC9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ACF1FD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704C71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D572E6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137916C1" w14:textId="77777777" w:rsidTr="007674CF">
        <w:tc>
          <w:tcPr>
            <w:tcW w:w="443" w:type="pct"/>
          </w:tcPr>
          <w:p w14:paraId="0BCDE47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UNDP, UNFPA, WHO, World Bank (2008)</w:t>
            </w:r>
          </w:p>
        </w:tc>
        <w:tc>
          <w:tcPr>
            <w:tcW w:w="874" w:type="pct"/>
          </w:tcPr>
          <w:p w14:paraId="74C378C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Knowledge synthesis and transfer: a case-study</w:t>
            </w:r>
          </w:p>
        </w:tc>
        <w:tc>
          <w:tcPr>
            <w:tcW w:w="454" w:type="pct"/>
          </w:tcPr>
          <w:p w14:paraId="09FC93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39A60F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32B003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258A8B3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4F0BCF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31486D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585A5A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33085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790BC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69314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F24EA68" w14:textId="77777777" w:rsidTr="007674CF">
        <w:tc>
          <w:tcPr>
            <w:tcW w:w="443" w:type="pct"/>
          </w:tcPr>
          <w:p w14:paraId="276AA3E3"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Michels</w:t>
            </w:r>
            <w:proofErr w:type="spellEnd"/>
            <w:r w:rsidRPr="00E16853">
              <w:rPr>
                <w:rFonts w:eastAsia="Times New Roman"/>
                <w:color w:val="000000"/>
                <w:sz w:val="18"/>
                <w:szCs w:val="18"/>
              </w:rPr>
              <w:t xml:space="preserve"> et al.  (2015)</w:t>
            </w:r>
          </w:p>
        </w:tc>
        <w:tc>
          <w:tcPr>
            <w:tcW w:w="874" w:type="pct"/>
          </w:tcPr>
          <w:p w14:paraId="411DF0A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Promoting better integration of health information systems: best practices and challenges</w:t>
            </w:r>
          </w:p>
        </w:tc>
        <w:tc>
          <w:tcPr>
            <w:tcW w:w="454" w:type="pct"/>
          </w:tcPr>
          <w:p w14:paraId="34A6824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72DF989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Case study </w:t>
            </w:r>
          </w:p>
        </w:tc>
        <w:tc>
          <w:tcPr>
            <w:tcW w:w="402" w:type="pct"/>
          </w:tcPr>
          <w:p w14:paraId="06ED62F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5BFAB20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EU</w:t>
            </w:r>
          </w:p>
        </w:tc>
        <w:tc>
          <w:tcPr>
            <w:tcW w:w="264" w:type="pct"/>
          </w:tcPr>
          <w:p w14:paraId="3B8C08D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063BDB3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155FF9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B3BDEB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2DBBA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282CD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E16853" w14:paraId="57DD17A5" w14:textId="77777777" w:rsidTr="007674CF">
        <w:tc>
          <w:tcPr>
            <w:tcW w:w="443" w:type="pct"/>
          </w:tcPr>
          <w:p w14:paraId="1641518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 (2003)</w:t>
            </w:r>
          </w:p>
        </w:tc>
        <w:tc>
          <w:tcPr>
            <w:tcW w:w="874" w:type="pct"/>
          </w:tcPr>
          <w:p w14:paraId="62E269C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Guidelines for who guidelines</w:t>
            </w:r>
          </w:p>
        </w:tc>
        <w:tc>
          <w:tcPr>
            <w:tcW w:w="454" w:type="pct"/>
          </w:tcPr>
          <w:p w14:paraId="23011C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7CAF94E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Development of guidelines</w:t>
            </w:r>
          </w:p>
        </w:tc>
        <w:tc>
          <w:tcPr>
            <w:tcW w:w="402" w:type="pct"/>
          </w:tcPr>
          <w:p w14:paraId="76F0F89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157D0D5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w:t>
            </w:r>
          </w:p>
        </w:tc>
        <w:tc>
          <w:tcPr>
            <w:tcW w:w="264" w:type="pct"/>
          </w:tcPr>
          <w:p w14:paraId="7974EE9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5F2BF2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9AEA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E17432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D77F1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D77CC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C4D0C38" w14:textId="77777777" w:rsidTr="007674CF">
        <w:tc>
          <w:tcPr>
            <w:tcW w:w="443" w:type="pct"/>
          </w:tcPr>
          <w:p w14:paraId="57E102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Sorenson et al. (2008)</w:t>
            </w:r>
          </w:p>
        </w:tc>
        <w:tc>
          <w:tcPr>
            <w:tcW w:w="874" w:type="pct"/>
          </w:tcPr>
          <w:p w14:paraId="6E379D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Ensuring Value for Money in health Care: The Role of Health technology and assessment in the European Union </w:t>
            </w:r>
          </w:p>
        </w:tc>
        <w:tc>
          <w:tcPr>
            <w:tcW w:w="454" w:type="pct"/>
          </w:tcPr>
          <w:p w14:paraId="66A88A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6ADA1BE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4C6E0EB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353858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Europe (Sweden, Netherlands, France, Germany, UK - section on Finland not coded)</w:t>
            </w:r>
          </w:p>
        </w:tc>
        <w:tc>
          <w:tcPr>
            <w:tcW w:w="264" w:type="pct"/>
          </w:tcPr>
          <w:p w14:paraId="4DBA536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001D5A9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12884E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A807BE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E1DFB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F521DC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09561EB0" w14:textId="77777777" w:rsidTr="007674CF">
        <w:tc>
          <w:tcPr>
            <w:tcW w:w="443" w:type="pct"/>
          </w:tcPr>
          <w:p w14:paraId="62DAB1A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WHO (2016)</w:t>
            </w:r>
          </w:p>
        </w:tc>
        <w:tc>
          <w:tcPr>
            <w:tcW w:w="874" w:type="pct"/>
          </w:tcPr>
          <w:p w14:paraId="7ADD8644" w14:textId="77777777" w:rsidR="0093470E" w:rsidRDefault="0093470E" w:rsidP="004F464F">
            <w:pPr>
              <w:pStyle w:val="NoSpacing"/>
              <w:rPr>
                <w:rFonts w:eastAsia="Times New Roman"/>
                <w:color w:val="000000"/>
                <w:sz w:val="18"/>
                <w:szCs w:val="18"/>
              </w:rPr>
            </w:pPr>
            <w:r w:rsidRPr="00E16853">
              <w:rPr>
                <w:rFonts w:eastAsia="Times New Roman"/>
                <w:color w:val="000000"/>
                <w:sz w:val="18"/>
                <w:szCs w:val="18"/>
              </w:rPr>
              <w:t>Key enabling factors in effective and sustainable research networks Findings from a qualitative research study</w:t>
            </w:r>
          </w:p>
          <w:p w14:paraId="1F74C68E" w14:textId="77777777" w:rsidR="004F464F" w:rsidRDefault="004F464F" w:rsidP="004F464F">
            <w:pPr>
              <w:pStyle w:val="NoSpacing"/>
              <w:rPr>
                <w:rFonts w:eastAsia="Times New Roman"/>
                <w:color w:val="000000"/>
                <w:sz w:val="18"/>
                <w:szCs w:val="18"/>
              </w:rPr>
            </w:pPr>
          </w:p>
          <w:p w14:paraId="5DF20622" w14:textId="77777777" w:rsidR="004F464F" w:rsidRDefault="004F464F" w:rsidP="004F464F">
            <w:pPr>
              <w:pStyle w:val="NoSpacing"/>
              <w:rPr>
                <w:rFonts w:eastAsia="Times New Roman"/>
                <w:color w:val="000000"/>
                <w:sz w:val="18"/>
                <w:szCs w:val="18"/>
              </w:rPr>
            </w:pPr>
          </w:p>
          <w:p w14:paraId="28E22A4F" w14:textId="77777777" w:rsidR="004F464F" w:rsidRPr="00E16853" w:rsidRDefault="004F464F" w:rsidP="004F464F">
            <w:pPr>
              <w:pStyle w:val="NoSpacing"/>
              <w:rPr>
                <w:rFonts w:eastAsia="Times New Roman"/>
                <w:color w:val="000000"/>
                <w:sz w:val="18"/>
                <w:szCs w:val="18"/>
              </w:rPr>
            </w:pPr>
          </w:p>
        </w:tc>
        <w:tc>
          <w:tcPr>
            <w:tcW w:w="454" w:type="pct"/>
          </w:tcPr>
          <w:p w14:paraId="077DD80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1D4D7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Literature review and interviews</w:t>
            </w:r>
          </w:p>
        </w:tc>
        <w:tc>
          <w:tcPr>
            <w:tcW w:w="402" w:type="pct"/>
          </w:tcPr>
          <w:p w14:paraId="5D5F6F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3155E0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International (coded case study from Switzerland) </w:t>
            </w:r>
          </w:p>
        </w:tc>
        <w:tc>
          <w:tcPr>
            <w:tcW w:w="264" w:type="pct"/>
          </w:tcPr>
          <w:p w14:paraId="46931D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4E8CA2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41A11D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5CF4B8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34B3F1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8BF2E0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r>
      <w:tr w:rsidR="0093470E" w:rsidRPr="004F464F" w14:paraId="68CFB574" w14:textId="77777777" w:rsidTr="007674CF">
        <w:trPr>
          <w:cantSplit/>
          <w:trHeight w:val="1291"/>
        </w:trPr>
        <w:tc>
          <w:tcPr>
            <w:tcW w:w="443" w:type="pct"/>
            <w:shd w:val="clear" w:color="auto" w:fill="ECC2B7" w:themeFill="accent6" w:themeFillTint="66"/>
            <w:vAlign w:val="bottom"/>
          </w:tcPr>
          <w:p w14:paraId="47E3EC60" w14:textId="77777777" w:rsidR="0093470E" w:rsidRPr="004F464F" w:rsidRDefault="0093470E" w:rsidP="004F464F">
            <w:pPr>
              <w:pStyle w:val="NoSpacing"/>
              <w:rPr>
                <w:b/>
              </w:rPr>
            </w:pPr>
            <w:r w:rsidRPr="004F464F">
              <w:rPr>
                <w:b/>
              </w:rPr>
              <w:t>Author (year)</w:t>
            </w:r>
          </w:p>
        </w:tc>
        <w:tc>
          <w:tcPr>
            <w:tcW w:w="874" w:type="pct"/>
            <w:shd w:val="clear" w:color="auto" w:fill="ECC2B7" w:themeFill="accent6" w:themeFillTint="66"/>
            <w:vAlign w:val="bottom"/>
          </w:tcPr>
          <w:p w14:paraId="0DEFFFB0"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4B30AA20"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24FB6764"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5BBA3208"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111E3A6C"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4FB3E8B9"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43F3D07B"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7B91DF43"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262F12B7"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76EDB63E"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18755878" w14:textId="77777777" w:rsidR="0093470E" w:rsidRPr="004F464F" w:rsidRDefault="0093470E" w:rsidP="004F464F">
            <w:pPr>
              <w:pStyle w:val="NoSpacing"/>
              <w:rPr>
                <w:b/>
              </w:rPr>
            </w:pPr>
            <w:r w:rsidRPr="004F464F">
              <w:rPr>
                <w:b/>
              </w:rPr>
              <w:t>Significance</w:t>
            </w:r>
          </w:p>
        </w:tc>
      </w:tr>
      <w:tr w:rsidR="0093470E" w:rsidRPr="00E16853" w14:paraId="1253AC42" w14:textId="77777777" w:rsidTr="007674CF">
        <w:tc>
          <w:tcPr>
            <w:tcW w:w="443" w:type="pct"/>
          </w:tcPr>
          <w:p w14:paraId="0371166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lastRenderedPageBreak/>
              <w:t>WHO (2011)</w:t>
            </w:r>
          </w:p>
        </w:tc>
        <w:tc>
          <w:tcPr>
            <w:tcW w:w="874" w:type="pct"/>
          </w:tcPr>
          <w:p w14:paraId="24746F0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Innovation for health Research that makes a difference</w:t>
            </w:r>
          </w:p>
        </w:tc>
        <w:tc>
          <w:tcPr>
            <w:tcW w:w="454" w:type="pct"/>
          </w:tcPr>
          <w:p w14:paraId="21D3B5E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Annual report</w:t>
            </w:r>
          </w:p>
        </w:tc>
        <w:tc>
          <w:tcPr>
            <w:tcW w:w="791" w:type="pct"/>
          </w:tcPr>
          <w:p w14:paraId="51F5793D"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Annual report</w:t>
            </w:r>
          </w:p>
        </w:tc>
        <w:tc>
          <w:tcPr>
            <w:tcW w:w="402" w:type="pct"/>
          </w:tcPr>
          <w:p w14:paraId="513906B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13C316A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International </w:t>
            </w:r>
          </w:p>
        </w:tc>
        <w:tc>
          <w:tcPr>
            <w:tcW w:w="264" w:type="pct"/>
          </w:tcPr>
          <w:p w14:paraId="3E49211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6885F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8D4F3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C97A86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1242BD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3B3C32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N </w:t>
            </w:r>
          </w:p>
        </w:tc>
      </w:tr>
      <w:tr w:rsidR="0093470E" w:rsidRPr="00E16853" w14:paraId="06FCB2B5" w14:textId="77777777" w:rsidTr="007674CF">
        <w:tc>
          <w:tcPr>
            <w:tcW w:w="443" w:type="pct"/>
            <w:shd w:val="clear" w:color="auto" w:fill="auto"/>
          </w:tcPr>
          <w:p w14:paraId="2F040CB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UNESCO; European Commission (2010)</w:t>
            </w:r>
          </w:p>
        </w:tc>
        <w:tc>
          <w:tcPr>
            <w:tcW w:w="874" w:type="pct"/>
            <w:shd w:val="clear" w:color="auto" w:fill="auto"/>
          </w:tcPr>
          <w:p w14:paraId="4968667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National Bioethics Committees in Action</w:t>
            </w:r>
          </w:p>
        </w:tc>
        <w:tc>
          <w:tcPr>
            <w:tcW w:w="454" w:type="pct"/>
            <w:shd w:val="clear" w:color="auto" w:fill="auto"/>
          </w:tcPr>
          <w:p w14:paraId="452F3CC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shd w:val="clear" w:color="auto" w:fill="auto"/>
          </w:tcPr>
          <w:p w14:paraId="403C0A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studies</w:t>
            </w:r>
          </w:p>
        </w:tc>
        <w:tc>
          <w:tcPr>
            <w:tcW w:w="402" w:type="pct"/>
            <w:shd w:val="clear" w:color="auto" w:fill="auto"/>
          </w:tcPr>
          <w:p w14:paraId="5A7025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Public health (ethics) </w:t>
            </w:r>
          </w:p>
        </w:tc>
        <w:tc>
          <w:tcPr>
            <w:tcW w:w="454" w:type="pct"/>
            <w:shd w:val="clear" w:color="auto" w:fill="auto"/>
          </w:tcPr>
          <w:p w14:paraId="1B4FA1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UK, Slovenia, Denmark, Belgium </w:t>
            </w:r>
          </w:p>
        </w:tc>
        <w:tc>
          <w:tcPr>
            <w:tcW w:w="264" w:type="pct"/>
            <w:shd w:val="clear" w:color="auto" w:fill="auto"/>
          </w:tcPr>
          <w:p w14:paraId="58FFA0A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 </w:t>
            </w:r>
          </w:p>
        </w:tc>
        <w:tc>
          <w:tcPr>
            <w:tcW w:w="264" w:type="pct"/>
            <w:shd w:val="clear" w:color="auto" w:fill="auto"/>
          </w:tcPr>
          <w:p w14:paraId="61C3C6D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2EB0169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c>
          <w:tcPr>
            <w:tcW w:w="264" w:type="pct"/>
            <w:shd w:val="clear" w:color="auto" w:fill="auto"/>
          </w:tcPr>
          <w:p w14:paraId="345ED18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shd w:val="clear" w:color="auto" w:fill="auto"/>
          </w:tcPr>
          <w:p w14:paraId="349916D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shd w:val="clear" w:color="auto" w:fill="auto"/>
          </w:tcPr>
          <w:p w14:paraId="700EE88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w:t>
            </w:r>
          </w:p>
        </w:tc>
      </w:tr>
      <w:tr w:rsidR="0093470E" w:rsidRPr="00E16853" w14:paraId="1F75A810" w14:textId="77777777" w:rsidTr="007674CF">
        <w:tc>
          <w:tcPr>
            <w:tcW w:w="443" w:type="pct"/>
          </w:tcPr>
          <w:p w14:paraId="27608DDE"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Husein</w:t>
            </w:r>
            <w:proofErr w:type="spellEnd"/>
            <w:r w:rsidRPr="00E16853">
              <w:rPr>
                <w:rFonts w:eastAsia="Times New Roman"/>
                <w:color w:val="000000"/>
                <w:sz w:val="18"/>
                <w:szCs w:val="18"/>
              </w:rPr>
              <w:t xml:space="preserve"> et al.  (2017)</w:t>
            </w:r>
          </w:p>
        </w:tc>
        <w:tc>
          <w:tcPr>
            <w:tcW w:w="874" w:type="pct"/>
          </w:tcPr>
          <w:p w14:paraId="3E2F356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from compliance to learning: a system for harnessing the power of data in the state of </w:t>
            </w:r>
            <w:proofErr w:type="spellStart"/>
            <w:r w:rsidRPr="00E16853">
              <w:rPr>
                <w:rFonts w:eastAsia="Times New Roman"/>
                <w:color w:val="000000"/>
                <w:sz w:val="18"/>
                <w:szCs w:val="18"/>
              </w:rPr>
              <w:t>maryland</w:t>
            </w:r>
            <w:proofErr w:type="spellEnd"/>
            <w:r w:rsidRPr="00E16853">
              <w:rPr>
                <w:rFonts w:eastAsia="Times New Roman"/>
                <w:color w:val="000000"/>
                <w:sz w:val="18"/>
                <w:szCs w:val="18"/>
              </w:rPr>
              <w:t xml:space="preserve"> </w:t>
            </w:r>
          </w:p>
        </w:tc>
        <w:tc>
          <w:tcPr>
            <w:tcW w:w="454" w:type="pct"/>
          </w:tcPr>
          <w:p w14:paraId="342042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54B452C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24D80CC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0F6F3D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39A4D54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03979D2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A7595A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BFAD4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0A4D86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F0EA24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0D4A79E" w14:textId="77777777" w:rsidTr="007674CF">
        <w:tc>
          <w:tcPr>
            <w:tcW w:w="443" w:type="pct"/>
          </w:tcPr>
          <w:p w14:paraId="7FBD2EEC" w14:textId="77777777" w:rsidR="0093470E" w:rsidRPr="00E16853" w:rsidRDefault="0093470E" w:rsidP="004F464F">
            <w:pPr>
              <w:pStyle w:val="NoSpacing"/>
              <w:rPr>
                <w:rFonts w:eastAsia="Times New Roman"/>
                <w:sz w:val="18"/>
                <w:szCs w:val="18"/>
              </w:rPr>
            </w:pPr>
            <w:r w:rsidRPr="00E16853">
              <w:rPr>
                <w:rFonts w:eastAsia="Times New Roman"/>
                <w:sz w:val="18"/>
                <w:szCs w:val="18"/>
              </w:rPr>
              <w:t>Education Endowment Fund (2016)</w:t>
            </w:r>
          </w:p>
        </w:tc>
        <w:tc>
          <w:tcPr>
            <w:tcW w:w="874" w:type="pct"/>
          </w:tcPr>
          <w:p w14:paraId="17BE0E05" w14:textId="77777777" w:rsidR="0093470E" w:rsidRPr="00E16853" w:rsidRDefault="0093470E" w:rsidP="004F464F">
            <w:pPr>
              <w:pStyle w:val="NoSpacing"/>
              <w:rPr>
                <w:rFonts w:eastAsia="Times New Roman"/>
                <w:sz w:val="18"/>
                <w:szCs w:val="18"/>
              </w:rPr>
            </w:pPr>
            <w:r w:rsidRPr="00E16853">
              <w:rPr>
                <w:rFonts w:eastAsia="Times New Roman"/>
                <w:sz w:val="18"/>
                <w:szCs w:val="18"/>
              </w:rPr>
              <w:t>Annual Report 2015/2016</w:t>
            </w:r>
          </w:p>
        </w:tc>
        <w:tc>
          <w:tcPr>
            <w:tcW w:w="454" w:type="pct"/>
          </w:tcPr>
          <w:p w14:paraId="712C9A1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571FB6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402" w:type="pct"/>
          </w:tcPr>
          <w:p w14:paraId="76BA5F6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66EB6F3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7116D8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47D0E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A705D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E97CA4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30387A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1B250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343E1692" w14:textId="77777777" w:rsidTr="007674CF">
        <w:tc>
          <w:tcPr>
            <w:tcW w:w="443" w:type="pct"/>
          </w:tcPr>
          <w:p w14:paraId="692F2BDE" w14:textId="77777777" w:rsidR="0093470E" w:rsidRPr="00E16853" w:rsidRDefault="0093470E" w:rsidP="004F464F">
            <w:pPr>
              <w:pStyle w:val="NoSpacing"/>
              <w:rPr>
                <w:rFonts w:eastAsia="Times New Roman"/>
                <w:sz w:val="18"/>
                <w:szCs w:val="18"/>
              </w:rPr>
            </w:pPr>
            <w:r w:rsidRPr="00E16853">
              <w:rPr>
                <w:rFonts w:eastAsia="Times New Roman"/>
                <w:sz w:val="18"/>
                <w:szCs w:val="18"/>
              </w:rPr>
              <w:t>ACER (2013)</w:t>
            </w:r>
          </w:p>
        </w:tc>
        <w:tc>
          <w:tcPr>
            <w:tcW w:w="874" w:type="pct"/>
          </w:tcPr>
          <w:p w14:paraId="51B2E1D4" w14:textId="77777777" w:rsidR="0093470E" w:rsidRPr="00E16853" w:rsidRDefault="0093470E" w:rsidP="004F464F">
            <w:pPr>
              <w:pStyle w:val="NoSpacing"/>
              <w:rPr>
                <w:rFonts w:eastAsia="Times New Roman"/>
                <w:sz w:val="18"/>
                <w:szCs w:val="18"/>
              </w:rPr>
            </w:pPr>
            <w:r w:rsidRPr="00E16853">
              <w:rPr>
                <w:rFonts w:eastAsia="Times New Roman"/>
                <w:sz w:val="18"/>
                <w:szCs w:val="18"/>
              </w:rPr>
              <w:t>Education Endowment Fund - England</w:t>
            </w:r>
          </w:p>
        </w:tc>
        <w:tc>
          <w:tcPr>
            <w:tcW w:w="454" w:type="pct"/>
          </w:tcPr>
          <w:p w14:paraId="568E575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2DBA39F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5C4F896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725652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UK</w:t>
            </w:r>
          </w:p>
        </w:tc>
        <w:tc>
          <w:tcPr>
            <w:tcW w:w="264" w:type="pct"/>
          </w:tcPr>
          <w:p w14:paraId="74AFEF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1C7E247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E48C75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9130D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2B032F6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43D71A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5B9C457" w14:textId="77777777" w:rsidTr="007674CF">
        <w:tc>
          <w:tcPr>
            <w:tcW w:w="443" w:type="pct"/>
          </w:tcPr>
          <w:p w14:paraId="4CF49F07" w14:textId="77777777" w:rsidR="0093470E" w:rsidRPr="00E16853" w:rsidRDefault="0093470E" w:rsidP="004F464F">
            <w:pPr>
              <w:pStyle w:val="NoSpacing"/>
              <w:rPr>
                <w:rFonts w:eastAsia="Times New Roman"/>
                <w:sz w:val="18"/>
                <w:szCs w:val="18"/>
              </w:rPr>
            </w:pPr>
            <w:r w:rsidRPr="00E16853">
              <w:rPr>
                <w:rFonts w:eastAsia="Times New Roman"/>
                <w:sz w:val="18"/>
                <w:szCs w:val="18"/>
              </w:rPr>
              <w:t>Social Ventures Australia (2017)</w:t>
            </w:r>
          </w:p>
        </w:tc>
        <w:tc>
          <w:tcPr>
            <w:tcW w:w="874" w:type="pct"/>
          </w:tcPr>
          <w:p w14:paraId="5F85AE07" w14:textId="77777777" w:rsidR="0093470E" w:rsidRPr="00E16853" w:rsidRDefault="0093470E" w:rsidP="004F464F">
            <w:pPr>
              <w:pStyle w:val="NoSpacing"/>
              <w:rPr>
                <w:rFonts w:eastAsia="Times New Roman"/>
                <w:sz w:val="18"/>
                <w:szCs w:val="18"/>
              </w:rPr>
            </w:pPr>
            <w:r w:rsidRPr="00E16853">
              <w:rPr>
                <w:rFonts w:eastAsia="Times New Roman"/>
                <w:sz w:val="18"/>
                <w:szCs w:val="18"/>
              </w:rPr>
              <w:t>Annual Financial Report</w:t>
            </w:r>
          </w:p>
        </w:tc>
        <w:tc>
          <w:tcPr>
            <w:tcW w:w="454" w:type="pct"/>
          </w:tcPr>
          <w:p w14:paraId="26721E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2FF8A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financial report </w:t>
            </w:r>
          </w:p>
        </w:tc>
        <w:tc>
          <w:tcPr>
            <w:tcW w:w="402" w:type="pct"/>
          </w:tcPr>
          <w:p w14:paraId="205F87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0BCE2E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Australia </w:t>
            </w:r>
          </w:p>
        </w:tc>
        <w:tc>
          <w:tcPr>
            <w:tcW w:w="264" w:type="pct"/>
          </w:tcPr>
          <w:p w14:paraId="7FDE07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3E334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E692E4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42090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5054D91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218351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21E85316" w14:textId="77777777" w:rsidTr="007674CF">
        <w:tc>
          <w:tcPr>
            <w:tcW w:w="443" w:type="pct"/>
          </w:tcPr>
          <w:p w14:paraId="52AE29A7" w14:textId="77777777" w:rsidR="0093470E" w:rsidRPr="00E16853" w:rsidRDefault="0093470E" w:rsidP="004F464F">
            <w:pPr>
              <w:pStyle w:val="NoSpacing"/>
              <w:rPr>
                <w:rFonts w:eastAsia="Times New Roman"/>
                <w:sz w:val="18"/>
                <w:szCs w:val="18"/>
              </w:rPr>
            </w:pPr>
            <w:r w:rsidRPr="00E16853">
              <w:rPr>
                <w:rFonts w:eastAsia="Times New Roman"/>
                <w:sz w:val="18"/>
                <w:szCs w:val="18"/>
              </w:rPr>
              <w:t>Social Ventures Australia (2017)</w:t>
            </w:r>
          </w:p>
        </w:tc>
        <w:tc>
          <w:tcPr>
            <w:tcW w:w="874" w:type="pct"/>
          </w:tcPr>
          <w:p w14:paraId="7E80C2A8"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SVA Annual Review 2016 - 2017 </w:t>
            </w:r>
          </w:p>
        </w:tc>
        <w:tc>
          <w:tcPr>
            <w:tcW w:w="454" w:type="pct"/>
          </w:tcPr>
          <w:p w14:paraId="2CB8A2D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424AE2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402" w:type="pct"/>
          </w:tcPr>
          <w:p w14:paraId="4DD0BF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C4CE3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Australia </w:t>
            </w:r>
          </w:p>
        </w:tc>
        <w:tc>
          <w:tcPr>
            <w:tcW w:w="264" w:type="pct"/>
          </w:tcPr>
          <w:p w14:paraId="0CCC57E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556C1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61FD3F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E148ED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Y </w:t>
            </w:r>
          </w:p>
        </w:tc>
        <w:tc>
          <w:tcPr>
            <w:tcW w:w="264" w:type="pct"/>
          </w:tcPr>
          <w:p w14:paraId="25B99B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C7F7CE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59A4D5C" w14:textId="77777777" w:rsidTr="007674CF">
        <w:tc>
          <w:tcPr>
            <w:tcW w:w="443" w:type="pct"/>
          </w:tcPr>
          <w:p w14:paraId="68C8354D" w14:textId="77777777" w:rsidR="0093470E" w:rsidRPr="00E16853" w:rsidRDefault="0093470E" w:rsidP="004F464F">
            <w:pPr>
              <w:pStyle w:val="NoSpacing"/>
              <w:rPr>
                <w:rFonts w:eastAsia="Times New Roman"/>
                <w:sz w:val="18"/>
                <w:szCs w:val="18"/>
              </w:rPr>
            </w:pPr>
            <w:r w:rsidRPr="00E16853">
              <w:rPr>
                <w:rFonts w:eastAsia="Times New Roman"/>
                <w:sz w:val="18"/>
                <w:szCs w:val="18"/>
              </w:rPr>
              <w:t>AITSL (2017)</w:t>
            </w:r>
          </w:p>
        </w:tc>
        <w:tc>
          <w:tcPr>
            <w:tcW w:w="874" w:type="pct"/>
          </w:tcPr>
          <w:p w14:paraId="63B1C1A8" w14:textId="77777777" w:rsidR="0093470E" w:rsidRPr="00E16853" w:rsidRDefault="0093470E" w:rsidP="004F464F">
            <w:pPr>
              <w:pStyle w:val="NoSpacing"/>
              <w:rPr>
                <w:rFonts w:eastAsia="Times New Roman"/>
                <w:sz w:val="18"/>
                <w:szCs w:val="18"/>
              </w:rPr>
            </w:pPr>
            <w:r w:rsidRPr="00E16853">
              <w:rPr>
                <w:rFonts w:eastAsia="Times New Roman"/>
                <w:sz w:val="18"/>
                <w:szCs w:val="18"/>
              </w:rPr>
              <w:t>Annual Report 2016-2017 - Australian Institute for Teaching and School Leadership</w:t>
            </w:r>
          </w:p>
        </w:tc>
        <w:tc>
          <w:tcPr>
            <w:tcW w:w="454" w:type="pct"/>
          </w:tcPr>
          <w:p w14:paraId="355F3F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2211C41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402" w:type="pct"/>
          </w:tcPr>
          <w:p w14:paraId="1E9C91B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778F719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5504E88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85A1C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3F4D1B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21EED4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4782218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64DE6C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F8A355B" w14:textId="77777777" w:rsidTr="007674CF">
        <w:tc>
          <w:tcPr>
            <w:tcW w:w="443" w:type="pct"/>
          </w:tcPr>
          <w:p w14:paraId="1B9694B2" w14:textId="77777777" w:rsidR="0093470E" w:rsidRPr="00E16853" w:rsidRDefault="0093470E" w:rsidP="004F464F">
            <w:pPr>
              <w:pStyle w:val="NoSpacing"/>
              <w:rPr>
                <w:rFonts w:eastAsia="Times New Roman"/>
                <w:sz w:val="18"/>
                <w:szCs w:val="18"/>
              </w:rPr>
            </w:pPr>
            <w:r w:rsidRPr="00E16853">
              <w:rPr>
                <w:rFonts w:eastAsia="Times New Roman"/>
                <w:sz w:val="18"/>
                <w:szCs w:val="18"/>
              </w:rPr>
              <w:t>Director of National Parks (2017)</w:t>
            </w:r>
          </w:p>
        </w:tc>
        <w:tc>
          <w:tcPr>
            <w:tcW w:w="874" w:type="pct"/>
          </w:tcPr>
          <w:p w14:paraId="7AD33512" w14:textId="77777777" w:rsidR="0093470E" w:rsidRDefault="0093470E" w:rsidP="004F464F">
            <w:pPr>
              <w:pStyle w:val="NoSpacing"/>
              <w:rPr>
                <w:rFonts w:eastAsia="Times New Roman"/>
                <w:sz w:val="18"/>
                <w:szCs w:val="18"/>
              </w:rPr>
            </w:pPr>
            <w:r w:rsidRPr="00E16853">
              <w:rPr>
                <w:rFonts w:eastAsia="Times New Roman"/>
                <w:sz w:val="18"/>
                <w:szCs w:val="18"/>
              </w:rPr>
              <w:t xml:space="preserve">Director of National Parks Annual Report 2016 - 2017 </w:t>
            </w:r>
          </w:p>
          <w:p w14:paraId="13A7ED86" w14:textId="77777777" w:rsidR="0093470E" w:rsidRDefault="0093470E" w:rsidP="004F464F">
            <w:pPr>
              <w:pStyle w:val="NoSpacing"/>
              <w:rPr>
                <w:rFonts w:eastAsia="Times New Roman"/>
                <w:sz w:val="18"/>
                <w:szCs w:val="18"/>
              </w:rPr>
            </w:pPr>
          </w:p>
          <w:p w14:paraId="2C4FFC6E" w14:textId="77777777" w:rsidR="0093470E" w:rsidRPr="00E16853" w:rsidRDefault="0093470E" w:rsidP="004F464F">
            <w:pPr>
              <w:pStyle w:val="NoSpacing"/>
              <w:rPr>
                <w:rFonts w:eastAsia="Times New Roman"/>
                <w:sz w:val="18"/>
                <w:szCs w:val="18"/>
              </w:rPr>
            </w:pPr>
          </w:p>
        </w:tc>
        <w:tc>
          <w:tcPr>
            <w:tcW w:w="454" w:type="pct"/>
          </w:tcPr>
          <w:p w14:paraId="1393DE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2ABD6D7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402" w:type="pct"/>
          </w:tcPr>
          <w:p w14:paraId="401DEB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Tourism</w:t>
            </w:r>
          </w:p>
        </w:tc>
        <w:tc>
          <w:tcPr>
            <w:tcW w:w="454" w:type="pct"/>
          </w:tcPr>
          <w:p w14:paraId="56D472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2F3FE8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1D9BD6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942DDB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53FDCF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2E0DC2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0E22AA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4F464F" w14:paraId="01C1C919" w14:textId="77777777" w:rsidTr="007674CF">
        <w:trPr>
          <w:cantSplit/>
          <w:trHeight w:val="1291"/>
        </w:trPr>
        <w:tc>
          <w:tcPr>
            <w:tcW w:w="443" w:type="pct"/>
            <w:shd w:val="clear" w:color="auto" w:fill="ECC2B7" w:themeFill="accent6" w:themeFillTint="66"/>
            <w:vAlign w:val="bottom"/>
          </w:tcPr>
          <w:p w14:paraId="542DE037" w14:textId="77777777" w:rsidR="0093470E" w:rsidRPr="004F464F" w:rsidRDefault="0093470E" w:rsidP="004F464F">
            <w:pPr>
              <w:pStyle w:val="NoSpacing"/>
              <w:rPr>
                <w:b/>
              </w:rPr>
            </w:pPr>
            <w:r w:rsidRPr="004F464F">
              <w:rPr>
                <w:b/>
              </w:rPr>
              <w:t>Author (year)</w:t>
            </w:r>
          </w:p>
        </w:tc>
        <w:tc>
          <w:tcPr>
            <w:tcW w:w="874" w:type="pct"/>
            <w:shd w:val="clear" w:color="auto" w:fill="ECC2B7" w:themeFill="accent6" w:themeFillTint="66"/>
            <w:vAlign w:val="bottom"/>
          </w:tcPr>
          <w:p w14:paraId="7EFF76FE"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2984E663"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6A871E08"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5C981057"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50B7C7F9"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357F8AA7"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78F6F16C"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3498A463"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5EE73005"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662A29A6"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7A8CAC7A" w14:textId="77777777" w:rsidR="0093470E" w:rsidRPr="004F464F" w:rsidRDefault="0093470E" w:rsidP="004F464F">
            <w:pPr>
              <w:pStyle w:val="NoSpacing"/>
              <w:rPr>
                <w:b/>
              </w:rPr>
            </w:pPr>
            <w:r w:rsidRPr="004F464F">
              <w:rPr>
                <w:b/>
              </w:rPr>
              <w:t>Significance</w:t>
            </w:r>
          </w:p>
        </w:tc>
      </w:tr>
      <w:tr w:rsidR="0093470E" w:rsidRPr="00E16853" w14:paraId="3F11DF27" w14:textId="77777777" w:rsidTr="007674CF">
        <w:tc>
          <w:tcPr>
            <w:tcW w:w="443" w:type="pct"/>
          </w:tcPr>
          <w:p w14:paraId="024C7277" w14:textId="77777777" w:rsidR="0093470E" w:rsidRPr="00E16853" w:rsidRDefault="0093470E" w:rsidP="004F464F">
            <w:pPr>
              <w:pStyle w:val="NoSpacing"/>
              <w:rPr>
                <w:rFonts w:eastAsia="Times New Roman"/>
                <w:sz w:val="18"/>
                <w:szCs w:val="18"/>
              </w:rPr>
            </w:pPr>
            <w:r w:rsidRPr="00E16853">
              <w:rPr>
                <w:rFonts w:eastAsia="Times New Roman"/>
                <w:sz w:val="18"/>
                <w:szCs w:val="18"/>
              </w:rPr>
              <w:t>ACER (2017)</w:t>
            </w:r>
          </w:p>
        </w:tc>
        <w:tc>
          <w:tcPr>
            <w:tcW w:w="874" w:type="pct"/>
          </w:tcPr>
          <w:p w14:paraId="49D0036B"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ACER 2015-2016 Annual Report </w:t>
            </w:r>
          </w:p>
        </w:tc>
        <w:tc>
          <w:tcPr>
            <w:tcW w:w="454" w:type="pct"/>
          </w:tcPr>
          <w:p w14:paraId="4C1FF5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11D45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402" w:type="pct"/>
          </w:tcPr>
          <w:p w14:paraId="5B0F4A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749E18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7010CFF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006AA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AC2B3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A61068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4743B3C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B5460C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4A09B42" w14:textId="77777777" w:rsidTr="007674CF">
        <w:tc>
          <w:tcPr>
            <w:tcW w:w="443" w:type="pct"/>
          </w:tcPr>
          <w:p w14:paraId="2BAAB6BB" w14:textId="77777777" w:rsidR="0093470E" w:rsidRPr="00E16853" w:rsidRDefault="0093470E" w:rsidP="004F464F">
            <w:pPr>
              <w:pStyle w:val="NoSpacing"/>
              <w:rPr>
                <w:rFonts w:eastAsia="Times New Roman"/>
                <w:sz w:val="18"/>
                <w:szCs w:val="18"/>
              </w:rPr>
            </w:pPr>
            <w:r w:rsidRPr="00E16853">
              <w:rPr>
                <w:rFonts w:eastAsia="Times New Roman"/>
                <w:sz w:val="18"/>
                <w:szCs w:val="18"/>
              </w:rPr>
              <w:lastRenderedPageBreak/>
              <w:t>ACER (2015)</w:t>
            </w:r>
          </w:p>
        </w:tc>
        <w:tc>
          <w:tcPr>
            <w:tcW w:w="874" w:type="pct"/>
          </w:tcPr>
          <w:p w14:paraId="4F30FC6C" w14:textId="77777777" w:rsidR="0093470E" w:rsidRPr="00E16853" w:rsidRDefault="0093470E" w:rsidP="004F464F">
            <w:pPr>
              <w:pStyle w:val="NoSpacing"/>
              <w:rPr>
                <w:rFonts w:eastAsia="Times New Roman"/>
                <w:sz w:val="18"/>
                <w:szCs w:val="18"/>
              </w:rPr>
            </w:pPr>
            <w:r w:rsidRPr="00E16853">
              <w:rPr>
                <w:rFonts w:eastAsia="Times New Roman"/>
                <w:sz w:val="18"/>
                <w:szCs w:val="18"/>
              </w:rPr>
              <w:t>Corporate Profile</w:t>
            </w:r>
          </w:p>
        </w:tc>
        <w:tc>
          <w:tcPr>
            <w:tcW w:w="454" w:type="pct"/>
          </w:tcPr>
          <w:p w14:paraId="2550A8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226D894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Corporate profile</w:t>
            </w:r>
          </w:p>
        </w:tc>
        <w:tc>
          <w:tcPr>
            <w:tcW w:w="402" w:type="pct"/>
          </w:tcPr>
          <w:p w14:paraId="5F393C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31DF02B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537798F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E352DC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92AF0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F4745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3C456D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4E9210F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4FC17E3" w14:textId="77777777" w:rsidTr="007674CF">
        <w:tc>
          <w:tcPr>
            <w:tcW w:w="443" w:type="pct"/>
          </w:tcPr>
          <w:p w14:paraId="3071052D" w14:textId="77777777" w:rsidR="0093470E" w:rsidRPr="00E16853" w:rsidRDefault="0093470E" w:rsidP="004F464F">
            <w:pPr>
              <w:pStyle w:val="NoSpacing"/>
              <w:rPr>
                <w:rFonts w:eastAsia="Times New Roman"/>
                <w:sz w:val="18"/>
                <w:szCs w:val="18"/>
              </w:rPr>
            </w:pPr>
            <w:r w:rsidRPr="00E16853">
              <w:rPr>
                <w:rFonts w:eastAsia="Times New Roman"/>
                <w:sz w:val="18"/>
                <w:szCs w:val="18"/>
              </w:rPr>
              <w:t>CDC (2016)</w:t>
            </w:r>
          </w:p>
        </w:tc>
        <w:tc>
          <w:tcPr>
            <w:tcW w:w="874" w:type="pct"/>
          </w:tcPr>
          <w:p w14:paraId="7AE04CC9"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Detailed Organisational Chart </w:t>
            </w:r>
          </w:p>
        </w:tc>
        <w:tc>
          <w:tcPr>
            <w:tcW w:w="454" w:type="pct"/>
          </w:tcPr>
          <w:p w14:paraId="09EEB92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2640CF1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402" w:type="pct"/>
          </w:tcPr>
          <w:p w14:paraId="1F54EC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18040FE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6EE3D9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60CAAC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EFFDF7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92CD6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8248FC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DAB703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7E060C7B" w14:textId="77777777" w:rsidTr="007674CF">
        <w:tc>
          <w:tcPr>
            <w:tcW w:w="443" w:type="pct"/>
          </w:tcPr>
          <w:p w14:paraId="662D449E" w14:textId="77777777" w:rsidR="0093470E" w:rsidRPr="00E16853" w:rsidRDefault="0093470E" w:rsidP="004F464F">
            <w:pPr>
              <w:pStyle w:val="NoSpacing"/>
              <w:rPr>
                <w:rFonts w:eastAsia="Times New Roman"/>
                <w:sz w:val="18"/>
                <w:szCs w:val="18"/>
              </w:rPr>
            </w:pPr>
            <w:r w:rsidRPr="00E16853">
              <w:rPr>
                <w:rFonts w:eastAsia="Times New Roman"/>
                <w:sz w:val="18"/>
                <w:szCs w:val="18"/>
              </w:rPr>
              <w:t>CDC (2016)</w:t>
            </w:r>
          </w:p>
        </w:tc>
        <w:tc>
          <w:tcPr>
            <w:tcW w:w="874" w:type="pct"/>
          </w:tcPr>
          <w:p w14:paraId="71AE437A" w14:textId="77777777" w:rsidR="0093470E" w:rsidRPr="00E16853" w:rsidRDefault="0093470E" w:rsidP="004F464F">
            <w:pPr>
              <w:pStyle w:val="NoSpacing"/>
              <w:rPr>
                <w:rFonts w:eastAsia="Times New Roman"/>
                <w:sz w:val="18"/>
                <w:szCs w:val="18"/>
              </w:rPr>
            </w:pPr>
            <w:r w:rsidRPr="00E16853">
              <w:rPr>
                <w:rFonts w:eastAsia="Times New Roman"/>
                <w:sz w:val="18"/>
                <w:szCs w:val="18"/>
              </w:rPr>
              <w:t xml:space="preserve">Office of Financial Resources Fiscal Year 2016 Annual Report </w:t>
            </w:r>
          </w:p>
        </w:tc>
        <w:tc>
          <w:tcPr>
            <w:tcW w:w="454" w:type="pct"/>
          </w:tcPr>
          <w:p w14:paraId="455F96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7F2198B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financial report </w:t>
            </w:r>
          </w:p>
        </w:tc>
        <w:tc>
          <w:tcPr>
            <w:tcW w:w="402" w:type="pct"/>
          </w:tcPr>
          <w:p w14:paraId="46ED82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20A4C13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264" w:type="pct"/>
          </w:tcPr>
          <w:p w14:paraId="6B9617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820C5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C57CA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EFDCA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1944255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658F6E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198581BA" w14:textId="77777777" w:rsidTr="007674CF">
        <w:tc>
          <w:tcPr>
            <w:tcW w:w="443" w:type="pct"/>
          </w:tcPr>
          <w:p w14:paraId="4919CCD5" w14:textId="77777777" w:rsidR="0093470E" w:rsidRPr="00E16853" w:rsidRDefault="0093470E" w:rsidP="004F464F">
            <w:pPr>
              <w:pStyle w:val="NoSpacing"/>
              <w:rPr>
                <w:rFonts w:eastAsia="Times New Roman"/>
                <w:sz w:val="18"/>
                <w:szCs w:val="18"/>
              </w:rPr>
            </w:pPr>
            <w:r w:rsidRPr="00E16853">
              <w:rPr>
                <w:rFonts w:eastAsia="Times New Roman"/>
                <w:sz w:val="18"/>
                <w:szCs w:val="18"/>
              </w:rPr>
              <w:t>OECD (2017)</w:t>
            </w:r>
          </w:p>
        </w:tc>
        <w:tc>
          <w:tcPr>
            <w:tcW w:w="874" w:type="pct"/>
          </w:tcPr>
          <w:p w14:paraId="7DD3F4D8" w14:textId="77777777" w:rsidR="0093470E" w:rsidRPr="00E16853" w:rsidRDefault="0093470E" w:rsidP="004F464F">
            <w:pPr>
              <w:pStyle w:val="NoSpacing"/>
              <w:rPr>
                <w:rFonts w:eastAsia="Times New Roman"/>
                <w:sz w:val="18"/>
                <w:szCs w:val="18"/>
              </w:rPr>
            </w:pPr>
            <w:r w:rsidRPr="00E16853">
              <w:rPr>
                <w:rFonts w:eastAsia="Times New Roman"/>
                <w:sz w:val="18"/>
                <w:szCs w:val="18"/>
              </w:rPr>
              <w:t>About the OECD tourism committee</w:t>
            </w:r>
          </w:p>
        </w:tc>
        <w:tc>
          <w:tcPr>
            <w:tcW w:w="454" w:type="pct"/>
          </w:tcPr>
          <w:p w14:paraId="476511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0B4F193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402" w:type="pct"/>
          </w:tcPr>
          <w:p w14:paraId="748676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Tourism</w:t>
            </w:r>
          </w:p>
        </w:tc>
        <w:tc>
          <w:tcPr>
            <w:tcW w:w="454" w:type="pct"/>
          </w:tcPr>
          <w:p w14:paraId="658920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 (OECD)</w:t>
            </w:r>
          </w:p>
        </w:tc>
        <w:tc>
          <w:tcPr>
            <w:tcW w:w="264" w:type="pct"/>
          </w:tcPr>
          <w:p w14:paraId="58A10F6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5D90F0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32352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D2A27E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548A8F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F862D5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652E835D" w14:textId="77777777" w:rsidTr="007674CF">
        <w:tc>
          <w:tcPr>
            <w:tcW w:w="443" w:type="pct"/>
          </w:tcPr>
          <w:p w14:paraId="31CE755E" w14:textId="77777777" w:rsidR="0093470E" w:rsidRPr="00E16853" w:rsidRDefault="0093470E" w:rsidP="004F464F">
            <w:pPr>
              <w:pStyle w:val="NoSpacing"/>
              <w:rPr>
                <w:rFonts w:eastAsia="Times New Roman"/>
                <w:sz w:val="18"/>
                <w:szCs w:val="18"/>
              </w:rPr>
            </w:pPr>
            <w:r w:rsidRPr="00E16853">
              <w:rPr>
                <w:rFonts w:eastAsia="Times New Roman"/>
                <w:sz w:val="18"/>
                <w:szCs w:val="18"/>
              </w:rPr>
              <w:t>Mitchell Institute (2017)</w:t>
            </w:r>
          </w:p>
        </w:tc>
        <w:tc>
          <w:tcPr>
            <w:tcW w:w="874" w:type="pct"/>
          </w:tcPr>
          <w:p w14:paraId="587964D9" w14:textId="77777777" w:rsidR="0093470E" w:rsidRPr="00E16853" w:rsidRDefault="0093470E" w:rsidP="004F464F">
            <w:pPr>
              <w:pStyle w:val="NoSpacing"/>
              <w:rPr>
                <w:rFonts w:eastAsia="Times New Roman"/>
                <w:sz w:val="18"/>
                <w:szCs w:val="18"/>
              </w:rPr>
            </w:pPr>
            <w:r w:rsidRPr="00E16853">
              <w:rPr>
                <w:rFonts w:eastAsia="Times New Roman"/>
                <w:sz w:val="18"/>
                <w:szCs w:val="18"/>
              </w:rPr>
              <w:t>Mitchell Institute Prospectus</w:t>
            </w:r>
          </w:p>
        </w:tc>
        <w:tc>
          <w:tcPr>
            <w:tcW w:w="454" w:type="pct"/>
          </w:tcPr>
          <w:p w14:paraId="441EC08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6ACD0A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402" w:type="pct"/>
          </w:tcPr>
          <w:p w14:paraId="570E57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C470E9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2D08C42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458DBB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FF1B80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72D8F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49D4D90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595F6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7DFB0C75" w14:textId="77777777" w:rsidTr="007674CF">
        <w:tc>
          <w:tcPr>
            <w:tcW w:w="443" w:type="pct"/>
          </w:tcPr>
          <w:p w14:paraId="44727980" w14:textId="77777777" w:rsidR="0093470E" w:rsidRPr="00E16853" w:rsidRDefault="0093470E" w:rsidP="004F464F">
            <w:pPr>
              <w:pStyle w:val="NoSpacing"/>
              <w:rPr>
                <w:rFonts w:eastAsia="Times New Roman"/>
                <w:sz w:val="18"/>
                <w:szCs w:val="18"/>
              </w:rPr>
            </w:pPr>
            <w:r w:rsidRPr="00E16853">
              <w:rPr>
                <w:rFonts w:eastAsia="Times New Roman"/>
                <w:sz w:val="18"/>
                <w:szCs w:val="18"/>
              </w:rPr>
              <w:t>Mitchell Institute (2016)</w:t>
            </w:r>
          </w:p>
        </w:tc>
        <w:tc>
          <w:tcPr>
            <w:tcW w:w="874" w:type="pct"/>
          </w:tcPr>
          <w:p w14:paraId="76AC00DC" w14:textId="77777777" w:rsidR="0093470E" w:rsidRPr="00E16853" w:rsidRDefault="0093470E" w:rsidP="004F464F">
            <w:pPr>
              <w:pStyle w:val="NoSpacing"/>
              <w:rPr>
                <w:rFonts w:eastAsia="Times New Roman"/>
                <w:sz w:val="18"/>
                <w:szCs w:val="18"/>
              </w:rPr>
            </w:pPr>
            <w:r w:rsidRPr="00E16853">
              <w:rPr>
                <w:rFonts w:eastAsia="Times New Roman"/>
                <w:sz w:val="18"/>
                <w:szCs w:val="18"/>
              </w:rPr>
              <w:t>Annual Report 2015</w:t>
            </w:r>
          </w:p>
        </w:tc>
        <w:tc>
          <w:tcPr>
            <w:tcW w:w="454" w:type="pct"/>
          </w:tcPr>
          <w:p w14:paraId="3FA9DE3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Report</w:t>
            </w:r>
          </w:p>
        </w:tc>
        <w:tc>
          <w:tcPr>
            <w:tcW w:w="791" w:type="pct"/>
          </w:tcPr>
          <w:p w14:paraId="72BE221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Annual report</w:t>
            </w:r>
          </w:p>
        </w:tc>
        <w:tc>
          <w:tcPr>
            <w:tcW w:w="402" w:type="pct"/>
          </w:tcPr>
          <w:p w14:paraId="032FBFB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9DA17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1ED5FB5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218AB6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773492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CC96D3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567015A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4FC4B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72AFCAA6" w14:textId="77777777" w:rsidTr="007674CF">
        <w:tc>
          <w:tcPr>
            <w:tcW w:w="443" w:type="pct"/>
          </w:tcPr>
          <w:p w14:paraId="2319DA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Moore (2016)</w:t>
            </w:r>
          </w:p>
        </w:tc>
        <w:tc>
          <w:tcPr>
            <w:tcW w:w="874" w:type="pct"/>
          </w:tcPr>
          <w:p w14:paraId="31E0D7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Towards a model of evidence-informed decision-making and service delivery</w:t>
            </w:r>
          </w:p>
        </w:tc>
        <w:tc>
          <w:tcPr>
            <w:tcW w:w="454" w:type="pct"/>
          </w:tcPr>
          <w:p w14:paraId="19A85EB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Working paper</w:t>
            </w:r>
          </w:p>
        </w:tc>
        <w:tc>
          <w:tcPr>
            <w:tcW w:w="791" w:type="pct"/>
          </w:tcPr>
          <w:p w14:paraId="6B46E97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Theoretical </w:t>
            </w:r>
          </w:p>
        </w:tc>
        <w:tc>
          <w:tcPr>
            <w:tcW w:w="402" w:type="pct"/>
          </w:tcPr>
          <w:p w14:paraId="1A76BF7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589CE8A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16969BD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AE4ADD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1EEEAA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5ADBE3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5666BB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53F26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7E178D33" w14:textId="77777777" w:rsidTr="007674CF">
        <w:tc>
          <w:tcPr>
            <w:tcW w:w="443" w:type="pct"/>
          </w:tcPr>
          <w:p w14:paraId="5CFE2EB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Peterson et al. (2015)</w:t>
            </w:r>
          </w:p>
        </w:tc>
        <w:tc>
          <w:tcPr>
            <w:tcW w:w="874" w:type="pct"/>
          </w:tcPr>
          <w:p w14:paraId="1E53691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The clinical and economic value of health libraries in patient care</w:t>
            </w:r>
          </w:p>
        </w:tc>
        <w:tc>
          <w:tcPr>
            <w:tcW w:w="454" w:type="pct"/>
          </w:tcPr>
          <w:p w14:paraId="00F46BA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 article</w:t>
            </w:r>
          </w:p>
        </w:tc>
        <w:tc>
          <w:tcPr>
            <w:tcW w:w="791" w:type="pct"/>
          </w:tcPr>
          <w:p w14:paraId="3BD3CC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Review</w:t>
            </w:r>
          </w:p>
        </w:tc>
        <w:tc>
          <w:tcPr>
            <w:tcW w:w="402" w:type="pct"/>
          </w:tcPr>
          <w:p w14:paraId="47591F9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411EE2E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58F30D4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F5175C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320E9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0AABD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146D7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5CB94C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3F9ED3C0" w14:textId="77777777" w:rsidTr="007674CF">
        <w:tc>
          <w:tcPr>
            <w:tcW w:w="443" w:type="pct"/>
          </w:tcPr>
          <w:p w14:paraId="6890E7D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Colquhoun et al.  (2016)</w:t>
            </w:r>
          </w:p>
        </w:tc>
        <w:tc>
          <w:tcPr>
            <w:tcW w:w="874" w:type="pct"/>
          </w:tcPr>
          <w:p w14:paraId="1A1B2F4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Evaluation of a training program for medicines-oriented policymakers to use a database of systematic reviews.</w:t>
            </w:r>
          </w:p>
        </w:tc>
        <w:tc>
          <w:tcPr>
            <w:tcW w:w="454" w:type="pct"/>
          </w:tcPr>
          <w:p w14:paraId="1FF24AA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2D27C76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Evaluation</w:t>
            </w:r>
          </w:p>
        </w:tc>
        <w:tc>
          <w:tcPr>
            <w:tcW w:w="402" w:type="pct"/>
          </w:tcPr>
          <w:p w14:paraId="6A19C4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w:t>
            </w:r>
          </w:p>
        </w:tc>
        <w:tc>
          <w:tcPr>
            <w:tcW w:w="454" w:type="pct"/>
          </w:tcPr>
          <w:p w14:paraId="799786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Multinational</w:t>
            </w:r>
          </w:p>
        </w:tc>
        <w:tc>
          <w:tcPr>
            <w:tcW w:w="264" w:type="pct"/>
          </w:tcPr>
          <w:p w14:paraId="45057A2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E2CC3D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6147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CFA14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0F8A6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E16E6B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B348B71" w14:textId="77777777" w:rsidTr="007674CF">
        <w:tc>
          <w:tcPr>
            <w:tcW w:w="443" w:type="pct"/>
          </w:tcPr>
          <w:p w14:paraId="4B2E4697"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Kubek</w:t>
            </w:r>
            <w:proofErr w:type="spellEnd"/>
            <w:r w:rsidRPr="00E16853">
              <w:rPr>
                <w:rFonts w:eastAsia="Times New Roman"/>
                <w:color w:val="000000"/>
                <w:sz w:val="18"/>
                <w:szCs w:val="18"/>
              </w:rPr>
              <w:t xml:space="preserve"> et al. (2007)</w:t>
            </w:r>
          </w:p>
        </w:tc>
        <w:tc>
          <w:tcPr>
            <w:tcW w:w="874" w:type="pct"/>
          </w:tcPr>
          <w:p w14:paraId="4956E08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Practical Communications: Innovative Methods for Disseminating Evidence-Based Practices and Building Community Consensus.</w:t>
            </w:r>
          </w:p>
        </w:tc>
        <w:tc>
          <w:tcPr>
            <w:tcW w:w="454" w:type="pct"/>
          </w:tcPr>
          <w:p w14:paraId="24F074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37AF948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descriptive</w:t>
            </w:r>
          </w:p>
        </w:tc>
        <w:tc>
          <w:tcPr>
            <w:tcW w:w="402" w:type="pct"/>
          </w:tcPr>
          <w:p w14:paraId="65E2B0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44AC32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1D259CF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70490C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533916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65D746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7A4793C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6FCCC4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A8C5402" w14:textId="77777777" w:rsidTr="007674CF">
        <w:tc>
          <w:tcPr>
            <w:tcW w:w="443" w:type="pct"/>
          </w:tcPr>
          <w:p w14:paraId="39D63FE0"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Whitmer</w:t>
            </w:r>
            <w:proofErr w:type="spellEnd"/>
            <w:r w:rsidRPr="00E16853">
              <w:rPr>
                <w:rFonts w:eastAsia="Times New Roman"/>
                <w:color w:val="000000"/>
                <w:sz w:val="18"/>
                <w:szCs w:val="18"/>
              </w:rPr>
              <w:t xml:space="preserve"> et al.  (2011)</w:t>
            </w:r>
          </w:p>
        </w:tc>
        <w:tc>
          <w:tcPr>
            <w:tcW w:w="874" w:type="pct"/>
          </w:tcPr>
          <w:p w14:paraId="6B5D3556" w14:textId="77777777" w:rsidR="0093470E" w:rsidRPr="00E16853" w:rsidRDefault="0093470E" w:rsidP="004F464F">
            <w:pPr>
              <w:pStyle w:val="NoSpacing"/>
              <w:rPr>
                <w:rFonts w:eastAsia="Times New Roman"/>
                <w:color w:val="222222"/>
                <w:sz w:val="18"/>
                <w:szCs w:val="18"/>
              </w:rPr>
            </w:pPr>
            <w:r w:rsidRPr="00E16853">
              <w:rPr>
                <w:rFonts w:eastAsia="Times New Roman"/>
                <w:color w:val="222222"/>
                <w:sz w:val="18"/>
                <w:szCs w:val="18"/>
              </w:rPr>
              <w:t>Launching evidence-based nursing practice.</w:t>
            </w:r>
          </w:p>
        </w:tc>
        <w:tc>
          <w:tcPr>
            <w:tcW w:w="454" w:type="pct"/>
          </w:tcPr>
          <w:p w14:paraId="71D4109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6F8D3D8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descriptive</w:t>
            </w:r>
          </w:p>
        </w:tc>
        <w:tc>
          <w:tcPr>
            <w:tcW w:w="402" w:type="pct"/>
          </w:tcPr>
          <w:p w14:paraId="187D772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2051AFD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78D2E72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DFA91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09FFBE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48FD29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C8EC67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5C61AF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3E2AAC33" w14:textId="77777777" w:rsidTr="007674CF">
        <w:trPr>
          <w:cantSplit/>
          <w:trHeight w:val="1291"/>
        </w:trPr>
        <w:tc>
          <w:tcPr>
            <w:tcW w:w="443" w:type="pct"/>
            <w:shd w:val="clear" w:color="auto" w:fill="ECC2B7" w:themeFill="accent6" w:themeFillTint="66"/>
            <w:vAlign w:val="bottom"/>
          </w:tcPr>
          <w:p w14:paraId="647FA7F1" w14:textId="77777777" w:rsidR="0093470E" w:rsidRPr="004F464F" w:rsidRDefault="0093470E" w:rsidP="004F464F">
            <w:pPr>
              <w:pStyle w:val="NoSpacing"/>
              <w:rPr>
                <w:b/>
              </w:rPr>
            </w:pPr>
            <w:r w:rsidRPr="004F464F">
              <w:rPr>
                <w:b/>
              </w:rPr>
              <w:t>Author (year)</w:t>
            </w:r>
          </w:p>
        </w:tc>
        <w:tc>
          <w:tcPr>
            <w:tcW w:w="874" w:type="pct"/>
            <w:shd w:val="clear" w:color="auto" w:fill="ECC2B7" w:themeFill="accent6" w:themeFillTint="66"/>
            <w:vAlign w:val="bottom"/>
          </w:tcPr>
          <w:p w14:paraId="105AB2E1"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028D0B8D"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7800E155"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54D1742A"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02624A99"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0FD4932C"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691EAC51"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58C58C25"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2D9E56C9"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2E7433B7"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3AF0AD07" w14:textId="77777777" w:rsidR="0093470E" w:rsidRPr="004F464F" w:rsidRDefault="0093470E" w:rsidP="004F464F">
            <w:pPr>
              <w:pStyle w:val="NoSpacing"/>
              <w:rPr>
                <w:b/>
              </w:rPr>
            </w:pPr>
            <w:r w:rsidRPr="004F464F">
              <w:rPr>
                <w:b/>
              </w:rPr>
              <w:t>Significance</w:t>
            </w:r>
          </w:p>
        </w:tc>
      </w:tr>
      <w:tr w:rsidR="0093470E" w:rsidRPr="00E16853" w14:paraId="1B37655C" w14:textId="77777777" w:rsidTr="007674CF">
        <w:tc>
          <w:tcPr>
            <w:tcW w:w="443" w:type="pct"/>
          </w:tcPr>
          <w:p w14:paraId="061D056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Payne et al.  (2015)</w:t>
            </w:r>
          </w:p>
        </w:tc>
        <w:tc>
          <w:tcPr>
            <w:tcW w:w="874" w:type="pct"/>
          </w:tcPr>
          <w:p w14:paraId="226446D0" w14:textId="77777777" w:rsidR="0093470E" w:rsidRPr="00E16853" w:rsidRDefault="0093470E" w:rsidP="004F464F">
            <w:pPr>
              <w:pStyle w:val="NoSpacing"/>
              <w:rPr>
                <w:rFonts w:eastAsia="Times New Roman"/>
                <w:color w:val="222222"/>
                <w:sz w:val="18"/>
                <w:szCs w:val="18"/>
              </w:rPr>
            </w:pPr>
            <w:r w:rsidRPr="00E16853">
              <w:rPr>
                <w:rFonts w:eastAsia="Times New Roman"/>
                <w:color w:val="222222"/>
                <w:sz w:val="18"/>
                <w:szCs w:val="18"/>
              </w:rPr>
              <w:t xml:space="preserve">CDC's Health Equity Resource Toolkit: disseminating </w:t>
            </w:r>
            <w:r w:rsidRPr="00E16853">
              <w:rPr>
                <w:rFonts w:eastAsia="Times New Roman"/>
                <w:color w:val="222222"/>
                <w:sz w:val="18"/>
                <w:szCs w:val="18"/>
              </w:rPr>
              <w:lastRenderedPageBreak/>
              <w:t>guidance for state practitioners to address obesity disparities.</w:t>
            </w:r>
          </w:p>
        </w:tc>
        <w:tc>
          <w:tcPr>
            <w:tcW w:w="454" w:type="pct"/>
          </w:tcPr>
          <w:p w14:paraId="7BFD54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lastRenderedPageBreak/>
              <w:t>Journal</w:t>
            </w:r>
          </w:p>
        </w:tc>
        <w:tc>
          <w:tcPr>
            <w:tcW w:w="791" w:type="pct"/>
          </w:tcPr>
          <w:p w14:paraId="40A39D3E"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Policy paper</w:t>
            </w:r>
          </w:p>
        </w:tc>
        <w:tc>
          <w:tcPr>
            <w:tcW w:w="402" w:type="pct"/>
          </w:tcPr>
          <w:p w14:paraId="5FD432C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6AAC112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661A9C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5E0550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A2A553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51311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78E117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60403B7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7A2578A2" w14:textId="77777777" w:rsidTr="007674CF">
        <w:tc>
          <w:tcPr>
            <w:tcW w:w="443" w:type="pct"/>
          </w:tcPr>
          <w:p w14:paraId="37383551"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lastRenderedPageBreak/>
              <w:t>Dadich</w:t>
            </w:r>
            <w:proofErr w:type="spellEnd"/>
            <w:r w:rsidRPr="00E16853">
              <w:rPr>
                <w:rFonts w:eastAsia="Times New Roman"/>
                <w:color w:val="000000"/>
                <w:sz w:val="18"/>
                <w:szCs w:val="18"/>
              </w:rPr>
              <w:t xml:space="preserve"> et al.  (2016)</w:t>
            </w:r>
          </w:p>
        </w:tc>
        <w:tc>
          <w:tcPr>
            <w:tcW w:w="874" w:type="pct"/>
          </w:tcPr>
          <w:p w14:paraId="0262356D" w14:textId="77777777" w:rsidR="0093470E" w:rsidRPr="00E16853" w:rsidRDefault="0093470E" w:rsidP="004F464F">
            <w:pPr>
              <w:pStyle w:val="NoSpacing"/>
              <w:rPr>
                <w:rFonts w:eastAsia="Times New Roman"/>
                <w:color w:val="222222"/>
                <w:sz w:val="18"/>
                <w:szCs w:val="18"/>
              </w:rPr>
            </w:pPr>
            <w:r w:rsidRPr="00E16853">
              <w:rPr>
                <w:rFonts w:eastAsia="Times New Roman"/>
                <w:color w:val="222222"/>
                <w:sz w:val="18"/>
                <w:szCs w:val="18"/>
              </w:rPr>
              <w:t>Communication channels to promote evidence-based practice: a survey of primary care clinicians to determine perceived effects.</w:t>
            </w:r>
          </w:p>
          <w:p w14:paraId="0CA857A4" w14:textId="77777777" w:rsidR="0093470E" w:rsidRPr="00E16853" w:rsidRDefault="0093470E" w:rsidP="004F464F">
            <w:pPr>
              <w:pStyle w:val="NoSpacing"/>
              <w:rPr>
                <w:rFonts w:eastAsia="Times New Roman"/>
                <w:color w:val="222222"/>
                <w:sz w:val="18"/>
                <w:szCs w:val="18"/>
              </w:rPr>
            </w:pPr>
          </w:p>
        </w:tc>
        <w:tc>
          <w:tcPr>
            <w:tcW w:w="454" w:type="pct"/>
          </w:tcPr>
          <w:p w14:paraId="3136D5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1F9CB1FF"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Cross-sectional survey</w:t>
            </w:r>
          </w:p>
        </w:tc>
        <w:tc>
          <w:tcPr>
            <w:tcW w:w="402" w:type="pct"/>
          </w:tcPr>
          <w:p w14:paraId="596556F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Public health</w:t>
            </w:r>
          </w:p>
        </w:tc>
        <w:tc>
          <w:tcPr>
            <w:tcW w:w="454" w:type="pct"/>
          </w:tcPr>
          <w:p w14:paraId="1FC73E2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264" w:type="pct"/>
          </w:tcPr>
          <w:p w14:paraId="39A93C1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C72D5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C75BAE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B91537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13AF01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D1A6F1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60DE08E8" w14:textId="77777777" w:rsidTr="007674CF">
        <w:tc>
          <w:tcPr>
            <w:tcW w:w="443" w:type="pct"/>
          </w:tcPr>
          <w:p w14:paraId="0A91DB9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Holcombe et al.  (2012)</w:t>
            </w:r>
          </w:p>
        </w:tc>
        <w:tc>
          <w:tcPr>
            <w:tcW w:w="874" w:type="pct"/>
          </w:tcPr>
          <w:p w14:paraId="18A2B3C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Implementation of electronic chemotherapy ordering: An opportunity to improve evidence-based oncology care.</w:t>
            </w:r>
          </w:p>
        </w:tc>
        <w:tc>
          <w:tcPr>
            <w:tcW w:w="454" w:type="pct"/>
          </w:tcPr>
          <w:p w14:paraId="34D7DDC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586387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Intervention </w:t>
            </w:r>
          </w:p>
        </w:tc>
        <w:tc>
          <w:tcPr>
            <w:tcW w:w="402" w:type="pct"/>
          </w:tcPr>
          <w:p w14:paraId="7D4FA85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73FA8EA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6E3EEC7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F0359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E8188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A56507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C5A511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1FE64B2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4D49D836" w14:textId="77777777" w:rsidTr="007674CF">
        <w:tc>
          <w:tcPr>
            <w:tcW w:w="443" w:type="pct"/>
          </w:tcPr>
          <w:p w14:paraId="4108A22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Ferguson et al. (2013)</w:t>
            </w:r>
          </w:p>
        </w:tc>
        <w:tc>
          <w:tcPr>
            <w:tcW w:w="874" w:type="pct"/>
          </w:tcPr>
          <w:p w14:paraId="0341349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Stakeholder dialogue about evidence-based practice: An e-learning tool to facilitate discussion</w:t>
            </w:r>
          </w:p>
        </w:tc>
        <w:tc>
          <w:tcPr>
            <w:tcW w:w="454" w:type="pct"/>
          </w:tcPr>
          <w:p w14:paraId="778A715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152A3E0C" w14:textId="77777777" w:rsidR="0093470E" w:rsidRPr="00E16853" w:rsidRDefault="001A5914" w:rsidP="004F464F">
            <w:pPr>
              <w:pStyle w:val="NoSpacing"/>
              <w:rPr>
                <w:rFonts w:eastAsia="Times New Roman"/>
                <w:color w:val="000000"/>
                <w:sz w:val="18"/>
                <w:szCs w:val="18"/>
              </w:rPr>
            </w:pPr>
            <w:r>
              <w:rPr>
                <w:rFonts w:eastAsia="Times New Roman"/>
                <w:color w:val="000000"/>
                <w:sz w:val="18"/>
                <w:szCs w:val="18"/>
              </w:rPr>
              <w:t>Intervention</w:t>
            </w:r>
          </w:p>
        </w:tc>
        <w:tc>
          <w:tcPr>
            <w:tcW w:w="402" w:type="pct"/>
          </w:tcPr>
          <w:p w14:paraId="109B021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 promotion</w:t>
            </w:r>
          </w:p>
        </w:tc>
        <w:tc>
          <w:tcPr>
            <w:tcW w:w="454" w:type="pct"/>
          </w:tcPr>
          <w:p w14:paraId="25ABFA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51C4715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83DDEA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4" w:type="pct"/>
          </w:tcPr>
          <w:p w14:paraId="78931B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EA472E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5D7D2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3AE359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79F582CF" w14:textId="77777777" w:rsidTr="007674CF">
        <w:tc>
          <w:tcPr>
            <w:tcW w:w="443" w:type="pct"/>
          </w:tcPr>
          <w:p w14:paraId="24F875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Smits (2014)</w:t>
            </w:r>
          </w:p>
        </w:tc>
        <w:tc>
          <w:tcPr>
            <w:tcW w:w="874" w:type="pct"/>
          </w:tcPr>
          <w:p w14:paraId="6AD2899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How research funding agencies support science integration into policy and practice: An international overview</w:t>
            </w:r>
          </w:p>
        </w:tc>
        <w:tc>
          <w:tcPr>
            <w:tcW w:w="454" w:type="pct"/>
          </w:tcPr>
          <w:p w14:paraId="29F4CE7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2FA204C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Comparison study</w:t>
            </w:r>
          </w:p>
        </w:tc>
        <w:tc>
          <w:tcPr>
            <w:tcW w:w="402" w:type="pct"/>
          </w:tcPr>
          <w:p w14:paraId="759CF8D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220327B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Multinational</w:t>
            </w:r>
          </w:p>
        </w:tc>
        <w:tc>
          <w:tcPr>
            <w:tcW w:w="264" w:type="pct"/>
          </w:tcPr>
          <w:p w14:paraId="6E16BE8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79989D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6ECD21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E7CFE7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C3B62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7D31C8E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1CC7AF11" w14:textId="77777777" w:rsidTr="007674CF">
        <w:tc>
          <w:tcPr>
            <w:tcW w:w="443" w:type="pct"/>
          </w:tcPr>
          <w:p w14:paraId="5AA83C41"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Emshoff</w:t>
            </w:r>
            <w:proofErr w:type="spellEnd"/>
            <w:r w:rsidRPr="00E16853">
              <w:rPr>
                <w:rFonts w:eastAsia="Times New Roman"/>
                <w:color w:val="000000"/>
                <w:sz w:val="18"/>
                <w:szCs w:val="18"/>
              </w:rPr>
              <w:t xml:space="preserve"> (2008)</w:t>
            </w:r>
          </w:p>
        </w:tc>
        <w:tc>
          <w:tcPr>
            <w:tcW w:w="874" w:type="pct"/>
          </w:tcPr>
          <w:p w14:paraId="031C69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Researchers, practitioners, and funders: Using the framework to get us on the same page</w:t>
            </w:r>
          </w:p>
        </w:tc>
        <w:tc>
          <w:tcPr>
            <w:tcW w:w="454" w:type="pct"/>
          </w:tcPr>
          <w:p w14:paraId="740BE03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06A531F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Policy study</w:t>
            </w:r>
          </w:p>
        </w:tc>
        <w:tc>
          <w:tcPr>
            <w:tcW w:w="402" w:type="pct"/>
          </w:tcPr>
          <w:p w14:paraId="0A7B948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41FCA0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13B7A22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6D4B97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29DCCB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1687081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54DB2B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20CE135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E16853" w14:paraId="21EB0E88" w14:textId="77777777" w:rsidTr="007674CF">
        <w:tc>
          <w:tcPr>
            <w:tcW w:w="443" w:type="pct"/>
          </w:tcPr>
          <w:p w14:paraId="3393F233" w14:textId="77777777" w:rsidR="0093470E" w:rsidRPr="00E16853" w:rsidRDefault="0093470E" w:rsidP="004F464F">
            <w:pPr>
              <w:pStyle w:val="NoSpacing"/>
              <w:rPr>
                <w:rFonts w:eastAsia="Times New Roman"/>
                <w:color w:val="000000"/>
                <w:sz w:val="18"/>
                <w:szCs w:val="18"/>
              </w:rPr>
            </w:pPr>
            <w:proofErr w:type="spellStart"/>
            <w:r w:rsidRPr="00E16853">
              <w:rPr>
                <w:rFonts w:eastAsia="Times New Roman"/>
                <w:color w:val="000000"/>
                <w:sz w:val="18"/>
                <w:szCs w:val="18"/>
              </w:rPr>
              <w:t>Leffler</w:t>
            </w:r>
            <w:proofErr w:type="spellEnd"/>
            <w:r w:rsidRPr="00E16853">
              <w:rPr>
                <w:rFonts w:eastAsia="Times New Roman"/>
                <w:color w:val="000000"/>
                <w:sz w:val="18"/>
                <w:szCs w:val="18"/>
              </w:rPr>
              <w:t xml:space="preserve"> et al. (2013)</w:t>
            </w:r>
          </w:p>
        </w:tc>
        <w:tc>
          <w:tcPr>
            <w:tcW w:w="874" w:type="pct"/>
          </w:tcPr>
          <w:p w14:paraId="4DBF4BE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Training in evidence-based practice across the professional continuum.</w:t>
            </w:r>
          </w:p>
        </w:tc>
        <w:tc>
          <w:tcPr>
            <w:tcW w:w="454" w:type="pct"/>
          </w:tcPr>
          <w:p w14:paraId="3ECF60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34C7B63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6CA6A86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54" w:type="pct"/>
          </w:tcPr>
          <w:p w14:paraId="5096A53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3E4D4BA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65C3E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BDA7A3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78FEC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7736D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323477F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93470E" w:rsidRPr="004F464F" w14:paraId="0B08EC1B" w14:textId="77777777" w:rsidTr="007674CF">
        <w:trPr>
          <w:cantSplit/>
          <w:trHeight w:val="1291"/>
        </w:trPr>
        <w:tc>
          <w:tcPr>
            <w:tcW w:w="443" w:type="pct"/>
            <w:shd w:val="clear" w:color="auto" w:fill="ECC2B7" w:themeFill="accent6" w:themeFillTint="66"/>
            <w:vAlign w:val="bottom"/>
          </w:tcPr>
          <w:p w14:paraId="51993C0A" w14:textId="77777777" w:rsidR="0093470E" w:rsidRPr="004F464F" w:rsidRDefault="0093470E" w:rsidP="004F464F">
            <w:pPr>
              <w:pStyle w:val="NoSpacing"/>
              <w:rPr>
                <w:b/>
              </w:rPr>
            </w:pPr>
            <w:r w:rsidRPr="004F464F">
              <w:rPr>
                <w:b/>
              </w:rPr>
              <w:t>Author (year)</w:t>
            </w:r>
          </w:p>
        </w:tc>
        <w:tc>
          <w:tcPr>
            <w:tcW w:w="874" w:type="pct"/>
            <w:shd w:val="clear" w:color="auto" w:fill="ECC2B7" w:themeFill="accent6" w:themeFillTint="66"/>
            <w:vAlign w:val="bottom"/>
          </w:tcPr>
          <w:p w14:paraId="7EA13427" w14:textId="77777777" w:rsidR="0093470E" w:rsidRPr="004F464F" w:rsidRDefault="0093470E" w:rsidP="004F464F">
            <w:pPr>
              <w:pStyle w:val="NoSpacing"/>
              <w:rPr>
                <w:b/>
              </w:rPr>
            </w:pPr>
            <w:r w:rsidRPr="004F464F">
              <w:rPr>
                <w:b/>
              </w:rPr>
              <w:t>Title</w:t>
            </w:r>
          </w:p>
        </w:tc>
        <w:tc>
          <w:tcPr>
            <w:tcW w:w="454" w:type="pct"/>
            <w:shd w:val="clear" w:color="auto" w:fill="ECC2B7" w:themeFill="accent6" w:themeFillTint="66"/>
            <w:vAlign w:val="bottom"/>
          </w:tcPr>
          <w:p w14:paraId="095ACB49" w14:textId="77777777" w:rsidR="0093470E" w:rsidRPr="004F464F" w:rsidRDefault="0093470E" w:rsidP="004F464F">
            <w:pPr>
              <w:pStyle w:val="NoSpacing"/>
              <w:rPr>
                <w:b/>
              </w:rPr>
            </w:pPr>
            <w:r w:rsidRPr="004F464F">
              <w:rPr>
                <w:b/>
              </w:rPr>
              <w:t xml:space="preserve">Publication </w:t>
            </w:r>
          </w:p>
        </w:tc>
        <w:tc>
          <w:tcPr>
            <w:tcW w:w="791" w:type="pct"/>
            <w:shd w:val="clear" w:color="auto" w:fill="ECC2B7" w:themeFill="accent6" w:themeFillTint="66"/>
            <w:vAlign w:val="bottom"/>
          </w:tcPr>
          <w:p w14:paraId="7B356098" w14:textId="77777777" w:rsidR="0093470E" w:rsidRPr="004F464F" w:rsidRDefault="0093470E" w:rsidP="004F464F">
            <w:pPr>
              <w:pStyle w:val="NoSpacing"/>
              <w:rPr>
                <w:b/>
              </w:rPr>
            </w:pPr>
            <w:r w:rsidRPr="004F464F">
              <w:rPr>
                <w:b/>
              </w:rPr>
              <w:t>Study design</w:t>
            </w:r>
          </w:p>
        </w:tc>
        <w:tc>
          <w:tcPr>
            <w:tcW w:w="402" w:type="pct"/>
            <w:shd w:val="clear" w:color="auto" w:fill="ECC2B7" w:themeFill="accent6" w:themeFillTint="66"/>
            <w:vAlign w:val="bottom"/>
          </w:tcPr>
          <w:p w14:paraId="49C7A672" w14:textId="77777777" w:rsidR="0093470E" w:rsidRPr="004F464F" w:rsidRDefault="0093470E" w:rsidP="004F464F">
            <w:pPr>
              <w:pStyle w:val="NoSpacing"/>
              <w:rPr>
                <w:b/>
              </w:rPr>
            </w:pPr>
            <w:r w:rsidRPr="004F464F">
              <w:rPr>
                <w:b/>
              </w:rPr>
              <w:t>Sector</w:t>
            </w:r>
          </w:p>
        </w:tc>
        <w:tc>
          <w:tcPr>
            <w:tcW w:w="454" w:type="pct"/>
            <w:shd w:val="clear" w:color="auto" w:fill="ECC2B7" w:themeFill="accent6" w:themeFillTint="66"/>
            <w:vAlign w:val="bottom"/>
          </w:tcPr>
          <w:p w14:paraId="0B494DBE" w14:textId="77777777" w:rsidR="0093470E" w:rsidRPr="004F464F" w:rsidRDefault="0093470E" w:rsidP="004F464F">
            <w:pPr>
              <w:pStyle w:val="NoSpacing"/>
              <w:rPr>
                <w:b/>
              </w:rPr>
            </w:pPr>
            <w:r w:rsidRPr="004F464F">
              <w:rPr>
                <w:b/>
              </w:rPr>
              <w:t>Country</w:t>
            </w:r>
          </w:p>
        </w:tc>
        <w:tc>
          <w:tcPr>
            <w:tcW w:w="264" w:type="pct"/>
            <w:shd w:val="clear" w:color="auto" w:fill="ECC2B7" w:themeFill="accent6" w:themeFillTint="66"/>
            <w:textDirection w:val="btLr"/>
          </w:tcPr>
          <w:p w14:paraId="16381BD6" w14:textId="77777777" w:rsidR="0093470E" w:rsidRPr="004F464F" w:rsidRDefault="0093470E" w:rsidP="004F464F">
            <w:pPr>
              <w:pStyle w:val="NoSpacing"/>
              <w:rPr>
                <w:b/>
              </w:rPr>
            </w:pPr>
            <w:r w:rsidRPr="004F464F">
              <w:rPr>
                <w:b/>
              </w:rPr>
              <w:t>Authority</w:t>
            </w:r>
          </w:p>
        </w:tc>
        <w:tc>
          <w:tcPr>
            <w:tcW w:w="264" w:type="pct"/>
            <w:shd w:val="clear" w:color="auto" w:fill="ECC2B7" w:themeFill="accent6" w:themeFillTint="66"/>
            <w:textDirection w:val="btLr"/>
          </w:tcPr>
          <w:p w14:paraId="0190A1DC" w14:textId="77777777" w:rsidR="0093470E" w:rsidRPr="004F464F" w:rsidRDefault="0093470E" w:rsidP="004F464F">
            <w:pPr>
              <w:pStyle w:val="NoSpacing"/>
              <w:rPr>
                <w:b/>
              </w:rPr>
            </w:pPr>
            <w:r w:rsidRPr="004F464F">
              <w:rPr>
                <w:b/>
              </w:rPr>
              <w:t>Accuracy</w:t>
            </w:r>
          </w:p>
        </w:tc>
        <w:tc>
          <w:tcPr>
            <w:tcW w:w="264" w:type="pct"/>
            <w:shd w:val="clear" w:color="auto" w:fill="ECC2B7" w:themeFill="accent6" w:themeFillTint="66"/>
            <w:textDirection w:val="btLr"/>
          </w:tcPr>
          <w:p w14:paraId="249E227B" w14:textId="77777777" w:rsidR="0093470E" w:rsidRPr="004F464F" w:rsidRDefault="0093470E" w:rsidP="004F464F">
            <w:pPr>
              <w:pStyle w:val="NoSpacing"/>
              <w:rPr>
                <w:b/>
              </w:rPr>
            </w:pPr>
            <w:r w:rsidRPr="004F464F">
              <w:rPr>
                <w:b/>
              </w:rPr>
              <w:t>Coverage</w:t>
            </w:r>
          </w:p>
        </w:tc>
        <w:tc>
          <w:tcPr>
            <w:tcW w:w="264" w:type="pct"/>
            <w:shd w:val="clear" w:color="auto" w:fill="ECC2B7" w:themeFill="accent6" w:themeFillTint="66"/>
            <w:textDirection w:val="btLr"/>
          </w:tcPr>
          <w:p w14:paraId="619D8CF1" w14:textId="77777777" w:rsidR="0093470E" w:rsidRPr="004F464F" w:rsidRDefault="0093470E" w:rsidP="004F464F">
            <w:pPr>
              <w:pStyle w:val="NoSpacing"/>
              <w:rPr>
                <w:b/>
              </w:rPr>
            </w:pPr>
            <w:r w:rsidRPr="004F464F">
              <w:rPr>
                <w:b/>
              </w:rPr>
              <w:t>Objectivity</w:t>
            </w:r>
          </w:p>
        </w:tc>
        <w:tc>
          <w:tcPr>
            <w:tcW w:w="264" w:type="pct"/>
            <w:shd w:val="clear" w:color="auto" w:fill="ECC2B7" w:themeFill="accent6" w:themeFillTint="66"/>
            <w:textDirection w:val="btLr"/>
          </w:tcPr>
          <w:p w14:paraId="7434F119" w14:textId="77777777" w:rsidR="0093470E" w:rsidRPr="004F464F" w:rsidRDefault="0093470E" w:rsidP="004F464F">
            <w:pPr>
              <w:pStyle w:val="NoSpacing"/>
              <w:rPr>
                <w:b/>
              </w:rPr>
            </w:pPr>
            <w:r w:rsidRPr="004F464F">
              <w:rPr>
                <w:b/>
              </w:rPr>
              <w:t>Date</w:t>
            </w:r>
          </w:p>
        </w:tc>
        <w:tc>
          <w:tcPr>
            <w:tcW w:w="262" w:type="pct"/>
            <w:shd w:val="clear" w:color="auto" w:fill="ECC2B7" w:themeFill="accent6" w:themeFillTint="66"/>
            <w:textDirection w:val="btLr"/>
          </w:tcPr>
          <w:p w14:paraId="2E1231B0" w14:textId="77777777" w:rsidR="0093470E" w:rsidRPr="004F464F" w:rsidRDefault="0093470E" w:rsidP="004F464F">
            <w:pPr>
              <w:pStyle w:val="NoSpacing"/>
              <w:rPr>
                <w:b/>
              </w:rPr>
            </w:pPr>
            <w:r w:rsidRPr="004F464F">
              <w:rPr>
                <w:b/>
              </w:rPr>
              <w:t>Significance</w:t>
            </w:r>
          </w:p>
        </w:tc>
      </w:tr>
      <w:tr w:rsidR="0093470E" w:rsidRPr="00E16853" w14:paraId="05B7CF9B" w14:textId="77777777" w:rsidTr="007674CF">
        <w:tc>
          <w:tcPr>
            <w:tcW w:w="443" w:type="pct"/>
          </w:tcPr>
          <w:p w14:paraId="7056800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League et al. (2012)</w:t>
            </w:r>
          </w:p>
        </w:tc>
        <w:tc>
          <w:tcPr>
            <w:tcW w:w="874" w:type="pct"/>
          </w:tcPr>
          <w:p w14:paraId="417989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Increasing nurses' access to evidence through a web-based resource</w:t>
            </w:r>
          </w:p>
        </w:tc>
        <w:tc>
          <w:tcPr>
            <w:tcW w:w="454" w:type="pct"/>
          </w:tcPr>
          <w:p w14:paraId="6E8B4D6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Journal</w:t>
            </w:r>
          </w:p>
        </w:tc>
        <w:tc>
          <w:tcPr>
            <w:tcW w:w="791" w:type="pct"/>
          </w:tcPr>
          <w:p w14:paraId="712448A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402" w:type="pct"/>
          </w:tcPr>
          <w:p w14:paraId="1804BE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54" w:type="pct"/>
          </w:tcPr>
          <w:p w14:paraId="090A7A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USA</w:t>
            </w:r>
          </w:p>
        </w:tc>
        <w:tc>
          <w:tcPr>
            <w:tcW w:w="264" w:type="pct"/>
          </w:tcPr>
          <w:p w14:paraId="721C635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461C0C5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3D1283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0A39957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4" w:type="pct"/>
          </w:tcPr>
          <w:p w14:paraId="5E26A0C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2" w:type="pct"/>
          </w:tcPr>
          <w:p w14:paraId="0AF21FB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bl>
    <w:p w14:paraId="63628B25" w14:textId="5681064C" w:rsidR="00E264F4" w:rsidRDefault="00E264F4">
      <w:pPr>
        <w:spacing w:after="160" w:line="259" w:lineRule="auto"/>
      </w:pPr>
      <w:r>
        <w:br w:type="page"/>
      </w:r>
    </w:p>
    <w:p w14:paraId="00D0B08E" w14:textId="6414929F" w:rsidR="0093470E" w:rsidRPr="00E16853" w:rsidRDefault="0093470E" w:rsidP="00813AA6">
      <w:pPr>
        <w:pStyle w:val="Caption2"/>
      </w:pPr>
      <w:bookmarkStart w:id="193" w:name="_Toc509845979"/>
      <w:bookmarkStart w:id="194" w:name="_Toc509950696"/>
      <w:bookmarkStart w:id="195" w:name="_Toc509951301"/>
      <w:r w:rsidRPr="00E16853">
        <w:lastRenderedPageBreak/>
        <w:t xml:space="preserve">Table </w:t>
      </w:r>
      <w:fldSimple w:instr=" SEQ Table \* ARABIC ">
        <w:r w:rsidR="004240AA">
          <w:rPr>
            <w:noProof/>
          </w:rPr>
          <w:t>15</w:t>
        </w:r>
      </w:fldSimple>
      <w:r w:rsidRPr="00E16853">
        <w:t>: Summary of reviewed grey literature</w:t>
      </w:r>
      <w:bookmarkEnd w:id="193"/>
      <w:bookmarkEnd w:id="194"/>
      <w:bookmarkEnd w:id="195"/>
    </w:p>
    <w:tbl>
      <w:tblPr>
        <w:tblW w:w="5150" w:type="pct"/>
        <w:tblLook w:val="04A0" w:firstRow="1" w:lastRow="0" w:firstColumn="1" w:lastColumn="0" w:noHBand="0" w:noVBand="1"/>
      </w:tblPr>
      <w:tblGrid>
        <w:gridCol w:w="1475"/>
        <w:gridCol w:w="1960"/>
        <w:gridCol w:w="1222"/>
        <w:gridCol w:w="1195"/>
        <w:gridCol w:w="1197"/>
        <w:gridCol w:w="1240"/>
        <w:gridCol w:w="1115"/>
        <w:gridCol w:w="1054"/>
        <w:gridCol w:w="1087"/>
        <w:gridCol w:w="1389"/>
        <w:gridCol w:w="813"/>
        <w:gridCol w:w="1483"/>
      </w:tblGrid>
      <w:tr w:rsidR="0093470E" w:rsidRPr="00E16853" w14:paraId="7902BB72" w14:textId="77777777" w:rsidTr="007674CF">
        <w:trPr>
          <w:trHeight w:val="600"/>
        </w:trPr>
        <w:tc>
          <w:tcPr>
            <w:tcW w:w="484" w:type="pct"/>
            <w:tcBorders>
              <w:top w:val="single" w:sz="4" w:space="0" w:color="auto"/>
              <w:left w:val="single" w:sz="4" w:space="0" w:color="auto"/>
              <w:bottom w:val="single" w:sz="4" w:space="0" w:color="auto"/>
              <w:right w:val="single" w:sz="4" w:space="0" w:color="auto"/>
            </w:tcBorders>
            <w:shd w:val="clear" w:color="auto" w:fill="ECC2B7" w:themeFill="accent6" w:themeFillTint="66"/>
            <w:vAlign w:val="center"/>
            <w:hideMark/>
          </w:tcPr>
          <w:p w14:paraId="6111FB65" w14:textId="77777777" w:rsidR="0093470E" w:rsidRPr="00E16853" w:rsidRDefault="0093470E" w:rsidP="004F464F">
            <w:pPr>
              <w:pStyle w:val="NoSpacing"/>
            </w:pPr>
            <w:r w:rsidRPr="00E16853">
              <w:t>Author (year)</w:t>
            </w:r>
          </w:p>
        </w:tc>
        <w:tc>
          <w:tcPr>
            <w:tcW w:w="643"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9E63A4C" w14:textId="77777777" w:rsidR="0093470E" w:rsidRPr="00E16853" w:rsidRDefault="0093470E" w:rsidP="004F464F">
            <w:pPr>
              <w:pStyle w:val="NoSpacing"/>
            </w:pPr>
            <w:r w:rsidRPr="00E16853">
              <w:t>Title</w:t>
            </w:r>
          </w:p>
        </w:tc>
        <w:tc>
          <w:tcPr>
            <w:tcW w:w="401"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60572410" w14:textId="77777777" w:rsidR="0093470E" w:rsidRPr="00E16853" w:rsidRDefault="0093470E" w:rsidP="004F464F">
            <w:pPr>
              <w:pStyle w:val="NoSpacing"/>
            </w:pPr>
            <w:r w:rsidRPr="00E16853">
              <w:t>Publication</w:t>
            </w:r>
          </w:p>
        </w:tc>
        <w:tc>
          <w:tcPr>
            <w:tcW w:w="392" w:type="pct"/>
            <w:tcBorders>
              <w:top w:val="single" w:sz="4" w:space="0" w:color="auto"/>
              <w:left w:val="single" w:sz="4" w:space="0" w:color="auto"/>
              <w:bottom w:val="single" w:sz="4" w:space="0" w:color="auto"/>
              <w:right w:val="single" w:sz="4" w:space="0" w:color="auto"/>
            </w:tcBorders>
            <w:shd w:val="clear" w:color="auto" w:fill="ECC2B7" w:themeFill="accent6" w:themeFillTint="66"/>
            <w:vAlign w:val="center"/>
            <w:hideMark/>
          </w:tcPr>
          <w:p w14:paraId="0A0F6B55" w14:textId="77777777" w:rsidR="0093470E" w:rsidRPr="00E16853" w:rsidRDefault="0093470E" w:rsidP="004F464F">
            <w:pPr>
              <w:pStyle w:val="NoSpacing"/>
            </w:pPr>
            <w:r w:rsidRPr="00E16853">
              <w:t>Study design</w:t>
            </w:r>
          </w:p>
        </w:tc>
        <w:tc>
          <w:tcPr>
            <w:tcW w:w="393"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C95567A" w14:textId="77777777" w:rsidR="0093470E" w:rsidRPr="00E16853" w:rsidRDefault="0093470E" w:rsidP="004F464F">
            <w:pPr>
              <w:pStyle w:val="NoSpacing"/>
            </w:pPr>
            <w:r w:rsidRPr="00E16853">
              <w:t>Sector</w:t>
            </w:r>
          </w:p>
        </w:tc>
        <w:tc>
          <w:tcPr>
            <w:tcW w:w="40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58233B71" w14:textId="77777777" w:rsidR="0093470E" w:rsidRPr="00E16853" w:rsidRDefault="0093470E" w:rsidP="004F464F">
            <w:pPr>
              <w:pStyle w:val="NoSpacing"/>
            </w:pPr>
            <w:r w:rsidRPr="00E16853">
              <w:t>Country</w:t>
            </w:r>
          </w:p>
        </w:tc>
        <w:tc>
          <w:tcPr>
            <w:tcW w:w="36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5AAC55EF" w14:textId="77777777" w:rsidR="0093470E" w:rsidRPr="00E16853" w:rsidRDefault="0093470E" w:rsidP="004F464F">
            <w:pPr>
              <w:pStyle w:val="NoSpacing"/>
            </w:pPr>
            <w:r w:rsidRPr="00E16853">
              <w:t>Authority</w:t>
            </w:r>
          </w:p>
        </w:tc>
        <w:tc>
          <w:tcPr>
            <w:tcW w:w="34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2069A3A4" w14:textId="77777777" w:rsidR="0093470E" w:rsidRPr="00E16853" w:rsidRDefault="0093470E" w:rsidP="004F464F">
            <w:pPr>
              <w:pStyle w:val="NoSpacing"/>
            </w:pPr>
            <w:r w:rsidRPr="00E16853">
              <w:t>Accuracy</w:t>
            </w:r>
          </w:p>
        </w:tc>
        <w:tc>
          <w:tcPr>
            <w:tcW w:w="35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FB7A10C" w14:textId="77777777" w:rsidR="0093470E" w:rsidRPr="00E16853" w:rsidRDefault="0093470E" w:rsidP="004F464F">
            <w:pPr>
              <w:pStyle w:val="NoSpacing"/>
            </w:pPr>
            <w:r w:rsidRPr="00E16853">
              <w:t>Coverage</w:t>
            </w:r>
          </w:p>
        </w:tc>
        <w:tc>
          <w:tcPr>
            <w:tcW w:w="45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12AA145E" w14:textId="77777777" w:rsidR="0093470E" w:rsidRPr="00E16853" w:rsidRDefault="0093470E" w:rsidP="004F464F">
            <w:pPr>
              <w:pStyle w:val="NoSpacing"/>
            </w:pPr>
            <w:r w:rsidRPr="00E16853">
              <w:t>Objectivity</w:t>
            </w:r>
          </w:p>
        </w:tc>
        <w:tc>
          <w:tcPr>
            <w:tcW w:w="26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21DC06CF" w14:textId="77777777" w:rsidR="0093470E" w:rsidRPr="00E16853" w:rsidRDefault="0093470E" w:rsidP="004F464F">
            <w:pPr>
              <w:pStyle w:val="NoSpacing"/>
            </w:pPr>
            <w:r w:rsidRPr="00E16853">
              <w:t>Date</w:t>
            </w:r>
          </w:p>
        </w:tc>
        <w:tc>
          <w:tcPr>
            <w:tcW w:w="48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10FDF092" w14:textId="77777777" w:rsidR="0093470E" w:rsidRPr="00E16853" w:rsidRDefault="0093470E" w:rsidP="004F464F">
            <w:pPr>
              <w:pStyle w:val="NoSpacing"/>
            </w:pPr>
            <w:r w:rsidRPr="00E16853">
              <w:t>Significance</w:t>
            </w:r>
          </w:p>
        </w:tc>
      </w:tr>
      <w:tr w:rsidR="0093470E" w:rsidRPr="00E16853" w14:paraId="0377DFE8" w14:textId="77777777" w:rsidTr="007674CF">
        <w:trPr>
          <w:trHeight w:val="600"/>
        </w:trPr>
        <w:tc>
          <w:tcPr>
            <w:tcW w:w="484" w:type="pct"/>
            <w:tcBorders>
              <w:top w:val="single" w:sz="4" w:space="0" w:color="auto"/>
              <w:left w:val="single" w:sz="4" w:space="0" w:color="auto"/>
              <w:bottom w:val="single" w:sz="4" w:space="0" w:color="auto"/>
              <w:right w:val="single" w:sz="4" w:space="0" w:color="auto"/>
            </w:tcBorders>
            <w:vAlign w:val="center"/>
            <w:hideMark/>
          </w:tcPr>
          <w:p w14:paraId="78DDFD4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Social Ventures Australia (2017)</w:t>
            </w:r>
          </w:p>
        </w:tc>
        <w:tc>
          <w:tcPr>
            <w:tcW w:w="643" w:type="pct"/>
            <w:tcBorders>
              <w:top w:val="single" w:sz="4" w:space="0" w:color="auto"/>
              <w:left w:val="nil"/>
              <w:bottom w:val="single" w:sz="4" w:space="0" w:color="auto"/>
              <w:right w:val="single" w:sz="4" w:space="0" w:color="auto"/>
            </w:tcBorders>
            <w:vAlign w:val="center"/>
            <w:hideMark/>
          </w:tcPr>
          <w:p w14:paraId="774A3F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SVA Annual Review 2016 - 2017 </w:t>
            </w:r>
          </w:p>
        </w:tc>
        <w:tc>
          <w:tcPr>
            <w:tcW w:w="401" w:type="pct"/>
            <w:tcBorders>
              <w:top w:val="single" w:sz="4" w:space="0" w:color="auto"/>
              <w:left w:val="nil"/>
              <w:bottom w:val="single" w:sz="4" w:space="0" w:color="auto"/>
              <w:right w:val="single" w:sz="4" w:space="0" w:color="auto"/>
            </w:tcBorders>
            <w:vAlign w:val="center"/>
            <w:hideMark/>
          </w:tcPr>
          <w:p w14:paraId="767F299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single" w:sz="4" w:space="0" w:color="auto"/>
              <w:left w:val="single" w:sz="4" w:space="0" w:color="auto"/>
              <w:bottom w:val="single" w:sz="4" w:space="0" w:color="auto"/>
              <w:right w:val="single" w:sz="4" w:space="0" w:color="auto"/>
            </w:tcBorders>
            <w:vAlign w:val="center"/>
            <w:hideMark/>
          </w:tcPr>
          <w:p w14:paraId="076B58A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393" w:type="pct"/>
            <w:tcBorders>
              <w:top w:val="single" w:sz="4" w:space="0" w:color="auto"/>
              <w:left w:val="nil"/>
              <w:bottom w:val="single" w:sz="4" w:space="0" w:color="auto"/>
              <w:right w:val="single" w:sz="4" w:space="0" w:color="auto"/>
            </w:tcBorders>
            <w:vAlign w:val="center"/>
            <w:hideMark/>
          </w:tcPr>
          <w:p w14:paraId="3C34CD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single" w:sz="4" w:space="0" w:color="auto"/>
              <w:left w:val="nil"/>
              <w:bottom w:val="single" w:sz="4" w:space="0" w:color="auto"/>
              <w:right w:val="single" w:sz="4" w:space="0" w:color="auto"/>
            </w:tcBorders>
            <w:vAlign w:val="center"/>
            <w:hideMark/>
          </w:tcPr>
          <w:p w14:paraId="50BF17C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Australia </w:t>
            </w:r>
          </w:p>
        </w:tc>
        <w:tc>
          <w:tcPr>
            <w:tcW w:w="366" w:type="pct"/>
            <w:tcBorders>
              <w:top w:val="single" w:sz="4" w:space="0" w:color="auto"/>
              <w:left w:val="nil"/>
              <w:bottom w:val="single" w:sz="4" w:space="0" w:color="auto"/>
              <w:right w:val="single" w:sz="4" w:space="0" w:color="auto"/>
            </w:tcBorders>
            <w:vAlign w:val="center"/>
            <w:hideMark/>
          </w:tcPr>
          <w:p w14:paraId="4E0020E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single" w:sz="4" w:space="0" w:color="auto"/>
              <w:left w:val="nil"/>
              <w:bottom w:val="single" w:sz="4" w:space="0" w:color="auto"/>
              <w:right w:val="single" w:sz="4" w:space="0" w:color="auto"/>
            </w:tcBorders>
            <w:vAlign w:val="center"/>
            <w:hideMark/>
          </w:tcPr>
          <w:p w14:paraId="75FB488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single" w:sz="4" w:space="0" w:color="auto"/>
              <w:left w:val="nil"/>
              <w:bottom w:val="single" w:sz="4" w:space="0" w:color="auto"/>
              <w:right w:val="single" w:sz="4" w:space="0" w:color="auto"/>
            </w:tcBorders>
            <w:vAlign w:val="center"/>
            <w:hideMark/>
          </w:tcPr>
          <w:p w14:paraId="441A8AF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single" w:sz="4" w:space="0" w:color="auto"/>
              <w:left w:val="nil"/>
              <w:bottom w:val="single" w:sz="4" w:space="0" w:color="auto"/>
              <w:right w:val="single" w:sz="4" w:space="0" w:color="auto"/>
            </w:tcBorders>
            <w:vAlign w:val="center"/>
            <w:hideMark/>
          </w:tcPr>
          <w:p w14:paraId="4951B51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7" w:type="pct"/>
            <w:tcBorders>
              <w:top w:val="single" w:sz="4" w:space="0" w:color="auto"/>
              <w:left w:val="nil"/>
              <w:bottom w:val="single" w:sz="4" w:space="0" w:color="auto"/>
              <w:right w:val="single" w:sz="4" w:space="0" w:color="auto"/>
            </w:tcBorders>
            <w:vAlign w:val="center"/>
            <w:hideMark/>
          </w:tcPr>
          <w:p w14:paraId="5E9D16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single" w:sz="4" w:space="0" w:color="auto"/>
              <w:left w:val="nil"/>
              <w:bottom w:val="single" w:sz="4" w:space="0" w:color="auto"/>
              <w:right w:val="single" w:sz="4" w:space="0" w:color="auto"/>
            </w:tcBorders>
            <w:vAlign w:val="center"/>
            <w:hideMark/>
          </w:tcPr>
          <w:p w14:paraId="4B6BD9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059A2D59" w14:textId="77777777" w:rsidTr="007674CF">
        <w:trPr>
          <w:trHeight w:val="900"/>
        </w:trPr>
        <w:tc>
          <w:tcPr>
            <w:tcW w:w="484" w:type="pct"/>
            <w:tcBorders>
              <w:top w:val="nil"/>
              <w:left w:val="single" w:sz="4" w:space="0" w:color="auto"/>
              <w:bottom w:val="single" w:sz="4" w:space="0" w:color="auto"/>
              <w:right w:val="single" w:sz="4" w:space="0" w:color="auto"/>
            </w:tcBorders>
            <w:vAlign w:val="center"/>
            <w:hideMark/>
          </w:tcPr>
          <w:p w14:paraId="28D5761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AITSL (2017)</w:t>
            </w:r>
          </w:p>
        </w:tc>
        <w:tc>
          <w:tcPr>
            <w:tcW w:w="643" w:type="pct"/>
            <w:tcBorders>
              <w:top w:val="nil"/>
              <w:left w:val="nil"/>
              <w:bottom w:val="single" w:sz="4" w:space="0" w:color="auto"/>
              <w:right w:val="single" w:sz="4" w:space="0" w:color="auto"/>
            </w:tcBorders>
            <w:vAlign w:val="center"/>
            <w:hideMark/>
          </w:tcPr>
          <w:p w14:paraId="2020FE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Annual Report 2016-2017 - Australian Institute for Teaching and School Leadership</w:t>
            </w:r>
          </w:p>
        </w:tc>
        <w:tc>
          <w:tcPr>
            <w:tcW w:w="401" w:type="pct"/>
            <w:tcBorders>
              <w:top w:val="single" w:sz="4" w:space="0" w:color="auto"/>
              <w:left w:val="nil"/>
              <w:bottom w:val="single" w:sz="4" w:space="0" w:color="auto"/>
              <w:right w:val="single" w:sz="4" w:space="0" w:color="auto"/>
            </w:tcBorders>
            <w:vAlign w:val="center"/>
            <w:hideMark/>
          </w:tcPr>
          <w:p w14:paraId="2CC383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63AAC4D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393" w:type="pct"/>
            <w:tcBorders>
              <w:top w:val="nil"/>
              <w:left w:val="nil"/>
              <w:bottom w:val="single" w:sz="4" w:space="0" w:color="auto"/>
              <w:right w:val="single" w:sz="4" w:space="0" w:color="auto"/>
            </w:tcBorders>
            <w:vAlign w:val="center"/>
            <w:hideMark/>
          </w:tcPr>
          <w:p w14:paraId="294D6C3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nil"/>
              <w:left w:val="nil"/>
              <w:bottom w:val="single" w:sz="4" w:space="0" w:color="auto"/>
              <w:right w:val="single" w:sz="4" w:space="0" w:color="auto"/>
            </w:tcBorders>
            <w:vAlign w:val="center"/>
            <w:hideMark/>
          </w:tcPr>
          <w:p w14:paraId="1A3CDE6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2C2D1B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59893C1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00D300F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39D8EFE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52793C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1000B13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3AA7941"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06CA579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Director of National Parks (2017)</w:t>
            </w:r>
          </w:p>
        </w:tc>
        <w:tc>
          <w:tcPr>
            <w:tcW w:w="643" w:type="pct"/>
            <w:tcBorders>
              <w:top w:val="nil"/>
              <w:left w:val="nil"/>
              <w:bottom w:val="single" w:sz="4" w:space="0" w:color="auto"/>
              <w:right w:val="single" w:sz="4" w:space="0" w:color="auto"/>
            </w:tcBorders>
            <w:vAlign w:val="center"/>
            <w:hideMark/>
          </w:tcPr>
          <w:p w14:paraId="1B8E444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Director of National Parks Annual Report 2016 - 2017 </w:t>
            </w:r>
          </w:p>
        </w:tc>
        <w:tc>
          <w:tcPr>
            <w:tcW w:w="401" w:type="pct"/>
            <w:tcBorders>
              <w:top w:val="single" w:sz="4" w:space="0" w:color="auto"/>
              <w:left w:val="nil"/>
              <w:bottom w:val="single" w:sz="4" w:space="0" w:color="auto"/>
              <w:right w:val="single" w:sz="4" w:space="0" w:color="auto"/>
            </w:tcBorders>
            <w:vAlign w:val="center"/>
            <w:hideMark/>
          </w:tcPr>
          <w:p w14:paraId="3BDDE8C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4B38E33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393" w:type="pct"/>
            <w:tcBorders>
              <w:top w:val="nil"/>
              <w:left w:val="nil"/>
              <w:bottom w:val="single" w:sz="4" w:space="0" w:color="auto"/>
              <w:right w:val="single" w:sz="4" w:space="0" w:color="auto"/>
            </w:tcBorders>
            <w:vAlign w:val="center"/>
            <w:hideMark/>
          </w:tcPr>
          <w:p w14:paraId="6072115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Tourism</w:t>
            </w:r>
          </w:p>
        </w:tc>
        <w:tc>
          <w:tcPr>
            <w:tcW w:w="407" w:type="pct"/>
            <w:tcBorders>
              <w:top w:val="nil"/>
              <w:left w:val="nil"/>
              <w:bottom w:val="single" w:sz="4" w:space="0" w:color="auto"/>
              <w:right w:val="single" w:sz="4" w:space="0" w:color="auto"/>
            </w:tcBorders>
            <w:vAlign w:val="center"/>
            <w:hideMark/>
          </w:tcPr>
          <w:p w14:paraId="13103EA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7141474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7058D6E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1B39EB1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17FC6C4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49D1DB7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12DD6CF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79C08636"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4DFA82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ACER (2017)</w:t>
            </w:r>
          </w:p>
        </w:tc>
        <w:tc>
          <w:tcPr>
            <w:tcW w:w="643" w:type="pct"/>
            <w:tcBorders>
              <w:top w:val="nil"/>
              <w:left w:val="nil"/>
              <w:bottom w:val="single" w:sz="4" w:space="0" w:color="auto"/>
              <w:right w:val="single" w:sz="4" w:space="0" w:color="auto"/>
            </w:tcBorders>
            <w:vAlign w:val="center"/>
            <w:hideMark/>
          </w:tcPr>
          <w:p w14:paraId="1E6FA0E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ACER 2015-2016 Annual Report </w:t>
            </w:r>
          </w:p>
        </w:tc>
        <w:tc>
          <w:tcPr>
            <w:tcW w:w="401" w:type="pct"/>
            <w:tcBorders>
              <w:top w:val="single" w:sz="4" w:space="0" w:color="auto"/>
              <w:left w:val="nil"/>
              <w:bottom w:val="single" w:sz="4" w:space="0" w:color="auto"/>
              <w:right w:val="single" w:sz="4" w:space="0" w:color="auto"/>
            </w:tcBorders>
            <w:vAlign w:val="center"/>
            <w:hideMark/>
          </w:tcPr>
          <w:p w14:paraId="3B7BDE6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1A0F3F1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report </w:t>
            </w:r>
          </w:p>
        </w:tc>
        <w:tc>
          <w:tcPr>
            <w:tcW w:w="393" w:type="pct"/>
            <w:tcBorders>
              <w:top w:val="nil"/>
              <w:left w:val="nil"/>
              <w:bottom w:val="single" w:sz="4" w:space="0" w:color="auto"/>
              <w:right w:val="single" w:sz="4" w:space="0" w:color="auto"/>
            </w:tcBorders>
            <w:vAlign w:val="center"/>
            <w:hideMark/>
          </w:tcPr>
          <w:p w14:paraId="55F498B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nil"/>
              <w:left w:val="nil"/>
              <w:bottom w:val="single" w:sz="4" w:space="0" w:color="auto"/>
              <w:right w:val="single" w:sz="4" w:space="0" w:color="auto"/>
            </w:tcBorders>
            <w:vAlign w:val="center"/>
            <w:hideMark/>
          </w:tcPr>
          <w:p w14:paraId="2392ACB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4CF9EB2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2AC0551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2F8C7C1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3B805A9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461F1D9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32BF8E3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79CD47B5"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69E9AD7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ACER (2017)</w:t>
            </w:r>
          </w:p>
        </w:tc>
        <w:tc>
          <w:tcPr>
            <w:tcW w:w="643" w:type="pct"/>
            <w:tcBorders>
              <w:top w:val="nil"/>
              <w:left w:val="nil"/>
              <w:bottom w:val="single" w:sz="4" w:space="0" w:color="auto"/>
              <w:right w:val="single" w:sz="4" w:space="0" w:color="auto"/>
            </w:tcBorders>
            <w:vAlign w:val="center"/>
            <w:hideMark/>
          </w:tcPr>
          <w:p w14:paraId="44B0A52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Corporate Profile</w:t>
            </w:r>
          </w:p>
        </w:tc>
        <w:tc>
          <w:tcPr>
            <w:tcW w:w="401" w:type="pct"/>
            <w:tcBorders>
              <w:top w:val="single" w:sz="4" w:space="0" w:color="auto"/>
              <w:left w:val="nil"/>
              <w:bottom w:val="single" w:sz="4" w:space="0" w:color="auto"/>
              <w:right w:val="single" w:sz="4" w:space="0" w:color="auto"/>
            </w:tcBorders>
            <w:vAlign w:val="center"/>
            <w:hideMark/>
          </w:tcPr>
          <w:p w14:paraId="47BC3A0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1B0B2A9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Corporate profile</w:t>
            </w:r>
          </w:p>
        </w:tc>
        <w:tc>
          <w:tcPr>
            <w:tcW w:w="393" w:type="pct"/>
            <w:tcBorders>
              <w:top w:val="nil"/>
              <w:left w:val="nil"/>
              <w:bottom w:val="single" w:sz="4" w:space="0" w:color="auto"/>
              <w:right w:val="single" w:sz="4" w:space="0" w:color="auto"/>
            </w:tcBorders>
            <w:vAlign w:val="center"/>
            <w:hideMark/>
          </w:tcPr>
          <w:p w14:paraId="166D82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nil"/>
              <w:left w:val="nil"/>
              <w:bottom w:val="single" w:sz="4" w:space="0" w:color="auto"/>
              <w:right w:val="single" w:sz="4" w:space="0" w:color="auto"/>
            </w:tcBorders>
            <w:vAlign w:val="center"/>
            <w:hideMark/>
          </w:tcPr>
          <w:p w14:paraId="02390E9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61F08D5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646C2DE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252B120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006049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08F45A5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213B44D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6AB4BEF2" w14:textId="77777777" w:rsidTr="007674CF">
        <w:trPr>
          <w:trHeight w:val="300"/>
        </w:trPr>
        <w:tc>
          <w:tcPr>
            <w:tcW w:w="484" w:type="pct"/>
            <w:tcBorders>
              <w:top w:val="nil"/>
              <w:left w:val="single" w:sz="4" w:space="0" w:color="auto"/>
              <w:bottom w:val="single" w:sz="4" w:space="0" w:color="auto"/>
              <w:right w:val="single" w:sz="4" w:space="0" w:color="auto"/>
            </w:tcBorders>
            <w:vAlign w:val="center"/>
            <w:hideMark/>
          </w:tcPr>
          <w:p w14:paraId="5344EA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CDC (2016)</w:t>
            </w:r>
          </w:p>
        </w:tc>
        <w:tc>
          <w:tcPr>
            <w:tcW w:w="643" w:type="pct"/>
            <w:tcBorders>
              <w:top w:val="nil"/>
              <w:left w:val="nil"/>
              <w:bottom w:val="single" w:sz="4" w:space="0" w:color="auto"/>
              <w:right w:val="single" w:sz="4" w:space="0" w:color="auto"/>
            </w:tcBorders>
            <w:vAlign w:val="center"/>
            <w:hideMark/>
          </w:tcPr>
          <w:p w14:paraId="15E99B5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Detailed Organisational Chart </w:t>
            </w:r>
          </w:p>
        </w:tc>
        <w:tc>
          <w:tcPr>
            <w:tcW w:w="401" w:type="pct"/>
            <w:tcBorders>
              <w:top w:val="single" w:sz="4" w:space="0" w:color="auto"/>
              <w:left w:val="nil"/>
              <w:bottom w:val="single" w:sz="4" w:space="0" w:color="auto"/>
              <w:right w:val="single" w:sz="4" w:space="0" w:color="auto"/>
            </w:tcBorders>
            <w:vAlign w:val="center"/>
            <w:hideMark/>
          </w:tcPr>
          <w:p w14:paraId="3DFA5B8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4896704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393" w:type="pct"/>
            <w:tcBorders>
              <w:top w:val="nil"/>
              <w:left w:val="nil"/>
              <w:bottom w:val="single" w:sz="4" w:space="0" w:color="auto"/>
              <w:right w:val="single" w:sz="4" w:space="0" w:color="auto"/>
            </w:tcBorders>
            <w:vAlign w:val="center"/>
            <w:hideMark/>
          </w:tcPr>
          <w:p w14:paraId="4E5F62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07" w:type="pct"/>
            <w:tcBorders>
              <w:top w:val="nil"/>
              <w:left w:val="nil"/>
              <w:bottom w:val="single" w:sz="4" w:space="0" w:color="auto"/>
              <w:right w:val="single" w:sz="4" w:space="0" w:color="auto"/>
            </w:tcBorders>
            <w:vAlign w:val="center"/>
            <w:hideMark/>
          </w:tcPr>
          <w:p w14:paraId="3C607B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366" w:type="pct"/>
            <w:tcBorders>
              <w:top w:val="nil"/>
              <w:left w:val="nil"/>
              <w:bottom w:val="single" w:sz="4" w:space="0" w:color="auto"/>
              <w:right w:val="single" w:sz="4" w:space="0" w:color="auto"/>
            </w:tcBorders>
            <w:vAlign w:val="center"/>
            <w:hideMark/>
          </w:tcPr>
          <w:p w14:paraId="5C7A0DD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5171A49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0FC3B9C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62BBC6D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7" w:type="pct"/>
            <w:tcBorders>
              <w:top w:val="nil"/>
              <w:left w:val="nil"/>
              <w:bottom w:val="single" w:sz="4" w:space="0" w:color="auto"/>
              <w:right w:val="single" w:sz="4" w:space="0" w:color="auto"/>
            </w:tcBorders>
            <w:vAlign w:val="center"/>
            <w:hideMark/>
          </w:tcPr>
          <w:p w14:paraId="58C8DA8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2C739F5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225F62D2"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330E2AC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CDC</w:t>
            </w:r>
          </w:p>
        </w:tc>
        <w:tc>
          <w:tcPr>
            <w:tcW w:w="643" w:type="pct"/>
            <w:tcBorders>
              <w:top w:val="nil"/>
              <w:left w:val="nil"/>
              <w:bottom w:val="single" w:sz="4" w:space="0" w:color="auto"/>
              <w:right w:val="single" w:sz="4" w:space="0" w:color="auto"/>
            </w:tcBorders>
            <w:vAlign w:val="center"/>
            <w:hideMark/>
          </w:tcPr>
          <w:p w14:paraId="418CA8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Office of Financial Resources Fiscal Year 2016 Annual Report </w:t>
            </w:r>
          </w:p>
        </w:tc>
        <w:tc>
          <w:tcPr>
            <w:tcW w:w="401" w:type="pct"/>
            <w:tcBorders>
              <w:top w:val="single" w:sz="4" w:space="0" w:color="auto"/>
              <w:left w:val="nil"/>
              <w:bottom w:val="single" w:sz="4" w:space="0" w:color="auto"/>
              <w:right w:val="single" w:sz="4" w:space="0" w:color="auto"/>
            </w:tcBorders>
            <w:vAlign w:val="center"/>
            <w:hideMark/>
          </w:tcPr>
          <w:p w14:paraId="4C2DFE2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1B7B29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Annual financial report </w:t>
            </w:r>
          </w:p>
        </w:tc>
        <w:tc>
          <w:tcPr>
            <w:tcW w:w="393" w:type="pct"/>
            <w:tcBorders>
              <w:top w:val="nil"/>
              <w:left w:val="nil"/>
              <w:bottom w:val="single" w:sz="4" w:space="0" w:color="auto"/>
              <w:right w:val="single" w:sz="4" w:space="0" w:color="auto"/>
            </w:tcBorders>
            <w:vAlign w:val="center"/>
            <w:hideMark/>
          </w:tcPr>
          <w:p w14:paraId="5EF13A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07" w:type="pct"/>
            <w:tcBorders>
              <w:top w:val="nil"/>
              <w:left w:val="nil"/>
              <w:bottom w:val="single" w:sz="4" w:space="0" w:color="auto"/>
              <w:right w:val="single" w:sz="4" w:space="0" w:color="auto"/>
            </w:tcBorders>
            <w:vAlign w:val="center"/>
            <w:hideMark/>
          </w:tcPr>
          <w:p w14:paraId="676F5BE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US </w:t>
            </w:r>
          </w:p>
        </w:tc>
        <w:tc>
          <w:tcPr>
            <w:tcW w:w="366" w:type="pct"/>
            <w:tcBorders>
              <w:top w:val="nil"/>
              <w:left w:val="nil"/>
              <w:bottom w:val="single" w:sz="4" w:space="0" w:color="auto"/>
              <w:right w:val="single" w:sz="4" w:space="0" w:color="auto"/>
            </w:tcBorders>
            <w:vAlign w:val="center"/>
            <w:hideMark/>
          </w:tcPr>
          <w:p w14:paraId="3624E49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40632A0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374F79C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7F00769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4FD2D69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667E9D2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46304550" w14:textId="77777777" w:rsidTr="007674CF">
        <w:trPr>
          <w:trHeight w:val="900"/>
        </w:trPr>
        <w:tc>
          <w:tcPr>
            <w:tcW w:w="484" w:type="pct"/>
            <w:tcBorders>
              <w:top w:val="nil"/>
              <w:left w:val="single" w:sz="4" w:space="0" w:color="auto"/>
              <w:bottom w:val="single" w:sz="4" w:space="0" w:color="auto"/>
              <w:right w:val="single" w:sz="4" w:space="0" w:color="auto"/>
            </w:tcBorders>
            <w:vAlign w:val="center"/>
            <w:hideMark/>
          </w:tcPr>
          <w:p w14:paraId="405EC5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OECD (2017)</w:t>
            </w:r>
          </w:p>
        </w:tc>
        <w:tc>
          <w:tcPr>
            <w:tcW w:w="643" w:type="pct"/>
            <w:tcBorders>
              <w:top w:val="nil"/>
              <w:left w:val="nil"/>
              <w:bottom w:val="single" w:sz="4" w:space="0" w:color="auto"/>
              <w:right w:val="single" w:sz="4" w:space="0" w:color="auto"/>
            </w:tcBorders>
            <w:vAlign w:val="center"/>
            <w:hideMark/>
          </w:tcPr>
          <w:p w14:paraId="0ED0022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About the OECD tourism committee</w:t>
            </w:r>
          </w:p>
        </w:tc>
        <w:tc>
          <w:tcPr>
            <w:tcW w:w="401" w:type="pct"/>
            <w:tcBorders>
              <w:top w:val="single" w:sz="4" w:space="0" w:color="auto"/>
              <w:left w:val="nil"/>
              <w:bottom w:val="single" w:sz="4" w:space="0" w:color="auto"/>
              <w:right w:val="single" w:sz="4" w:space="0" w:color="auto"/>
            </w:tcBorders>
            <w:vAlign w:val="center"/>
            <w:hideMark/>
          </w:tcPr>
          <w:p w14:paraId="5CEEB3F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4C7B980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393" w:type="pct"/>
            <w:tcBorders>
              <w:top w:val="nil"/>
              <w:left w:val="nil"/>
              <w:bottom w:val="single" w:sz="4" w:space="0" w:color="auto"/>
              <w:right w:val="single" w:sz="4" w:space="0" w:color="auto"/>
            </w:tcBorders>
            <w:vAlign w:val="center"/>
            <w:hideMark/>
          </w:tcPr>
          <w:p w14:paraId="3C83F0F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Tourism</w:t>
            </w:r>
          </w:p>
        </w:tc>
        <w:tc>
          <w:tcPr>
            <w:tcW w:w="407" w:type="pct"/>
            <w:tcBorders>
              <w:top w:val="nil"/>
              <w:left w:val="nil"/>
              <w:bottom w:val="single" w:sz="4" w:space="0" w:color="auto"/>
              <w:right w:val="single" w:sz="4" w:space="0" w:color="auto"/>
            </w:tcBorders>
            <w:vAlign w:val="center"/>
            <w:hideMark/>
          </w:tcPr>
          <w:p w14:paraId="2CC075A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International (OECD)</w:t>
            </w:r>
          </w:p>
        </w:tc>
        <w:tc>
          <w:tcPr>
            <w:tcW w:w="366" w:type="pct"/>
            <w:tcBorders>
              <w:top w:val="nil"/>
              <w:left w:val="nil"/>
              <w:bottom w:val="single" w:sz="4" w:space="0" w:color="auto"/>
              <w:right w:val="single" w:sz="4" w:space="0" w:color="auto"/>
            </w:tcBorders>
            <w:vAlign w:val="center"/>
            <w:hideMark/>
          </w:tcPr>
          <w:p w14:paraId="6E6E181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109E88A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2CECB9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108B6C2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7" w:type="pct"/>
            <w:tcBorders>
              <w:top w:val="nil"/>
              <w:left w:val="nil"/>
              <w:bottom w:val="single" w:sz="4" w:space="0" w:color="auto"/>
              <w:right w:val="single" w:sz="4" w:space="0" w:color="auto"/>
            </w:tcBorders>
            <w:vAlign w:val="center"/>
            <w:hideMark/>
          </w:tcPr>
          <w:p w14:paraId="4FC195F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50A4327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1A5E6D51"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44DFD83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Mitchell Institute</w:t>
            </w:r>
          </w:p>
        </w:tc>
        <w:tc>
          <w:tcPr>
            <w:tcW w:w="643" w:type="pct"/>
            <w:tcBorders>
              <w:top w:val="nil"/>
              <w:left w:val="nil"/>
              <w:bottom w:val="single" w:sz="4" w:space="0" w:color="auto"/>
              <w:right w:val="single" w:sz="4" w:space="0" w:color="auto"/>
            </w:tcBorders>
            <w:vAlign w:val="center"/>
            <w:hideMark/>
          </w:tcPr>
          <w:p w14:paraId="5A77959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Mitchell Institute Prospectus</w:t>
            </w:r>
          </w:p>
        </w:tc>
        <w:tc>
          <w:tcPr>
            <w:tcW w:w="401" w:type="pct"/>
            <w:tcBorders>
              <w:top w:val="single" w:sz="4" w:space="0" w:color="auto"/>
              <w:left w:val="nil"/>
              <w:bottom w:val="single" w:sz="4" w:space="0" w:color="auto"/>
              <w:right w:val="single" w:sz="4" w:space="0" w:color="auto"/>
            </w:tcBorders>
            <w:vAlign w:val="center"/>
            <w:hideMark/>
          </w:tcPr>
          <w:p w14:paraId="38B3B91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61D0C0B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Profile</w:t>
            </w:r>
          </w:p>
        </w:tc>
        <w:tc>
          <w:tcPr>
            <w:tcW w:w="393" w:type="pct"/>
            <w:tcBorders>
              <w:top w:val="nil"/>
              <w:left w:val="nil"/>
              <w:bottom w:val="single" w:sz="4" w:space="0" w:color="auto"/>
              <w:right w:val="single" w:sz="4" w:space="0" w:color="auto"/>
            </w:tcBorders>
            <w:vAlign w:val="center"/>
            <w:hideMark/>
          </w:tcPr>
          <w:p w14:paraId="207EBF2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nil"/>
              <w:left w:val="nil"/>
              <w:bottom w:val="single" w:sz="4" w:space="0" w:color="auto"/>
              <w:right w:val="single" w:sz="4" w:space="0" w:color="auto"/>
            </w:tcBorders>
            <w:vAlign w:val="center"/>
            <w:hideMark/>
          </w:tcPr>
          <w:p w14:paraId="3978AA6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652E7D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43924F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5EFDE8F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4DDEC91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76D6034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0B49696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5A5D1D80" w14:textId="77777777" w:rsidTr="007674CF">
        <w:trPr>
          <w:trHeight w:val="600"/>
        </w:trPr>
        <w:tc>
          <w:tcPr>
            <w:tcW w:w="484" w:type="pct"/>
            <w:tcBorders>
              <w:top w:val="nil"/>
              <w:left w:val="single" w:sz="4" w:space="0" w:color="auto"/>
              <w:bottom w:val="single" w:sz="4" w:space="0" w:color="auto"/>
              <w:right w:val="single" w:sz="4" w:space="0" w:color="auto"/>
            </w:tcBorders>
            <w:vAlign w:val="center"/>
            <w:hideMark/>
          </w:tcPr>
          <w:p w14:paraId="3394736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Mitchell Institute (2016)</w:t>
            </w:r>
          </w:p>
        </w:tc>
        <w:tc>
          <w:tcPr>
            <w:tcW w:w="643" w:type="pct"/>
            <w:tcBorders>
              <w:top w:val="nil"/>
              <w:left w:val="nil"/>
              <w:bottom w:val="single" w:sz="4" w:space="0" w:color="auto"/>
              <w:right w:val="single" w:sz="4" w:space="0" w:color="auto"/>
            </w:tcBorders>
            <w:vAlign w:val="center"/>
            <w:hideMark/>
          </w:tcPr>
          <w:p w14:paraId="611CDC8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Annual Report 2015</w:t>
            </w:r>
          </w:p>
        </w:tc>
        <w:tc>
          <w:tcPr>
            <w:tcW w:w="401" w:type="pct"/>
            <w:tcBorders>
              <w:top w:val="single" w:sz="4" w:space="0" w:color="auto"/>
              <w:left w:val="nil"/>
              <w:bottom w:val="single" w:sz="4" w:space="0" w:color="auto"/>
              <w:right w:val="single" w:sz="4" w:space="0" w:color="auto"/>
            </w:tcBorders>
            <w:vAlign w:val="center"/>
            <w:hideMark/>
          </w:tcPr>
          <w:p w14:paraId="2B44651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79E79CA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Annual report</w:t>
            </w:r>
          </w:p>
        </w:tc>
        <w:tc>
          <w:tcPr>
            <w:tcW w:w="393" w:type="pct"/>
            <w:tcBorders>
              <w:top w:val="nil"/>
              <w:left w:val="nil"/>
              <w:bottom w:val="single" w:sz="4" w:space="0" w:color="auto"/>
              <w:right w:val="single" w:sz="4" w:space="0" w:color="auto"/>
            </w:tcBorders>
            <w:vAlign w:val="center"/>
            <w:hideMark/>
          </w:tcPr>
          <w:p w14:paraId="457125A1"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Education</w:t>
            </w:r>
          </w:p>
        </w:tc>
        <w:tc>
          <w:tcPr>
            <w:tcW w:w="407" w:type="pct"/>
            <w:tcBorders>
              <w:top w:val="nil"/>
              <w:left w:val="nil"/>
              <w:bottom w:val="single" w:sz="4" w:space="0" w:color="auto"/>
              <w:right w:val="single" w:sz="4" w:space="0" w:color="auto"/>
            </w:tcBorders>
            <w:vAlign w:val="center"/>
            <w:hideMark/>
          </w:tcPr>
          <w:p w14:paraId="20BD7A9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2015ACC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7A93378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7CC5DD9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4DD3598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c>
          <w:tcPr>
            <w:tcW w:w="267" w:type="pct"/>
            <w:tcBorders>
              <w:top w:val="nil"/>
              <w:left w:val="nil"/>
              <w:bottom w:val="single" w:sz="4" w:space="0" w:color="auto"/>
              <w:right w:val="single" w:sz="4" w:space="0" w:color="auto"/>
            </w:tcBorders>
            <w:vAlign w:val="center"/>
            <w:hideMark/>
          </w:tcPr>
          <w:p w14:paraId="401F52C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0CB6C2D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w:t>
            </w:r>
          </w:p>
        </w:tc>
      </w:tr>
      <w:tr w:rsidR="0093470E" w:rsidRPr="00E16853" w14:paraId="692418B7" w14:textId="77777777" w:rsidTr="007674CF">
        <w:trPr>
          <w:trHeight w:val="1200"/>
        </w:trPr>
        <w:tc>
          <w:tcPr>
            <w:tcW w:w="484" w:type="pct"/>
            <w:tcBorders>
              <w:top w:val="nil"/>
              <w:left w:val="single" w:sz="4" w:space="0" w:color="auto"/>
              <w:bottom w:val="single" w:sz="4" w:space="0" w:color="auto"/>
              <w:right w:val="single" w:sz="4" w:space="0" w:color="auto"/>
            </w:tcBorders>
            <w:vAlign w:val="center"/>
            <w:hideMark/>
          </w:tcPr>
          <w:p w14:paraId="4141933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Moore, T.G. (2016)</w:t>
            </w:r>
          </w:p>
        </w:tc>
        <w:tc>
          <w:tcPr>
            <w:tcW w:w="643" w:type="pct"/>
            <w:tcBorders>
              <w:top w:val="nil"/>
              <w:left w:val="nil"/>
              <w:bottom w:val="single" w:sz="4" w:space="0" w:color="auto"/>
              <w:right w:val="single" w:sz="4" w:space="0" w:color="auto"/>
            </w:tcBorders>
            <w:vAlign w:val="center"/>
            <w:hideMark/>
          </w:tcPr>
          <w:p w14:paraId="0BB9650C"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Towards a model of evidence-informed decision-making and service delivery</w:t>
            </w:r>
          </w:p>
        </w:tc>
        <w:tc>
          <w:tcPr>
            <w:tcW w:w="401" w:type="pct"/>
            <w:tcBorders>
              <w:top w:val="single" w:sz="4" w:space="0" w:color="auto"/>
              <w:left w:val="nil"/>
              <w:bottom w:val="single" w:sz="4" w:space="0" w:color="auto"/>
              <w:right w:val="single" w:sz="4" w:space="0" w:color="auto"/>
            </w:tcBorders>
            <w:vAlign w:val="center"/>
            <w:hideMark/>
          </w:tcPr>
          <w:p w14:paraId="62663C7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0729DF5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Theoretical </w:t>
            </w:r>
          </w:p>
        </w:tc>
        <w:tc>
          <w:tcPr>
            <w:tcW w:w="393" w:type="pct"/>
            <w:tcBorders>
              <w:top w:val="nil"/>
              <w:left w:val="nil"/>
              <w:bottom w:val="single" w:sz="4" w:space="0" w:color="auto"/>
              <w:right w:val="single" w:sz="4" w:space="0" w:color="auto"/>
            </w:tcBorders>
            <w:vAlign w:val="center"/>
            <w:hideMark/>
          </w:tcPr>
          <w:p w14:paraId="6C6AFFF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07" w:type="pct"/>
            <w:tcBorders>
              <w:top w:val="nil"/>
              <w:left w:val="nil"/>
              <w:bottom w:val="single" w:sz="4" w:space="0" w:color="auto"/>
              <w:right w:val="single" w:sz="4" w:space="0" w:color="auto"/>
            </w:tcBorders>
            <w:vAlign w:val="center"/>
            <w:hideMark/>
          </w:tcPr>
          <w:p w14:paraId="5FE9EF35"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2C8AADA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5F35B57D"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2A806EF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1C2E3C3F"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7" w:type="pct"/>
            <w:tcBorders>
              <w:top w:val="nil"/>
              <w:left w:val="nil"/>
              <w:bottom w:val="single" w:sz="4" w:space="0" w:color="auto"/>
              <w:right w:val="single" w:sz="4" w:space="0" w:color="auto"/>
            </w:tcBorders>
            <w:vAlign w:val="center"/>
            <w:hideMark/>
          </w:tcPr>
          <w:p w14:paraId="34CA050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45304DC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r w:rsidR="004F464F" w:rsidRPr="00E16853" w14:paraId="4707F770" w14:textId="77777777" w:rsidTr="00D2060B">
        <w:trPr>
          <w:trHeight w:val="600"/>
        </w:trPr>
        <w:tc>
          <w:tcPr>
            <w:tcW w:w="484" w:type="pct"/>
            <w:tcBorders>
              <w:top w:val="single" w:sz="4" w:space="0" w:color="auto"/>
              <w:left w:val="single" w:sz="4" w:space="0" w:color="auto"/>
              <w:bottom w:val="single" w:sz="4" w:space="0" w:color="auto"/>
              <w:right w:val="single" w:sz="4" w:space="0" w:color="auto"/>
            </w:tcBorders>
            <w:shd w:val="clear" w:color="auto" w:fill="ECC2B7" w:themeFill="accent6" w:themeFillTint="66"/>
            <w:vAlign w:val="center"/>
            <w:hideMark/>
          </w:tcPr>
          <w:p w14:paraId="28D50D62" w14:textId="77777777" w:rsidR="004F464F" w:rsidRPr="00E16853" w:rsidRDefault="004F464F" w:rsidP="00D2060B">
            <w:pPr>
              <w:pStyle w:val="NoSpacing"/>
            </w:pPr>
            <w:r w:rsidRPr="00E16853">
              <w:lastRenderedPageBreak/>
              <w:t>Author (year)</w:t>
            </w:r>
          </w:p>
        </w:tc>
        <w:tc>
          <w:tcPr>
            <w:tcW w:w="643"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106F2778" w14:textId="77777777" w:rsidR="004F464F" w:rsidRPr="00E16853" w:rsidRDefault="004F464F" w:rsidP="00D2060B">
            <w:pPr>
              <w:pStyle w:val="NoSpacing"/>
            </w:pPr>
            <w:r w:rsidRPr="00E16853">
              <w:t>Title</w:t>
            </w:r>
          </w:p>
        </w:tc>
        <w:tc>
          <w:tcPr>
            <w:tcW w:w="401"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1349E948" w14:textId="77777777" w:rsidR="004F464F" w:rsidRPr="00E16853" w:rsidRDefault="004F464F" w:rsidP="00D2060B">
            <w:pPr>
              <w:pStyle w:val="NoSpacing"/>
            </w:pPr>
            <w:r w:rsidRPr="00E16853">
              <w:t>Publication</w:t>
            </w:r>
          </w:p>
        </w:tc>
        <w:tc>
          <w:tcPr>
            <w:tcW w:w="392" w:type="pct"/>
            <w:tcBorders>
              <w:top w:val="single" w:sz="4" w:space="0" w:color="auto"/>
              <w:left w:val="single" w:sz="4" w:space="0" w:color="auto"/>
              <w:bottom w:val="single" w:sz="4" w:space="0" w:color="auto"/>
              <w:right w:val="single" w:sz="4" w:space="0" w:color="auto"/>
            </w:tcBorders>
            <w:shd w:val="clear" w:color="auto" w:fill="ECC2B7" w:themeFill="accent6" w:themeFillTint="66"/>
            <w:vAlign w:val="center"/>
            <w:hideMark/>
          </w:tcPr>
          <w:p w14:paraId="15873BF6" w14:textId="77777777" w:rsidR="004F464F" w:rsidRPr="00E16853" w:rsidRDefault="004F464F" w:rsidP="00D2060B">
            <w:pPr>
              <w:pStyle w:val="NoSpacing"/>
            </w:pPr>
            <w:r w:rsidRPr="00E16853">
              <w:t>Study design</w:t>
            </w:r>
          </w:p>
        </w:tc>
        <w:tc>
          <w:tcPr>
            <w:tcW w:w="393"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01406D1" w14:textId="77777777" w:rsidR="004F464F" w:rsidRPr="00E16853" w:rsidRDefault="004F464F" w:rsidP="00D2060B">
            <w:pPr>
              <w:pStyle w:val="NoSpacing"/>
            </w:pPr>
            <w:r w:rsidRPr="00E16853">
              <w:t>Sector</w:t>
            </w:r>
          </w:p>
        </w:tc>
        <w:tc>
          <w:tcPr>
            <w:tcW w:w="40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1B56271E" w14:textId="77777777" w:rsidR="004F464F" w:rsidRPr="00E16853" w:rsidRDefault="004F464F" w:rsidP="00D2060B">
            <w:pPr>
              <w:pStyle w:val="NoSpacing"/>
            </w:pPr>
            <w:r w:rsidRPr="00E16853">
              <w:t>Country</w:t>
            </w:r>
          </w:p>
        </w:tc>
        <w:tc>
          <w:tcPr>
            <w:tcW w:w="36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53275D4D" w14:textId="77777777" w:rsidR="004F464F" w:rsidRPr="00E16853" w:rsidRDefault="004F464F" w:rsidP="00D2060B">
            <w:pPr>
              <w:pStyle w:val="NoSpacing"/>
            </w:pPr>
            <w:r w:rsidRPr="00E16853">
              <w:t>Authority</w:t>
            </w:r>
          </w:p>
        </w:tc>
        <w:tc>
          <w:tcPr>
            <w:tcW w:w="34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28332B51" w14:textId="77777777" w:rsidR="004F464F" w:rsidRPr="00E16853" w:rsidRDefault="004F464F" w:rsidP="00D2060B">
            <w:pPr>
              <w:pStyle w:val="NoSpacing"/>
            </w:pPr>
            <w:r w:rsidRPr="00E16853">
              <w:t>Accuracy</w:t>
            </w:r>
          </w:p>
        </w:tc>
        <w:tc>
          <w:tcPr>
            <w:tcW w:w="35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4E117BD2" w14:textId="77777777" w:rsidR="004F464F" w:rsidRPr="00E16853" w:rsidRDefault="004F464F" w:rsidP="00D2060B">
            <w:pPr>
              <w:pStyle w:val="NoSpacing"/>
            </w:pPr>
            <w:r w:rsidRPr="00E16853">
              <w:t>Coverage</w:t>
            </w:r>
          </w:p>
        </w:tc>
        <w:tc>
          <w:tcPr>
            <w:tcW w:w="456"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FC80660" w14:textId="77777777" w:rsidR="004F464F" w:rsidRPr="00E16853" w:rsidRDefault="004F464F" w:rsidP="00D2060B">
            <w:pPr>
              <w:pStyle w:val="NoSpacing"/>
            </w:pPr>
            <w:r w:rsidRPr="00E16853">
              <w:t>Objectivity</w:t>
            </w:r>
          </w:p>
        </w:tc>
        <w:tc>
          <w:tcPr>
            <w:tcW w:w="26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7A9579C" w14:textId="77777777" w:rsidR="004F464F" w:rsidRPr="00E16853" w:rsidRDefault="004F464F" w:rsidP="00D2060B">
            <w:pPr>
              <w:pStyle w:val="NoSpacing"/>
            </w:pPr>
            <w:r w:rsidRPr="00E16853">
              <w:t>Date</w:t>
            </w:r>
          </w:p>
        </w:tc>
        <w:tc>
          <w:tcPr>
            <w:tcW w:w="487" w:type="pct"/>
            <w:tcBorders>
              <w:top w:val="single" w:sz="4" w:space="0" w:color="auto"/>
              <w:left w:val="nil"/>
              <w:bottom w:val="single" w:sz="4" w:space="0" w:color="auto"/>
              <w:right w:val="single" w:sz="4" w:space="0" w:color="auto"/>
            </w:tcBorders>
            <w:shd w:val="clear" w:color="auto" w:fill="ECC2B7" w:themeFill="accent6" w:themeFillTint="66"/>
            <w:vAlign w:val="center"/>
            <w:hideMark/>
          </w:tcPr>
          <w:p w14:paraId="0692C122" w14:textId="77777777" w:rsidR="004F464F" w:rsidRPr="00E16853" w:rsidRDefault="004F464F" w:rsidP="00D2060B">
            <w:pPr>
              <w:pStyle w:val="NoSpacing"/>
            </w:pPr>
            <w:r w:rsidRPr="00E16853">
              <w:t>Significance</w:t>
            </w:r>
          </w:p>
        </w:tc>
      </w:tr>
      <w:tr w:rsidR="0093470E" w:rsidRPr="00E16853" w14:paraId="7F19CA55" w14:textId="77777777" w:rsidTr="007674CF">
        <w:trPr>
          <w:trHeight w:val="1500"/>
        </w:trPr>
        <w:tc>
          <w:tcPr>
            <w:tcW w:w="484" w:type="pct"/>
            <w:tcBorders>
              <w:top w:val="nil"/>
              <w:left w:val="single" w:sz="4" w:space="0" w:color="auto"/>
              <w:bottom w:val="single" w:sz="4" w:space="0" w:color="auto"/>
              <w:right w:val="single" w:sz="4" w:space="0" w:color="auto"/>
            </w:tcBorders>
            <w:vAlign w:val="center"/>
            <w:hideMark/>
          </w:tcPr>
          <w:p w14:paraId="17AC6579"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Moore, T.G.; </w:t>
            </w:r>
            <w:proofErr w:type="spellStart"/>
            <w:r w:rsidRPr="00E16853">
              <w:rPr>
                <w:rFonts w:eastAsia="Times New Roman"/>
                <w:color w:val="000000"/>
                <w:sz w:val="18"/>
                <w:szCs w:val="18"/>
              </w:rPr>
              <w:t>Beatson</w:t>
            </w:r>
            <w:proofErr w:type="spellEnd"/>
            <w:r w:rsidRPr="00E16853">
              <w:rPr>
                <w:rFonts w:eastAsia="Times New Roman"/>
                <w:color w:val="000000"/>
                <w:sz w:val="18"/>
                <w:szCs w:val="18"/>
              </w:rPr>
              <w:t xml:space="preserve">, R.; Rushton, S.; Powers, R.; </w:t>
            </w:r>
            <w:proofErr w:type="spellStart"/>
            <w:r w:rsidRPr="00E16853">
              <w:rPr>
                <w:rFonts w:eastAsia="Times New Roman"/>
                <w:color w:val="000000"/>
                <w:sz w:val="18"/>
                <w:szCs w:val="18"/>
              </w:rPr>
              <w:t>Deery</w:t>
            </w:r>
            <w:proofErr w:type="spellEnd"/>
            <w:r w:rsidRPr="00E16853">
              <w:rPr>
                <w:rFonts w:eastAsia="Times New Roman"/>
                <w:color w:val="000000"/>
                <w:sz w:val="18"/>
                <w:szCs w:val="18"/>
              </w:rPr>
              <w:t xml:space="preserve">, A.; </w:t>
            </w:r>
            <w:proofErr w:type="spellStart"/>
            <w:r w:rsidRPr="00E16853">
              <w:rPr>
                <w:rFonts w:eastAsia="Times New Roman"/>
                <w:color w:val="000000"/>
                <w:sz w:val="18"/>
                <w:szCs w:val="18"/>
              </w:rPr>
              <w:t>Arefadib</w:t>
            </w:r>
            <w:proofErr w:type="spellEnd"/>
            <w:r w:rsidRPr="00E16853">
              <w:rPr>
                <w:rFonts w:eastAsia="Times New Roman"/>
                <w:color w:val="000000"/>
                <w:sz w:val="18"/>
                <w:szCs w:val="18"/>
              </w:rPr>
              <w:t>, N.; and West, S. (2016)</w:t>
            </w:r>
          </w:p>
        </w:tc>
        <w:tc>
          <w:tcPr>
            <w:tcW w:w="643" w:type="pct"/>
            <w:tcBorders>
              <w:top w:val="nil"/>
              <w:left w:val="nil"/>
              <w:bottom w:val="single" w:sz="4" w:space="0" w:color="auto"/>
              <w:right w:val="single" w:sz="4" w:space="0" w:color="auto"/>
            </w:tcBorders>
            <w:vAlign w:val="center"/>
            <w:hideMark/>
          </w:tcPr>
          <w:p w14:paraId="4BBD880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 xml:space="preserve">Supporting the Roadmap for Reform: Evidence-informed practice </w:t>
            </w:r>
          </w:p>
        </w:tc>
        <w:tc>
          <w:tcPr>
            <w:tcW w:w="401" w:type="pct"/>
            <w:tcBorders>
              <w:top w:val="single" w:sz="4" w:space="0" w:color="auto"/>
              <w:left w:val="nil"/>
              <w:bottom w:val="single" w:sz="4" w:space="0" w:color="auto"/>
              <w:right w:val="single" w:sz="4" w:space="0" w:color="auto"/>
            </w:tcBorders>
            <w:vAlign w:val="center"/>
            <w:hideMark/>
          </w:tcPr>
          <w:p w14:paraId="41177F48"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NA</w:t>
            </w:r>
          </w:p>
        </w:tc>
        <w:tc>
          <w:tcPr>
            <w:tcW w:w="392" w:type="pct"/>
            <w:tcBorders>
              <w:top w:val="nil"/>
              <w:left w:val="single" w:sz="4" w:space="0" w:color="auto"/>
              <w:bottom w:val="single" w:sz="4" w:space="0" w:color="auto"/>
              <w:right w:val="single" w:sz="4" w:space="0" w:color="auto"/>
            </w:tcBorders>
            <w:vAlign w:val="center"/>
            <w:hideMark/>
          </w:tcPr>
          <w:p w14:paraId="3D7ABCBB"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Case study</w:t>
            </w:r>
          </w:p>
        </w:tc>
        <w:tc>
          <w:tcPr>
            <w:tcW w:w="393" w:type="pct"/>
            <w:tcBorders>
              <w:top w:val="nil"/>
              <w:left w:val="nil"/>
              <w:bottom w:val="single" w:sz="4" w:space="0" w:color="auto"/>
              <w:right w:val="single" w:sz="4" w:space="0" w:color="auto"/>
            </w:tcBorders>
            <w:vAlign w:val="center"/>
            <w:hideMark/>
          </w:tcPr>
          <w:p w14:paraId="28A72807"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Health</w:t>
            </w:r>
          </w:p>
        </w:tc>
        <w:tc>
          <w:tcPr>
            <w:tcW w:w="407" w:type="pct"/>
            <w:tcBorders>
              <w:top w:val="nil"/>
              <w:left w:val="nil"/>
              <w:bottom w:val="single" w:sz="4" w:space="0" w:color="auto"/>
              <w:right w:val="single" w:sz="4" w:space="0" w:color="auto"/>
            </w:tcBorders>
            <w:vAlign w:val="center"/>
            <w:hideMark/>
          </w:tcPr>
          <w:p w14:paraId="2FB76312"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Australia</w:t>
            </w:r>
          </w:p>
        </w:tc>
        <w:tc>
          <w:tcPr>
            <w:tcW w:w="366" w:type="pct"/>
            <w:tcBorders>
              <w:top w:val="nil"/>
              <w:left w:val="nil"/>
              <w:bottom w:val="single" w:sz="4" w:space="0" w:color="auto"/>
              <w:right w:val="single" w:sz="4" w:space="0" w:color="auto"/>
            </w:tcBorders>
            <w:vAlign w:val="center"/>
            <w:hideMark/>
          </w:tcPr>
          <w:p w14:paraId="29606ACE"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46" w:type="pct"/>
            <w:tcBorders>
              <w:top w:val="nil"/>
              <w:left w:val="nil"/>
              <w:bottom w:val="single" w:sz="4" w:space="0" w:color="auto"/>
              <w:right w:val="single" w:sz="4" w:space="0" w:color="auto"/>
            </w:tcBorders>
            <w:vAlign w:val="center"/>
            <w:hideMark/>
          </w:tcPr>
          <w:p w14:paraId="72EE1C54"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357" w:type="pct"/>
            <w:tcBorders>
              <w:top w:val="nil"/>
              <w:left w:val="nil"/>
              <w:bottom w:val="single" w:sz="4" w:space="0" w:color="auto"/>
              <w:right w:val="single" w:sz="4" w:space="0" w:color="auto"/>
            </w:tcBorders>
            <w:vAlign w:val="center"/>
            <w:hideMark/>
          </w:tcPr>
          <w:p w14:paraId="33C1A4E6"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56" w:type="pct"/>
            <w:tcBorders>
              <w:top w:val="nil"/>
              <w:left w:val="nil"/>
              <w:bottom w:val="single" w:sz="4" w:space="0" w:color="auto"/>
              <w:right w:val="single" w:sz="4" w:space="0" w:color="auto"/>
            </w:tcBorders>
            <w:vAlign w:val="center"/>
            <w:hideMark/>
          </w:tcPr>
          <w:p w14:paraId="26DFD210"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267" w:type="pct"/>
            <w:tcBorders>
              <w:top w:val="nil"/>
              <w:left w:val="nil"/>
              <w:bottom w:val="single" w:sz="4" w:space="0" w:color="auto"/>
              <w:right w:val="single" w:sz="4" w:space="0" w:color="auto"/>
            </w:tcBorders>
            <w:vAlign w:val="center"/>
            <w:hideMark/>
          </w:tcPr>
          <w:p w14:paraId="738A86BA"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c>
          <w:tcPr>
            <w:tcW w:w="487" w:type="pct"/>
            <w:tcBorders>
              <w:top w:val="nil"/>
              <w:left w:val="nil"/>
              <w:bottom w:val="single" w:sz="4" w:space="0" w:color="auto"/>
              <w:right w:val="single" w:sz="4" w:space="0" w:color="auto"/>
            </w:tcBorders>
            <w:vAlign w:val="center"/>
            <w:hideMark/>
          </w:tcPr>
          <w:p w14:paraId="245F8263" w14:textId="77777777" w:rsidR="0093470E" w:rsidRPr="00E16853" w:rsidRDefault="0093470E" w:rsidP="004F464F">
            <w:pPr>
              <w:pStyle w:val="NoSpacing"/>
              <w:rPr>
                <w:rFonts w:eastAsia="Times New Roman"/>
                <w:color w:val="000000"/>
                <w:sz w:val="18"/>
                <w:szCs w:val="18"/>
              </w:rPr>
            </w:pPr>
            <w:r w:rsidRPr="00E16853">
              <w:rPr>
                <w:rFonts w:eastAsia="Times New Roman"/>
                <w:color w:val="000000"/>
                <w:sz w:val="18"/>
                <w:szCs w:val="18"/>
              </w:rPr>
              <w:t>Y</w:t>
            </w:r>
          </w:p>
        </w:tc>
      </w:tr>
    </w:tbl>
    <w:p w14:paraId="1B740BD4" w14:textId="77777777" w:rsidR="0093470E" w:rsidRDefault="0093470E" w:rsidP="0093470E"/>
    <w:p w14:paraId="4DF67BB0" w14:textId="77777777" w:rsidR="001A61C6" w:rsidRDefault="001A61C6" w:rsidP="0093470E">
      <w:pPr>
        <w:sectPr w:rsidR="001A61C6" w:rsidSect="001A61C6">
          <w:pgSz w:w="16838" w:h="11906" w:orient="landscape" w:code="9"/>
          <w:pgMar w:top="1134" w:right="1134" w:bottom="1134" w:left="1134" w:header="709" w:footer="709" w:gutter="0"/>
          <w:cols w:space="708"/>
          <w:titlePg/>
          <w:docGrid w:linePitch="360"/>
        </w:sectPr>
      </w:pPr>
    </w:p>
    <w:p w14:paraId="03F3E735" w14:textId="77777777" w:rsidR="00514A49" w:rsidRDefault="00514A49" w:rsidP="001A61C6">
      <w:r>
        <w:rPr>
          <w:noProof/>
          <w:lang w:val="en-US" w:eastAsia="en-US"/>
        </w:rPr>
        <w:lastRenderedPageBreak/>
        <mc:AlternateContent>
          <mc:Choice Requires="wps">
            <w:drawing>
              <wp:anchor distT="0" distB="0" distL="114300" distR="114300" simplePos="0" relativeHeight="251699200" behindDoc="1" locked="0" layoutInCell="1" allowOverlap="1" wp14:anchorId="686873E8" wp14:editId="1EBEF364">
                <wp:simplePos x="0" y="0"/>
                <wp:positionH relativeFrom="page">
                  <wp:posOffset>-147711</wp:posOffset>
                </wp:positionH>
                <wp:positionV relativeFrom="page">
                  <wp:posOffset>-168812</wp:posOffset>
                </wp:positionV>
                <wp:extent cx="7800536" cy="10979834"/>
                <wp:effectExtent l="0" t="0" r="10160" b="12065"/>
                <wp:wrapNone/>
                <wp:docPr id="55" name="Back page BG" descr="Back page background"/>
                <wp:cNvGraphicFramePr/>
                <a:graphic xmlns:a="http://schemas.openxmlformats.org/drawingml/2006/main">
                  <a:graphicData uri="http://schemas.microsoft.com/office/word/2010/wordprocessingShape">
                    <wps:wsp>
                      <wps:cNvSpPr/>
                      <wps:spPr>
                        <a:xfrm>
                          <a:off x="0" y="0"/>
                          <a:ext cx="7800536" cy="1097983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ck page BG" o:spid="_x0000_s1026" alt="Description: Back page background" style="position:absolute;margin-left:-11.65pt;margin-top:-13.3pt;width:614.2pt;height:864.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" fillcolor="white [3212]" strokecolor="#042041 [1604]" strokeweight="1pt">
                <w10:wrap anchorx="page" anchory="page"/>
              </v:rect>
            </w:pict>
          </mc:Fallback>
        </mc:AlternateContent>
      </w:r>
      <w:r w:rsidRPr="001A1790">
        <w:rPr>
          <w:noProof/>
          <w:lang w:val="en-US" w:eastAsia="en-US"/>
        </w:rPr>
        <w:drawing>
          <wp:inline distT="0" distB="0" distL="0" distR="0" wp14:anchorId="74CBB91D" wp14:editId="16DFF577">
            <wp:extent cx="1257300" cy="1257300"/>
            <wp:effectExtent l="0" t="0" r="0" b="0"/>
            <wp:docPr id="54" name="Logo-back page" descr="Logo: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EF98EAE" w14:textId="77777777" w:rsidR="00514A49" w:rsidRDefault="00514A49">
      <w:pPr>
        <w:spacing w:after="160" w:line="259" w:lineRule="auto"/>
        <w:rPr>
          <w:rFonts w:ascii="Calibri" w:eastAsia="Calibri" w:hAnsi="Calibri" w:cs="Times New Roman"/>
          <w:lang w:eastAsia="en-US"/>
        </w:rPr>
      </w:pPr>
    </w:p>
    <w:sectPr w:rsidR="00514A49" w:rsidSect="001A61C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7D9C7" w14:textId="77777777" w:rsidR="00CC6B9C" w:rsidRDefault="00CC6B9C" w:rsidP="00BC71CA">
      <w:pPr>
        <w:spacing w:after="0" w:line="240" w:lineRule="auto"/>
      </w:pPr>
      <w:r>
        <w:separator/>
      </w:r>
    </w:p>
  </w:endnote>
  <w:endnote w:type="continuationSeparator" w:id="0">
    <w:p w14:paraId="4DDBE40E" w14:textId="77777777" w:rsidR="00CC6B9C" w:rsidRDefault="00CC6B9C" w:rsidP="00BC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bertus">
    <w:altName w:val="Candara"/>
    <w:charset w:val="00"/>
    <w:family w:val="swiss"/>
    <w:pitch w:val="variable"/>
    <w:sig w:usb0="00000001"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modern"/>
    <w:notTrueType/>
    <w:pitch w:val="variable"/>
    <w:sig w:usb0="8000002F"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126882"/>
      <w:docPartObj>
        <w:docPartGallery w:val="Page Numbers (Bottom of Page)"/>
        <w:docPartUnique/>
      </w:docPartObj>
    </w:sdtPr>
    <w:sdtEndPr>
      <w:rPr>
        <w:noProof/>
      </w:rPr>
    </w:sdtEndPr>
    <w:sdtContent>
      <w:p w14:paraId="7EB56E44" w14:textId="0F14AF56" w:rsidR="00CF668F" w:rsidRDefault="00CF668F">
        <w:pPr>
          <w:pStyle w:val="Footer"/>
          <w:jc w:val="right"/>
        </w:pPr>
        <w:r>
          <w:fldChar w:fldCharType="begin"/>
        </w:r>
        <w:r>
          <w:instrText xml:space="preserve"> PAGE   \* MERGEFORMAT </w:instrText>
        </w:r>
        <w:r>
          <w:fldChar w:fldCharType="separate"/>
        </w:r>
        <w:r w:rsidR="00463DFD">
          <w:rPr>
            <w:noProof/>
          </w:rPr>
          <w:t>v</w:t>
        </w:r>
        <w:r>
          <w:rPr>
            <w:noProof/>
          </w:rPr>
          <w:fldChar w:fldCharType="end"/>
        </w:r>
      </w:p>
    </w:sdtContent>
  </w:sdt>
  <w:p w14:paraId="11542662" w14:textId="275DE98C" w:rsidR="00CF668F" w:rsidRDefault="00CC6B9C" w:rsidP="00D46220">
    <w:pPr>
      <w:pStyle w:val="Footer"/>
    </w:pPr>
    <w:sdt>
      <w:sdtPr>
        <w:rPr>
          <w:b/>
          <w:bCs/>
        </w:rPr>
        <w:alias w:val="Identifier-first line"/>
        <w:tag w:val=""/>
        <w:id w:val="190737094"/>
        <w:dataBinding w:prefixMappings="xmlns:ns0='http://purl.org/dc/elements/1.1/' xmlns:ns1='http://schemas.openxmlformats.org/package/2006/metadata/core-properties' " w:xpath="/ns1:coreProperties[1]/ns1:category[1]" w:storeItemID="{6C3C8BC8-F283-45AE-878A-BAB7291924A1}"/>
        <w:text/>
      </w:sdtPr>
      <w:sdtEndPr/>
      <w:sdtContent>
        <w:r w:rsidR="00CF668F">
          <w:rPr>
            <w:b/>
            <w:bCs/>
          </w:rPr>
          <w:t>Centre for Program Evaluation</w:t>
        </w:r>
      </w:sdtContent>
    </w:sdt>
    <w:r w:rsidR="00CF668F">
      <w:t xml:space="preserve"> | </w:t>
    </w:r>
    <w:sdt>
      <w:sdtPr>
        <w:alias w:val="Title"/>
        <w:tag w:val=""/>
        <w:id w:val="-1719967327"/>
        <w:dataBinding w:prefixMappings="xmlns:ns0='http://purl.org/dc/elements/1.1/' xmlns:ns1='http://schemas.openxmlformats.org/package/2006/metadata/core-properties' " w:xpath="/ns1:coreProperties[1]/ns0:title[1]" w:storeItemID="{6C3C8BC8-F283-45AE-878A-BAB7291924A1}"/>
        <w:text/>
      </w:sdtPr>
      <w:sdtEndPr/>
      <w:sdtContent>
        <w:r w:rsidR="00CF668F">
          <w:t>Promoting evidence uptake in Australian schools: A review of the key features of research and evidence institutions</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573666"/>
      <w:docPartObj>
        <w:docPartGallery w:val="Page Numbers (Bottom of Page)"/>
        <w:docPartUnique/>
      </w:docPartObj>
    </w:sdtPr>
    <w:sdtEndPr>
      <w:rPr>
        <w:noProof/>
      </w:rPr>
    </w:sdtEndPr>
    <w:sdtContent>
      <w:p w14:paraId="1CCB7BCC" w14:textId="153ABAFE" w:rsidR="00CF668F" w:rsidRDefault="00CF668F">
        <w:pPr>
          <w:pStyle w:val="Footer"/>
          <w:jc w:val="right"/>
        </w:pPr>
        <w:r>
          <w:fldChar w:fldCharType="begin"/>
        </w:r>
        <w:r>
          <w:instrText xml:space="preserve"> PAGE   \* MERGEFORMAT </w:instrText>
        </w:r>
        <w:r>
          <w:fldChar w:fldCharType="separate"/>
        </w:r>
        <w:r w:rsidR="0032357F">
          <w:rPr>
            <w:noProof/>
          </w:rPr>
          <w:t>36</w:t>
        </w:r>
        <w:r>
          <w:rPr>
            <w:noProof/>
          </w:rPr>
          <w:fldChar w:fldCharType="end"/>
        </w:r>
      </w:p>
    </w:sdtContent>
  </w:sdt>
  <w:p w14:paraId="45590CB6" w14:textId="70A8F3FB" w:rsidR="00CF668F" w:rsidRDefault="00CC6B9C">
    <w:pPr>
      <w:pStyle w:val="Footer"/>
    </w:pPr>
    <w:sdt>
      <w:sdtPr>
        <w:rPr>
          <w:b/>
          <w:bCs/>
        </w:rPr>
        <w:alias w:val="Identifier-first line"/>
        <w:tag w:val=""/>
        <w:id w:val="-592015700"/>
        <w:dataBinding w:prefixMappings="xmlns:ns0='http://purl.org/dc/elements/1.1/' xmlns:ns1='http://schemas.openxmlformats.org/package/2006/metadata/core-properties' " w:xpath="/ns1:coreProperties[1]/ns1:category[1]" w:storeItemID="{6C3C8BC8-F283-45AE-878A-BAB7291924A1}"/>
        <w:text/>
      </w:sdtPr>
      <w:sdtEndPr/>
      <w:sdtContent>
        <w:r w:rsidR="00CF668F">
          <w:rPr>
            <w:b/>
            <w:bCs/>
          </w:rPr>
          <w:t>Centre for Program Evaluation</w:t>
        </w:r>
      </w:sdtContent>
    </w:sdt>
    <w:r w:rsidR="00CF668F">
      <w:t xml:space="preserve"> | </w:t>
    </w:r>
    <w:sdt>
      <w:sdtPr>
        <w:alias w:val="Title"/>
        <w:tag w:val=""/>
        <w:id w:val="-1215655009"/>
        <w:dataBinding w:prefixMappings="xmlns:ns0='http://purl.org/dc/elements/1.1/' xmlns:ns1='http://schemas.openxmlformats.org/package/2006/metadata/core-properties' " w:xpath="/ns1:coreProperties[1]/ns0:title[1]" w:storeItemID="{6C3C8BC8-F283-45AE-878A-BAB7291924A1}"/>
        <w:text/>
      </w:sdtPr>
      <w:sdtEndPr/>
      <w:sdtContent>
        <w:r w:rsidR="00CF668F">
          <w:t>Promoting evidence uptake in Australian schools: A review of the key features of research and evidence institutions</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A8572" w14:textId="77777777" w:rsidR="00CF668F" w:rsidRDefault="00CC6B9C" w:rsidP="008C52B2">
    <w:pPr>
      <w:pStyle w:val="Footer"/>
    </w:pPr>
    <w:sdt>
      <w:sdtPr>
        <w:rPr>
          <w:b/>
          <w:bCs/>
        </w:rPr>
        <w:alias w:val="Identifier-first line"/>
        <w:tag w:val=""/>
        <w:id w:val="-118383360"/>
        <w:dataBinding w:prefixMappings="xmlns:ns0='http://purl.org/dc/elements/1.1/' xmlns:ns1='http://schemas.openxmlformats.org/package/2006/metadata/core-properties' " w:xpath="/ns1:coreProperties[1]/ns1:category[1]" w:storeItemID="{6C3C8BC8-F283-45AE-878A-BAB7291924A1}"/>
        <w:text/>
      </w:sdtPr>
      <w:sdtEndPr/>
      <w:sdtContent>
        <w:r w:rsidR="00CF668F">
          <w:rPr>
            <w:b/>
            <w:bCs/>
          </w:rPr>
          <w:t>Centre for Program Evaluation</w:t>
        </w:r>
      </w:sdtContent>
    </w:sdt>
    <w:r w:rsidR="00CF668F">
      <w:t xml:space="preserve"> | </w:t>
    </w:r>
    <w:sdt>
      <w:sdtPr>
        <w:alias w:val="Title"/>
        <w:tag w:val=""/>
        <w:id w:val="1873034021"/>
        <w:dataBinding w:prefixMappings="xmlns:ns0='http://purl.org/dc/elements/1.1/' xmlns:ns1='http://schemas.openxmlformats.org/package/2006/metadata/core-properties' " w:xpath="/ns1:coreProperties[1]/ns0:title[1]" w:storeItemID="{6C3C8BC8-F283-45AE-878A-BAB7291924A1}"/>
        <w:text/>
      </w:sdtPr>
      <w:sdtEndPr/>
      <w:sdtContent>
        <w:r w:rsidR="00CF668F">
          <w:t>Promoting evidence uptake in Australian schools: A review of the key features of research and evidence institutions</w:t>
        </w:r>
      </w:sdtContent>
    </w:sdt>
  </w:p>
  <w:p w14:paraId="759E13D1" w14:textId="4A529B3D" w:rsidR="00CF668F" w:rsidRPr="009E7861" w:rsidRDefault="00CF668F" w:rsidP="008C52B2">
    <w:pPr>
      <w:pStyle w:val="Footerright"/>
      <w:framePr w:wrap="around"/>
    </w:pPr>
    <w:r w:rsidRPr="009E7861">
      <w:fldChar w:fldCharType="begin"/>
    </w:r>
    <w:r w:rsidRPr="009E7861">
      <w:instrText xml:space="preserve"> PAGE  \* Arabic  \* MERGEFORMAT </w:instrText>
    </w:r>
    <w:r w:rsidRPr="009E7861">
      <w:fldChar w:fldCharType="separate"/>
    </w:r>
    <w:r w:rsidR="0032357F">
      <w:rPr>
        <w:noProof/>
      </w:rPr>
      <w:t>83</w:t>
    </w:r>
    <w:r w:rsidRPr="009E7861">
      <w:fldChar w:fldCharType="end"/>
    </w:r>
    <w:r w:rsidRPr="009E7861">
      <w:t xml:space="preserve"> </w:t>
    </w:r>
  </w:p>
  <w:p w14:paraId="4C6B3BFA" w14:textId="77777777" w:rsidR="00CF668F" w:rsidRPr="00F372BF" w:rsidRDefault="00CF668F" w:rsidP="009E7861">
    <w:pPr>
      <w:pStyle w:val="Footerright"/>
      <w:framePr w:wrap="aroun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75C81" w14:textId="77777777" w:rsidR="00CF668F" w:rsidRDefault="00CC6B9C" w:rsidP="008C52B2">
    <w:pPr>
      <w:pStyle w:val="Footer"/>
    </w:pPr>
    <w:sdt>
      <w:sdtPr>
        <w:rPr>
          <w:b/>
          <w:bCs/>
        </w:rPr>
        <w:alias w:val="Identifier-first line"/>
        <w:tag w:val=""/>
        <w:id w:val="-428814612"/>
        <w:dataBinding w:prefixMappings="xmlns:ns0='http://purl.org/dc/elements/1.1/' xmlns:ns1='http://schemas.openxmlformats.org/package/2006/metadata/core-properties' " w:xpath="/ns1:coreProperties[1]/ns1:category[1]" w:storeItemID="{6C3C8BC8-F283-45AE-878A-BAB7291924A1}"/>
        <w:text/>
      </w:sdtPr>
      <w:sdtEndPr/>
      <w:sdtContent>
        <w:r w:rsidR="00CF668F">
          <w:rPr>
            <w:b/>
            <w:bCs/>
          </w:rPr>
          <w:t>Centre for Program Evaluation</w:t>
        </w:r>
      </w:sdtContent>
    </w:sdt>
    <w:r w:rsidR="00CF668F">
      <w:t xml:space="preserve"> | </w:t>
    </w:r>
    <w:sdt>
      <w:sdtPr>
        <w:alias w:val="Title"/>
        <w:tag w:val=""/>
        <w:id w:val="-1372608235"/>
        <w:dataBinding w:prefixMappings="xmlns:ns0='http://purl.org/dc/elements/1.1/' xmlns:ns1='http://schemas.openxmlformats.org/package/2006/metadata/core-properties' " w:xpath="/ns1:coreProperties[1]/ns0:title[1]" w:storeItemID="{6C3C8BC8-F283-45AE-878A-BAB7291924A1}"/>
        <w:text/>
      </w:sdtPr>
      <w:sdtEndPr/>
      <w:sdtContent>
        <w:r w:rsidR="00CF668F">
          <w:t>Promoting evidence uptake in Australian schools: A review of the key features of research and evidence institutions</w:t>
        </w:r>
      </w:sdtContent>
    </w:sdt>
  </w:p>
  <w:p w14:paraId="26B472D8" w14:textId="32A0A44F" w:rsidR="00CF668F" w:rsidRPr="009E7861" w:rsidRDefault="00CF668F" w:rsidP="007F1B2F">
    <w:pPr>
      <w:pStyle w:val="Footerright"/>
      <w:framePr w:wrap="around"/>
    </w:pPr>
    <w:r w:rsidRPr="009E7861">
      <w:fldChar w:fldCharType="begin"/>
    </w:r>
    <w:r w:rsidRPr="009E7861">
      <w:instrText xml:space="preserve"> PAGE  \* Arabic  \* MERGEFORMAT </w:instrText>
    </w:r>
    <w:r w:rsidRPr="009E7861">
      <w:fldChar w:fldCharType="separate"/>
    </w:r>
    <w:r w:rsidR="0032357F">
      <w:rPr>
        <w:noProof/>
      </w:rPr>
      <w:t>70</w:t>
    </w:r>
    <w:r w:rsidRPr="009E7861">
      <w:fldChar w:fldCharType="end"/>
    </w:r>
    <w:r w:rsidRPr="009E7861">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CB97E" w14:textId="77777777" w:rsidR="00CC6B9C" w:rsidRDefault="00CC6B9C" w:rsidP="00BC71CA">
      <w:pPr>
        <w:spacing w:after="0" w:line="240" w:lineRule="auto"/>
      </w:pPr>
      <w:r>
        <w:separator/>
      </w:r>
    </w:p>
  </w:footnote>
  <w:footnote w:type="continuationSeparator" w:id="0">
    <w:p w14:paraId="60A04FE0" w14:textId="77777777" w:rsidR="00CC6B9C" w:rsidRDefault="00CC6B9C" w:rsidP="00BC71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771"/>
    <w:multiLevelType w:val="hybridMultilevel"/>
    <w:tmpl w:val="8D3E04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301DFC"/>
    <w:multiLevelType w:val="hybridMultilevel"/>
    <w:tmpl w:val="C3B0CDD2"/>
    <w:lvl w:ilvl="0" w:tplc="8CDC3628">
      <w:start w:val="1"/>
      <w:numFmt w:val="bullet"/>
      <w:pStyle w:val="Pull-outBullets"/>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CA34EF"/>
    <w:multiLevelType w:val="hybridMultilevel"/>
    <w:tmpl w:val="09123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31F647F"/>
    <w:multiLevelType w:val="hybridMultilevel"/>
    <w:tmpl w:val="2D266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3854574"/>
    <w:multiLevelType w:val="hybridMultilevel"/>
    <w:tmpl w:val="49666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0A2468"/>
    <w:multiLevelType w:val="hybridMultilevel"/>
    <w:tmpl w:val="DB4A3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521196"/>
    <w:multiLevelType w:val="multilevel"/>
    <w:tmpl w:val="9318A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3038C8"/>
    <w:multiLevelType w:val="multilevel"/>
    <w:tmpl w:val="B0A2C476"/>
    <w:styleLink w:val="NumberedList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938678A"/>
    <w:multiLevelType w:val="hybridMultilevel"/>
    <w:tmpl w:val="781C3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9A54243"/>
    <w:multiLevelType w:val="hybridMultilevel"/>
    <w:tmpl w:val="782220EA"/>
    <w:lvl w:ilvl="0" w:tplc="7892EE9E">
      <w:start w:val="1"/>
      <w:numFmt w:val="bullet"/>
      <w:lvlText w:val="-"/>
      <w:lvlJc w:val="left"/>
      <w:pPr>
        <w:ind w:left="1080" w:hanging="360"/>
      </w:pPr>
      <w:rPr>
        <w:rFonts w:ascii="Albertus" w:hAnsi="Albertus" w:hint="default"/>
      </w:rPr>
    </w:lvl>
    <w:lvl w:ilvl="1" w:tplc="7984313E">
      <w:start w:val="1"/>
      <w:numFmt w:val="bullet"/>
      <w:lvlText w:val="-"/>
      <w:lvlJc w:val="left"/>
      <w:pPr>
        <w:ind w:left="1800" w:hanging="360"/>
      </w:pPr>
      <w:rPr>
        <w:rFonts w:ascii="Courier New" w:hAnsi="Courier New" w:hint="default"/>
        <w:color w:val="980033"/>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EBF7223"/>
    <w:multiLevelType w:val="hybridMultilevel"/>
    <w:tmpl w:val="F684AED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nsid w:val="0FBC4AC1"/>
    <w:multiLevelType w:val="multilevel"/>
    <w:tmpl w:val="F29613D6"/>
    <w:styleLink w:val="Appendix"/>
    <w:lvl w:ilvl="0">
      <w:start w:val="1"/>
      <w:numFmt w:val="decimal"/>
      <w:pStyle w:val="AppendixTitle"/>
      <w:lvlText w:val="Appendix %1:"/>
      <w:lvlJc w:val="left"/>
      <w:pPr>
        <w:tabs>
          <w:tab w:val="num" w:pos="1985"/>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65F6BD7"/>
    <w:multiLevelType w:val="hybridMultilevel"/>
    <w:tmpl w:val="79B6BE2E"/>
    <w:lvl w:ilvl="0" w:tplc="315E5B18">
      <w:start w:val="1"/>
      <w:numFmt w:val="bullet"/>
      <w:lvlText w:val=""/>
      <w:lvlJc w:val="left"/>
      <w:pPr>
        <w:ind w:left="1080" w:hanging="360"/>
      </w:pPr>
      <w:rPr>
        <w:rFonts w:ascii="Symbol" w:hAnsi="Symbol" w:hint="default"/>
        <w:color w:val="79003C"/>
      </w:rPr>
    </w:lvl>
    <w:lvl w:ilvl="1" w:tplc="6C9C32E2">
      <w:start w:val="1"/>
      <w:numFmt w:val="bullet"/>
      <w:lvlText w:val=""/>
      <w:lvlJc w:val="left"/>
      <w:pPr>
        <w:ind w:left="1800" w:hanging="360"/>
      </w:pPr>
      <w:rPr>
        <w:rFonts w:ascii="Symbol" w:hAnsi="Symbol" w:hint="default"/>
        <w:color w:val="79003C"/>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A6039C"/>
    <w:multiLevelType w:val="hybridMultilevel"/>
    <w:tmpl w:val="400C6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4A91AE6"/>
    <w:multiLevelType w:val="hybridMultilevel"/>
    <w:tmpl w:val="D040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6AA0F62"/>
    <w:multiLevelType w:val="hybridMultilevel"/>
    <w:tmpl w:val="C6A41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4D5B1D"/>
    <w:multiLevelType w:val="hybridMultilevel"/>
    <w:tmpl w:val="72C0A2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8811F22"/>
    <w:multiLevelType w:val="hybridMultilevel"/>
    <w:tmpl w:val="1340E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8FB6BE2"/>
    <w:multiLevelType w:val="hybridMultilevel"/>
    <w:tmpl w:val="F932A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D636D65"/>
    <w:multiLevelType w:val="hybridMultilevel"/>
    <w:tmpl w:val="6E9829B6"/>
    <w:lvl w:ilvl="0" w:tplc="ADBEF286">
      <w:start w:val="1"/>
      <w:numFmt w:val="bullet"/>
      <w:lvlText w:val=""/>
      <w:lvlJc w:val="left"/>
      <w:pPr>
        <w:ind w:left="360" w:hanging="360"/>
      </w:pPr>
      <w:rPr>
        <w:rFonts w:ascii="Wingdings" w:hAnsi="Wingdings" w:hint="default"/>
        <w:color w:val="79003C"/>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DE564CE"/>
    <w:multiLevelType w:val="hybridMultilevel"/>
    <w:tmpl w:val="183E7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9930D3"/>
    <w:multiLevelType w:val="hybridMultilevel"/>
    <w:tmpl w:val="A3184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0236C69"/>
    <w:multiLevelType w:val="hybridMultilevel"/>
    <w:tmpl w:val="219019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3">
    <w:nsid w:val="33201461"/>
    <w:multiLevelType w:val="hybridMultilevel"/>
    <w:tmpl w:val="737264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4">
    <w:nsid w:val="336268E0"/>
    <w:multiLevelType w:val="multilevel"/>
    <w:tmpl w:val="C62C2DAC"/>
    <w:lvl w:ilvl="0">
      <w:start w:val="1"/>
      <w:numFmt w:val="decimal"/>
      <w:pStyle w:val="NumberedHeading1"/>
      <w:lvlText w:val="%1."/>
      <w:lvlJc w:val="left"/>
      <w:pPr>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pStyle w:val="NumberedHeading3"/>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4991E09"/>
    <w:multiLevelType w:val="multilevel"/>
    <w:tmpl w:val="C62C2DAC"/>
    <w:styleLink w:val="NumberedHeadings"/>
    <w:lvl w:ilvl="0">
      <w:start w:val="1"/>
      <w:numFmt w:val="decimal"/>
      <w:lvlText w:val="%1."/>
      <w:lvlJc w:val="left"/>
      <w:pPr>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53909DF"/>
    <w:multiLevelType w:val="hybridMultilevel"/>
    <w:tmpl w:val="FE3A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437916"/>
    <w:multiLevelType w:val="hybridMultilevel"/>
    <w:tmpl w:val="36A260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38FA1801"/>
    <w:multiLevelType w:val="hybridMultilevel"/>
    <w:tmpl w:val="80C6B2B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391B77EC"/>
    <w:multiLevelType w:val="multilevel"/>
    <w:tmpl w:val="B0A2C476"/>
    <w:numStyleLink w:val="NumberedLists"/>
  </w:abstractNum>
  <w:abstractNum w:abstractNumId="30">
    <w:nsid w:val="3A0056B5"/>
    <w:multiLevelType w:val="multilevel"/>
    <w:tmpl w:val="F29613D6"/>
    <w:numStyleLink w:val="Appendix"/>
  </w:abstractNum>
  <w:abstractNum w:abstractNumId="31">
    <w:nsid w:val="3C542D40"/>
    <w:multiLevelType w:val="hybridMultilevel"/>
    <w:tmpl w:val="25AA6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C8A488C"/>
    <w:multiLevelType w:val="hybridMultilevel"/>
    <w:tmpl w:val="F1A0415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41D95402"/>
    <w:multiLevelType w:val="hybridMultilevel"/>
    <w:tmpl w:val="2904D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2656245"/>
    <w:multiLevelType w:val="hybridMultilevel"/>
    <w:tmpl w:val="0C12697C"/>
    <w:lvl w:ilvl="0" w:tplc="19D093F0">
      <w:start w:val="1"/>
      <w:numFmt w:val="decimal"/>
      <w:lvlText w:val="%1."/>
      <w:lvlJc w:val="left"/>
      <w:pPr>
        <w:ind w:left="720" w:hanging="360"/>
      </w:pPr>
      <w:rPr>
        <w:rFonts w:asciiTheme="minorHAnsi" w:eastAsiaTheme="minorHAnsi" w:hAnsiTheme="minorHAnsi" w:cstheme="minorBidi"/>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5812D91"/>
    <w:multiLevelType w:val="hybridMultilevel"/>
    <w:tmpl w:val="87B0F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99D423A"/>
    <w:multiLevelType w:val="multilevel"/>
    <w:tmpl w:val="7C3460B6"/>
    <w:styleLink w:val="Bullets"/>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Calibri" w:hAnsi="Calibri" w:hint="default"/>
      </w:rPr>
    </w:lvl>
    <w:lvl w:ilvl="2">
      <w:start w:val="1"/>
      <w:numFmt w:val="bullet"/>
      <w:pStyle w:val="ListBullet3"/>
      <w:lvlText w:val=""/>
      <w:lvlJc w:val="left"/>
      <w:pPr>
        <w:ind w:left="1021" w:hanging="341"/>
      </w:pPr>
      <w:rPr>
        <w:rFonts w:ascii="Symbol" w:hAnsi="Symbol" w:hint="default"/>
      </w:rPr>
    </w:lvl>
    <w:lvl w:ilvl="3">
      <w:start w:val="1"/>
      <w:numFmt w:val="bullet"/>
      <w:pStyle w:val="ListBullet4"/>
      <w:lvlText w:val="–"/>
      <w:lvlJc w:val="left"/>
      <w:pPr>
        <w:ind w:left="1361" w:hanging="340"/>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DC25CF8"/>
    <w:multiLevelType w:val="hybridMultilevel"/>
    <w:tmpl w:val="A7D2B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E7644B7"/>
    <w:multiLevelType w:val="hybridMultilevel"/>
    <w:tmpl w:val="AA948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0EE6F5C"/>
    <w:multiLevelType w:val="hybridMultilevel"/>
    <w:tmpl w:val="CE62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F214AE"/>
    <w:multiLevelType w:val="hybridMultilevel"/>
    <w:tmpl w:val="1DCA4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1725741"/>
    <w:multiLevelType w:val="multilevel"/>
    <w:tmpl w:val="1A06A688"/>
    <w:styleLink w:val="ListLetters"/>
    <w:lvl w:ilvl="0">
      <w:start w:val="1"/>
      <w:numFmt w:val="lowerLetter"/>
      <w:lvlText w:val="%1."/>
      <w:lvlJc w:val="left"/>
      <w:pPr>
        <w:ind w:left="340" w:hanging="340"/>
      </w:pPr>
      <w:rPr>
        <w:rFonts w:hint="default"/>
      </w:rPr>
    </w:lvl>
    <w:lvl w:ilvl="1">
      <w:start w:val="1"/>
      <w:numFmt w:val="lowerRoman"/>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7DA193D"/>
    <w:multiLevelType w:val="hybridMultilevel"/>
    <w:tmpl w:val="01567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7FE692E"/>
    <w:multiLevelType w:val="hybridMultilevel"/>
    <w:tmpl w:val="8AA2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C143293"/>
    <w:multiLevelType w:val="multilevel"/>
    <w:tmpl w:val="7C3460B6"/>
    <w:numStyleLink w:val="Bullets"/>
  </w:abstractNum>
  <w:abstractNum w:abstractNumId="45">
    <w:nsid w:val="60E1502C"/>
    <w:multiLevelType w:val="multilevel"/>
    <w:tmpl w:val="813A2DA6"/>
    <w:styleLink w:val="Bullets1"/>
    <w:lvl w:ilvl="0">
      <w:start w:val="1"/>
      <w:numFmt w:val="bullet"/>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Arial" w:hAnsi="Arial" w:cs="Calibri"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ind w:left="284" w:hanging="284"/>
      </w:pPr>
      <w:rPr>
        <w:rFonts w:ascii="Arial" w:hAnsi="Arial" w:cs="Times New Roman" w:hint="default"/>
      </w:rPr>
    </w:lvl>
    <w:lvl w:ilvl="4">
      <w:start w:val="1"/>
      <w:numFmt w:val="bullet"/>
      <w:lvlText w:val="–"/>
      <w:lvlJc w:val="left"/>
      <w:pPr>
        <w:ind w:left="284" w:hanging="284"/>
      </w:pPr>
      <w:rPr>
        <w:rFonts w:ascii="Calibri" w:hAnsi="Calibri" w:cs="Times New Roman" w:hint="default"/>
        <w:color w:val="auto"/>
      </w:rPr>
    </w:lvl>
    <w:lvl w:ilvl="5">
      <w:start w:val="1"/>
      <w:numFmt w:val="bullet"/>
      <w:lvlText w:val="–"/>
      <w:lvlJc w:val="left"/>
      <w:pPr>
        <w:ind w:left="284" w:hanging="284"/>
      </w:pPr>
      <w:rPr>
        <w:rFonts w:ascii="Calibri" w:hAnsi="Calibri" w:cs="Times New Roman" w:hint="default"/>
        <w:color w:val="auto"/>
      </w:rPr>
    </w:lvl>
    <w:lvl w:ilvl="6">
      <w:start w:val="1"/>
      <w:numFmt w:val="bullet"/>
      <w:lvlText w:val="–"/>
      <w:lvlJc w:val="left"/>
      <w:pPr>
        <w:ind w:left="284" w:hanging="284"/>
      </w:pPr>
      <w:rPr>
        <w:rFonts w:ascii="Calibri" w:hAnsi="Calibri" w:cs="Times New Roman" w:hint="default"/>
        <w:color w:val="auto"/>
      </w:rPr>
    </w:lvl>
    <w:lvl w:ilvl="7">
      <w:start w:val="1"/>
      <w:numFmt w:val="bullet"/>
      <w:lvlText w:val="–"/>
      <w:lvlJc w:val="left"/>
      <w:pPr>
        <w:ind w:left="284" w:hanging="284"/>
      </w:pPr>
      <w:rPr>
        <w:rFonts w:ascii="Calibri" w:hAnsi="Calibri" w:cs="Times New Roman" w:hint="default"/>
        <w:color w:val="auto"/>
      </w:rPr>
    </w:lvl>
    <w:lvl w:ilvl="8">
      <w:start w:val="1"/>
      <w:numFmt w:val="bullet"/>
      <w:lvlText w:val="–"/>
      <w:lvlJc w:val="left"/>
      <w:pPr>
        <w:ind w:left="284" w:hanging="284"/>
      </w:pPr>
      <w:rPr>
        <w:rFonts w:ascii="Calibri" w:hAnsi="Calibri" w:cs="Times New Roman" w:hint="default"/>
        <w:color w:val="auto"/>
      </w:rPr>
    </w:lvl>
  </w:abstractNum>
  <w:abstractNum w:abstractNumId="46">
    <w:nsid w:val="68264CC6"/>
    <w:multiLevelType w:val="hybridMultilevel"/>
    <w:tmpl w:val="3FB68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A8C5495"/>
    <w:multiLevelType w:val="hybridMultilevel"/>
    <w:tmpl w:val="3ED60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EA15B6D"/>
    <w:multiLevelType w:val="hybridMultilevel"/>
    <w:tmpl w:val="29DC5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17F607A"/>
    <w:multiLevelType w:val="hybridMultilevel"/>
    <w:tmpl w:val="E2B27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2D0787D"/>
    <w:multiLevelType w:val="hybridMultilevel"/>
    <w:tmpl w:val="4C2C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2DE733E"/>
    <w:multiLevelType w:val="hybridMultilevel"/>
    <w:tmpl w:val="9B30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3501CF1"/>
    <w:multiLevelType w:val="hybridMultilevel"/>
    <w:tmpl w:val="E83CF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8EB168C"/>
    <w:multiLevelType w:val="hybridMultilevel"/>
    <w:tmpl w:val="5EBA6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A3A52FA"/>
    <w:multiLevelType w:val="hybridMultilevel"/>
    <w:tmpl w:val="00BED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D3C4154"/>
    <w:multiLevelType w:val="multilevel"/>
    <w:tmpl w:val="80665E6E"/>
    <w:lvl w:ilvl="0">
      <w:start w:val="1"/>
      <w:numFmt w:val="decimal"/>
      <w:lvlText w:val="%1."/>
      <w:lvlJc w:val="left"/>
      <w:pPr>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6"/>
  </w:num>
  <w:num w:numId="2">
    <w:abstractNumId w:val="7"/>
  </w:num>
  <w:num w:numId="3">
    <w:abstractNumId w:val="25"/>
  </w:num>
  <w:num w:numId="4">
    <w:abstractNumId w:val="11"/>
  </w:num>
  <w:num w:numId="5">
    <w:abstractNumId w:val="41"/>
  </w:num>
  <w:num w:numId="6">
    <w:abstractNumId w:val="1"/>
  </w:num>
  <w:num w:numId="7">
    <w:abstractNumId w:val="30"/>
  </w:num>
  <w:num w:numId="8">
    <w:abstractNumId w:val="45"/>
  </w:num>
  <w:num w:numId="9">
    <w:abstractNumId w:val="24"/>
  </w:num>
  <w:num w:numId="10">
    <w:abstractNumId w:val="44"/>
  </w:num>
  <w:num w:numId="11">
    <w:abstractNumId w:val="29"/>
  </w:num>
  <w:num w:numId="12">
    <w:abstractNumId w:val="39"/>
  </w:num>
  <w:num w:numId="13">
    <w:abstractNumId w:val="54"/>
  </w:num>
  <w:num w:numId="14">
    <w:abstractNumId w:val="26"/>
  </w:num>
  <w:num w:numId="15">
    <w:abstractNumId w:val="12"/>
  </w:num>
  <w:num w:numId="16">
    <w:abstractNumId w:val="9"/>
  </w:num>
  <w:num w:numId="17">
    <w:abstractNumId w:val="19"/>
  </w:num>
  <w:num w:numId="18">
    <w:abstractNumId w:val="34"/>
  </w:num>
  <w:num w:numId="19">
    <w:abstractNumId w:val="16"/>
  </w:num>
  <w:num w:numId="20">
    <w:abstractNumId w:val="47"/>
  </w:num>
  <w:num w:numId="21">
    <w:abstractNumId w:val="48"/>
  </w:num>
  <w:num w:numId="22">
    <w:abstractNumId w:val="40"/>
  </w:num>
  <w:num w:numId="23">
    <w:abstractNumId w:val="23"/>
  </w:num>
  <w:num w:numId="24">
    <w:abstractNumId w:val="0"/>
  </w:num>
  <w:num w:numId="25">
    <w:abstractNumId w:val="35"/>
  </w:num>
  <w:num w:numId="26">
    <w:abstractNumId w:val="2"/>
  </w:num>
  <w:num w:numId="27">
    <w:abstractNumId w:val="28"/>
  </w:num>
  <w:num w:numId="28">
    <w:abstractNumId w:val="38"/>
  </w:num>
  <w:num w:numId="29">
    <w:abstractNumId w:val="52"/>
  </w:num>
  <w:num w:numId="30">
    <w:abstractNumId w:val="53"/>
  </w:num>
  <w:num w:numId="31">
    <w:abstractNumId w:val="43"/>
  </w:num>
  <w:num w:numId="32">
    <w:abstractNumId w:val="32"/>
  </w:num>
  <w:num w:numId="33">
    <w:abstractNumId w:val="4"/>
  </w:num>
  <w:num w:numId="34">
    <w:abstractNumId w:val="3"/>
  </w:num>
  <w:num w:numId="35">
    <w:abstractNumId w:val="46"/>
  </w:num>
  <w:num w:numId="36">
    <w:abstractNumId w:val="20"/>
  </w:num>
  <w:num w:numId="37">
    <w:abstractNumId w:val="49"/>
  </w:num>
  <w:num w:numId="38">
    <w:abstractNumId w:val="50"/>
  </w:num>
  <w:num w:numId="39">
    <w:abstractNumId w:val="21"/>
  </w:num>
  <w:num w:numId="40">
    <w:abstractNumId w:val="18"/>
  </w:num>
  <w:num w:numId="41">
    <w:abstractNumId w:val="5"/>
  </w:num>
  <w:num w:numId="42">
    <w:abstractNumId w:val="31"/>
  </w:num>
  <w:num w:numId="43">
    <w:abstractNumId w:val="37"/>
  </w:num>
  <w:num w:numId="44">
    <w:abstractNumId w:val="13"/>
  </w:num>
  <w:num w:numId="45">
    <w:abstractNumId w:val="8"/>
  </w:num>
  <w:num w:numId="46">
    <w:abstractNumId w:val="10"/>
  </w:num>
  <w:num w:numId="47">
    <w:abstractNumId w:val="55"/>
  </w:num>
  <w:num w:numId="48">
    <w:abstractNumId w:val="33"/>
  </w:num>
  <w:num w:numId="49">
    <w:abstractNumId w:val="14"/>
  </w:num>
  <w:num w:numId="50">
    <w:abstractNumId w:val="17"/>
  </w:num>
  <w:num w:numId="51">
    <w:abstractNumId w:val="51"/>
  </w:num>
  <w:num w:numId="52">
    <w:abstractNumId w:val="6"/>
  </w:num>
  <w:num w:numId="53">
    <w:abstractNumId w:val="42"/>
  </w:num>
  <w:num w:numId="54">
    <w:abstractNumId w:val="27"/>
  </w:num>
  <w:num w:numId="55">
    <w:abstractNumId w:val="15"/>
  </w:num>
  <w:num w:numId="56">
    <w:abstractNumId w:val="22"/>
  </w:num>
  <w:num w:numId="57">
    <w:abstractNumId w:val="24"/>
    <w:lvlOverride w:ilvl="0">
      <w:lvl w:ilvl="0">
        <w:start w:val="1"/>
        <w:numFmt w:val="decimal"/>
        <w:pStyle w:val="NumberedHeading1"/>
        <w:lvlText w:val="%1."/>
        <w:lvlJc w:val="left"/>
        <w:pPr>
          <w:ind w:left="340" w:hanging="340"/>
        </w:pPr>
        <w:rPr>
          <w:rFonts w:hint="default"/>
        </w:rPr>
      </w:lvl>
    </w:lvlOverride>
    <w:lvlOverride w:ilvl="1">
      <w:lvl w:ilvl="1">
        <w:start w:val="1"/>
        <w:numFmt w:val="decimal"/>
        <w:pStyle w:val="NumberedHeading2"/>
        <w:lvlText w:val="%1.%2."/>
        <w:lvlJc w:val="left"/>
        <w:pPr>
          <w:ind w:left="680" w:hanging="680"/>
        </w:pPr>
        <w:rPr>
          <w:rFonts w:hint="default"/>
        </w:rPr>
      </w:lvl>
    </w:lvlOverride>
    <w:lvlOverride w:ilvl="2">
      <w:lvl w:ilvl="2">
        <w:start w:val="1"/>
        <w:numFmt w:val="decimal"/>
        <w:pStyle w:val="NumberedHeading3"/>
        <w:lvlText w:val="%1.%2.%3."/>
        <w:lvlJc w:val="left"/>
        <w:pPr>
          <w:ind w:left="1021" w:hanging="1021"/>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AU" w:vendorID="64" w:dllVersion="6" w:nlCheck="1" w:checkStyle="0"/>
  <w:activeWritingStyle w:appName="MSWord" w:lang="nl-NL" w:vendorID="64" w:dllVersion="6" w:nlCheck="1" w:checkStyle="0"/>
  <w:activeWritingStyle w:appName="MSWord" w:lang="en-GB" w:vendorID="64" w:dllVersion="6" w:nlCheck="1" w:checkStyle="0"/>
  <w:activeWritingStyle w:appName="MSWord" w:lang="fr-FR" w:vendorID="64" w:dllVersion="6" w:nlCheck="1" w:checkStyle="0"/>
  <w:activeWritingStyle w:appName="MSWord" w:lang="da-DK" w:vendorID="64" w:dllVersion="6" w:nlCheck="1" w:checkStyle="0"/>
  <w:activeWritingStyle w:appName="MSWord" w:lang="de-DE" w:vendorID="64" w:dllVersion="6" w:nlCheck="1" w:checkStyle="0"/>
  <w:activeWritingStyle w:appName="MSWord" w:lang="it-IT" w:vendorID="64" w:dllVersion="6" w:nlCheck="1" w:checkStyle="0"/>
  <w:activeWritingStyle w:appName="MSWord" w:lang="pt-BR" w:vendorID="64" w:dllVersion="6" w:nlCheck="1" w:checkStyle="0"/>
  <w:activeWritingStyle w:appName="MSWord" w:lang="fi-FI" w:vendorID="64" w:dllVersion="6" w:nlCheck="1" w:checkStyle="0"/>
  <w:activeWritingStyle w:appName="MSWord" w:lang="sv-SE" w:vendorID="64" w:dllVersion="6" w:nlCheck="1" w:checkStyle="0"/>
  <w:activeWritingStyle w:appName="MSWord" w:lang="pl-PL" w:vendorID="64" w:dllVersion="6" w:nlCheck="1" w:checkStyle="0"/>
  <w:activeWritingStyle w:appName="MSWord" w:lang="en-GB" w:vendorID="64" w:dllVersion="4096" w:nlCheck="1" w:checkStyle="0"/>
  <w:activeWritingStyle w:appName="MSWord" w:lang="da-DK" w:vendorID="64" w:dllVersion="0" w:nlCheck="1" w:checkStyle="0"/>
  <w:activeWritingStyle w:appName="MSWord" w:lang="sv-SE" w:vendorID="64" w:dllVersion="0" w:nlCheck="1" w:checkStyle="0"/>
  <w:activeWritingStyle w:appName="MSWord" w:lang="de-DE" w:vendorID="64" w:dllVersion="4096" w:nlCheck="1" w:checkStyle="0"/>
  <w:activeWritingStyle w:appName="MSWord" w:lang="pl-PL" w:vendorID="64" w:dllVersion="0" w:nlCheck="1" w:checkStyle="0"/>
  <w:activeWritingStyle w:appName="MSWord" w:lang="it-IT" w:vendorID="64" w:dllVersion="4096" w:nlCheck="1" w:checkStyle="0"/>
  <w:activeWritingStyle w:appName="MSWord" w:lang="pt-BR" w:vendorID="64" w:dllVersion="4096" w:nlCheck="1" w:checkStyle="0"/>
  <w:activeWritingStyle w:appName="MSWord" w:lang="fi-FI"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OxMLI0Mbc0NTO3NLRU0lEKTi0uzszPAykwqgUATkK27iwAAAA="/>
  </w:docVars>
  <w:rsids>
    <w:rsidRoot w:val="00FA46E2"/>
    <w:rsid w:val="00013B8D"/>
    <w:rsid w:val="00022B00"/>
    <w:rsid w:val="00037283"/>
    <w:rsid w:val="00041444"/>
    <w:rsid w:val="00044936"/>
    <w:rsid w:val="00066B91"/>
    <w:rsid w:val="00074A6B"/>
    <w:rsid w:val="00075049"/>
    <w:rsid w:val="00075BA4"/>
    <w:rsid w:val="000763E7"/>
    <w:rsid w:val="00086A92"/>
    <w:rsid w:val="0009016F"/>
    <w:rsid w:val="000942CC"/>
    <w:rsid w:val="000978F3"/>
    <w:rsid w:val="000A6972"/>
    <w:rsid w:val="000B4A4F"/>
    <w:rsid w:val="000B4E14"/>
    <w:rsid w:val="000B773E"/>
    <w:rsid w:val="000B7916"/>
    <w:rsid w:val="000C1376"/>
    <w:rsid w:val="000C2B54"/>
    <w:rsid w:val="000C4BFC"/>
    <w:rsid w:val="000C5CB7"/>
    <w:rsid w:val="000C6D8A"/>
    <w:rsid w:val="000E2D54"/>
    <w:rsid w:val="000E5133"/>
    <w:rsid w:val="000E606A"/>
    <w:rsid w:val="000E78EF"/>
    <w:rsid w:val="000E7B5D"/>
    <w:rsid w:val="000F3226"/>
    <w:rsid w:val="00102743"/>
    <w:rsid w:val="001108AF"/>
    <w:rsid w:val="001137D9"/>
    <w:rsid w:val="00114425"/>
    <w:rsid w:val="001147BD"/>
    <w:rsid w:val="00120792"/>
    <w:rsid w:val="001319C5"/>
    <w:rsid w:val="00132ACB"/>
    <w:rsid w:val="00137110"/>
    <w:rsid w:val="0014038A"/>
    <w:rsid w:val="001416C5"/>
    <w:rsid w:val="001545D8"/>
    <w:rsid w:val="00155E66"/>
    <w:rsid w:val="00156CCF"/>
    <w:rsid w:val="001661BD"/>
    <w:rsid w:val="00166493"/>
    <w:rsid w:val="00166915"/>
    <w:rsid w:val="00167BB8"/>
    <w:rsid w:val="00167DC3"/>
    <w:rsid w:val="001730F1"/>
    <w:rsid w:val="001836DA"/>
    <w:rsid w:val="00184191"/>
    <w:rsid w:val="0018540E"/>
    <w:rsid w:val="00187983"/>
    <w:rsid w:val="00191B89"/>
    <w:rsid w:val="00194F70"/>
    <w:rsid w:val="00196A14"/>
    <w:rsid w:val="00196B63"/>
    <w:rsid w:val="001A0D77"/>
    <w:rsid w:val="001A1790"/>
    <w:rsid w:val="001A1BC7"/>
    <w:rsid w:val="001A5914"/>
    <w:rsid w:val="001A61C6"/>
    <w:rsid w:val="001A67B8"/>
    <w:rsid w:val="001B38D2"/>
    <w:rsid w:val="001B5A8D"/>
    <w:rsid w:val="001D0D30"/>
    <w:rsid w:val="001D14EA"/>
    <w:rsid w:val="001D2622"/>
    <w:rsid w:val="001E25B7"/>
    <w:rsid w:val="001E69F0"/>
    <w:rsid w:val="001F1637"/>
    <w:rsid w:val="001F446D"/>
    <w:rsid w:val="001F6568"/>
    <w:rsid w:val="00200169"/>
    <w:rsid w:val="00202204"/>
    <w:rsid w:val="00206830"/>
    <w:rsid w:val="00207A47"/>
    <w:rsid w:val="00207E69"/>
    <w:rsid w:val="00215A1D"/>
    <w:rsid w:val="00216BCD"/>
    <w:rsid w:val="00216C19"/>
    <w:rsid w:val="0022301D"/>
    <w:rsid w:val="0022607F"/>
    <w:rsid w:val="002266B8"/>
    <w:rsid w:val="00226999"/>
    <w:rsid w:val="00243467"/>
    <w:rsid w:val="00246067"/>
    <w:rsid w:val="00255F45"/>
    <w:rsid w:val="00257E96"/>
    <w:rsid w:val="0026614C"/>
    <w:rsid w:val="002708F3"/>
    <w:rsid w:val="002712E5"/>
    <w:rsid w:val="00273C6D"/>
    <w:rsid w:val="0027403B"/>
    <w:rsid w:val="00282430"/>
    <w:rsid w:val="00284A28"/>
    <w:rsid w:val="0028576A"/>
    <w:rsid w:val="0029317E"/>
    <w:rsid w:val="00293F81"/>
    <w:rsid w:val="00295FF9"/>
    <w:rsid w:val="002A0536"/>
    <w:rsid w:val="002B496E"/>
    <w:rsid w:val="002B5C12"/>
    <w:rsid w:val="002C3213"/>
    <w:rsid w:val="002C3D8F"/>
    <w:rsid w:val="002E3F34"/>
    <w:rsid w:val="002F3265"/>
    <w:rsid w:val="002F6E67"/>
    <w:rsid w:val="002F7BA9"/>
    <w:rsid w:val="00304881"/>
    <w:rsid w:val="00305246"/>
    <w:rsid w:val="00305D3C"/>
    <w:rsid w:val="0031102D"/>
    <w:rsid w:val="00315DDC"/>
    <w:rsid w:val="0031681E"/>
    <w:rsid w:val="0032357F"/>
    <w:rsid w:val="00326024"/>
    <w:rsid w:val="00340AA0"/>
    <w:rsid w:val="00342318"/>
    <w:rsid w:val="0034680A"/>
    <w:rsid w:val="00362474"/>
    <w:rsid w:val="00364ACD"/>
    <w:rsid w:val="00375CD8"/>
    <w:rsid w:val="003770F2"/>
    <w:rsid w:val="0037721D"/>
    <w:rsid w:val="003846D8"/>
    <w:rsid w:val="00387B25"/>
    <w:rsid w:val="00395723"/>
    <w:rsid w:val="0039589C"/>
    <w:rsid w:val="003A2439"/>
    <w:rsid w:val="003A614D"/>
    <w:rsid w:val="003B6F7B"/>
    <w:rsid w:val="003C0871"/>
    <w:rsid w:val="003C1E0D"/>
    <w:rsid w:val="003C37E4"/>
    <w:rsid w:val="003C3935"/>
    <w:rsid w:val="003C65D6"/>
    <w:rsid w:val="003D116C"/>
    <w:rsid w:val="003D23A3"/>
    <w:rsid w:val="003D3716"/>
    <w:rsid w:val="003D4040"/>
    <w:rsid w:val="003D4112"/>
    <w:rsid w:val="003D5856"/>
    <w:rsid w:val="003D6D7D"/>
    <w:rsid w:val="003F379B"/>
    <w:rsid w:val="003F7862"/>
    <w:rsid w:val="003F7F29"/>
    <w:rsid w:val="004064EE"/>
    <w:rsid w:val="00407A28"/>
    <w:rsid w:val="00421301"/>
    <w:rsid w:val="004240AA"/>
    <w:rsid w:val="00441A8B"/>
    <w:rsid w:val="00452CFD"/>
    <w:rsid w:val="00463DFD"/>
    <w:rsid w:val="00467225"/>
    <w:rsid w:val="004710B0"/>
    <w:rsid w:val="00473F1B"/>
    <w:rsid w:val="004756E8"/>
    <w:rsid w:val="00481E03"/>
    <w:rsid w:val="0048318E"/>
    <w:rsid w:val="004901AD"/>
    <w:rsid w:val="00494FAB"/>
    <w:rsid w:val="004A0047"/>
    <w:rsid w:val="004B0A52"/>
    <w:rsid w:val="004B0D99"/>
    <w:rsid w:val="004B1FBE"/>
    <w:rsid w:val="004B73F7"/>
    <w:rsid w:val="004C510F"/>
    <w:rsid w:val="004C7EA4"/>
    <w:rsid w:val="004D22D7"/>
    <w:rsid w:val="004D5E22"/>
    <w:rsid w:val="004E17FC"/>
    <w:rsid w:val="004E28C6"/>
    <w:rsid w:val="004F138F"/>
    <w:rsid w:val="004F464F"/>
    <w:rsid w:val="00504C94"/>
    <w:rsid w:val="00512493"/>
    <w:rsid w:val="00514A49"/>
    <w:rsid w:val="00525796"/>
    <w:rsid w:val="00532A2E"/>
    <w:rsid w:val="00537AF4"/>
    <w:rsid w:val="00542DE6"/>
    <w:rsid w:val="005430BF"/>
    <w:rsid w:val="0054317F"/>
    <w:rsid w:val="00543419"/>
    <w:rsid w:val="005439F9"/>
    <w:rsid w:val="00544C5B"/>
    <w:rsid w:val="00547FE5"/>
    <w:rsid w:val="00550723"/>
    <w:rsid w:val="00554283"/>
    <w:rsid w:val="00570967"/>
    <w:rsid w:val="00570C0E"/>
    <w:rsid w:val="005716CF"/>
    <w:rsid w:val="0057293D"/>
    <w:rsid w:val="00580F95"/>
    <w:rsid w:val="0058369E"/>
    <w:rsid w:val="00583F27"/>
    <w:rsid w:val="0058548F"/>
    <w:rsid w:val="005878C9"/>
    <w:rsid w:val="00592E98"/>
    <w:rsid w:val="0059558B"/>
    <w:rsid w:val="0059749D"/>
    <w:rsid w:val="005A0A24"/>
    <w:rsid w:val="005A0C9B"/>
    <w:rsid w:val="005A3343"/>
    <w:rsid w:val="005A6FF4"/>
    <w:rsid w:val="005B00AD"/>
    <w:rsid w:val="005B2E59"/>
    <w:rsid w:val="005C7875"/>
    <w:rsid w:val="005D0608"/>
    <w:rsid w:val="005D2AB6"/>
    <w:rsid w:val="005D40DD"/>
    <w:rsid w:val="005D6E2A"/>
    <w:rsid w:val="005F186A"/>
    <w:rsid w:val="005F320B"/>
    <w:rsid w:val="005F6500"/>
    <w:rsid w:val="005F6632"/>
    <w:rsid w:val="0060110B"/>
    <w:rsid w:val="00601E2F"/>
    <w:rsid w:val="00604378"/>
    <w:rsid w:val="00606207"/>
    <w:rsid w:val="00606935"/>
    <w:rsid w:val="0062482E"/>
    <w:rsid w:val="00624D58"/>
    <w:rsid w:val="00626891"/>
    <w:rsid w:val="006342D8"/>
    <w:rsid w:val="00635D69"/>
    <w:rsid w:val="00651879"/>
    <w:rsid w:val="006622AF"/>
    <w:rsid w:val="00663919"/>
    <w:rsid w:val="0067266C"/>
    <w:rsid w:val="00674C59"/>
    <w:rsid w:val="00676B47"/>
    <w:rsid w:val="006856B8"/>
    <w:rsid w:val="006875DD"/>
    <w:rsid w:val="00690FBF"/>
    <w:rsid w:val="006935B6"/>
    <w:rsid w:val="00693E78"/>
    <w:rsid w:val="00695166"/>
    <w:rsid w:val="006A0BD8"/>
    <w:rsid w:val="006A14C0"/>
    <w:rsid w:val="006A3077"/>
    <w:rsid w:val="006B4BD4"/>
    <w:rsid w:val="006C19BB"/>
    <w:rsid w:val="006C3603"/>
    <w:rsid w:val="006D3F2F"/>
    <w:rsid w:val="006D5E07"/>
    <w:rsid w:val="006E0941"/>
    <w:rsid w:val="006E3536"/>
    <w:rsid w:val="006E70AF"/>
    <w:rsid w:val="006F1A86"/>
    <w:rsid w:val="006F4437"/>
    <w:rsid w:val="00700E50"/>
    <w:rsid w:val="00703C8E"/>
    <w:rsid w:val="007130FB"/>
    <w:rsid w:val="00714488"/>
    <w:rsid w:val="00716D4E"/>
    <w:rsid w:val="00724E43"/>
    <w:rsid w:val="00725D4E"/>
    <w:rsid w:val="0072694C"/>
    <w:rsid w:val="00731DBC"/>
    <w:rsid w:val="00732758"/>
    <w:rsid w:val="00742690"/>
    <w:rsid w:val="00754259"/>
    <w:rsid w:val="00755AD0"/>
    <w:rsid w:val="0075751C"/>
    <w:rsid w:val="00763943"/>
    <w:rsid w:val="00763B7F"/>
    <w:rsid w:val="00766885"/>
    <w:rsid w:val="007674CF"/>
    <w:rsid w:val="007725AC"/>
    <w:rsid w:val="0077327A"/>
    <w:rsid w:val="00773540"/>
    <w:rsid w:val="00793048"/>
    <w:rsid w:val="007970EE"/>
    <w:rsid w:val="007976A1"/>
    <w:rsid w:val="007A23E9"/>
    <w:rsid w:val="007A50A9"/>
    <w:rsid w:val="007A587C"/>
    <w:rsid w:val="007B23C9"/>
    <w:rsid w:val="007B60EB"/>
    <w:rsid w:val="007B7403"/>
    <w:rsid w:val="007C084E"/>
    <w:rsid w:val="007C181A"/>
    <w:rsid w:val="007D029B"/>
    <w:rsid w:val="007D46D3"/>
    <w:rsid w:val="007D606B"/>
    <w:rsid w:val="007E4C32"/>
    <w:rsid w:val="007F1B2F"/>
    <w:rsid w:val="007F1C6C"/>
    <w:rsid w:val="007F33A8"/>
    <w:rsid w:val="007F4C4A"/>
    <w:rsid w:val="007F77C7"/>
    <w:rsid w:val="0080225B"/>
    <w:rsid w:val="00810AE7"/>
    <w:rsid w:val="00810CB6"/>
    <w:rsid w:val="00813AA6"/>
    <w:rsid w:val="008168E9"/>
    <w:rsid w:val="008368D7"/>
    <w:rsid w:val="00837F62"/>
    <w:rsid w:val="00841C0E"/>
    <w:rsid w:val="00846BE9"/>
    <w:rsid w:val="00851E3E"/>
    <w:rsid w:val="0085279D"/>
    <w:rsid w:val="00855D8C"/>
    <w:rsid w:val="0087608D"/>
    <w:rsid w:val="00877F79"/>
    <w:rsid w:val="008857F6"/>
    <w:rsid w:val="008865E8"/>
    <w:rsid w:val="008A172D"/>
    <w:rsid w:val="008A6575"/>
    <w:rsid w:val="008B2B4C"/>
    <w:rsid w:val="008B4759"/>
    <w:rsid w:val="008B5D3D"/>
    <w:rsid w:val="008C0897"/>
    <w:rsid w:val="008C2176"/>
    <w:rsid w:val="008C2D5A"/>
    <w:rsid w:val="008C52B2"/>
    <w:rsid w:val="008C680B"/>
    <w:rsid w:val="008D1DDC"/>
    <w:rsid w:val="008D3A23"/>
    <w:rsid w:val="008D4AAA"/>
    <w:rsid w:val="008D5309"/>
    <w:rsid w:val="008E0A1C"/>
    <w:rsid w:val="008F15BB"/>
    <w:rsid w:val="008F7707"/>
    <w:rsid w:val="0090428E"/>
    <w:rsid w:val="00905C71"/>
    <w:rsid w:val="00913E5B"/>
    <w:rsid w:val="00916499"/>
    <w:rsid w:val="009170C6"/>
    <w:rsid w:val="0091711A"/>
    <w:rsid w:val="0091776B"/>
    <w:rsid w:val="009226E2"/>
    <w:rsid w:val="00922707"/>
    <w:rsid w:val="00925015"/>
    <w:rsid w:val="009261F0"/>
    <w:rsid w:val="00927F16"/>
    <w:rsid w:val="0093156B"/>
    <w:rsid w:val="0093470E"/>
    <w:rsid w:val="00936068"/>
    <w:rsid w:val="00940E14"/>
    <w:rsid w:val="00942478"/>
    <w:rsid w:val="0094530D"/>
    <w:rsid w:val="00945ECF"/>
    <w:rsid w:val="0095393D"/>
    <w:rsid w:val="009615D4"/>
    <w:rsid w:val="009641B7"/>
    <w:rsid w:val="00964525"/>
    <w:rsid w:val="00970D7B"/>
    <w:rsid w:val="009712C4"/>
    <w:rsid w:val="00971807"/>
    <w:rsid w:val="00972206"/>
    <w:rsid w:val="00972B56"/>
    <w:rsid w:val="009822C7"/>
    <w:rsid w:val="00982C31"/>
    <w:rsid w:val="0098505B"/>
    <w:rsid w:val="00985AF6"/>
    <w:rsid w:val="00986FA3"/>
    <w:rsid w:val="00992219"/>
    <w:rsid w:val="00994F4E"/>
    <w:rsid w:val="009A2F17"/>
    <w:rsid w:val="009A317F"/>
    <w:rsid w:val="009C05A3"/>
    <w:rsid w:val="009C06EA"/>
    <w:rsid w:val="009C181F"/>
    <w:rsid w:val="009C54C1"/>
    <w:rsid w:val="009D200D"/>
    <w:rsid w:val="009D3437"/>
    <w:rsid w:val="009E04DC"/>
    <w:rsid w:val="009E1044"/>
    <w:rsid w:val="009E2351"/>
    <w:rsid w:val="009E29FC"/>
    <w:rsid w:val="009E6320"/>
    <w:rsid w:val="009E7861"/>
    <w:rsid w:val="009F318A"/>
    <w:rsid w:val="00A02E4C"/>
    <w:rsid w:val="00A03B44"/>
    <w:rsid w:val="00A03BF2"/>
    <w:rsid w:val="00A05107"/>
    <w:rsid w:val="00A1107B"/>
    <w:rsid w:val="00A14700"/>
    <w:rsid w:val="00A213F3"/>
    <w:rsid w:val="00A266DD"/>
    <w:rsid w:val="00A30331"/>
    <w:rsid w:val="00A32DE8"/>
    <w:rsid w:val="00A34C4A"/>
    <w:rsid w:val="00A373F1"/>
    <w:rsid w:val="00A41A59"/>
    <w:rsid w:val="00A43D4F"/>
    <w:rsid w:val="00A54036"/>
    <w:rsid w:val="00A545FE"/>
    <w:rsid w:val="00A56DF9"/>
    <w:rsid w:val="00A75E7C"/>
    <w:rsid w:val="00A821D6"/>
    <w:rsid w:val="00A823BF"/>
    <w:rsid w:val="00A849F9"/>
    <w:rsid w:val="00A8527E"/>
    <w:rsid w:val="00A93C74"/>
    <w:rsid w:val="00A94A22"/>
    <w:rsid w:val="00AA54E5"/>
    <w:rsid w:val="00AC34AD"/>
    <w:rsid w:val="00AD07DA"/>
    <w:rsid w:val="00AD783C"/>
    <w:rsid w:val="00AE3BCC"/>
    <w:rsid w:val="00AE713A"/>
    <w:rsid w:val="00AF6103"/>
    <w:rsid w:val="00AF659A"/>
    <w:rsid w:val="00AF7976"/>
    <w:rsid w:val="00B11996"/>
    <w:rsid w:val="00B119BF"/>
    <w:rsid w:val="00B26411"/>
    <w:rsid w:val="00B30B5C"/>
    <w:rsid w:val="00B427DD"/>
    <w:rsid w:val="00B45736"/>
    <w:rsid w:val="00B46721"/>
    <w:rsid w:val="00B5035D"/>
    <w:rsid w:val="00B5448F"/>
    <w:rsid w:val="00B55FDC"/>
    <w:rsid w:val="00B66B2F"/>
    <w:rsid w:val="00B85109"/>
    <w:rsid w:val="00B87859"/>
    <w:rsid w:val="00B925F4"/>
    <w:rsid w:val="00BA43AC"/>
    <w:rsid w:val="00BA4BF1"/>
    <w:rsid w:val="00BA532C"/>
    <w:rsid w:val="00BA63FD"/>
    <w:rsid w:val="00BA6D12"/>
    <w:rsid w:val="00BA7623"/>
    <w:rsid w:val="00BB155C"/>
    <w:rsid w:val="00BB6B69"/>
    <w:rsid w:val="00BC0983"/>
    <w:rsid w:val="00BC71CA"/>
    <w:rsid w:val="00BD376D"/>
    <w:rsid w:val="00BD4DE6"/>
    <w:rsid w:val="00BD543B"/>
    <w:rsid w:val="00BD5C4D"/>
    <w:rsid w:val="00BD6C06"/>
    <w:rsid w:val="00BE1DDF"/>
    <w:rsid w:val="00BE4558"/>
    <w:rsid w:val="00C01E68"/>
    <w:rsid w:val="00C02F5E"/>
    <w:rsid w:val="00C06DF5"/>
    <w:rsid w:val="00C07923"/>
    <w:rsid w:val="00C10086"/>
    <w:rsid w:val="00C11144"/>
    <w:rsid w:val="00C13AA4"/>
    <w:rsid w:val="00C20207"/>
    <w:rsid w:val="00C25811"/>
    <w:rsid w:val="00C30EE4"/>
    <w:rsid w:val="00C3126A"/>
    <w:rsid w:val="00C3129F"/>
    <w:rsid w:val="00C33605"/>
    <w:rsid w:val="00C34538"/>
    <w:rsid w:val="00C34A88"/>
    <w:rsid w:val="00C36BD8"/>
    <w:rsid w:val="00C41A02"/>
    <w:rsid w:val="00C45C55"/>
    <w:rsid w:val="00C55383"/>
    <w:rsid w:val="00C55EEB"/>
    <w:rsid w:val="00C659C8"/>
    <w:rsid w:val="00C830B0"/>
    <w:rsid w:val="00C84BDF"/>
    <w:rsid w:val="00C8566B"/>
    <w:rsid w:val="00C902B8"/>
    <w:rsid w:val="00C90A97"/>
    <w:rsid w:val="00C92094"/>
    <w:rsid w:val="00C92357"/>
    <w:rsid w:val="00CA0C7B"/>
    <w:rsid w:val="00CA18E5"/>
    <w:rsid w:val="00CA2B3B"/>
    <w:rsid w:val="00CB6312"/>
    <w:rsid w:val="00CB6753"/>
    <w:rsid w:val="00CB6A31"/>
    <w:rsid w:val="00CB6EF6"/>
    <w:rsid w:val="00CC0CE5"/>
    <w:rsid w:val="00CC45AA"/>
    <w:rsid w:val="00CC6B9C"/>
    <w:rsid w:val="00CD02DD"/>
    <w:rsid w:val="00CD2AEE"/>
    <w:rsid w:val="00CD4FB0"/>
    <w:rsid w:val="00CD61EB"/>
    <w:rsid w:val="00CE6B9E"/>
    <w:rsid w:val="00CF5B9B"/>
    <w:rsid w:val="00CF668F"/>
    <w:rsid w:val="00D0025D"/>
    <w:rsid w:val="00D0211D"/>
    <w:rsid w:val="00D04792"/>
    <w:rsid w:val="00D05834"/>
    <w:rsid w:val="00D12945"/>
    <w:rsid w:val="00D16BFC"/>
    <w:rsid w:val="00D2060B"/>
    <w:rsid w:val="00D26F61"/>
    <w:rsid w:val="00D33F37"/>
    <w:rsid w:val="00D34FD7"/>
    <w:rsid w:val="00D36AD0"/>
    <w:rsid w:val="00D4101D"/>
    <w:rsid w:val="00D46220"/>
    <w:rsid w:val="00D4649E"/>
    <w:rsid w:val="00D46860"/>
    <w:rsid w:val="00D473F7"/>
    <w:rsid w:val="00D50D68"/>
    <w:rsid w:val="00D54421"/>
    <w:rsid w:val="00D5585A"/>
    <w:rsid w:val="00D559DB"/>
    <w:rsid w:val="00D652A8"/>
    <w:rsid w:val="00D65E66"/>
    <w:rsid w:val="00D6696E"/>
    <w:rsid w:val="00D75244"/>
    <w:rsid w:val="00D86414"/>
    <w:rsid w:val="00D951AB"/>
    <w:rsid w:val="00DA01C0"/>
    <w:rsid w:val="00DA0804"/>
    <w:rsid w:val="00DA20D0"/>
    <w:rsid w:val="00DA2BAD"/>
    <w:rsid w:val="00DA2BEE"/>
    <w:rsid w:val="00DA7D2D"/>
    <w:rsid w:val="00DB07D0"/>
    <w:rsid w:val="00DB396A"/>
    <w:rsid w:val="00DB5EA2"/>
    <w:rsid w:val="00DC3146"/>
    <w:rsid w:val="00DC47DB"/>
    <w:rsid w:val="00DD38D7"/>
    <w:rsid w:val="00DE64CC"/>
    <w:rsid w:val="00DF7B1D"/>
    <w:rsid w:val="00E02294"/>
    <w:rsid w:val="00E036AA"/>
    <w:rsid w:val="00E10F5F"/>
    <w:rsid w:val="00E124BE"/>
    <w:rsid w:val="00E21512"/>
    <w:rsid w:val="00E22F5E"/>
    <w:rsid w:val="00E24121"/>
    <w:rsid w:val="00E264F4"/>
    <w:rsid w:val="00E32F93"/>
    <w:rsid w:val="00E41B8F"/>
    <w:rsid w:val="00E43592"/>
    <w:rsid w:val="00E45653"/>
    <w:rsid w:val="00E46BFE"/>
    <w:rsid w:val="00E61308"/>
    <w:rsid w:val="00E61CDF"/>
    <w:rsid w:val="00E73E7F"/>
    <w:rsid w:val="00E76361"/>
    <w:rsid w:val="00E8131A"/>
    <w:rsid w:val="00E81B42"/>
    <w:rsid w:val="00E826E4"/>
    <w:rsid w:val="00E82A4E"/>
    <w:rsid w:val="00E833DA"/>
    <w:rsid w:val="00E961B2"/>
    <w:rsid w:val="00EB381E"/>
    <w:rsid w:val="00EB5C94"/>
    <w:rsid w:val="00EC3DE6"/>
    <w:rsid w:val="00EC4258"/>
    <w:rsid w:val="00ED1F6D"/>
    <w:rsid w:val="00ED262D"/>
    <w:rsid w:val="00ED3A4D"/>
    <w:rsid w:val="00ED56E9"/>
    <w:rsid w:val="00EE2DE7"/>
    <w:rsid w:val="00EE533F"/>
    <w:rsid w:val="00EF1E68"/>
    <w:rsid w:val="00EF5866"/>
    <w:rsid w:val="00EF7B9B"/>
    <w:rsid w:val="00F00514"/>
    <w:rsid w:val="00F07A87"/>
    <w:rsid w:val="00F07E87"/>
    <w:rsid w:val="00F10820"/>
    <w:rsid w:val="00F11827"/>
    <w:rsid w:val="00F162D4"/>
    <w:rsid w:val="00F215FF"/>
    <w:rsid w:val="00F22031"/>
    <w:rsid w:val="00F270BD"/>
    <w:rsid w:val="00F30115"/>
    <w:rsid w:val="00F35029"/>
    <w:rsid w:val="00F372BF"/>
    <w:rsid w:val="00F402AC"/>
    <w:rsid w:val="00F41B1A"/>
    <w:rsid w:val="00F43810"/>
    <w:rsid w:val="00F4702C"/>
    <w:rsid w:val="00F5119F"/>
    <w:rsid w:val="00F5332D"/>
    <w:rsid w:val="00F65AD5"/>
    <w:rsid w:val="00F674C4"/>
    <w:rsid w:val="00F839D5"/>
    <w:rsid w:val="00F87B07"/>
    <w:rsid w:val="00F92169"/>
    <w:rsid w:val="00F93F43"/>
    <w:rsid w:val="00F962A9"/>
    <w:rsid w:val="00F9687D"/>
    <w:rsid w:val="00FA16EA"/>
    <w:rsid w:val="00FA46E2"/>
    <w:rsid w:val="00FA4C74"/>
    <w:rsid w:val="00FC0DBC"/>
    <w:rsid w:val="00FC1720"/>
    <w:rsid w:val="00FC2D8B"/>
    <w:rsid w:val="00FC7FD6"/>
    <w:rsid w:val="00FD0296"/>
    <w:rsid w:val="00FD2F56"/>
    <w:rsid w:val="00FD3A7E"/>
    <w:rsid w:val="00FD53F6"/>
    <w:rsid w:val="00FE7293"/>
    <w:rsid w:val="00FF27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Number 2" w:qFormat="1"/>
    <w:lsdException w:name="List Number 3" w:qFormat="1"/>
    <w:lsdException w:name="List Number 4"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2E59"/>
    <w:pPr>
      <w:spacing w:after="120" w:line="264" w:lineRule="auto"/>
    </w:pPr>
    <w:rPr>
      <w:sz w:val="20"/>
    </w:rPr>
  </w:style>
  <w:style w:type="paragraph" w:styleId="Heading1">
    <w:name w:val="heading 1"/>
    <w:basedOn w:val="Normal"/>
    <w:next w:val="Normal"/>
    <w:link w:val="Heading1Char"/>
    <w:uiPriority w:val="9"/>
    <w:qFormat/>
    <w:rsid w:val="00695166"/>
    <w:pPr>
      <w:keepNext/>
      <w:keepLines/>
      <w:spacing w:before="160" w:after="100" w:line="240" w:lineRule="auto"/>
      <w:outlineLvl w:val="0"/>
    </w:pPr>
    <w:rPr>
      <w:rFonts w:ascii="Georgia" w:eastAsia="SimHei" w:hAnsi="Georgia" w:cs="Times New Roman"/>
      <w:b/>
      <w:color w:val="094183"/>
      <w:sz w:val="32"/>
      <w:szCs w:val="32"/>
      <w:lang w:eastAsia="en-US"/>
    </w:rPr>
  </w:style>
  <w:style w:type="paragraph" w:styleId="Heading2">
    <w:name w:val="heading 2"/>
    <w:basedOn w:val="Normal"/>
    <w:next w:val="Normal"/>
    <w:link w:val="Heading2Char"/>
    <w:uiPriority w:val="9"/>
    <w:unhideWhenUsed/>
    <w:qFormat/>
    <w:rsid w:val="00695166"/>
    <w:pPr>
      <w:keepNext/>
      <w:keepLines/>
      <w:spacing w:before="120" w:after="60" w:line="240" w:lineRule="auto"/>
      <w:outlineLvl w:val="1"/>
    </w:pPr>
    <w:rPr>
      <w:rFonts w:ascii="Georgia" w:eastAsia="SimHei" w:hAnsi="Georgia" w:cs="Times New Roman"/>
      <w:b/>
      <w:sz w:val="24"/>
      <w:szCs w:val="26"/>
      <w:lang w:eastAsia="en-US"/>
    </w:rPr>
  </w:style>
  <w:style w:type="paragraph" w:styleId="Heading3">
    <w:name w:val="heading 3"/>
    <w:basedOn w:val="Normal"/>
    <w:next w:val="Normal"/>
    <w:link w:val="Heading3Char"/>
    <w:uiPriority w:val="9"/>
    <w:unhideWhenUsed/>
    <w:qFormat/>
    <w:rsid w:val="00695166"/>
    <w:pPr>
      <w:keepNext/>
      <w:keepLines/>
      <w:spacing w:before="120" w:after="60" w:line="240" w:lineRule="auto"/>
      <w:outlineLvl w:val="2"/>
    </w:pPr>
    <w:rPr>
      <w:rFonts w:ascii="Georgia" w:eastAsia="SimHei" w:hAnsi="Georgia" w:cs="Times New Roman"/>
      <w:color w:val="094183"/>
      <w:sz w:val="24"/>
      <w:szCs w:val="24"/>
      <w:lang w:eastAsia="en-US"/>
    </w:rPr>
  </w:style>
  <w:style w:type="paragraph" w:styleId="Heading4">
    <w:name w:val="heading 4"/>
    <w:basedOn w:val="Normal"/>
    <w:next w:val="Normal"/>
    <w:link w:val="Heading4Char"/>
    <w:uiPriority w:val="9"/>
    <w:unhideWhenUsed/>
    <w:qFormat/>
    <w:rsid w:val="00695166"/>
    <w:pPr>
      <w:keepNext/>
      <w:keepLines/>
      <w:spacing w:before="120" w:after="60" w:line="240" w:lineRule="auto"/>
      <w:outlineLvl w:val="3"/>
    </w:pPr>
    <w:rPr>
      <w:rFonts w:ascii="Georgia" w:eastAsia="SimHei" w:hAnsi="Georgia" w:cs="Times New Roman"/>
      <w:b/>
      <w:iCs/>
      <w:lang w:eastAsia="en-US"/>
    </w:rPr>
  </w:style>
  <w:style w:type="paragraph" w:styleId="Heading5">
    <w:name w:val="heading 5"/>
    <w:basedOn w:val="Normal"/>
    <w:next w:val="Normal"/>
    <w:link w:val="Heading5Char"/>
    <w:uiPriority w:val="9"/>
    <w:unhideWhenUsed/>
    <w:rsid w:val="00340AA0"/>
    <w:pPr>
      <w:keepNext/>
      <w:keepLines/>
      <w:spacing w:after="6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rsid w:val="00340AA0"/>
    <w:pPr>
      <w:keepNext/>
      <w:keepLines/>
      <w:outlineLvl w:val="5"/>
    </w:pPr>
    <w:rPr>
      <w:rFonts w:asciiTheme="majorHAnsi" w:eastAsiaTheme="majorEastAsia" w:hAnsiTheme="majorHAnsi" w:cstheme="majorBidi"/>
      <w:color w:val="094183" w:themeColor="text2"/>
    </w:rPr>
  </w:style>
  <w:style w:type="paragraph" w:styleId="Heading7">
    <w:name w:val="heading 7"/>
    <w:basedOn w:val="Normal"/>
    <w:next w:val="Normal"/>
    <w:link w:val="Heading7Char"/>
    <w:uiPriority w:val="9"/>
    <w:unhideWhenUsed/>
    <w:rsid w:val="006342D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6342D8"/>
    <w:pPr>
      <w:keepNext/>
      <w:keepLines/>
      <w:spacing w:before="40" w:after="0"/>
      <w:outlineLvl w:val="7"/>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754259"/>
    <w:pPr>
      <w:tabs>
        <w:tab w:val="left" w:pos="480"/>
        <w:tab w:val="left" w:pos="960"/>
        <w:tab w:val="left" w:pos="1440"/>
        <w:tab w:val="left" w:pos="1920"/>
        <w:tab w:val="left" w:pos="2400"/>
        <w:tab w:val="left" w:pos="2880"/>
        <w:tab w:val="left" w:pos="3360"/>
        <w:tab w:val="left" w:pos="3840"/>
        <w:tab w:val="left" w:pos="4320"/>
      </w:tabs>
      <w:spacing w:line="276" w:lineRule="auto"/>
    </w:pPr>
  </w:style>
  <w:style w:type="character" w:customStyle="1" w:styleId="MacroTextChar">
    <w:name w:val="Macro Text Char"/>
    <w:basedOn w:val="DefaultParagraphFont"/>
    <w:link w:val="MacroText"/>
    <w:uiPriority w:val="99"/>
    <w:semiHidden/>
    <w:rsid w:val="00754259"/>
    <w:rPr>
      <w:sz w:val="20"/>
      <w:szCs w:val="20"/>
    </w:rPr>
  </w:style>
  <w:style w:type="paragraph" w:styleId="ListBullet">
    <w:name w:val="List Bullet"/>
    <w:basedOn w:val="Normal"/>
    <w:uiPriority w:val="99"/>
    <w:unhideWhenUsed/>
    <w:qFormat/>
    <w:rsid w:val="000E5133"/>
    <w:pPr>
      <w:numPr>
        <w:numId w:val="10"/>
      </w:numPr>
      <w:contextualSpacing/>
    </w:pPr>
  </w:style>
  <w:style w:type="paragraph" w:styleId="ListBullet2">
    <w:name w:val="List Bullet 2"/>
    <w:basedOn w:val="Normal"/>
    <w:uiPriority w:val="99"/>
    <w:unhideWhenUsed/>
    <w:qFormat/>
    <w:rsid w:val="000E5133"/>
    <w:pPr>
      <w:numPr>
        <w:ilvl w:val="1"/>
        <w:numId w:val="10"/>
      </w:numPr>
      <w:contextualSpacing/>
    </w:pPr>
  </w:style>
  <w:style w:type="paragraph" w:styleId="ListBullet3">
    <w:name w:val="List Bullet 3"/>
    <w:basedOn w:val="Normal"/>
    <w:uiPriority w:val="99"/>
    <w:unhideWhenUsed/>
    <w:rsid w:val="000E5133"/>
    <w:pPr>
      <w:numPr>
        <w:ilvl w:val="2"/>
        <w:numId w:val="10"/>
      </w:numPr>
      <w:contextualSpacing/>
    </w:pPr>
  </w:style>
  <w:style w:type="paragraph" w:styleId="ListBullet4">
    <w:name w:val="List Bullet 4"/>
    <w:basedOn w:val="Normal"/>
    <w:uiPriority w:val="99"/>
    <w:unhideWhenUsed/>
    <w:rsid w:val="000E5133"/>
    <w:pPr>
      <w:numPr>
        <w:ilvl w:val="3"/>
        <w:numId w:val="10"/>
      </w:numPr>
      <w:contextualSpacing/>
    </w:pPr>
  </w:style>
  <w:style w:type="numbering" w:customStyle="1" w:styleId="Bullets">
    <w:name w:val="Bullets"/>
    <w:uiPriority w:val="99"/>
    <w:rsid w:val="000E5133"/>
    <w:pPr>
      <w:numPr>
        <w:numId w:val="1"/>
      </w:numPr>
    </w:pPr>
  </w:style>
  <w:style w:type="paragraph" w:styleId="ListNumber">
    <w:name w:val="List Number"/>
    <w:basedOn w:val="Normal"/>
    <w:uiPriority w:val="99"/>
    <w:unhideWhenUsed/>
    <w:qFormat/>
    <w:rsid w:val="000E5133"/>
    <w:pPr>
      <w:numPr>
        <w:numId w:val="11"/>
      </w:numPr>
      <w:contextualSpacing/>
    </w:pPr>
  </w:style>
  <w:style w:type="paragraph" w:styleId="ListNumber2">
    <w:name w:val="List Number 2"/>
    <w:basedOn w:val="Normal"/>
    <w:uiPriority w:val="99"/>
    <w:unhideWhenUsed/>
    <w:qFormat/>
    <w:rsid w:val="000E5133"/>
    <w:pPr>
      <w:numPr>
        <w:ilvl w:val="1"/>
        <w:numId w:val="11"/>
      </w:numPr>
      <w:contextualSpacing/>
    </w:pPr>
  </w:style>
  <w:style w:type="paragraph" w:styleId="ListNumber3">
    <w:name w:val="List Number 3"/>
    <w:basedOn w:val="Normal"/>
    <w:uiPriority w:val="99"/>
    <w:unhideWhenUsed/>
    <w:qFormat/>
    <w:rsid w:val="000E5133"/>
    <w:pPr>
      <w:numPr>
        <w:ilvl w:val="2"/>
        <w:numId w:val="11"/>
      </w:numPr>
      <w:contextualSpacing/>
    </w:pPr>
  </w:style>
  <w:style w:type="paragraph" w:styleId="ListNumber4">
    <w:name w:val="List Number 4"/>
    <w:basedOn w:val="Normal"/>
    <w:uiPriority w:val="99"/>
    <w:unhideWhenUsed/>
    <w:qFormat/>
    <w:rsid w:val="000E5133"/>
    <w:pPr>
      <w:numPr>
        <w:ilvl w:val="3"/>
        <w:numId w:val="11"/>
      </w:numPr>
      <w:contextualSpacing/>
    </w:pPr>
  </w:style>
  <w:style w:type="numbering" w:customStyle="1" w:styleId="NumberedLists">
    <w:name w:val="Numbered Lists"/>
    <w:uiPriority w:val="99"/>
    <w:rsid w:val="000E5133"/>
    <w:pPr>
      <w:numPr>
        <w:numId w:val="2"/>
      </w:numPr>
    </w:pPr>
  </w:style>
  <w:style w:type="paragraph" w:styleId="ListContinue">
    <w:name w:val="List Continue"/>
    <w:basedOn w:val="Normal"/>
    <w:uiPriority w:val="99"/>
    <w:unhideWhenUsed/>
    <w:rsid w:val="005D6E2A"/>
    <w:pPr>
      <w:ind w:left="340"/>
    </w:pPr>
  </w:style>
  <w:style w:type="paragraph" w:styleId="ListNumber5">
    <w:name w:val="List Number 5"/>
    <w:basedOn w:val="Normal"/>
    <w:uiPriority w:val="99"/>
    <w:unhideWhenUsed/>
    <w:rsid w:val="000E5133"/>
    <w:pPr>
      <w:numPr>
        <w:ilvl w:val="4"/>
        <w:numId w:val="11"/>
      </w:numPr>
      <w:contextualSpacing/>
    </w:pPr>
  </w:style>
  <w:style w:type="paragraph" w:styleId="ListContinue2">
    <w:name w:val="List Continue 2"/>
    <w:basedOn w:val="Normal"/>
    <w:uiPriority w:val="99"/>
    <w:unhideWhenUsed/>
    <w:rsid w:val="005D6E2A"/>
    <w:pPr>
      <w:ind w:left="680"/>
    </w:pPr>
  </w:style>
  <w:style w:type="paragraph" w:styleId="ListContinue3">
    <w:name w:val="List Continue 3"/>
    <w:basedOn w:val="Normal"/>
    <w:uiPriority w:val="99"/>
    <w:semiHidden/>
    <w:unhideWhenUsed/>
    <w:rsid w:val="005D6E2A"/>
    <w:pPr>
      <w:ind w:left="1021"/>
    </w:pPr>
  </w:style>
  <w:style w:type="paragraph" w:styleId="ListContinue4">
    <w:name w:val="List Continue 4"/>
    <w:basedOn w:val="Normal"/>
    <w:uiPriority w:val="99"/>
    <w:semiHidden/>
    <w:unhideWhenUsed/>
    <w:rsid w:val="005D6E2A"/>
    <w:pPr>
      <w:ind w:left="1361"/>
    </w:pPr>
  </w:style>
  <w:style w:type="paragraph" w:styleId="Header">
    <w:name w:val="header"/>
    <w:basedOn w:val="Normal"/>
    <w:link w:val="HeaderChar"/>
    <w:uiPriority w:val="99"/>
    <w:unhideWhenUsed/>
    <w:rsid w:val="00304881"/>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304881"/>
    <w:rPr>
      <w:sz w:val="20"/>
    </w:rPr>
  </w:style>
  <w:style w:type="paragraph" w:styleId="Footer">
    <w:name w:val="footer"/>
    <w:basedOn w:val="Normal"/>
    <w:link w:val="FooterChar"/>
    <w:uiPriority w:val="99"/>
    <w:unhideWhenUsed/>
    <w:rsid w:val="00E10F5F"/>
    <w:pPr>
      <w:tabs>
        <w:tab w:val="center" w:pos="4513"/>
        <w:tab w:val="right" w:pos="9026"/>
      </w:tabs>
      <w:spacing w:after="0" w:line="240" w:lineRule="auto"/>
    </w:pPr>
    <w:rPr>
      <w:color w:val="094183" w:themeColor="text2"/>
    </w:rPr>
  </w:style>
  <w:style w:type="character" w:customStyle="1" w:styleId="FooterChar">
    <w:name w:val="Footer Char"/>
    <w:basedOn w:val="DefaultParagraphFont"/>
    <w:link w:val="Footer"/>
    <w:uiPriority w:val="99"/>
    <w:rsid w:val="00E10F5F"/>
    <w:rPr>
      <w:color w:val="094183" w:themeColor="text2"/>
      <w:sz w:val="20"/>
    </w:rPr>
  </w:style>
  <w:style w:type="paragraph" w:styleId="Title">
    <w:name w:val="Title"/>
    <w:basedOn w:val="Normal"/>
    <w:next w:val="Normal"/>
    <w:link w:val="TitleChar"/>
    <w:uiPriority w:val="10"/>
    <w:qFormat/>
    <w:rsid w:val="008C2D5A"/>
    <w:pPr>
      <w:framePr w:w="6804" w:hSpace="2835" w:wrap="around" w:vAnchor="page" w:hAnchor="margin" w:y="5104" w:anchorLock="1"/>
      <w:spacing w:after="0" w:line="240" w:lineRule="auto"/>
      <w:contextualSpacing/>
    </w:pPr>
    <w:rPr>
      <w:rFonts w:asciiTheme="majorHAnsi" w:eastAsiaTheme="majorEastAsia" w:hAnsiTheme="majorHAnsi" w:cstheme="majorBidi"/>
      <w:b/>
      <w:color w:val="094183" w:themeColor="text2"/>
      <w:spacing w:val="-10"/>
      <w:kern w:val="28"/>
      <w:sz w:val="48"/>
      <w:szCs w:val="56"/>
    </w:rPr>
  </w:style>
  <w:style w:type="character" w:customStyle="1" w:styleId="TitleChar">
    <w:name w:val="Title Char"/>
    <w:basedOn w:val="DefaultParagraphFont"/>
    <w:link w:val="Title"/>
    <w:uiPriority w:val="10"/>
    <w:rsid w:val="008C2D5A"/>
    <w:rPr>
      <w:rFonts w:asciiTheme="majorHAnsi" w:eastAsiaTheme="majorEastAsia" w:hAnsiTheme="majorHAnsi" w:cstheme="majorBidi"/>
      <w:b/>
      <w:color w:val="094183" w:themeColor="text2"/>
      <w:spacing w:val="-10"/>
      <w:kern w:val="28"/>
      <w:sz w:val="48"/>
      <w:szCs w:val="56"/>
    </w:rPr>
  </w:style>
  <w:style w:type="character" w:styleId="PlaceholderText">
    <w:name w:val="Placeholder Text"/>
    <w:basedOn w:val="DefaultParagraphFont"/>
    <w:uiPriority w:val="99"/>
    <w:semiHidden/>
    <w:rsid w:val="00BC71CA"/>
    <w:rPr>
      <w:color w:val="808080"/>
    </w:rPr>
  </w:style>
  <w:style w:type="paragraph" w:styleId="Subtitle">
    <w:name w:val="Subtitle"/>
    <w:basedOn w:val="Normal"/>
    <w:next w:val="Normal"/>
    <w:link w:val="SubtitleChar"/>
    <w:uiPriority w:val="11"/>
    <w:qFormat/>
    <w:rsid w:val="008C2D5A"/>
    <w:pPr>
      <w:framePr w:w="6804" w:hSpace="2835" w:wrap="around" w:vAnchor="page" w:hAnchor="margin" w:y="5104" w:anchorLock="1"/>
      <w:numPr>
        <w:ilvl w:val="1"/>
      </w:numPr>
      <w:spacing w:before="360"/>
    </w:pPr>
    <w:rPr>
      <w:color w:val="000000" w:themeColor="text1"/>
      <w:sz w:val="32"/>
    </w:rPr>
  </w:style>
  <w:style w:type="character" w:customStyle="1" w:styleId="SubtitleChar">
    <w:name w:val="Subtitle Char"/>
    <w:basedOn w:val="DefaultParagraphFont"/>
    <w:link w:val="Subtitle"/>
    <w:uiPriority w:val="11"/>
    <w:rsid w:val="008C2D5A"/>
    <w:rPr>
      <w:color w:val="000000" w:themeColor="text1"/>
      <w:sz w:val="32"/>
    </w:rPr>
  </w:style>
  <w:style w:type="paragraph" w:customStyle="1" w:styleId="Coverimage-portrait">
    <w:name w:val="Cover image-portrait"/>
    <w:basedOn w:val="Normal"/>
    <w:rsid w:val="00C55EEB"/>
    <w:pPr>
      <w:framePr w:w="11340" w:h="16273" w:hRule="exact" w:wrap="around" w:vAnchor="page" w:hAnchor="page" w:x="285" w:y="285" w:anchorLock="1"/>
    </w:pPr>
  </w:style>
  <w:style w:type="character" w:customStyle="1" w:styleId="Heading1Char">
    <w:name w:val="Heading 1 Char"/>
    <w:basedOn w:val="DefaultParagraphFont"/>
    <w:link w:val="Heading1"/>
    <w:uiPriority w:val="9"/>
    <w:rsid w:val="00695166"/>
    <w:rPr>
      <w:rFonts w:ascii="Georgia" w:eastAsia="SimHei" w:hAnsi="Georgia" w:cs="Times New Roman"/>
      <w:b/>
      <w:color w:val="094183"/>
      <w:sz w:val="32"/>
      <w:szCs w:val="32"/>
      <w:lang w:eastAsia="en-US"/>
    </w:rPr>
  </w:style>
  <w:style w:type="paragraph" w:customStyle="1" w:styleId="NumberedHeading1">
    <w:name w:val="Numbered Heading 1"/>
    <w:basedOn w:val="Heading1"/>
    <w:qFormat/>
    <w:rsid w:val="000E5133"/>
    <w:pPr>
      <w:numPr>
        <w:numId w:val="9"/>
      </w:numPr>
    </w:pPr>
  </w:style>
  <w:style w:type="character" w:customStyle="1" w:styleId="Heading2Char">
    <w:name w:val="Heading 2 Char"/>
    <w:basedOn w:val="DefaultParagraphFont"/>
    <w:link w:val="Heading2"/>
    <w:uiPriority w:val="9"/>
    <w:rsid w:val="00695166"/>
    <w:rPr>
      <w:rFonts w:ascii="Georgia" w:eastAsia="SimHei" w:hAnsi="Georgia" w:cs="Times New Roman"/>
      <w:b/>
      <w:sz w:val="24"/>
      <w:szCs w:val="26"/>
      <w:lang w:eastAsia="en-US"/>
    </w:rPr>
  </w:style>
  <w:style w:type="character" w:customStyle="1" w:styleId="Heading3Char">
    <w:name w:val="Heading 3 Char"/>
    <w:basedOn w:val="DefaultParagraphFont"/>
    <w:link w:val="Heading3"/>
    <w:uiPriority w:val="9"/>
    <w:rsid w:val="00695166"/>
    <w:rPr>
      <w:rFonts w:ascii="Georgia" w:eastAsia="SimHei" w:hAnsi="Georgia" w:cs="Times New Roman"/>
      <w:color w:val="094183"/>
      <w:sz w:val="24"/>
      <w:szCs w:val="24"/>
      <w:lang w:eastAsia="en-US"/>
    </w:rPr>
  </w:style>
  <w:style w:type="character" w:customStyle="1" w:styleId="Heading4Char">
    <w:name w:val="Heading 4 Char"/>
    <w:basedOn w:val="DefaultParagraphFont"/>
    <w:link w:val="Heading4"/>
    <w:uiPriority w:val="9"/>
    <w:rsid w:val="00695166"/>
    <w:rPr>
      <w:rFonts w:ascii="Georgia" w:eastAsia="SimHei" w:hAnsi="Georgia" w:cs="Times New Roman"/>
      <w:b/>
      <w:iCs/>
      <w:sz w:val="20"/>
      <w:lang w:eastAsia="en-US"/>
    </w:rPr>
  </w:style>
  <w:style w:type="paragraph" w:customStyle="1" w:styleId="NumberedHeading2">
    <w:name w:val="Numbered Heading 2"/>
    <w:basedOn w:val="Heading2"/>
    <w:qFormat/>
    <w:rsid w:val="000E5133"/>
    <w:pPr>
      <w:numPr>
        <w:ilvl w:val="1"/>
        <w:numId w:val="9"/>
      </w:numPr>
    </w:pPr>
  </w:style>
  <w:style w:type="paragraph" w:customStyle="1" w:styleId="NumberedHeading3">
    <w:name w:val="Numbered Heading 3"/>
    <w:basedOn w:val="Heading3"/>
    <w:qFormat/>
    <w:rsid w:val="000E5133"/>
    <w:pPr>
      <w:numPr>
        <w:ilvl w:val="2"/>
        <w:numId w:val="9"/>
      </w:numPr>
    </w:pPr>
  </w:style>
  <w:style w:type="numbering" w:customStyle="1" w:styleId="NumberedHeadings">
    <w:name w:val="Numbered Headings"/>
    <w:uiPriority w:val="99"/>
    <w:rsid w:val="000E5133"/>
    <w:pPr>
      <w:numPr>
        <w:numId w:val="3"/>
      </w:numPr>
    </w:pPr>
  </w:style>
  <w:style w:type="paragraph" w:styleId="TOCHeading">
    <w:name w:val="TOC Heading"/>
    <w:basedOn w:val="Heading1"/>
    <w:next w:val="Normal"/>
    <w:uiPriority w:val="39"/>
    <w:unhideWhenUsed/>
    <w:qFormat/>
    <w:rsid w:val="001D0D30"/>
    <w:pPr>
      <w:spacing w:before="0" w:after="560" w:line="228" w:lineRule="auto"/>
      <w:outlineLvl w:val="9"/>
    </w:pPr>
    <w:rPr>
      <w:sz w:val="39"/>
    </w:rPr>
  </w:style>
  <w:style w:type="paragraph" w:customStyle="1" w:styleId="Coverimage-landscape">
    <w:name w:val="Cover image-landscape"/>
    <w:basedOn w:val="Coverimage-portrait"/>
    <w:rsid w:val="00246067"/>
    <w:pPr>
      <w:framePr w:w="7938" w:h="10773" w:hRule="exact" w:wrap="around" w:x="8336" w:y="568"/>
    </w:pPr>
  </w:style>
  <w:style w:type="paragraph" w:styleId="TOC1">
    <w:name w:val="toc 1"/>
    <w:basedOn w:val="Normal"/>
    <w:next w:val="Normal"/>
    <w:autoRedefine/>
    <w:uiPriority w:val="39"/>
    <w:unhideWhenUsed/>
    <w:rsid w:val="00114425"/>
    <w:pPr>
      <w:spacing w:before="120" w:after="0"/>
    </w:pPr>
    <w:rPr>
      <w:b/>
      <w:bCs/>
      <w:sz w:val="24"/>
      <w:szCs w:val="24"/>
    </w:rPr>
  </w:style>
  <w:style w:type="paragraph" w:styleId="TOC2">
    <w:name w:val="toc 2"/>
    <w:basedOn w:val="Normal"/>
    <w:next w:val="Normal"/>
    <w:autoRedefine/>
    <w:uiPriority w:val="39"/>
    <w:unhideWhenUsed/>
    <w:rsid w:val="00114425"/>
    <w:pPr>
      <w:spacing w:after="0"/>
      <w:ind w:left="200"/>
    </w:pPr>
    <w:rPr>
      <w:b/>
      <w:bCs/>
      <w:sz w:val="22"/>
    </w:rPr>
  </w:style>
  <w:style w:type="paragraph" w:styleId="TOC3">
    <w:name w:val="toc 3"/>
    <w:basedOn w:val="Normal"/>
    <w:next w:val="Normal"/>
    <w:autoRedefine/>
    <w:uiPriority w:val="39"/>
    <w:unhideWhenUsed/>
    <w:rsid w:val="001108AF"/>
    <w:pPr>
      <w:spacing w:after="0"/>
      <w:ind w:left="400"/>
    </w:pPr>
    <w:rPr>
      <w:sz w:val="22"/>
    </w:rPr>
  </w:style>
  <w:style w:type="character" w:styleId="Hyperlink">
    <w:name w:val="Hyperlink"/>
    <w:basedOn w:val="DefaultParagraphFont"/>
    <w:uiPriority w:val="99"/>
    <w:unhideWhenUsed/>
    <w:rsid w:val="001108AF"/>
    <w:rPr>
      <w:color w:val="000000" w:themeColor="hyperlink"/>
      <w:u w:val="single"/>
    </w:rPr>
  </w:style>
  <w:style w:type="paragraph" w:styleId="TOC4">
    <w:name w:val="toc 4"/>
    <w:basedOn w:val="Normal"/>
    <w:next w:val="Normal"/>
    <w:autoRedefine/>
    <w:uiPriority w:val="39"/>
    <w:unhideWhenUsed/>
    <w:rsid w:val="001108AF"/>
    <w:pPr>
      <w:spacing w:after="0"/>
      <w:ind w:left="600"/>
    </w:pPr>
    <w:rPr>
      <w:szCs w:val="20"/>
    </w:rPr>
  </w:style>
  <w:style w:type="paragraph" w:styleId="TOC5">
    <w:name w:val="toc 5"/>
    <w:basedOn w:val="Normal"/>
    <w:next w:val="Normal"/>
    <w:autoRedefine/>
    <w:uiPriority w:val="39"/>
    <w:unhideWhenUsed/>
    <w:rsid w:val="00837F62"/>
    <w:pPr>
      <w:spacing w:after="0"/>
      <w:ind w:left="800"/>
    </w:pPr>
    <w:rPr>
      <w:szCs w:val="20"/>
    </w:rPr>
  </w:style>
  <w:style w:type="paragraph" w:styleId="TOC6">
    <w:name w:val="toc 6"/>
    <w:basedOn w:val="Normal"/>
    <w:next w:val="Normal"/>
    <w:autoRedefine/>
    <w:uiPriority w:val="39"/>
    <w:unhideWhenUsed/>
    <w:rsid w:val="001108AF"/>
    <w:pPr>
      <w:spacing w:after="0"/>
      <w:ind w:left="1000"/>
    </w:pPr>
    <w:rPr>
      <w:szCs w:val="20"/>
    </w:rPr>
  </w:style>
  <w:style w:type="character" w:customStyle="1" w:styleId="Heading5Char">
    <w:name w:val="Heading 5 Char"/>
    <w:basedOn w:val="DefaultParagraphFont"/>
    <w:link w:val="Heading5"/>
    <w:uiPriority w:val="9"/>
    <w:rsid w:val="00340AA0"/>
    <w:rPr>
      <w:rFonts w:asciiTheme="majorHAnsi" w:eastAsiaTheme="majorEastAsia" w:hAnsiTheme="majorHAnsi" w:cstheme="majorBidi"/>
      <w:b/>
      <w:sz w:val="20"/>
    </w:rPr>
  </w:style>
  <w:style w:type="character" w:customStyle="1" w:styleId="Heading6Char">
    <w:name w:val="Heading 6 Char"/>
    <w:basedOn w:val="DefaultParagraphFont"/>
    <w:link w:val="Heading6"/>
    <w:uiPriority w:val="9"/>
    <w:rsid w:val="00340AA0"/>
    <w:rPr>
      <w:rFonts w:asciiTheme="majorHAnsi" w:eastAsiaTheme="majorEastAsia" w:hAnsiTheme="majorHAnsi" w:cstheme="majorBidi"/>
      <w:color w:val="094183" w:themeColor="text2"/>
      <w:sz w:val="20"/>
    </w:rPr>
  </w:style>
  <w:style w:type="character" w:customStyle="1" w:styleId="Heading7Char">
    <w:name w:val="Heading 7 Char"/>
    <w:basedOn w:val="DefaultParagraphFont"/>
    <w:link w:val="Heading7"/>
    <w:uiPriority w:val="9"/>
    <w:rsid w:val="006342D8"/>
    <w:rPr>
      <w:rFonts w:asciiTheme="majorHAnsi" w:eastAsiaTheme="majorEastAsia" w:hAnsiTheme="majorHAnsi" w:cstheme="majorBidi"/>
      <w:i/>
      <w:iCs/>
      <w:sz w:val="20"/>
    </w:rPr>
  </w:style>
  <w:style w:type="character" w:customStyle="1" w:styleId="Heading8Char">
    <w:name w:val="Heading 8 Char"/>
    <w:basedOn w:val="DefaultParagraphFont"/>
    <w:link w:val="Heading8"/>
    <w:uiPriority w:val="9"/>
    <w:rsid w:val="006342D8"/>
    <w:rPr>
      <w:rFonts w:asciiTheme="majorHAnsi" w:eastAsiaTheme="majorEastAsia" w:hAnsiTheme="majorHAnsi" w:cstheme="majorBidi"/>
      <w:sz w:val="21"/>
      <w:szCs w:val="21"/>
    </w:rPr>
  </w:style>
  <w:style w:type="paragraph" w:styleId="NoSpacing">
    <w:name w:val="No Spacing"/>
    <w:uiPriority w:val="1"/>
    <w:qFormat/>
    <w:rsid w:val="00C8566B"/>
    <w:pPr>
      <w:spacing w:after="0" w:line="264" w:lineRule="auto"/>
    </w:pPr>
    <w:rPr>
      <w:sz w:val="20"/>
    </w:rPr>
  </w:style>
  <w:style w:type="paragraph" w:styleId="Date">
    <w:name w:val="Date"/>
    <w:basedOn w:val="Normal"/>
    <w:next w:val="Normal"/>
    <w:link w:val="DateChar"/>
    <w:uiPriority w:val="99"/>
    <w:unhideWhenUsed/>
    <w:rsid w:val="008C2D5A"/>
    <w:pPr>
      <w:framePr w:w="6804" w:hSpace="2835" w:wrap="around" w:vAnchor="page" w:hAnchor="margin" w:y="5104" w:anchorLock="1"/>
    </w:pPr>
  </w:style>
  <w:style w:type="character" w:customStyle="1" w:styleId="DateChar">
    <w:name w:val="Date Char"/>
    <w:basedOn w:val="DefaultParagraphFont"/>
    <w:link w:val="Date"/>
    <w:uiPriority w:val="99"/>
    <w:rsid w:val="008C2D5A"/>
    <w:rPr>
      <w:sz w:val="20"/>
    </w:rPr>
  </w:style>
  <w:style w:type="paragraph" w:customStyle="1" w:styleId="Datecoverimage">
    <w:name w:val="Date cover image"/>
    <w:basedOn w:val="Date"/>
    <w:rsid w:val="0075751C"/>
    <w:pPr>
      <w:framePr w:wrap="around" w:y="7485"/>
    </w:pPr>
    <w:rPr>
      <w:color w:val="000000" w:themeColor="text1"/>
    </w:rPr>
  </w:style>
  <w:style w:type="paragraph" w:customStyle="1" w:styleId="AppendixTitle">
    <w:name w:val="Appendix Title"/>
    <w:basedOn w:val="Title"/>
    <w:next w:val="Normal"/>
    <w:rsid w:val="00342318"/>
    <w:pPr>
      <w:pageBreakBefore/>
      <w:framePr w:wrap="around" w:vAnchor="margin" w:hAnchor="text" w:y="1532"/>
      <w:numPr>
        <w:numId w:val="7"/>
      </w:numPr>
      <w:spacing w:after="360"/>
    </w:pPr>
    <w:rPr>
      <w:sz w:val="36"/>
    </w:rPr>
  </w:style>
  <w:style w:type="numbering" w:customStyle="1" w:styleId="Appendix">
    <w:name w:val="Appendix"/>
    <w:uiPriority w:val="99"/>
    <w:rsid w:val="00342318"/>
    <w:pPr>
      <w:numPr>
        <w:numId w:val="4"/>
      </w:numPr>
    </w:pPr>
  </w:style>
  <w:style w:type="paragraph" w:styleId="List">
    <w:name w:val="List"/>
    <w:basedOn w:val="Normal"/>
    <w:uiPriority w:val="99"/>
    <w:unhideWhenUsed/>
    <w:rsid w:val="00C07923"/>
    <w:pPr>
      <w:ind w:left="283" w:hanging="283"/>
      <w:contextualSpacing/>
    </w:pPr>
  </w:style>
  <w:style w:type="paragraph" w:styleId="List2">
    <w:name w:val="List 2"/>
    <w:basedOn w:val="Normal"/>
    <w:uiPriority w:val="99"/>
    <w:unhideWhenUsed/>
    <w:rsid w:val="00C07923"/>
    <w:pPr>
      <w:ind w:left="566" w:hanging="283"/>
      <w:contextualSpacing/>
    </w:pPr>
  </w:style>
  <w:style w:type="paragraph" w:customStyle="1" w:styleId="NumberedHeading4">
    <w:name w:val="Numbered Heading 4"/>
    <w:basedOn w:val="Heading4"/>
    <w:rsid w:val="00C07923"/>
    <w:pPr>
      <w:ind w:left="1021" w:hanging="1021"/>
    </w:pPr>
    <w:rPr>
      <w:b w:val="0"/>
      <w:caps/>
    </w:rPr>
  </w:style>
  <w:style w:type="numbering" w:customStyle="1" w:styleId="ListLetters">
    <w:name w:val="List Letters"/>
    <w:uiPriority w:val="99"/>
    <w:rsid w:val="00C07923"/>
    <w:pPr>
      <w:numPr>
        <w:numId w:val="5"/>
      </w:numPr>
    </w:pPr>
  </w:style>
  <w:style w:type="table" w:styleId="TableGrid">
    <w:name w:val="Table Grid"/>
    <w:basedOn w:val="TableNormal"/>
    <w:uiPriority w:val="39"/>
    <w:rsid w:val="00C07923"/>
    <w:pPr>
      <w:spacing w:after="0" w:line="240" w:lineRule="auto"/>
    </w:pPr>
    <w:rPr>
      <w:sz w:val="20"/>
    </w:rPr>
    <w:tblPr>
      <w:tblStyleRowBandSize w:val="1"/>
      <w:tblInd w:w="0" w:type="dxa"/>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basedOn w:val="Normal"/>
    <w:next w:val="Normal"/>
    <w:uiPriority w:val="35"/>
    <w:unhideWhenUsed/>
    <w:qFormat/>
    <w:rsid w:val="00C07923"/>
    <w:pPr>
      <w:spacing w:after="200" w:line="240" w:lineRule="auto"/>
    </w:pPr>
    <w:rPr>
      <w:b/>
      <w:iCs/>
      <w:sz w:val="24"/>
      <w:szCs w:val="18"/>
    </w:rPr>
  </w:style>
  <w:style w:type="paragraph" w:styleId="Quote">
    <w:name w:val="Quote"/>
    <w:basedOn w:val="Normal"/>
    <w:next w:val="Normal"/>
    <w:link w:val="QuoteChar"/>
    <w:uiPriority w:val="29"/>
    <w:rsid w:val="00C07923"/>
    <w:pPr>
      <w:spacing w:before="200" w:after="160" w:line="312" w:lineRule="auto"/>
      <w:ind w:left="340" w:right="862"/>
    </w:pPr>
    <w:rPr>
      <w:rFonts w:eastAsiaTheme="minorHAnsi"/>
      <w:i/>
      <w:iCs/>
      <w:color w:val="094183" w:themeColor="text2"/>
      <w:sz w:val="24"/>
      <w:lang w:eastAsia="en-US"/>
    </w:rPr>
  </w:style>
  <w:style w:type="character" w:customStyle="1" w:styleId="QuoteChar">
    <w:name w:val="Quote Char"/>
    <w:basedOn w:val="DefaultParagraphFont"/>
    <w:link w:val="Quote"/>
    <w:uiPriority w:val="29"/>
    <w:rsid w:val="00C07923"/>
    <w:rPr>
      <w:rFonts w:eastAsiaTheme="minorHAnsi"/>
      <w:i/>
      <w:iCs/>
      <w:color w:val="094183" w:themeColor="text2"/>
      <w:sz w:val="24"/>
      <w:lang w:eastAsia="en-US"/>
    </w:rPr>
  </w:style>
  <w:style w:type="paragraph" w:customStyle="1" w:styleId="Title-White">
    <w:name w:val="Title - White"/>
    <w:basedOn w:val="Title"/>
    <w:link w:val="Title-WhiteChar"/>
    <w:qFormat/>
    <w:rsid w:val="005B00AD"/>
    <w:pPr>
      <w:framePr w:wrap="around"/>
    </w:pPr>
    <w:rPr>
      <w:color w:val="FFFFFF" w:themeColor="background1"/>
    </w:rPr>
  </w:style>
  <w:style w:type="paragraph" w:customStyle="1" w:styleId="Subtitle-White">
    <w:name w:val="Subtitle - White"/>
    <w:basedOn w:val="Subtitle"/>
    <w:link w:val="Subtitle-WhiteChar"/>
    <w:qFormat/>
    <w:rsid w:val="005B00AD"/>
    <w:pPr>
      <w:framePr w:wrap="around"/>
    </w:pPr>
    <w:rPr>
      <w:color w:val="FFFFFF" w:themeColor="background1"/>
    </w:rPr>
  </w:style>
  <w:style w:type="character" w:customStyle="1" w:styleId="Title-WhiteChar">
    <w:name w:val="Title - White Char"/>
    <w:basedOn w:val="TitleChar"/>
    <w:link w:val="Title-White"/>
    <w:rsid w:val="005B00AD"/>
    <w:rPr>
      <w:rFonts w:asciiTheme="majorHAnsi" w:eastAsiaTheme="majorEastAsia" w:hAnsiTheme="majorHAnsi" w:cstheme="majorBidi"/>
      <w:b/>
      <w:color w:val="FFFFFF" w:themeColor="background1"/>
      <w:spacing w:val="-10"/>
      <w:kern w:val="28"/>
      <w:sz w:val="48"/>
      <w:szCs w:val="56"/>
    </w:rPr>
  </w:style>
  <w:style w:type="paragraph" w:styleId="NormalWeb">
    <w:name w:val="Normal (Web)"/>
    <w:basedOn w:val="Normal"/>
    <w:uiPriority w:val="99"/>
    <w:unhideWhenUsed/>
    <w:rsid w:val="00C55EEB"/>
    <w:pPr>
      <w:spacing w:before="100" w:beforeAutospacing="1" w:after="100" w:afterAutospacing="1" w:line="240" w:lineRule="auto"/>
    </w:pPr>
    <w:rPr>
      <w:rFonts w:ascii="Times New Roman" w:eastAsia="SimSun" w:hAnsi="Times New Roman" w:cs="Times New Roman"/>
      <w:sz w:val="24"/>
      <w:szCs w:val="24"/>
    </w:rPr>
  </w:style>
  <w:style w:type="paragraph" w:customStyle="1" w:styleId="Logo">
    <w:name w:val="Logo"/>
    <w:basedOn w:val="Normal"/>
    <w:qFormat/>
    <w:rsid w:val="001A1790"/>
    <w:pPr>
      <w:spacing w:after="240"/>
    </w:pPr>
  </w:style>
  <w:style w:type="paragraph" w:customStyle="1" w:styleId="Identifier">
    <w:name w:val="Identifier"/>
    <w:basedOn w:val="Normal"/>
    <w:qFormat/>
    <w:rsid w:val="001A1790"/>
    <w:pPr>
      <w:spacing w:before="120" w:after="360"/>
      <w:contextualSpacing/>
    </w:pPr>
    <w:rPr>
      <w:color w:val="094183" w:themeColor="text2"/>
      <w:sz w:val="28"/>
    </w:rPr>
  </w:style>
  <w:style w:type="paragraph" w:customStyle="1" w:styleId="Cornergraphic">
    <w:name w:val="Corner graphic"/>
    <w:basedOn w:val="Normal"/>
    <w:qFormat/>
    <w:rsid w:val="007976A1"/>
    <w:pPr>
      <w:framePr w:wrap="around" w:vAnchor="page" w:hAnchor="page" w:xAlign="right" w:yAlign="bottom" w:anchorLock="1"/>
      <w:spacing w:after="160" w:line="192" w:lineRule="auto"/>
      <w:jc w:val="right"/>
    </w:pPr>
    <w:rPr>
      <w:position w:val="-80"/>
    </w:rPr>
  </w:style>
  <w:style w:type="numbering" w:customStyle="1" w:styleId="Bullets1">
    <w:name w:val="Bullets1"/>
    <w:uiPriority w:val="99"/>
    <w:rsid w:val="00695166"/>
    <w:pPr>
      <w:numPr>
        <w:numId w:val="8"/>
      </w:numPr>
    </w:pPr>
  </w:style>
  <w:style w:type="paragraph" w:customStyle="1" w:styleId="Introduction">
    <w:name w:val="Introduction"/>
    <w:basedOn w:val="Normal"/>
    <w:link w:val="IntroductionChar"/>
    <w:qFormat/>
    <w:rsid w:val="00695166"/>
    <w:pPr>
      <w:keepNext/>
      <w:keepLines/>
      <w:spacing w:after="0" w:line="216" w:lineRule="auto"/>
      <w:outlineLvl w:val="0"/>
    </w:pPr>
    <w:rPr>
      <w:rFonts w:ascii="Calibri" w:eastAsia="SimHei" w:hAnsi="Calibri" w:cs="Times New Roman"/>
      <w:color w:val="094183"/>
      <w:sz w:val="28"/>
      <w:szCs w:val="32"/>
      <w:lang w:eastAsia="en-US"/>
    </w:rPr>
  </w:style>
  <w:style w:type="paragraph" w:customStyle="1" w:styleId="Pull-outBodyCopy">
    <w:name w:val="Pull-out Body Copy"/>
    <w:basedOn w:val="Normal"/>
    <w:link w:val="Pull-outBodyCopyChar"/>
    <w:qFormat/>
    <w:rsid w:val="00695166"/>
    <w:pPr>
      <w:pBdr>
        <w:top w:val="single" w:sz="4" w:space="6" w:color="094183" w:themeColor="text2"/>
        <w:left w:val="single" w:sz="4" w:space="6" w:color="094183" w:themeColor="text2"/>
        <w:bottom w:val="single" w:sz="4" w:space="6" w:color="094183" w:themeColor="text2"/>
        <w:right w:val="single" w:sz="4" w:space="6" w:color="094183" w:themeColor="text2"/>
      </w:pBdr>
      <w:shd w:val="clear" w:color="auto" w:fill="094183" w:themeFill="text2"/>
      <w:spacing w:before="80" w:after="80" w:line="312" w:lineRule="auto"/>
      <w:ind w:left="170" w:right="170"/>
    </w:pPr>
    <w:rPr>
      <w:rFonts w:eastAsiaTheme="minorHAnsi"/>
      <w:color w:val="FFFFFF" w:themeColor="background1"/>
      <w:lang w:eastAsia="en-US"/>
    </w:rPr>
  </w:style>
  <w:style w:type="character" w:customStyle="1" w:styleId="IntroductionChar">
    <w:name w:val="Introduction Char"/>
    <w:basedOn w:val="DefaultParagraphFont"/>
    <w:link w:val="Introduction"/>
    <w:rsid w:val="00695166"/>
    <w:rPr>
      <w:rFonts w:ascii="Calibri" w:eastAsia="SimHei" w:hAnsi="Calibri" w:cs="Times New Roman"/>
      <w:color w:val="094183"/>
      <w:sz w:val="28"/>
      <w:szCs w:val="32"/>
      <w:lang w:eastAsia="en-US"/>
    </w:rPr>
  </w:style>
  <w:style w:type="paragraph" w:customStyle="1" w:styleId="Pull-outHeading">
    <w:name w:val="Pull-out Heading"/>
    <w:basedOn w:val="Pull-outBodyCopy"/>
    <w:link w:val="Pull-outHeadingChar"/>
    <w:qFormat/>
    <w:rsid w:val="00695166"/>
    <w:rPr>
      <w:b/>
    </w:rPr>
  </w:style>
  <w:style w:type="character" w:customStyle="1" w:styleId="Pull-outBodyCopyChar">
    <w:name w:val="Pull-out Body Copy Char"/>
    <w:basedOn w:val="DefaultParagraphFont"/>
    <w:link w:val="Pull-outBodyCopy"/>
    <w:rsid w:val="00695166"/>
    <w:rPr>
      <w:rFonts w:eastAsiaTheme="minorHAnsi"/>
      <w:color w:val="FFFFFF" w:themeColor="background1"/>
      <w:sz w:val="20"/>
      <w:shd w:val="clear" w:color="auto" w:fill="094183" w:themeFill="text2"/>
      <w:lang w:eastAsia="en-US"/>
    </w:rPr>
  </w:style>
  <w:style w:type="paragraph" w:styleId="ListParagraph">
    <w:name w:val="List Paragraph"/>
    <w:basedOn w:val="Normal"/>
    <w:uiPriority w:val="34"/>
    <w:qFormat/>
    <w:rsid w:val="000E5133"/>
    <w:pPr>
      <w:ind w:left="340"/>
    </w:pPr>
  </w:style>
  <w:style w:type="character" w:customStyle="1" w:styleId="Pull-outHeadingChar">
    <w:name w:val="Pull-out Heading Char"/>
    <w:basedOn w:val="DefaultParagraphFont"/>
    <w:link w:val="Pull-outHeading"/>
    <w:rsid w:val="00695166"/>
    <w:rPr>
      <w:rFonts w:eastAsiaTheme="minorHAnsi"/>
      <w:b/>
      <w:color w:val="FFFFFF" w:themeColor="background1"/>
      <w:sz w:val="20"/>
      <w:shd w:val="clear" w:color="auto" w:fill="094183" w:themeFill="text2"/>
      <w:lang w:eastAsia="en-US"/>
    </w:rPr>
  </w:style>
  <w:style w:type="paragraph" w:customStyle="1" w:styleId="Pull-outBullets">
    <w:name w:val="Pull-out Bullets"/>
    <w:basedOn w:val="Pull-outBodyCopy"/>
    <w:link w:val="Pull-outBulletsChar"/>
    <w:qFormat/>
    <w:rsid w:val="00695166"/>
    <w:pPr>
      <w:numPr>
        <w:numId w:val="6"/>
      </w:numPr>
      <w:ind w:left="397" w:hanging="227"/>
    </w:pPr>
  </w:style>
  <w:style w:type="character" w:customStyle="1" w:styleId="Pull-outBulletsChar">
    <w:name w:val="Pull-out Bullets Char"/>
    <w:basedOn w:val="Pull-outBodyCopyChar"/>
    <w:link w:val="Pull-outBullets"/>
    <w:rsid w:val="00695166"/>
    <w:rPr>
      <w:rFonts w:eastAsiaTheme="minorHAnsi"/>
      <w:color w:val="FFFFFF" w:themeColor="background1"/>
      <w:sz w:val="20"/>
      <w:shd w:val="clear" w:color="auto" w:fill="094183" w:themeFill="text2"/>
      <w:lang w:eastAsia="en-US"/>
    </w:rPr>
  </w:style>
  <w:style w:type="character" w:customStyle="1" w:styleId="Subtitle-WhiteChar">
    <w:name w:val="Subtitle - White Char"/>
    <w:basedOn w:val="SubtitleChar"/>
    <w:link w:val="Subtitle-White"/>
    <w:rsid w:val="005B00AD"/>
    <w:rPr>
      <w:color w:val="FFFFFF" w:themeColor="background1"/>
      <w:sz w:val="32"/>
    </w:rPr>
  </w:style>
  <w:style w:type="paragraph" w:customStyle="1" w:styleId="Title-Divider">
    <w:name w:val="Title - Divider"/>
    <w:basedOn w:val="Title"/>
    <w:link w:val="Title-DividerChar"/>
    <w:qFormat/>
    <w:rsid w:val="00601E2F"/>
    <w:pPr>
      <w:framePr w:w="7371" w:wrap="notBeside" w:y="1078"/>
      <w:spacing w:after="310"/>
      <w:outlineLvl w:val="0"/>
    </w:pPr>
    <w:rPr>
      <w:spacing w:val="0"/>
    </w:rPr>
  </w:style>
  <w:style w:type="paragraph" w:customStyle="1" w:styleId="Subtitle-Divider">
    <w:name w:val="Subtitle - Divider"/>
    <w:basedOn w:val="Title-Divider"/>
    <w:link w:val="Subtitle-DividerChar"/>
    <w:qFormat/>
    <w:rsid w:val="00F962A9"/>
    <w:pPr>
      <w:framePr w:wrap="notBeside"/>
      <w:outlineLvl w:val="9"/>
    </w:pPr>
    <w:rPr>
      <w:rFonts w:asciiTheme="minorHAnsi" w:hAnsiTheme="minorHAnsi"/>
      <w:b w:val="0"/>
      <w:color w:val="000000" w:themeColor="text1"/>
      <w:sz w:val="32"/>
      <w:lang w:eastAsia="en-US"/>
    </w:rPr>
  </w:style>
  <w:style w:type="character" w:customStyle="1" w:styleId="Title-DividerChar">
    <w:name w:val="Title - Divider Char"/>
    <w:basedOn w:val="TitleChar"/>
    <w:link w:val="Title-Divider"/>
    <w:rsid w:val="00601E2F"/>
    <w:rPr>
      <w:rFonts w:asciiTheme="majorHAnsi" w:eastAsiaTheme="majorEastAsia" w:hAnsiTheme="majorHAnsi" w:cstheme="majorBidi"/>
      <w:b/>
      <w:color w:val="094183" w:themeColor="text2"/>
      <w:spacing w:val="-10"/>
      <w:kern w:val="28"/>
      <w:sz w:val="48"/>
      <w:szCs w:val="56"/>
    </w:rPr>
  </w:style>
  <w:style w:type="paragraph" w:customStyle="1" w:styleId="Footerlocation">
    <w:name w:val="Footer location"/>
    <w:unhideWhenUsed/>
    <w:rsid w:val="000E78EF"/>
    <w:pPr>
      <w:framePr w:w="9639" w:vSpace="567" w:wrap="around" w:hAnchor="margin" w:yAlign="bottom" w:anchorLock="1"/>
      <w:spacing w:after="0" w:line="240" w:lineRule="auto"/>
    </w:pPr>
    <w:rPr>
      <w:rFonts w:eastAsiaTheme="minorHAnsi"/>
      <w:b/>
      <w:color w:val="094183" w:themeColor="text2"/>
      <w:sz w:val="18"/>
      <w:lang w:eastAsia="en-US"/>
    </w:rPr>
  </w:style>
  <w:style w:type="character" w:customStyle="1" w:styleId="Subtitle-DividerChar">
    <w:name w:val="Subtitle - Divider Char"/>
    <w:basedOn w:val="SubtitleChar"/>
    <w:link w:val="Subtitle-Divider"/>
    <w:rsid w:val="00F962A9"/>
    <w:rPr>
      <w:rFonts w:eastAsiaTheme="majorEastAsia" w:cstheme="majorBidi"/>
      <w:color w:val="000000" w:themeColor="text1"/>
      <w:kern w:val="28"/>
      <w:sz w:val="32"/>
      <w:szCs w:val="56"/>
      <w:lang w:eastAsia="en-US"/>
    </w:rPr>
  </w:style>
  <w:style w:type="table" w:customStyle="1" w:styleId="Blank">
    <w:name w:val="Blank"/>
    <w:basedOn w:val="TableNormal"/>
    <w:uiPriority w:val="99"/>
    <w:rsid w:val="009D200D"/>
    <w:pPr>
      <w:spacing w:after="0" w:line="240" w:lineRule="auto"/>
    </w:pPr>
    <w:rPr>
      <w:rFonts w:eastAsiaTheme="minorHAnsi"/>
      <w:lang w:eastAsia="en-US"/>
    </w:rPr>
    <w:tblPr>
      <w:tblInd w:w="0" w:type="dxa"/>
      <w:tblCellMar>
        <w:top w:w="57" w:type="dxa"/>
        <w:left w:w="0" w:type="dxa"/>
        <w:bottom w:w="0" w:type="dxa"/>
        <w:right w:w="113" w:type="dxa"/>
      </w:tblCellMar>
    </w:tblPr>
  </w:style>
  <w:style w:type="paragraph" w:customStyle="1" w:styleId="EndPageGraphic">
    <w:name w:val="End Page Graphic"/>
    <w:basedOn w:val="Normal"/>
    <w:link w:val="EndPageGraphicChar"/>
    <w:rsid w:val="000E78EF"/>
    <w:pPr>
      <w:framePr w:wrap="notBeside" w:vAnchor="page" w:hAnchor="page" w:y="1" w:anchorLock="1"/>
    </w:pPr>
  </w:style>
  <w:style w:type="character" w:customStyle="1" w:styleId="EndPageGraphicChar">
    <w:name w:val="End Page Graphic Char"/>
    <w:basedOn w:val="DefaultParagraphFont"/>
    <w:link w:val="EndPageGraphic"/>
    <w:rsid w:val="000E78EF"/>
    <w:rPr>
      <w:sz w:val="20"/>
    </w:rPr>
  </w:style>
  <w:style w:type="character" w:styleId="Strong">
    <w:name w:val="Strong"/>
    <w:basedOn w:val="DefaultParagraphFont"/>
    <w:uiPriority w:val="22"/>
    <w:rsid w:val="005B2E59"/>
    <w:rPr>
      <w:b/>
      <w:bCs/>
    </w:rPr>
  </w:style>
  <w:style w:type="paragraph" w:customStyle="1" w:styleId="Topleft">
    <w:name w:val="Top left"/>
    <w:basedOn w:val="Logo"/>
    <w:rsid w:val="007D029B"/>
    <w:pPr>
      <w:framePr w:w="11907" w:wrap="around" w:vAnchor="page" w:hAnchor="page" w:yAlign="top" w:anchorLock="1"/>
    </w:pPr>
    <w:rPr>
      <w:noProof/>
    </w:rPr>
  </w:style>
  <w:style w:type="paragraph" w:customStyle="1" w:styleId="Footerright">
    <w:name w:val="Footer right"/>
    <w:basedOn w:val="Normal"/>
    <w:rsid w:val="00A02E4C"/>
    <w:pPr>
      <w:framePr w:w="1701" w:h="1043" w:hRule="exact" w:wrap="around" w:vAnchor="page" w:hAnchor="margin" w:xAlign="right" w:yAlign="bottom" w:anchorLock="1"/>
      <w:tabs>
        <w:tab w:val="center" w:pos="4513"/>
        <w:tab w:val="right" w:pos="9026"/>
      </w:tabs>
      <w:spacing w:after="0" w:line="240" w:lineRule="auto"/>
      <w:jc w:val="right"/>
    </w:pPr>
    <w:rPr>
      <w:color w:val="094183" w:themeColor="text2"/>
    </w:rPr>
  </w:style>
  <w:style w:type="paragraph" w:customStyle="1" w:styleId="Topleft-backpage">
    <w:name w:val="Top left - back page"/>
    <w:basedOn w:val="Topleft"/>
    <w:rsid w:val="00074A6B"/>
    <w:pPr>
      <w:pageBreakBefore/>
      <w:framePr w:wrap="around"/>
    </w:pPr>
  </w:style>
  <w:style w:type="paragraph" w:customStyle="1" w:styleId="IdentifierDash">
    <w:name w:val="Identifier Dash"/>
    <w:basedOn w:val="Identifier"/>
    <w:rsid w:val="00C92357"/>
    <w:pPr>
      <w:spacing w:before="600" w:after="0" w:line="168" w:lineRule="auto"/>
    </w:pPr>
    <w:rPr>
      <w:sz w:val="40"/>
      <w:szCs w:val="40"/>
    </w:rPr>
  </w:style>
  <w:style w:type="paragraph" w:customStyle="1" w:styleId="IdentifierDash-White">
    <w:name w:val="Identifier Dash-White"/>
    <w:basedOn w:val="IdentifierDash"/>
    <w:qFormat/>
    <w:rsid w:val="0018540E"/>
    <w:pPr>
      <w:spacing w:before="200"/>
    </w:pPr>
    <w:rPr>
      <w:color w:val="FFFFFF" w:themeColor="background1"/>
    </w:rPr>
  </w:style>
  <w:style w:type="paragraph" w:customStyle="1" w:styleId="IdentifierDash-Blue">
    <w:name w:val="Identifier Dash-Blue"/>
    <w:basedOn w:val="IdentifierDash-White"/>
    <w:qFormat/>
    <w:rsid w:val="00FF27CC"/>
    <w:rPr>
      <w:color w:val="094183" w:themeColor="text2"/>
    </w:rPr>
  </w:style>
  <w:style w:type="paragraph" w:styleId="TableofFigures">
    <w:name w:val="table of figures"/>
    <w:basedOn w:val="TOC2"/>
    <w:next w:val="Normal"/>
    <w:uiPriority w:val="99"/>
    <w:unhideWhenUsed/>
    <w:rsid w:val="00EB381E"/>
    <w:pPr>
      <w:ind w:left="400" w:hanging="400"/>
    </w:pPr>
    <w:rPr>
      <w:b w:val="0"/>
      <w:bCs w:val="0"/>
      <w:caps/>
      <w:sz w:val="20"/>
      <w:szCs w:val="20"/>
    </w:rPr>
  </w:style>
  <w:style w:type="paragraph" w:styleId="CommentText">
    <w:name w:val="annotation text"/>
    <w:basedOn w:val="Normal"/>
    <w:link w:val="CommentTextChar"/>
    <w:uiPriority w:val="99"/>
    <w:semiHidden/>
    <w:unhideWhenUsed/>
    <w:rsid w:val="0093470E"/>
    <w:pPr>
      <w:spacing w:after="160" w:line="240" w:lineRule="auto"/>
    </w:pPr>
    <w:rPr>
      <w:rFonts w:ascii="Times New Roman" w:eastAsiaTheme="minorHAnsi" w:hAnsi="Times New Roman" w:cs="Times New Roman"/>
      <w:szCs w:val="20"/>
      <w:lang w:val="en-US"/>
    </w:rPr>
  </w:style>
  <w:style w:type="character" w:customStyle="1" w:styleId="CommentTextChar">
    <w:name w:val="Comment Text Char"/>
    <w:basedOn w:val="DefaultParagraphFont"/>
    <w:link w:val="CommentText"/>
    <w:uiPriority w:val="99"/>
    <w:semiHidden/>
    <w:rsid w:val="0093470E"/>
    <w:rPr>
      <w:rFonts w:ascii="Times New Roman" w:eastAsiaTheme="minorHAnsi" w:hAnsi="Times New Roman" w:cs="Times New Roman"/>
      <w:sz w:val="20"/>
      <w:szCs w:val="20"/>
      <w:lang w:val="en-US"/>
    </w:rPr>
  </w:style>
  <w:style w:type="character" w:styleId="CommentReference">
    <w:name w:val="annotation reference"/>
    <w:basedOn w:val="DefaultParagraphFont"/>
    <w:uiPriority w:val="99"/>
    <w:semiHidden/>
    <w:unhideWhenUsed/>
    <w:rsid w:val="0093470E"/>
    <w:rPr>
      <w:sz w:val="16"/>
      <w:szCs w:val="16"/>
    </w:rPr>
  </w:style>
  <w:style w:type="paragraph" w:styleId="BalloonText">
    <w:name w:val="Balloon Text"/>
    <w:basedOn w:val="Normal"/>
    <w:link w:val="BalloonTextChar"/>
    <w:uiPriority w:val="99"/>
    <w:semiHidden/>
    <w:unhideWhenUsed/>
    <w:rsid w:val="00934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70E"/>
    <w:rPr>
      <w:rFonts w:ascii="Segoe UI" w:hAnsi="Segoe UI" w:cs="Segoe UI"/>
      <w:sz w:val="18"/>
      <w:szCs w:val="18"/>
    </w:rPr>
  </w:style>
  <w:style w:type="character" w:styleId="Emphasis">
    <w:name w:val="Emphasis"/>
    <w:basedOn w:val="DefaultParagraphFont"/>
    <w:uiPriority w:val="20"/>
    <w:qFormat/>
    <w:rsid w:val="0093470E"/>
    <w:rPr>
      <w:i/>
      <w:iCs/>
    </w:rPr>
  </w:style>
  <w:style w:type="character" w:styleId="IntenseEmphasis">
    <w:name w:val="Intense Emphasis"/>
    <w:basedOn w:val="DefaultParagraphFont"/>
    <w:uiPriority w:val="21"/>
    <w:qFormat/>
    <w:rsid w:val="0093470E"/>
    <w:rPr>
      <w:i/>
      <w:iCs/>
      <w:color w:val="094183" w:themeColor="accent1"/>
    </w:rPr>
  </w:style>
  <w:style w:type="paragraph" w:styleId="TOC7">
    <w:name w:val="toc 7"/>
    <w:basedOn w:val="Normal"/>
    <w:next w:val="Normal"/>
    <w:autoRedefine/>
    <w:uiPriority w:val="39"/>
    <w:unhideWhenUsed/>
    <w:rsid w:val="0093470E"/>
    <w:pPr>
      <w:spacing w:after="0"/>
      <w:ind w:left="1200"/>
    </w:pPr>
    <w:rPr>
      <w:szCs w:val="20"/>
    </w:rPr>
  </w:style>
  <w:style w:type="paragraph" w:styleId="TOC8">
    <w:name w:val="toc 8"/>
    <w:basedOn w:val="Normal"/>
    <w:next w:val="Normal"/>
    <w:autoRedefine/>
    <w:uiPriority w:val="39"/>
    <w:unhideWhenUsed/>
    <w:rsid w:val="0093470E"/>
    <w:pPr>
      <w:spacing w:after="0"/>
      <w:ind w:left="1400"/>
    </w:pPr>
    <w:rPr>
      <w:szCs w:val="20"/>
    </w:rPr>
  </w:style>
  <w:style w:type="paragraph" w:styleId="TOC9">
    <w:name w:val="toc 9"/>
    <w:basedOn w:val="Normal"/>
    <w:next w:val="Normal"/>
    <w:autoRedefine/>
    <w:uiPriority w:val="39"/>
    <w:unhideWhenUsed/>
    <w:rsid w:val="0093470E"/>
    <w:pPr>
      <w:spacing w:after="0"/>
      <w:ind w:left="1600"/>
    </w:pPr>
    <w:rPr>
      <w:szCs w:val="20"/>
    </w:rPr>
  </w:style>
  <w:style w:type="paragraph" w:styleId="CommentSubject">
    <w:name w:val="annotation subject"/>
    <w:basedOn w:val="CommentText"/>
    <w:next w:val="CommentText"/>
    <w:link w:val="CommentSubjectChar"/>
    <w:uiPriority w:val="99"/>
    <w:semiHidden/>
    <w:unhideWhenUsed/>
    <w:rsid w:val="0093470E"/>
    <w:pPr>
      <w:spacing w:after="200"/>
    </w:pPr>
    <w:rPr>
      <w:b/>
      <w:bCs/>
    </w:rPr>
  </w:style>
  <w:style w:type="character" w:customStyle="1" w:styleId="CommentSubjectChar">
    <w:name w:val="Comment Subject Char"/>
    <w:basedOn w:val="CommentTextChar"/>
    <w:link w:val="CommentSubject"/>
    <w:uiPriority w:val="99"/>
    <w:semiHidden/>
    <w:rsid w:val="0093470E"/>
    <w:rPr>
      <w:rFonts w:ascii="Times New Roman" w:eastAsiaTheme="minorHAnsi" w:hAnsi="Times New Roman" w:cs="Times New Roman"/>
      <w:b/>
      <w:bCs/>
      <w:sz w:val="20"/>
      <w:szCs w:val="20"/>
      <w:lang w:val="en-US"/>
    </w:rPr>
  </w:style>
  <w:style w:type="paragraph" w:customStyle="1" w:styleId="Normal0">
    <w:name w:val="[Normal]"/>
    <w:rsid w:val="0093470E"/>
    <w:pPr>
      <w:widowControl w:val="0"/>
      <w:autoSpaceDE w:val="0"/>
      <w:autoSpaceDN w:val="0"/>
      <w:adjustRightInd w:val="0"/>
      <w:spacing w:after="0" w:line="240" w:lineRule="auto"/>
    </w:pPr>
    <w:rPr>
      <w:rFonts w:ascii="Arial" w:eastAsiaTheme="minorHAnsi" w:hAnsi="Arial" w:cs="Arial"/>
      <w:sz w:val="24"/>
      <w:szCs w:val="24"/>
      <w:lang w:eastAsia="en-US"/>
    </w:rPr>
  </w:style>
  <w:style w:type="paragraph" w:styleId="FootnoteText">
    <w:name w:val="footnote text"/>
    <w:basedOn w:val="Normal"/>
    <w:link w:val="FootnoteTextChar"/>
    <w:uiPriority w:val="99"/>
    <w:semiHidden/>
    <w:unhideWhenUsed/>
    <w:rsid w:val="0093470E"/>
    <w:pPr>
      <w:spacing w:after="0" w:line="240" w:lineRule="auto"/>
    </w:pPr>
    <w:rPr>
      <w:rFonts w:ascii="Times New Roman" w:eastAsiaTheme="minorHAnsi" w:hAnsi="Times New Roman" w:cs="Times New Roman"/>
      <w:szCs w:val="20"/>
      <w:lang w:val="en-US"/>
    </w:rPr>
  </w:style>
  <w:style w:type="character" w:customStyle="1" w:styleId="FootnoteTextChar">
    <w:name w:val="Footnote Text Char"/>
    <w:basedOn w:val="DefaultParagraphFont"/>
    <w:link w:val="FootnoteText"/>
    <w:uiPriority w:val="99"/>
    <w:semiHidden/>
    <w:rsid w:val="0093470E"/>
    <w:rPr>
      <w:rFonts w:ascii="Times New Roman" w:eastAsiaTheme="minorHAnsi" w:hAnsi="Times New Roman" w:cs="Times New Roman"/>
      <w:sz w:val="20"/>
      <w:szCs w:val="20"/>
      <w:lang w:val="en-US"/>
    </w:rPr>
  </w:style>
  <w:style w:type="character" w:styleId="FootnoteReference">
    <w:name w:val="footnote reference"/>
    <w:basedOn w:val="DefaultParagraphFont"/>
    <w:uiPriority w:val="99"/>
    <w:semiHidden/>
    <w:unhideWhenUsed/>
    <w:rsid w:val="0093470E"/>
    <w:rPr>
      <w:vertAlign w:val="superscript"/>
    </w:rPr>
  </w:style>
  <w:style w:type="paragraph" w:styleId="EndnoteText">
    <w:name w:val="endnote text"/>
    <w:basedOn w:val="Normal"/>
    <w:link w:val="EndnoteTextChar"/>
    <w:uiPriority w:val="99"/>
    <w:semiHidden/>
    <w:unhideWhenUsed/>
    <w:rsid w:val="0093470E"/>
    <w:pPr>
      <w:spacing w:after="0" w:line="240" w:lineRule="auto"/>
    </w:pPr>
    <w:rPr>
      <w:rFonts w:ascii="Times New Roman" w:eastAsiaTheme="minorHAnsi" w:hAnsi="Times New Roman" w:cs="Times New Roman"/>
      <w:szCs w:val="20"/>
      <w:lang w:val="en-US"/>
    </w:rPr>
  </w:style>
  <w:style w:type="character" w:customStyle="1" w:styleId="EndnoteTextChar">
    <w:name w:val="Endnote Text Char"/>
    <w:basedOn w:val="DefaultParagraphFont"/>
    <w:link w:val="EndnoteText"/>
    <w:uiPriority w:val="99"/>
    <w:semiHidden/>
    <w:rsid w:val="0093470E"/>
    <w:rPr>
      <w:rFonts w:ascii="Times New Roman" w:eastAsiaTheme="minorHAnsi" w:hAnsi="Times New Roman" w:cs="Times New Roman"/>
      <w:sz w:val="20"/>
      <w:szCs w:val="20"/>
      <w:lang w:val="en-US"/>
    </w:rPr>
  </w:style>
  <w:style w:type="character" w:styleId="EndnoteReference">
    <w:name w:val="endnote reference"/>
    <w:basedOn w:val="DefaultParagraphFont"/>
    <w:uiPriority w:val="99"/>
    <w:semiHidden/>
    <w:unhideWhenUsed/>
    <w:rsid w:val="0093470E"/>
    <w:rPr>
      <w:vertAlign w:val="superscript"/>
    </w:rPr>
  </w:style>
  <w:style w:type="paragraph" w:styleId="Revision">
    <w:name w:val="Revision"/>
    <w:hidden/>
    <w:uiPriority w:val="99"/>
    <w:semiHidden/>
    <w:rsid w:val="0093470E"/>
    <w:pPr>
      <w:spacing w:after="0" w:line="240" w:lineRule="auto"/>
    </w:pPr>
    <w:rPr>
      <w:rFonts w:eastAsiaTheme="minorHAnsi"/>
      <w:lang w:eastAsia="en-US"/>
    </w:rPr>
  </w:style>
  <w:style w:type="character" w:customStyle="1" w:styleId="UnresolvedMention1">
    <w:name w:val="Unresolved Mention1"/>
    <w:basedOn w:val="DefaultParagraphFont"/>
    <w:uiPriority w:val="99"/>
    <w:semiHidden/>
    <w:unhideWhenUsed/>
    <w:rsid w:val="0093470E"/>
    <w:rPr>
      <w:color w:val="808080"/>
      <w:shd w:val="clear" w:color="auto" w:fill="E6E6E6"/>
    </w:rPr>
  </w:style>
  <w:style w:type="paragraph" w:customStyle="1" w:styleId="msonormal0">
    <w:name w:val="msonormal"/>
    <w:basedOn w:val="Normal"/>
    <w:rsid w:val="009347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93470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6">
    <w:name w:val="font6"/>
    <w:basedOn w:val="Normal"/>
    <w:rsid w:val="0093470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7">
    <w:name w:val="font7"/>
    <w:basedOn w:val="Normal"/>
    <w:rsid w:val="0093470E"/>
    <w:pP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66">
    <w:name w:val="xl66"/>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7">
    <w:name w:val="xl67"/>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8">
    <w:name w:val="xl68"/>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9">
    <w:name w:val="xl69"/>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222222"/>
      <w:sz w:val="24"/>
      <w:szCs w:val="24"/>
      <w:lang w:val="en-US"/>
    </w:rPr>
  </w:style>
  <w:style w:type="paragraph" w:customStyle="1" w:styleId="xl70">
    <w:name w:val="xl70"/>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rPr>
  </w:style>
  <w:style w:type="paragraph" w:customStyle="1" w:styleId="xl71">
    <w:name w:val="xl71"/>
    <w:basedOn w:val="Normal"/>
    <w:rsid w:val="0093470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styleId="DocumentMap">
    <w:name w:val="Document Map"/>
    <w:basedOn w:val="Normal"/>
    <w:link w:val="DocumentMapChar"/>
    <w:uiPriority w:val="99"/>
    <w:semiHidden/>
    <w:unhideWhenUsed/>
    <w:rsid w:val="001416C5"/>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416C5"/>
    <w:rPr>
      <w:rFonts w:ascii="Times New Roman" w:hAnsi="Times New Roman" w:cs="Times New Roman"/>
      <w:sz w:val="24"/>
      <w:szCs w:val="24"/>
    </w:rPr>
  </w:style>
  <w:style w:type="character" w:customStyle="1" w:styleId="UnresolvedMention">
    <w:name w:val="Unresolved Mention"/>
    <w:basedOn w:val="DefaultParagraphFont"/>
    <w:uiPriority w:val="99"/>
    <w:unhideWhenUsed/>
    <w:rsid w:val="00982C31"/>
    <w:rPr>
      <w:color w:val="808080"/>
      <w:shd w:val="clear" w:color="auto" w:fill="E6E6E6"/>
    </w:rPr>
  </w:style>
  <w:style w:type="paragraph" w:customStyle="1" w:styleId="Caption2">
    <w:name w:val="Caption2"/>
    <w:basedOn w:val="Normal0"/>
    <w:qFormat/>
    <w:rsid w:val="00813AA6"/>
    <w:pPr>
      <w:spacing w:after="240"/>
    </w:pPr>
    <w:rPr>
      <w:rFonts w:ascii="Calibri" w:hAnsi="Calibri"/>
      <w:b/>
    </w:rPr>
  </w:style>
  <w:style w:type="paragraph" w:customStyle="1" w:styleId="CaptionFig">
    <w:name w:val="CaptionFig"/>
    <w:basedOn w:val="Normal0"/>
    <w:qFormat/>
    <w:rsid w:val="00813AA6"/>
    <w:pPr>
      <w:spacing w:after="120"/>
    </w:pPr>
    <w:rPr>
      <w:rFonts w:asciiTheme="minorHAnsi" w:hAnsiTheme="minorHAnsi" w:cstheme="minorHAns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Number 2" w:qFormat="1"/>
    <w:lsdException w:name="List Number 3" w:qFormat="1"/>
    <w:lsdException w:name="List Number 4"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2E59"/>
    <w:pPr>
      <w:spacing w:after="120" w:line="264" w:lineRule="auto"/>
    </w:pPr>
    <w:rPr>
      <w:sz w:val="20"/>
    </w:rPr>
  </w:style>
  <w:style w:type="paragraph" w:styleId="Heading1">
    <w:name w:val="heading 1"/>
    <w:basedOn w:val="Normal"/>
    <w:next w:val="Normal"/>
    <w:link w:val="Heading1Char"/>
    <w:uiPriority w:val="9"/>
    <w:qFormat/>
    <w:rsid w:val="00695166"/>
    <w:pPr>
      <w:keepNext/>
      <w:keepLines/>
      <w:spacing w:before="160" w:after="100" w:line="240" w:lineRule="auto"/>
      <w:outlineLvl w:val="0"/>
    </w:pPr>
    <w:rPr>
      <w:rFonts w:ascii="Georgia" w:eastAsia="SimHei" w:hAnsi="Georgia" w:cs="Times New Roman"/>
      <w:b/>
      <w:color w:val="094183"/>
      <w:sz w:val="32"/>
      <w:szCs w:val="32"/>
      <w:lang w:eastAsia="en-US"/>
    </w:rPr>
  </w:style>
  <w:style w:type="paragraph" w:styleId="Heading2">
    <w:name w:val="heading 2"/>
    <w:basedOn w:val="Normal"/>
    <w:next w:val="Normal"/>
    <w:link w:val="Heading2Char"/>
    <w:uiPriority w:val="9"/>
    <w:unhideWhenUsed/>
    <w:qFormat/>
    <w:rsid w:val="00695166"/>
    <w:pPr>
      <w:keepNext/>
      <w:keepLines/>
      <w:spacing w:before="120" w:after="60" w:line="240" w:lineRule="auto"/>
      <w:outlineLvl w:val="1"/>
    </w:pPr>
    <w:rPr>
      <w:rFonts w:ascii="Georgia" w:eastAsia="SimHei" w:hAnsi="Georgia" w:cs="Times New Roman"/>
      <w:b/>
      <w:sz w:val="24"/>
      <w:szCs w:val="26"/>
      <w:lang w:eastAsia="en-US"/>
    </w:rPr>
  </w:style>
  <w:style w:type="paragraph" w:styleId="Heading3">
    <w:name w:val="heading 3"/>
    <w:basedOn w:val="Normal"/>
    <w:next w:val="Normal"/>
    <w:link w:val="Heading3Char"/>
    <w:uiPriority w:val="9"/>
    <w:unhideWhenUsed/>
    <w:qFormat/>
    <w:rsid w:val="00695166"/>
    <w:pPr>
      <w:keepNext/>
      <w:keepLines/>
      <w:spacing w:before="120" w:after="60" w:line="240" w:lineRule="auto"/>
      <w:outlineLvl w:val="2"/>
    </w:pPr>
    <w:rPr>
      <w:rFonts w:ascii="Georgia" w:eastAsia="SimHei" w:hAnsi="Georgia" w:cs="Times New Roman"/>
      <w:color w:val="094183"/>
      <w:sz w:val="24"/>
      <w:szCs w:val="24"/>
      <w:lang w:eastAsia="en-US"/>
    </w:rPr>
  </w:style>
  <w:style w:type="paragraph" w:styleId="Heading4">
    <w:name w:val="heading 4"/>
    <w:basedOn w:val="Normal"/>
    <w:next w:val="Normal"/>
    <w:link w:val="Heading4Char"/>
    <w:uiPriority w:val="9"/>
    <w:unhideWhenUsed/>
    <w:qFormat/>
    <w:rsid w:val="00695166"/>
    <w:pPr>
      <w:keepNext/>
      <w:keepLines/>
      <w:spacing w:before="120" w:after="60" w:line="240" w:lineRule="auto"/>
      <w:outlineLvl w:val="3"/>
    </w:pPr>
    <w:rPr>
      <w:rFonts w:ascii="Georgia" w:eastAsia="SimHei" w:hAnsi="Georgia" w:cs="Times New Roman"/>
      <w:b/>
      <w:iCs/>
      <w:lang w:eastAsia="en-US"/>
    </w:rPr>
  </w:style>
  <w:style w:type="paragraph" w:styleId="Heading5">
    <w:name w:val="heading 5"/>
    <w:basedOn w:val="Normal"/>
    <w:next w:val="Normal"/>
    <w:link w:val="Heading5Char"/>
    <w:uiPriority w:val="9"/>
    <w:unhideWhenUsed/>
    <w:rsid w:val="00340AA0"/>
    <w:pPr>
      <w:keepNext/>
      <w:keepLines/>
      <w:spacing w:after="6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rsid w:val="00340AA0"/>
    <w:pPr>
      <w:keepNext/>
      <w:keepLines/>
      <w:outlineLvl w:val="5"/>
    </w:pPr>
    <w:rPr>
      <w:rFonts w:asciiTheme="majorHAnsi" w:eastAsiaTheme="majorEastAsia" w:hAnsiTheme="majorHAnsi" w:cstheme="majorBidi"/>
      <w:color w:val="094183" w:themeColor="text2"/>
    </w:rPr>
  </w:style>
  <w:style w:type="paragraph" w:styleId="Heading7">
    <w:name w:val="heading 7"/>
    <w:basedOn w:val="Normal"/>
    <w:next w:val="Normal"/>
    <w:link w:val="Heading7Char"/>
    <w:uiPriority w:val="9"/>
    <w:unhideWhenUsed/>
    <w:rsid w:val="006342D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6342D8"/>
    <w:pPr>
      <w:keepNext/>
      <w:keepLines/>
      <w:spacing w:before="40" w:after="0"/>
      <w:outlineLvl w:val="7"/>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754259"/>
    <w:pPr>
      <w:tabs>
        <w:tab w:val="left" w:pos="480"/>
        <w:tab w:val="left" w:pos="960"/>
        <w:tab w:val="left" w:pos="1440"/>
        <w:tab w:val="left" w:pos="1920"/>
        <w:tab w:val="left" w:pos="2400"/>
        <w:tab w:val="left" w:pos="2880"/>
        <w:tab w:val="left" w:pos="3360"/>
        <w:tab w:val="left" w:pos="3840"/>
        <w:tab w:val="left" w:pos="4320"/>
      </w:tabs>
      <w:spacing w:line="276" w:lineRule="auto"/>
    </w:pPr>
  </w:style>
  <w:style w:type="character" w:customStyle="1" w:styleId="MacroTextChar">
    <w:name w:val="Macro Text Char"/>
    <w:basedOn w:val="DefaultParagraphFont"/>
    <w:link w:val="MacroText"/>
    <w:uiPriority w:val="99"/>
    <w:semiHidden/>
    <w:rsid w:val="00754259"/>
    <w:rPr>
      <w:sz w:val="20"/>
      <w:szCs w:val="20"/>
    </w:rPr>
  </w:style>
  <w:style w:type="paragraph" w:styleId="ListBullet">
    <w:name w:val="List Bullet"/>
    <w:basedOn w:val="Normal"/>
    <w:uiPriority w:val="99"/>
    <w:unhideWhenUsed/>
    <w:qFormat/>
    <w:rsid w:val="000E5133"/>
    <w:pPr>
      <w:numPr>
        <w:numId w:val="10"/>
      </w:numPr>
      <w:contextualSpacing/>
    </w:pPr>
  </w:style>
  <w:style w:type="paragraph" w:styleId="ListBullet2">
    <w:name w:val="List Bullet 2"/>
    <w:basedOn w:val="Normal"/>
    <w:uiPriority w:val="99"/>
    <w:unhideWhenUsed/>
    <w:qFormat/>
    <w:rsid w:val="000E5133"/>
    <w:pPr>
      <w:numPr>
        <w:ilvl w:val="1"/>
        <w:numId w:val="10"/>
      </w:numPr>
      <w:contextualSpacing/>
    </w:pPr>
  </w:style>
  <w:style w:type="paragraph" w:styleId="ListBullet3">
    <w:name w:val="List Bullet 3"/>
    <w:basedOn w:val="Normal"/>
    <w:uiPriority w:val="99"/>
    <w:unhideWhenUsed/>
    <w:rsid w:val="000E5133"/>
    <w:pPr>
      <w:numPr>
        <w:ilvl w:val="2"/>
        <w:numId w:val="10"/>
      </w:numPr>
      <w:contextualSpacing/>
    </w:pPr>
  </w:style>
  <w:style w:type="paragraph" w:styleId="ListBullet4">
    <w:name w:val="List Bullet 4"/>
    <w:basedOn w:val="Normal"/>
    <w:uiPriority w:val="99"/>
    <w:unhideWhenUsed/>
    <w:rsid w:val="000E5133"/>
    <w:pPr>
      <w:numPr>
        <w:ilvl w:val="3"/>
        <w:numId w:val="10"/>
      </w:numPr>
      <w:contextualSpacing/>
    </w:pPr>
  </w:style>
  <w:style w:type="numbering" w:customStyle="1" w:styleId="Bullets">
    <w:name w:val="Bullets"/>
    <w:uiPriority w:val="99"/>
    <w:rsid w:val="000E5133"/>
    <w:pPr>
      <w:numPr>
        <w:numId w:val="1"/>
      </w:numPr>
    </w:pPr>
  </w:style>
  <w:style w:type="paragraph" w:styleId="ListNumber">
    <w:name w:val="List Number"/>
    <w:basedOn w:val="Normal"/>
    <w:uiPriority w:val="99"/>
    <w:unhideWhenUsed/>
    <w:qFormat/>
    <w:rsid w:val="000E5133"/>
    <w:pPr>
      <w:numPr>
        <w:numId w:val="11"/>
      </w:numPr>
      <w:contextualSpacing/>
    </w:pPr>
  </w:style>
  <w:style w:type="paragraph" w:styleId="ListNumber2">
    <w:name w:val="List Number 2"/>
    <w:basedOn w:val="Normal"/>
    <w:uiPriority w:val="99"/>
    <w:unhideWhenUsed/>
    <w:qFormat/>
    <w:rsid w:val="000E5133"/>
    <w:pPr>
      <w:numPr>
        <w:ilvl w:val="1"/>
        <w:numId w:val="11"/>
      </w:numPr>
      <w:contextualSpacing/>
    </w:pPr>
  </w:style>
  <w:style w:type="paragraph" w:styleId="ListNumber3">
    <w:name w:val="List Number 3"/>
    <w:basedOn w:val="Normal"/>
    <w:uiPriority w:val="99"/>
    <w:unhideWhenUsed/>
    <w:qFormat/>
    <w:rsid w:val="000E5133"/>
    <w:pPr>
      <w:numPr>
        <w:ilvl w:val="2"/>
        <w:numId w:val="11"/>
      </w:numPr>
      <w:contextualSpacing/>
    </w:pPr>
  </w:style>
  <w:style w:type="paragraph" w:styleId="ListNumber4">
    <w:name w:val="List Number 4"/>
    <w:basedOn w:val="Normal"/>
    <w:uiPriority w:val="99"/>
    <w:unhideWhenUsed/>
    <w:qFormat/>
    <w:rsid w:val="000E5133"/>
    <w:pPr>
      <w:numPr>
        <w:ilvl w:val="3"/>
        <w:numId w:val="11"/>
      </w:numPr>
      <w:contextualSpacing/>
    </w:pPr>
  </w:style>
  <w:style w:type="numbering" w:customStyle="1" w:styleId="NumberedLists">
    <w:name w:val="Numbered Lists"/>
    <w:uiPriority w:val="99"/>
    <w:rsid w:val="000E5133"/>
    <w:pPr>
      <w:numPr>
        <w:numId w:val="2"/>
      </w:numPr>
    </w:pPr>
  </w:style>
  <w:style w:type="paragraph" w:styleId="ListContinue">
    <w:name w:val="List Continue"/>
    <w:basedOn w:val="Normal"/>
    <w:uiPriority w:val="99"/>
    <w:unhideWhenUsed/>
    <w:rsid w:val="005D6E2A"/>
    <w:pPr>
      <w:ind w:left="340"/>
    </w:pPr>
  </w:style>
  <w:style w:type="paragraph" w:styleId="ListNumber5">
    <w:name w:val="List Number 5"/>
    <w:basedOn w:val="Normal"/>
    <w:uiPriority w:val="99"/>
    <w:unhideWhenUsed/>
    <w:rsid w:val="000E5133"/>
    <w:pPr>
      <w:numPr>
        <w:ilvl w:val="4"/>
        <w:numId w:val="11"/>
      </w:numPr>
      <w:contextualSpacing/>
    </w:pPr>
  </w:style>
  <w:style w:type="paragraph" w:styleId="ListContinue2">
    <w:name w:val="List Continue 2"/>
    <w:basedOn w:val="Normal"/>
    <w:uiPriority w:val="99"/>
    <w:unhideWhenUsed/>
    <w:rsid w:val="005D6E2A"/>
    <w:pPr>
      <w:ind w:left="680"/>
    </w:pPr>
  </w:style>
  <w:style w:type="paragraph" w:styleId="ListContinue3">
    <w:name w:val="List Continue 3"/>
    <w:basedOn w:val="Normal"/>
    <w:uiPriority w:val="99"/>
    <w:semiHidden/>
    <w:unhideWhenUsed/>
    <w:rsid w:val="005D6E2A"/>
    <w:pPr>
      <w:ind w:left="1021"/>
    </w:pPr>
  </w:style>
  <w:style w:type="paragraph" w:styleId="ListContinue4">
    <w:name w:val="List Continue 4"/>
    <w:basedOn w:val="Normal"/>
    <w:uiPriority w:val="99"/>
    <w:semiHidden/>
    <w:unhideWhenUsed/>
    <w:rsid w:val="005D6E2A"/>
    <w:pPr>
      <w:ind w:left="1361"/>
    </w:pPr>
  </w:style>
  <w:style w:type="paragraph" w:styleId="Header">
    <w:name w:val="header"/>
    <w:basedOn w:val="Normal"/>
    <w:link w:val="HeaderChar"/>
    <w:uiPriority w:val="99"/>
    <w:unhideWhenUsed/>
    <w:rsid w:val="00304881"/>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304881"/>
    <w:rPr>
      <w:sz w:val="20"/>
    </w:rPr>
  </w:style>
  <w:style w:type="paragraph" w:styleId="Footer">
    <w:name w:val="footer"/>
    <w:basedOn w:val="Normal"/>
    <w:link w:val="FooterChar"/>
    <w:uiPriority w:val="99"/>
    <w:unhideWhenUsed/>
    <w:rsid w:val="00E10F5F"/>
    <w:pPr>
      <w:tabs>
        <w:tab w:val="center" w:pos="4513"/>
        <w:tab w:val="right" w:pos="9026"/>
      </w:tabs>
      <w:spacing w:after="0" w:line="240" w:lineRule="auto"/>
    </w:pPr>
    <w:rPr>
      <w:color w:val="094183" w:themeColor="text2"/>
    </w:rPr>
  </w:style>
  <w:style w:type="character" w:customStyle="1" w:styleId="FooterChar">
    <w:name w:val="Footer Char"/>
    <w:basedOn w:val="DefaultParagraphFont"/>
    <w:link w:val="Footer"/>
    <w:uiPriority w:val="99"/>
    <w:rsid w:val="00E10F5F"/>
    <w:rPr>
      <w:color w:val="094183" w:themeColor="text2"/>
      <w:sz w:val="20"/>
    </w:rPr>
  </w:style>
  <w:style w:type="paragraph" w:styleId="Title">
    <w:name w:val="Title"/>
    <w:basedOn w:val="Normal"/>
    <w:next w:val="Normal"/>
    <w:link w:val="TitleChar"/>
    <w:uiPriority w:val="10"/>
    <w:qFormat/>
    <w:rsid w:val="008C2D5A"/>
    <w:pPr>
      <w:framePr w:w="6804" w:hSpace="2835" w:wrap="around" w:vAnchor="page" w:hAnchor="margin" w:y="5104" w:anchorLock="1"/>
      <w:spacing w:after="0" w:line="240" w:lineRule="auto"/>
      <w:contextualSpacing/>
    </w:pPr>
    <w:rPr>
      <w:rFonts w:asciiTheme="majorHAnsi" w:eastAsiaTheme="majorEastAsia" w:hAnsiTheme="majorHAnsi" w:cstheme="majorBidi"/>
      <w:b/>
      <w:color w:val="094183" w:themeColor="text2"/>
      <w:spacing w:val="-10"/>
      <w:kern w:val="28"/>
      <w:sz w:val="48"/>
      <w:szCs w:val="56"/>
    </w:rPr>
  </w:style>
  <w:style w:type="character" w:customStyle="1" w:styleId="TitleChar">
    <w:name w:val="Title Char"/>
    <w:basedOn w:val="DefaultParagraphFont"/>
    <w:link w:val="Title"/>
    <w:uiPriority w:val="10"/>
    <w:rsid w:val="008C2D5A"/>
    <w:rPr>
      <w:rFonts w:asciiTheme="majorHAnsi" w:eastAsiaTheme="majorEastAsia" w:hAnsiTheme="majorHAnsi" w:cstheme="majorBidi"/>
      <w:b/>
      <w:color w:val="094183" w:themeColor="text2"/>
      <w:spacing w:val="-10"/>
      <w:kern w:val="28"/>
      <w:sz w:val="48"/>
      <w:szCs w:val="56"/>
    </w:rPr>
  </w:style>
  <w:style w:type="character" w:styleId="PlaceholderText">
    <w:name w:val="Placeholder Text"/>
    <w:basedOn w:val="DefaultParagraphFont"/>
    <w:uiPriority w:val="99"/>
    <w:semiHidden/>
    <w:rsid w:val="00BC71CA"/>
    <w:rPr>
      <w:color w:val="808080"/>
    </w:rPr>
  </w:style>
  <w:style w:type="paragraph" w:styleId="Subtitle">
    <w:name w:val="Subtitle"/>
    <w:basedOn w:val="Normal"/>
    <w:next w:val="Normal"/>
    <w:link w:val="SubtitleChar"/>
    <w:uiPriority w:val="11"/>
    <w:qFormat/>
    <w:rsid w:val="008C2D5A"/>
    <w:pPr>
      <w:framePr w:w="6804" w:hSpace="2835" w:wrap="around" w:vAnchor="page" w:hAnchor="margin" w:y="5104" w:anchorLock="1"/>
      <w:numPr>
        <w:ilvl w:val="1"/>
      </w:numPr>
      <w:spacing w:before="360"/>
    </w:pPr>
    <w:rPr>
      <w:color w:val="000000" w:themeColor="text1"/>
      <w:sz w:val="32"/>
    </w:rPr>
  </w:style>
  <w:style w:type="character" w:customStyle="1" w:styleId="SubtitleChar">
    <w:name w:val="Subtitle Char"/>
    <w:basedOn w:val="DefaultParagraphFont"/>
    <w:link w:val="Subtitle"/>
    <w:uiPriority w:val="11"/>
    <w:rsid w:val="008C2D5A"/>
    <w:rPr>
      <w:color w:val="000000" w:themeColor="text1"/>
      <w:sz w:val="32"/>
    </w:rPr>
  </w:style>
  <w:style w:type="paragraph" w:customStyle="1" w:styleId="Coverimage-portrait">
    <w:name w:val="Cover image-portrait"/>
    <w:basedOn w:val="Normal"/>
    <w:rsid w:val="00C55EEB"/>
    <w:pPr>
      <w:framePr w:w="11340" w:h="16273" w:hRule="exact" w:wrap="around" w:vAnchor="page" w:hAnchor="page" w:x="285" w:y="285" w:anchorLock="1"/>
    </w:pPr>
  </w:style>
  <w:style w:type="character" w:customStyle="1" w:styleId="Heading1Char">
    <w:name w:val="Heading 1 Char"/>
    <w:basedOn w:val="DefaultParagraphFont"/>
    <w:link w:val="Heading1"/>
    <w:uiPriority w:val="9"/>
    <w:rsid w:val="00695166"/>
    <w:rPr>
      <w:rFonts w:ascii="Georgia" w:eastAsia="SimHei" w:hAnsi="Georgia" w:cs="Times New Roman"/>
      <w:b/>
      <w:color w:val="094183"/>
      <w:sz w:val="32"/>
      <w:szCs w:val="32"/>
      <w:lang w:eastAsia="en-US"/>
    </w:rPr>
  </w:style>
  <w:style w:type="paragraph" w:customStyle="1" w:styleId="NumberedHeading1">
    <w:name w:val="Numbered Heading 1"/>
    <w:basedOn w:val="Heading1"/>
    <w:qFormat/>
    <w:rsid w:val="000E5133"/>
    <w:pPr>
      <w:numPr>
        <w:numId w:val="9"/>
      </w:numPr>
    </w:pPr>
  </w:style>
  <w:style w:type="character" w:customStyle="1" w:styleId="Heading2Char">
    <w:name w:val="Heading 2 Char"/>
    <w:basedOn w:val="DefaultParagraphFont"/>
    <w:link w:val="Heading2"/>
    <w:uiPriority w:val="9"/>
    <w:rsid w:val="00695166"/>
    <w:rPr>
      <w:rFonts w:ascii="Georgia" w:eastAsia="SimHei" w:hAnsi="Georgia" w:cs="Times New Roman"/>
      <w:b/>
      <w:sz w:val="24"/>
      <w:szCs w:val="26"/>
      <w:lang w:eastAsia="en-US"/>
    </w:rPr>
  </w:style>
  <w:style w:type="character" w:customStyle="1" w:styleId="Heading3Char">
    <w:name w:val="Heading 3 Char"/>
    <w:basedOn w:val="DefaultParagraphFont"/>
    <w:link w:val="Heading3"/>
    <w:uiPriority w:val="9"/>
    <w:rsid w:val="00695166"/>
    <w:rPr>
      <w:rFonts w:ascii="Georgia" w:eastAsia="SimHei" w:hAnsi="Georgia" w:cs="Times New Roman"/>
      <w:color w:val="094183"/>
      <w:sz w:val="24"/>
      <w:szCs w:val="24"/>
      <w:lang w:eastAsia="en-US"/>
    </w:rPr>
  </w:style>
  <w:style w:type="character" w:customStyle="1" w:styleId="Heading4Char">
    <w:name w:val="Heading 4 Char"/>
    <w:basedOn w:val="DefaultParagraphFont"/>
    <w:link w:val="Heading4"/>
    <w:uiPriority w:val="9"/>
    <w:rsid w:val="00695166"/>
    <w:rPr>
      <w:rFonts w:ascii="Georgia" w:eastAsia="SimHei" w:hAnsi="Georgia" w:cs="Times New Roman"/>
      <w:b/>
      <w:iCs/>
      <w:sz w:val="20"/>
      <w:lang w:eastAsia="en-US"/>
    </w:rPr>
  </w:style>
  <w:style w:type="paragraph" w:customStyle="1" w:styleId="NumberedHeading2">
    <w:name w:val="Numbered Heading 2"/>
    <w:basedOn w:val="Heading2"/>
    <w:qFormat/>
    <w:rsid w:val="000E5133"/>
    <w:pPr>
      <w:numPr>
        <w:ilvl w:val="1"/>
        <w:numId w:val="9"/>
      </w:numPr>
    </w:pPr>
  </w:style>
  <w:style w:type="paragraph" w:customStyle="1" w:styleId="NumberedHeading3">
    <w:name w:val="Numbered Heading 3"/>
    <w:basedOn w:val="Heading3"/>
    <w:qFormat/>
    <w:rsid w:val="000E5133"/>
    <w:pPr>
      <w:numPr>
        <w:ilvl w:val="2"/>
        <w:numId w:val="9"/>
      </w:numPr>
    </w:pPr>
  </w:style>
  <w:style w:type="numbering" w:customStyle="1" w:styleId="NumberedHeadings">
    <w:name w:val="Numbered Headings"/>
    <w:uiPriority w:val="99"/>
    <w:rsid w:val="000E5133"/>
    <w:pPr>
      <w:numPr>
        <w:numId w:val="3"/>
      </w:numPr>
    </w:pPr>
  </w:style>
  <w:style w:type="paragraph" w:styleId="TOCHeading">
    <w:name w:val="TOC Heading"/>
    <w:basedOn w:val="Heading1"/>
    <w:next w:val="Normal"/>
    <w:uiPriority w:val="39"/>
    <w:unhideWhenUsed/>
    <w:qFormat/>
    <w:rsid w:val="001D0D30"/>
    <w:pPr>
      <w:spacing w:before="0" w:after="560" w:line="228" w:lineRule="auto"/>
      <w:outlineLvl w:val="9"/>
    </w:pPr>
    <w:rPr>
      <w:sz w:val="39"/>
    </w:rPr>
  </w:style>
  <w:style w:type="paragraph" w:customStyle="1" w:styleId="Coverimage-landscape">
    <w:name w:val="Cover image-landscape"/>
    <w:basedOn w:val="Coverimage-portrait"/>
    <w:rsid w:val="00246067"/>
    <w:pPr>
      <w:framePr w:w="7938" w:h="10773" w:hRule="exact" w:wrap="around" w:x="8336" w:y="568"/>
    </w:pPr>
  </w:style>
  <w:style w:type="paragraph" w:styleId="TOC1">
    <w:name w:val="toc 1"/>
    <w:basedOn w:val="Normal"/>
    <w:next w:val="Normal"/>
    <w:autoRedefine/>
    <w:uiPriority w:val="39"/>
    <w:unhideWhenUsed/>
    <w:rsid w:val="00114425"/>
    <w:pPr>
      <w:spacing w:before="120" w:after="0"/>
    </w:pPr>
    <w:rPr>
      <w:b/>
      <w:bCs/>
      <w:sz w:val="24"/>
      <w:szCs w:val="24"/>
    </w:rPr>
  </w:style>
  <w:style w:type="paragraph" w:styleId="TOC2">
    <w:name w:val="toc 2"/>
    <w:basedOn w:val="Normal"/>
    <w:next w:val="Normal"/>
    <w:autoRedefine/>
    <w:uiPriority w:val="39"/>
    <w:unhideWhenUsed/>
    <w:rsid w:val="00114425"/>
    <w:pPr>
      <w:spacing w:after="0"/>
      <w:ind w:left="200"/>
    </w:pPr>
    <w:rPr>
      <w:b/>
      <w:bCs/>
      <w:sz w:val="22"/>
    </w:rPr>
  </w:style>
  <w:style w:type="paragraph" w:styleId="TOC3">
    <w:name w:val="toc 3"/>
    <w:basedOn w:val="Normal"/>
    <w:next w:val="Normal"/>
    <w:autoRedefine/>
    <w:uiPriority w:val="39"/>
    <w:unhideWhenUsed/>
    <w:rsid w:val="001108AF"/>
    <w:pPr>
      <w:spacing w:after="0"/>
      <w:ind w:left="400"/>
    </w:pPr>
    <w:rPr>
      <w:sz w:val="22"/>
    </w:rPr>
  </w:style>
  <w:style w:type="character" w:styleId="Hyperlink">
    <w:name w:val="Hyperlink"/>
    <w:basedOn w:val="DefaultParagraphFont"/>
    <w:uiPriority w:val="99"/>
    <w:unhideWhenUsed/>
    <w:rsid w:val="001108AF"/>
    <w:rPr>
      <w:color w:val="000000" w:themeColor="hyperlink"/>
      <w:u w:val="single"/>
    </w:rPr>
  </w:style>
  <w:style w:type="paragraph" w:styleId="TOC4">
    <w:name w:val="toc 4"/>
    <w:basedOn w:val="Normal"/>
    <w:next w:val="Normal"/>
    <w:autoRedefine/>
    <w:uiPriority w:val="39"/>
    <w:unhideWhenUsed/>
    <w:rsid w:val="001108AF"/>
    <w:pPr>
      <w:spacing w:after="0"/>
      <w:ind w:left="600"/>
    </w:pPr>
    <w:rPr>
      <w:szCs w:val="20"/>
    </w:rPr>
  </w:style>
  <w:style w:type="paragraph" w:styleId="TOC5">
    <w:name w:val="toc 5"/>
    <w:basedOn w:val="Normal"/>
    <w:next w:val="Normal"/>
    <w:autoRedefine/>
    <w:uiPriority w:val="39"/>
    <w:unhideWhenUsed/>
    <w:rsid w:val="00837F62"/>
    <w:pPr>
      <w:spacing w:after="0"/>
      <w:ind w:left="800"/>
    </w:pPr>
    <w:rPr>
      <w:szCs w:val="20"/>
    </w:rPr>
  </w:style>
  <w:style w:type="paragraph" w:styleId="TOC6">
    <w:name w:val="toc 6"/>
    <w:basedOn w:val="Normal"/>
    <w:next w:val="Normal"/>
    <w:autoRedefine/>
    <w:uiPriority w:val="39"/>
    <w:unhideWhenUsed/>
    <w:rsid w:val="001108AF"/>
    <w:pPr>
      <w:spacing w:after="0"/>
      <w:ind w:left="1000"/>
    </w:pPr>
    <w:rPr>
      <w:szCs w:val="20"/>
    </w:rPr>
  </w:style>
  <w:style w:type="character" w:customStyle="1" w:styleId="Heading5Char">
    <w:name w:val="Heading 5 Char"/>
    <w:basedOn w:val="DefaultParagraphFont"/>
    <w:link w:val="Heading5"/>
    <w:uiPriority w:val="9"/>
    <w:rsid w:val="00340AA0"/>
    <w:rPr>
      <w:rFonts w:asciiTheme="majorHAnsi" w:eastAsiaTheme="majorEastAsia" w:hAnsiTheme="majorHAnsi" w:cstheme="majorBidi"/>
      <w:b/>
      <w:sz w:val="20"/>
    </w:rPr>
  </w:style>
  <w:style w:type="character" w:customStyle="1" w:styleId="Heading6Char">
    <w:name w:val="Heading 6 Char"/>
    <w:basedOn w:val="DefaultParagraphFont"/>
    <w:link w:val="Heading6"/>
    <w:uiPriority w:val="9"/>
    <w:rsid w:val="00340AA0"/>
    <w:rPr>
      <w:rFonts w:asciiTheme="majorHAnsi" w:eastAsiaTheme="majorEastAsia" w:hAnsiTheme="majorHAnsi" w:cstheme="majorBidi"/>
      <w:color w:val="094183" w:themeColor="text2"/>
      <w:sz w:val="20"/>
    </w:rPr>
  </w:style>
  <w:style w:type="character" w:customStyle="1" w:styleId="Heading7Char">
    <w:name w:val="Heading 7 Char"/>
    <w:basedOn w:val="DefaultParagraphFont"/>
    <w:link w:val="Heading7"/>
    <w:uiPriority w:val="9"/>
    <w:rsid w:val="006342D8"/>
    <w:rPr>
      <w:rFonts w:asciiTheme="majorHAnsi" w:eastAsiaTheme="majorEastAsia" w:hAnsiTheme="majorHAnsi" w:cstheme="majorBidi"/>
      <w:i/>
      <w:iCs/>
      <w:sz w:val="20"/>
    </w:rPr>
  </w:style>
  <w:style w:type="character" w:customStyle="1" w:styleId="Heading8Char">
    <w:name w:val="Heading 8 Char"/>
    <w:basedOn w:val="DefaultParagraphFont"/>
    <w:link w:val="Heading8"/>
    <w:uiPriority w:val="9"/>
    <w:rsid w:val="006342D8"/>
    <w:rPr>
      <w:rFonts w:asciiTheme="majorHAnsi" w:eastAsiaTheme="majorEastAsia" w:hAnsiTheme="majorHAnsi" w:cstheme="majorBidi"/>
      <w:sz w:val="21"/>
      <w:szCs w:val="21"/>
    </w:rPr>
  </w:style>
  <w:style w:type="paragraph" w:styleId="NoSpacing">
    <w:name w:val="No Spacing"/>
    <w:uiPriority w:val="1"/>
    <w:qFormat/>
    <w:rsid w:val="00C8566B"/>
    <w:pPr>
      <w:spacing w:after="0" w:line="264" w:lineRule="auto"/>
    </w:pPr>
    <w:rPr>
      <w:sz w:val="20"/>
    </w:rPr>
  </w:style>
  <w:style w:type="paragraph" w:styleId="Date">
    <w:name w:val="Date"/>
    <w:basedOn w:val="Normal"/>
    <w:next w:val="Normal"/>
    <w:link w:val="DateChar"/>
    <w:uiPriority w:val="99"/>
    <w:unhideWhenUsed/>
    <w:rsid w:val="008C2D5A"/>
    <w:pPr>
      <w:framePr w:w="6804" w:hSpace="2835" w:wrap="around" w:vAnchor="page" w:hAnchor="margin" w:y="5104" w:anchorLock="1"/>
    </w:pPr>
  </w:style>
  <w:style w:type="character" w:customStyle="1" w:styleId="DateChar">
    <w:name w:val="Date Char"/>
    <w:basedOn w:val="DefaultParagraphFont"/>
    <w:link w:val="Date"/>
    <w:uiPriority w:val="99"/>
    <w:rsid w:val="008C2D5A"/>
    <w:rPr>
      <w:sz w:val="20"/>
    </w:rPr>
  </w:style>
  <w:style w:type="paragraph" w:customStyle="1" w:styleId="Datecoverimage">
    <w:name w:val="Date cover image"/>
    <w:basedOn w:val="Date"/>
    <w:rsid w:val="0075751C"/>
    <w:pPr>
      <w:framePr w:wrap="around" w:y="7485"/>
    </w:pPr>
    <w:rPr>
      <w:color w:val="000000" w:themeColor="text1"/>
    </w:rPr>
  </w:style>
  <w:style w:type="paragraph" w:customStyle="1" w:styleId="AppendixTitle">
    <w:name w:val="Appendix Title"/>
    <w:basedOn w:val="Title"/>
    <w:next w:val="Normal"/>
    <w:rsid w:val="00342318"/>
    <w:pPr>
      <w:pageBreakBefore/>
      <w:framePr w:wrap="around" w:vAnchor="margin" w:hAnchor="text" w:y="1532"/>
      <w:numPr>
        <w:numId w:val="7"/>
      </w:numPr>
      <w:spacing w:after="360"/>
    </w:pPr>
    <w:rPr>
      <w:sz w:val="36"/>
    </w:rPr>
  </w:style>
  <w:style w:type="numbering" w:customStyle="1" w:styleId="Appendix">
    <w:name w:val="Appendix"/>
    <w:uiPriority w:val="99"/>
    <w:rsid w:val="00342318"/>
    <w:pPr>
      <w:numPr>
        <w:numId w:val="4"/>
      </w:numPr>
    </w:pPr>
  </w:style>
  <w:style w:type="paragraph" w:styleId="List">
    <w:name w:val="List"/>
    <w:basedOn w:val="Normal"/>
    <w:uiPriority w:val="99"/>
    <w:unhideWhenUsed/>
    <w:rsid w:val="00C07923"/>
    <w:pPr>
      <w:ind w:left="283" w:hanging="283"/>
      <w:contextualSpacing/>
    </w:pPr>
  </w:style>
  <w:style w:type="paragraph" w:styleId="List2">
    <w:name w:val="List 2"/>
    <w:basedOn w:val="Normal"/>
    <w:uiPriority w:val="99"/>
    <w:unhideWhenUsed/>
    <w:rsid w:val="00C07923"/>
    <w:pPr>
      <w:ind w:left="566" w:hanging="283"/>
      <w:contextualSpacing/>
    </w:pPr>
  </w:style>
  <w:style w:type="paragraph" w:customStyle="1" w:styleId="NumberedHeading4">
    <w:name w:val="Numbered Heading 4"/>
    <w:basedOn w:val="Heading4"/>
    <w:rsid w:val="00C07923"/>
    <w:pPr>
      <w:ind w:left="1021" w:hanging="1021"/>
    </w:pPr>
    <w:rPr>
      <w:b w:val="0"/>
      <w:caps/>
    </w:rPr>
  </w:style>
  <w:style w:type="numbering" w:customStyle="1" w:styleId="ListLetters">
    <w:name w:val="List Letters"/>
    <w:uiPriority w:val="99"/>
    <w:rsid w:val="00C07923"/>
    <w:pPr>
      <w:numPr>
        <w:numId w:val="5"/>
      </w:numPr>
    </w:pPr>
  </w:style>
  <w:style w:type="table" w:styleId="TableGrid">
    <w:name w:val="Table Grid"/>
    <w:basedOn w:val="TableNormal"/>
    <w:uiPriority w:val="39"/>
    <w:rsid w:val="00C07923"/>
    <w:pPr>
      <w:spacing w:after="0" w:line="240" w:lineRule="auto"/>
    </w:pPr>
    <w:rPr>
      <w:sz w:val="20"/>
    </w:rPr>
    <w:tblPr>
      <w:tblStyleRowBandSize w:val="1"/>
      <w:tblInd w:w="0" w:type="dxa"/>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basedOn w:val="Normal"/>
    <w:next w:val="Normal"/>
    <w:uiPriority w:val="35"/>
    <w:unhideWhenUsed/>
    <w:qFormat/>
    <w:rsid w:val="00C07923"/>
    <w:pPr>
      <w:spacing w:after="200" w:line="240" w:lineRule="auto"/>
    </w:pPr>
    <w:rPr>
      <w:b/>
      <w:iCs/>
      <w:sz w:val="24"/>
      <w:szCs w:val="18"/>
    </w:rPr>
  </w:style>
  <w:style w:type="paragraph" w:styleId="Quote">
    <w:name w:val="Quote"/>
    <w:basedOn w:val="Normal"/>
    <w:next w:val="Normal"/>
    <w:link w:val="QuoteChar"/>
    <w:uiPriority w:val="29"/>
    <w:rsid w:val="00C07923"/>
    <w:pPr>
      <w:spacing w:before="200" w:after="160" w:line="312" w:lineRule="auto"/>
      <w:ind w:left="340" w:right="862"/>
    </w:pPr>
    <w:rPr>
      <w:rFonts w:eastAsiaTheme="minorHAnsi"/>
      <w:i/>
      <w:iCs/>
      <w:color w:val="094183" w:themeColor="text2"/>
      <w:sz w:val="24"/>
      <w:lang w:eastAsia="en-US"/>
    </w:rPr>
  </w:style>
  <w:style w:type="character" w:customStyle="1" w:styleId="QuoteChar">
    <w:name w:val="Quote Char"/>
    <w:basedOn w:val="DefaultParagraphFont"/>
    <w:link w:val="Quote"/>
    <w:uiPriority w:val="29"/>
    <w:rsid w:val="00C07923"/>
    <w:rPr>
      <w:rFonts w:eastAsiaTheme="minorHAnsi"/>
      <w:i/>
      <w:iCs/>
      <w:color w:val="094183" w:themeColor="text2"/>
      <w:sz w:val="24"/>
      <w:lang w:eastAsia="en-US"/>
    </w:rPr>
  </w:style>
  <w:style w:type="paragraph" w:customStyle="1" w:styleId="Title-White">
    <w:name w:val="Title - White"/>
    <w:basedOn w:val="Title"/>
    <w:link w:val="Title-WhiteChar"/>
    <w:qFormat/>
    <w:rsid w:val="005B00AD"/>
    <w:pPr>
      <w:framePr w:wrap="around"/>
    </w:pPr>
    <w:rPr>
      <w:color w:val="FFFFFF" w:themeColor="background1"/>
    </w:rPr>
  </w:style>
  <w:style w:type="paragraph" w:customStyle="1" w:styleId="Subtitle-White">
    <w:name w:val="Subtitle - White"/>
    <w:basedOn w:val="Subtitle"/>
    <w:link w:val="Subtitle-WhiteChar"/>
    <w:qFormat/>
    <w:rsid w:val="005B00AD"/>
    <w:pPr>
      <w:framePr w:wrap="around"/>
    </w:pPr>
    <w:rPr>
      <w:color w:val="FFFFFF" w:themeColor="background1"/>
    </w:rPr>
  </w:style>
  <w:style w:type="character" w:customStyle="1" w:styleId="Title-WhiteChar">
    <w:name w:val="Title - White Char"/>
    <w:basedOn w:val="TitleChar"/>
    <w:link w:val="Title-White"/>
    <w:rsid w:val="005B00AD"/>
    <w:rPr>
      <w:rFonts w:asciiTheme="majorHAnsi" w:eastAsiaTheme="majorEastAsia" w:hAnsiTheme="majorHAnsi" w:cstheme="majorBidi"/>
      <w:b/>
      <w:color w:val="FFFFFF" w:themeColor="background1"/>
      <w:spacing w:val="-10"/>
      <w:kern w:val="28"/>
      <w:sz w:val="48"/>
      <w:szCs w:val="56"/>
    </w:rPr>
  </w:style>
  <w:style w:type="paragraph" w:styleId="NormalWeb">
    <w:name w:val="Normal (Web)"/>
    <w:basedOn w:val="Normal"/>
    <w:uiPriority w:val="99"/>
    <w:unhideWhenUsed/>
    <w:rsid w:val="00C55EEB"/>
    <w:pPr>
      <w:spacing w:before="100" w:beforeAutospacing="1" w:after="100" w:afterAutospacing="1" w:line="240" w:lineRule="auto"/>
    </w:pPr>
    <w:rPr>
      <w:rFonts w:ascii="Times New Roman" w:eastAsia="SimSun" w:hAnsi="Times New Roman" w:cs="Times New Roman"/>
      <w:sz w:val="24"/>
      <w:szCs w:val="24"/>
    </w:rPr>
  </w:style>
  <w:style w:type="paragraph" w:customStyle="1" w:styleId="Logo">
    <w:name w:val="Logo"/>
    <w:basedOn w:val="Normal"/>
    <w:qFormat/>
    <w:rsid w:val="001A1790"/>
    <w:pPr>
      <w:spacing w:after="240"/>
    </w:pPr>
  </w:style>
  <w:style w:type="paragraph" w:customStyle="1" w:styleId="Identifier">
    <w:name w:val="Identifier"/>
    <w:basedOn w:val="Normal"/>
    <w:qFormat/>
    <w:rsid w:val="001A1790"/>
    <w:pPr>
      <w:spacing w:before="120" w:after="360"/>
      <w:contextualSpacing/>
    </w:pPr>
    <w:rPr>
      <w:color w:val="094183" w:themeColor="text2"/>
      <w:sz w:val="28"/>
    </w:rPr>
  </w:style>
  <w:style w:type="paragraph" w:customStyle="1" w:styleId="Cornergraphic">
    <w:name w:val="Corner graphic"/>
    <w:basedOn w:val="Normal"/>
    <w:qFormat/>
    <w:rsid w:val="007976A1"/>
    <w:pPr>
      <w:framePr w:wrap="around" w:vAnchor="page" w:hAnchor="page" w:xAlign="right" w:yAlign="bottom" w:anchorLock="1"/>
      <w:spacing w:after="160" w:line="192" w:lineRule="auto"/>
      <w:jc w:val="right"/>
    </w:pPr>
    <w:rPr>
      <w:position w:val="-80"/>
    </w:rPr>
  </w:style>
  <w:style w:type="numbering" w:customStyle="1" w:styleId="Bullets1">
    <w:name w:val="Bullets1"/>
    <w:uiPriority w:val="99"/>
    <w:rsid w:val="00695166"/>
    <w:pPr>
      <w:numPr>
        <w:numId w:val="8"/>
      </w:numPr>
    </w:pPr>
  </w:style>
  <w:style w:type="paragraph" w:customStyle="1" w:styleId="Introduction">
    <w:name w:val="Introduction"/>
    <w:basedOn w:val="Normal"/>
    <w:link w:val="IntroductionChar"/>
    <w:qFormat/>
    <w:rsid w:val="00695166"/>
    <w:pPr>
      <w:keepNext/>
      <w:keepLines/>
      <w:spacing w:after="0" w:line="216" w:lineRule="auto"/>
      <w:outlineLvl w:val="0"/>
    </w:pPr>
    <w:rPr>
      <w:rFonts w:ascii="Calibri" w:eastAsia="SimHei" w:hAnsi="Calibri" w:cs="Times New Roman"/>
      <w:color w:val="094183"/>
      <w:sz w:val="28"/>
      <w:szCs w:val="32"/>
      <w:lang w:eastAsia="en-US"/>
    </w:rPr>
  </w:style>
  <w:style w:type="paragraph" w:customStyle="1" w:styleId="Pull-outBodyCopy">
    <w:name w:val="Pull-out Body Copy"/>
    <w:basedOn w:val="Normal"/>
    <w:link w:val="Pull-outBodyCopyChar"/>
    <w:qFormat/>
    <w:rsid w:val="00695166"/>
    <w:pPr>
      <w:pBdr>
        <w:top w:val="single" w:sz="4" w:space="6" w:color="094183" w:themeColor="text2"/>
        <w:left w:val="single" w:sz="4" w:space="6" w:color="094183" w:themeColor="text2"/>
        <w:bottom w:val="single" w:sz="4" w:space="6" w:color="094183" w:themeColor="text2"/>
        <w:right w:val="single" w:sz="4" w:space="6" w:color="094183" w:themeColor="text2"/>
      </w:pBdr>
      <w:shd w:val="clear" w:color="auto" w:fill="094183" w:themeFill="text2"/>
      <w:spacing w:before="80" w:after="80" w:line="312" w:lineRule="auto"/>
      <w:ind w:left="170" w:right="170"/>
    </w:pPr>
    <w:rPr>
      <w:rFonts w:eastAsiaTheme="minorHAnsi"/>
      <w:color w:val="FFFFFF" w:themeColor="background1"/>
      <w:lang w:eastAsia="en-US"/>
    </w:rPr>
  </w:style>
  <w:style w:type="character" w:customStyle="1" w:styleId="IntroductionChar">
    <w:name w:val="Introduction Char"/>
    <w:basedOn w:val="DefaultParagraphFont"/>
    <w:link w:val="Introduction"/>
    <w:rsid w:val="00695166"/>
    <w:rPr>
      <w:rFonts w:ascii="Calibri" w:eastAsia="SimHei" w:hAnsi="Calibri" w:cs="Times New Roman"/>
      <w:color w:val="094183"/>
      <w:sz w:val="28"/>
      <w:szCs w:val="32"/>
      <w:lang w:eastAsia="en-US"/>
    </w:rPr>
  </w:style>
  <w:style w:type="paragraph" w:customStyle="1" w:styleId="Pull-outHeading">
    <w:name w:val="Pull-out Heading"/>
    <w:basedOn w:val="Pull-outBodyCopy"/>
    <w:link w:val="Pull-outHeadingChar"/>
    <w:qFormat/>
    <w:rsid w:val="00695166"/>
    <w:rPr>
      <w:b/>
    </w:rPr>
  </w:style>
  <w:style w:type="character" w:customStyle="1" w:styleId="Pull-outBodyCopyChar">
    <w:name w:val="Pull-out Body Copy Char"/>
    <w:basedOn w:val="DefaultParagraphFont"/>
    <w:link w:val="Pull-outBodyCopy"/>
    <w:rsid w:val="00695166"/>
    <w:rPr>
      <w:rFonts w:eastAsiaTheme="minorHAnsi"/>
      <w:color w:val="FFFFFF" w:themeColor="background1"/>
      <w:sz w:val="20"/>
      <w:shd w:val="clear" w:color="auto" w:fill="094183" w:themeFill="text2"/>
      <w:lang w:eastAsia="en-US"/>
    </w:rPr>
  </w:style>
  <w:style w:type="paragraph" w:styleId="ListParagraph">
    <w:name w:val="List Paragraph"/>
    <w:basedOn w:val="Normal"/>
    <w:uiPriority w:val="34"/>
    <w:qFormat/>
    <w:rsid w:val="000E5133"/>
    <w:pPr>
      <w:ind w:left="340"/>
    </w:pPr>
  </w:style>
  <w:style w:type="character" w:customStyle="1" w:styleId="Pull-outHeadingChar">
    <w:name w:val="Pull-out Heading Char"/>
    <w:basedOn w:val="DefaultParagraphFont"/>
    <w:link w:val="Pull-outHeading"/>
    <w:rsid w:val="00695166"/>
    <w:rPr>
      <w:rFonts w:eastAsiaTheme="minorHAnsi"/>
      <w:b/>
      <w:color w:val="FFFFFF" w:themeColor="background1"/>
      <w:sz w:val="20"/>
      <w:shd w:val="clear" w:color="auto" w:fill="094183" w:themeFill="text2"/>
      <w:lang w:eastAsia="en-US"/>
    </w:rPr>
  </w:style>
  <w:style w:type="paragraph" w:customStyle="1" w:styleId="Pull-outBullets">
    <w:name w:val="Pull-out Bullets"/>
    <w:basedOn w:val="Pull-outBodyCopy"/>
    <w:link w:val="Pull-outBulletsChar"/>
    <w:qFormat/>
    <w:rsid w:val="00695166"/>
    <w:pPr>
      <w:numPr>
        <w:numId w:val="6"/>
      </w:numPr>
      <w:ind w:left="397" w:hanging="227"/>
    </w:pPr>
  </w:style>
  <w:style w:type="character" w:customStyle="1" w:styleId="Pull-outBulletsChar">
    <w:name w:val="Pull-out Bullets Char"/>
    <w:basedOn w:val="Pull-outBodyCopyChar"/>
    <w:link w:val="Pull-outBullets"/>
    <w:rsid w:val="00695166"/>
    <w:rPr>
      <w:rFonts w:eastAsiaTheme="minorHAnsi"/>
      <w:color w:val="FFFFFF" w:themeColor="background1"/>
      <w:sz w:val="20"/>
      <w:shd w:val="clear" w:color="auto" w:fill="094183" w:themeFill="text2"/>
      <w:lang w:eastAsia="en-US"/>
    </w:rPr>
  </w:style>
  <w:style w:type="character" w:customStyle="1" w:styleId="Subtitle-WhiteChar">
    <w:name w:val="Subtitle - White Char"/>
    <w:basedOn w:val="SubtitleChar"/>
    <w:link w:val="Subtitle-White"/>
    <w:rsid w:val="005B00AD"/>
    <w:rPr>
      <w:color w:val="FFFFFF" w:themeColor="background1"/>
      <w:sz w:val="32"/>
    </w:rPr>
  </w:style>
  <w:style w:type="paragraph" w:customStyle="1" w:styleId="Title-Divider">
    <w:name w:val="Title - Divider"/>
    <w:basedOn w:val="Title"/>
    <w:link w:val="Title-DividerChar"/>
    <w:qFormat/>
    <w:rsid w:val="00601E2F"/>
    <w:pPr>
      <w:framePr w:w="7371" w:wrap="notBeside" w:y="1078"/>
      <w:spacing w:after="310"/>
      <w:outlineLvl w:val="0"/>
    </w:pPr>
    <w:rPr>
      <w:spacing w:val="0"/>
    </w:rPr>
  </w:style>
  <w:style w:type="paragraph" w:customStyle="1" w:styleId="Subtitle-Divider">
    <w:name w:val="Subtitle - Divider"/>
    <w:basedOn w:val="Title-Divider"/>
    <w:link w:val="Subtitle-DividerChar"/>
    <w:qFormat/>
    <w:rsid w:val="00F962A9"/>
    <w:pPr>
      <w:framePr w:wrap="notBeside"/>
      <w:outlineLvl w:val="9"/>
    </w:pPr>
    <w:rPr>
      <w:rFonts w:asciiTheme="minorHAnsi" w:hAnsiTheme="minorHAnsi"/>
      <w:b w:val="0"/>
      <w:color w:val="000000" w:themeColor="text1"/>
      <w:sz w:val="32"/>
      <w:lang w:eastAsia="en-US"/>
    </w:rPr>
  </w:style>
  <w:style w:type="character" w:customStyle="1" w:styleId="Title-DividerChar">
    <w:name w:val="Title - Divider Char"/>
    <w:basedOn w:val="TitleChar"/>
    <w:link w:val="Title-Divider"/>
    <w:rsid w:val="00601E2F"/>
    <w:rPr>
      <w:rFonts w:asciiTheme="majorHAnsi" w:eastAsiaTheme="majorEastAsia" w:hAnsiTheme="majorHAnsi" w:cstheme="majorBidi"/>
      <w:b/>
      <w:color w:val="094183" w:themeColor="text2"/>
      <w:spacing w:val="-10"/>
      <w:kern w:val="28"/>
      <w:sz w:val="48"/>
      <w:szCs w:val="56"/>
    </w:rPr>
  </w:style>
  <w:style w:type="paragraph" w:customStyle="1" w:styleId="Footerlocation">
    <w:name w:val="Footer location"/>
    <w:unhideWhenUsed/>
    <w:rsid w:val="000E78EF"/>
    <w:pPr>
      <w:framePr w:w="9639" w:vSpace="567" w:wrap="around" w:hAnchor="margin" w:yAlign="bottom" w:anchorLock="1"/>
      <w:spacing w:after="0" w:line="240" w:lineRule="auto"/>
    </w:pPr>
    <w:rPr>
      <w:rFonts w:eastAsiaTheme="minorHAnsi"/>
      <w:b/>
      <w:color w:val="094183" w:themeColor="text2"/>
      <w:sz w:val="18"/>
      <w:lang w:eastAsia="en-US"/>
    </w:rPr>
  </w:style>
  <w:style w:type="character" w:customStyle="1" w:styleId="Subtitle-DividerChar">
    <w:name w:val="Subtitle - Divider Char"/>
    <w:basedOn w:val="SubtitleChar"/>
    <w:link w:val="Subtitle-Divider"/>
    <w:rsid w:val="00F962A9"/>
    <w:rPr>
      <w:rFonts w:eastAsiaTheme="majorEastAsia" w:cstheme="majorBidi"/>
      <w:color w:val="000000" w:themeColor="text1"/>
      <w:kern w:val="28"/>
      <w:sz w:val="32"/>
      <w:szCs w:val="56"/>
      <w:lang w:eastAsia="en-US"/>
    </w:rPr>
  </w:style>
  <w:style w:type="table" w:customStyle="1" w:styleId="Blank">
    <w:name w:val="Blank"/>
    <w:basedOn w:val="TableNormal"/>
    <w:uiPriority w:val="99"/>
    <w:rsid w:val="009D200D"/>
    <w:pPr>
      <w:spacing w:after="0" w:line="240" w:lineRule="auto"/>
    </w:pPr>
    <w:rPr>
      <w:rFonts w:eastAsiaTheme="minorHAnsi"/>
      <w:lang w:eastAsia="en-US"/>
    </w:rPr>
    <w:tblPr>
      <w:tblInd w:w="0" w:type="dxa"/>
      <w:tblCellMar>
        <w:top w:w="57" w:type="dxa"/>
        <w:left w:w="0" w:type="dxa"/>
        <w:bottom w:w="0" w:type="dxa"/>
        <w:right w:w="113" w:type="dxa"/>
      </w:tblCellMar>
    </w:tblPr>
  </w:style>
  <w:style w:type="paragraph" w:customStyle="1" w:styleId="EndPageGraphic">
    <w:name w:val="End Page Graphic"/>
    <w:basedOn w:val="Normal"/>
    <w:link w:val="EndPageGraphicChar"/>
    <w:rsid w:val="000E78EF"/>
    <w:pPr>
      <w:framePr w:wrap="notBeside" w:vAnchor="page" w:hAnchor="page" w:y="1" w:anchorLock="1"/>
    </w:pPr>
  </w:style>
  <w:style w:type="character" w:customStyle="1" w:styleId="EndPageGraphicChar">
    <w:name w:val="End Page Graphic Char"/>
    <w:basedOn w:val="DefaultParagraphFont"/>
    <w:link w:val="EndPageGraphic"/>
    <w:rsid w:val="000E78EF"/>
    <w:rPr>
      <w:sz w:val="20"/>
    </w:rPr>
  </w:style>
  <w:style w:type="character" w:styleId="Strong">
    <w:name w:val="Strong"/>
    <w:basedOn w:val="DefaultParagraphFont"/>
    <w:uiPriority w:val="22"/>
    <w:rsid w:val="005B2E59"/>
    <w:rPr>
      <w:b/>
      <w:bCs/>
    </w:rPr>
  </w:style>
  <w:style w:type="paragraph" w:customStyle="1" w:styleId="Topleft">
    <w:name w:val="Top left"/>
    <w:basedOn w:val="Logo"/>
    <w:rsid w:val="007D029B"/>
    <w:pPr>
      <w:framePr w:w="11907" w:wrap="around" w:vAnchor="page" w:hAnchor="page" w:yAlign="top" w:anchorLock="1"/>
    </w:pPr>
    <w:rPr>
      <w:noProof/>
    </w:rPr>
  </w:style>
  <w:style w:type="paragraph" w:customStyle="1" w:styleId="Footerright">
    <w:name w:val="Footer right"/>
    <w:basedOn w:val="Normal"/>
    <w:rsid w:val="00A02E4C"/>
    <w:pPr>
      <w:framePr w:w="1701" w:h="1043" w:hRule="exact" w:wrap="around" w:vAnchor="page" w:hAnchor="margin" w:xAlign="right" w:yAlign="bottom" w:anchorLock="1"/>
      <w:tabs>
        <w:tab w:val="center" w:pos="4513"/>
        <w:tab w:val="right" w:pos="9026"/>
      </w:tabs>
      <w:spacing w:after="0" w:line="240" w:lineRule="auto"/>
      <w:jc w:val="right"/>
    </w:pPr>
    <w:rPr>
      <w:color w:val="094183" w:themeColor="text2"/>
    </w:rPr>
  </w:style>
  <w:style w:type="paragraph" w:customStyle="1" w:styleId="Topleft-backpage">
    <w:name w:val="Top left - back page"/>
    <w:basedOn w:val="Topleft"/>
    <w:rsid w:val="00074A6B"/>
    <w:pPr>
      <w:pageBreakBefore/>
      <w:framePr w:wrap="around"/>
    </w:pPr>
  </w:style>
  <w:style w:type="paragraph" w:customStyle="1" w:styleId="IdentifierDash">
    <w:name w:val="Identifier Dash"/>
    <w:basedOn w:val="Identifier"/>
    <w:rsid w:val="00C92357"/>
    <w:pPr>
      <w:spacing w:before="600" w:after="0" w:line="168" w:lineRule="auto"/>
    </w:pPr>
    <w:rPr>
      <w:sz w:val="40"/>
      <w:szCs w:val="40"/>
    </w:rPr>
  </w:style>
  <w:style w:type="paragraph" w:customStyle="1" w:styleId="IdentifierDash-White">
    <w:name w:val="Identifier Dash-White"/>
    <w:basedOn w:val="IdentifierDash"/>
    <w:qFormat/>
    <w:rsid w:val="0018540E"/>
    <w:pPr>
      <w:spacing w:before="200"/>
    </w:pPr>
    <w:rPr>
      <w:color w:val="FFFFFF" w:themeColor="background1"/>
    </w:rPr>
  </w:style>
  <w:style w:type="paragraph" w:customStyle="1" w:styleId="IdentifierDash-Blue">
    <w:name w:val="Identifier Dash-Blue"/>
    <w:basedOn w:val="IdentifierDash-White"/>
    <w:qFormat/>
    <w:rsid w:val="00FF27CC"/>
    <w:rPr>
      <w:color w:val="094183" w:themeColor="text2"/>
    </w:rPr>
  </w:style>
  <w:style w:type="paragraph" w:styleId="TableofFigures">
    <w:name w:val="table of figures"/>
    <w:basedOn w:val="TOC2"/>
    <w:next w:val="Normal"/>
    <w:uiPriority w:val="99"/>
    <w:unhideWhenUsed/>
    <w:rsid w:val="00EB381E"/>
    <w:pPr>
      <w:ind w:left="400" w:hanging="400"/>
    </w:pPr>
    <w:rPr>
      <w:b w:val="0"/>
      <w:bCs w:val="0"/>
      <w:caps/>
      <w:sz w:val="20"/>
      <w:szCs w:val="20"/>
    </w:rPr>
  </w:style>
  <w:style w:type="paragraph" w:styleId="CommentText">
    <w:name w:val="annotation text"/>
    <w:basedOn w:val="Normal"/>
    <w:link w:val="CommentTextChar"/>
    <w:uiPriority w:val="99"/>
    <w:semiHidden/>
    <w:unhideWhenUsed/>
    <w:rsid w:val="0093470E"/>
    <w:pPr>
      <w:spacing w:after="160" w:line="240" w:lineRule="auto"/>
    </w:pPr>
    <w:rPr>
      <w:rFonts w:ascii="Times New Roman" w:eastAsiaTheme="minorHAnsi" w:hAnsi="Times New Roman" w:cs="Times New Roman"/>
      <w:szCs w:val="20"/>
      <w:lang w:val="en-US"/>
    </w:rPr>
  </w:style>
  <w:style w:type="character" w:customStyle="1" w:styleId="CommentTextChar">
    <w:name w:val="Comment Text Char"/>
    <w:basedOn w:val="DefaultParagraphFont"/>
    <w:link w:val="CommentText"/>
    <w:uiPriority w:val="99"/>
    <w:semiHidden/>
    <w:rsid w:val="0093470E"/>
    <w:rPr>
      <w:rFonts w:ascii="Times New Roman" w:eastAsiaTheme="minorHAnsi" w:hAnsi="Times New Roman" w:cs="Times New Roman"/>
      <w:sz w:val="20"/>
      <w:szCs w:val="20"/>
      <w:lang w:val="en-US"/>
    </w:rPr>
  </w:style>
  <w:style w:type="character" w:styleId="CommentReference">
    <w:name w:val="annotation reference"/>
    <w:basedOn w:val="DefaultParagraphFont"/>
    <w:uiPriority w:val="99"/>
    <w:semiHidden/>
    <w:unhideWhenUsed/>
    <w:rsid w:val="0093470E"/>
    <w:rPr>
      <w:sz w:val="16"/>
      <w:szCs w:val="16"/>
    </w:rPr>
  </w:style>
  <w:style w:type="paragraph" w:styleId="BalloonText">
    <w:name w:val="Balloon Text"/>
    <w:basedOn w:val="Normal"/>
    <w:link w:val="BalloonTextChar"/>
    <w:uiPriority w:val="99"/>
    <w:semiHidden/>
    <w:unhideWhenUsed/>
    <w:rsid w:val="00934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70E"/>
    <w:rPr>
      <w:rFonts w:ascii="Segoe UI" w:hAnsi="Segoe UI" w:cs="Segoe UI"/>
      <w:sz w:val="18"/>
      <w:szCs w:val="18"/>
    </w:rPr>
  </w:style>
  <w:style w:type="character" w:styleId="Emphasis">
    <w:name w:val="Emphasis"/>
    <w:basedOn w:val="DefaultParagraphFont"/>
    <w:uiPriority w:val="20"/>
    <w:qFormat/>
    <w:rsid w:val="0093470E"/>
    <w:rPr>
      <w:i/>
      <w:iCs/>
    </w:rPr>
  </w:style>
  <w:style w:type="character" w:styleId="IntenseEmphasis">
    <w:name w:val="Intense Emphasis"/>
    <w:basedOn w:val="DefaultParagraphFont"/>
    <w:uiPriority w:val="21"/>
    <w:qFormat/>
    <w:rsid w:val="0093470E"/>
    <w:rPr>
      <w:i/>
      <w:iCs/>
      <w:color w:val="094183" w:themeColor="accent1"/>
    </w:rPr>
  </w:style>
  <w:style w:type="paragraph" w:styleId="TOC7">
    <w:name w:val="toc 7"/>
    <w:basedOn w:val="Normal"/>
    <w:next w:val="Normal"/>
    <w:autoRedefine/>
    <w:uiPriority w:val="39"/>
    <w:unhideWhenUsed/>
    <w:rsid w:val="0093470E"/>
    <w:pPr>
      <w:spacing w:after="0"/>
      <w:ind w:left="1200"/>
    </w:pPr>
    <w:rPr>
      <w:szCs w:val="20"/>
    </w:rPr>
  </w:style>
  <w:style w:type="paragraph" w:styleId="TOC8">
    <w:name w:val="toc 8"/>
    <w:basedOn w:val="Normal"/>
    <w:next w:val="Normal"/>
    <w:autoRedefine/>
    <w:uiPriority w:val="39"/>
    <w:unhideWhenUsed/>
    <w:rsid w:val="0093470E"/>
    <w:pPr>
      <w:spacing w:after="0"/>
      <w:ind w:left="1400"/>
    </w:pPr>
    <w:rPr>
      <w:szCs w:val="20"/>
    </w:rPr>
  </w:style>
  <w:style w:type="paragraph" w:styleId="TOC9">
    <w:name w:val="toc 9"/>
    <w:basedOn w:val="Normal"/>
    <w:next w:val="Normal"/>
    <w:autoRedefine/>
    <w:uiPriority w:val="39"/>
    <w:unhideWhenUsed/>
    <w:rsid w:val="0093470E"/>
    <w:pPr>
      <w:spacing w:after="0"/>
      <w:ind w:left="1600"/>
    </w:pPr>
    <w:rPr>
      <w:szCs w:val="20"/>
    </w:rPr>
  </w:style>
  <w:style w:type="paragraph" w:styleId="CommentSubject">
    <w:name w:val="annotation subject"/>
    <w:basedOn w:val="CommentText"/>
    <w:next w:val="CommentText"/>
    <w:link w:val="CommentSubjectChar"/>
    <w:uiPriority w:val="99"/>
    <w:semiHidden/>
    <w:unhideWhenUsed/>
    <w:rsid w:val="0093470E"/>
    <w:pPr>
      <w:spacing w:after="200"/>
    </w:pPr>
    <w:rPr>
      <w:b/>
      <w:bCs/>
    </w:rPr>
  </w:style>
  <w:style w:type="character" w:customStyle="1" w:styleId="CommentSubjectChar">
    <w:name w:val="Comment Subject Char"/>
    <w:basedOn w:val="CommentTextChar"/>
    <w:link w:val="CommentSubject"/>
    <w:uiPriority w:val="99"/>
    <w:semiHidden/>
    <w:rsid w:val="0093470E"/>
    <w:rPr>
      <w:rFonts w:ascii="Times New Roman" w:eastAsiaTheme="minorHAnsi" w:hAnsi="Times New Roman" w:cs="Times New Roman"/>
      <w:b/>
      <w:bCs/>
      <w:sz w:val="20"/>
      <w:szCs w:val="20"/>
      <w:lang w:val="en-US"/>
    </w:rPr>
  </w:style>
  <w:style w:type="paragraph" w:customStyle="1" w:styleId="Normal0">
    <w:name w:val="[Normal]"/>
    <w:rsid w:val="0093470E"/>
    <w:pPr>
      <w:widowControl w:val="0"/>
      <w:autoSpaceDE w:val="0"/>
      <w:autoSpaceDN w:val="0"/>
      <w:adjustRightInd w:val="0"/>
      <w:spacing w:after="0" w:line="240" w:lineRule="auto"/>
    </w:pPr>
    <w:rPr>
      <w:rFonts w:ascii="Arial" w:eastAsiaTheme="minorHAnsi" w:hAnsi="Arial" w:cs="Arial"/>
      <w:sz w:val="24"/>
      <w:szCs w:val="24"/>
      <w:lang w:eastAsia="en-US"/>
    </w:rPr>
  </w:style>
  <w:style w:type="paragraph" w:styleId="FootnoteText">
    <w:name w:val="footnote text"/>
    <w:basedOn w:val="Normal"/>
    <w:link w:val="FootnoteTextChar"/>
    <w:uiPriority w:val="99"/>
    <w:semiHidden/>
    <w:unhideWhenUsed/>
    <w:rsid w:val="0093470E"/>
    <w:pPr>
      <w:spacing w:after="0" w:line="240" w:lineRule="auto"/>
    </w:pPr>
    <w:rPr>
      <w:rFonts w:ascii="Times New Roman" w:eastAsiaTheme="minorHAnsi" w:hAnsi="Times New Roman" w:cs="Times New Roman"/>
      <w:szCs w:val="20"/>
      <w:lang w:val="en-US"/>
    </w:rPr>
  </w:style>
  <w:style w:type="character" w:customStyle="1" w:styleId="FootnoteTextChar">
    <w:name w:val="Footnote Text Char"/>
    <w:basedOn w:val="DefaultParagraphFont"/>
    <w:link w:val="FootnoteText"/>
    <w:uiPriority w:val="99"/>
    <w:semiHidden/>
    <w:rsid w:val="0093470E"/>
    <w:rPr>
      <w:rFonts w:ascii="Times New Roman" w:eastAsiaTheme="minorHAnsi" w:hAnsi="Times New Roman" w:cs="Times New Roman"/>
      <w:sz w:val="20"/>
      <w:szCs w:val="20"/>
      <w:lang w:val="en-US"/>
    </w:rPr>
  </w:style>
  <w:style w:type="character" w:styleId="FootnoteReference">
    <w:name w:val="footnote reference"/>
    <w:basedOn w:val="DefaultParagraphFont"/>
    <w:uiPriority w:val="99"/>
    <w:semiHidden/>
    <w:unhideWhenUsed/>
    <w:rsid w:val="0093470E"/>
    <w:rPr>
      <w:vertAlign w:val="superscript"/>
    </w:rPr>
  </w:style>
  <w:style w:type="paragraph" w:styleId="EndnoteText">
    <w:name w:val="endnote text"/>
    <w:basedOn w:val="Normal"/>
    <w:link w:val="EndnoteTextChar"/>
    <w:uiPriority w:val="99"/>
    <w:semiHidden/>
    <w:unhideWhenUsed/>
    <w:rsid w:val="0093470E"/>
    <w:pPr>
      <w:spacing w:after="0" w:line="240" w:lineRule="auto"/>
    </w:pPr>
    <w:rPr>
      <w:rFonts w:ascii="Times New Roman" w:eastAsiaTheme="minorHAnsi" w:hAnsi="Times New Roman" w:cs="Times New Roman"/>
      <w:szCs w:val="20"/>
      <w:lang w:val="en-US"/>
    </w:rPr>
  </w:style>
  <w:style w:type="character" w:customStyle="1" w:styleId="EndnoteTextChar">
    <w:name w:val="Endnote Text Char"/>
    <w:basedOn w:val="DefaultParagraphFont"/>
    <w:link w:val="EndnoteText"/>
    <w:uiPriority w:val="99"/>
    <w:semiHidden/>
    <w:rsid w:val="0093470E"/>
    <w:rPr>
      <w:rFonts w:ascii="Times New Roman" w:eastAsiaTheme="minorHAnsi" w:hAnsi="Times New Roman" w:cs="Times New Roman"/>
      <w:sz w:val="20"/>
      <w:szCs w:val="20"/>
      <w:lang w:val="en-US"/>
    </w:rPr>
  </w:style>
  <w:style w:type="character" w:styleId="EndnoteReference">
    <w:name w:val="endnote reference"/>
    <w:basedOn w:val="DefaultParagraphFont"/>
    <w:uiPriority w:val="99"/>
    <w:semiHidden/>
    <w:unhideWhenUsed/>
    <w:rsid w:val="0093470E"/>
    <w:rPr>
      <w:vertAlign w:val="superscript"/>
    </w:rPr>
  </w:style>
  <w:style w:type="paragraph" w:styleId="Revision">
    <w:name w:val="Revision"/>
    <w:hidden/>
    <w:uiPriority w:val="99"/>
    <w:semiHidden/>
    <w:rsid w:val="0093470E"/>
    <w:pPr>
      <w:spacing w:after="0" w:line="240" w:lineRule="auto"/>
    </w:pPr>
    <w:rPr>
      <w:rFonts w:eastAsiaTheme="minorHAnsi"/>
      <w:lang w:eastAsia="en-US"/>
    </w:rPr>
  </w:style>
  <w:style w:type="character" w:customStyle="1" w:styleId="UnresolvedMention1">
    <w:name w:val="Unresolved Mention1"/>
    <w:basedOn w:val="DefaultParagraphFont"/>
    <w:uiPriority w:val="99"/>
    <w:semiHidden/>
    <w:unhideWhenUsed/>
    <w:rsid w:val="0093470E"/>
    <w:rPr>
      <w:color w:val="808080"/>
      <w:shd w:val="clear" w:color="auto" w:fill="E6E6E6"/>
    </w:rPr>
  </w:style>
  <w:style w:type="paragraph" w:customStyle="1" w:styleId="msonormal0">
    <w:name w:val="msonormal"/>
    <w:basedOn w:val="Normal"/>
    <w:rsid w:val="009347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93470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6">
    <w:name w:val="font6"/>
    <w:basedOn w:val="Normal"/>
    <w:rsid w:val="0093470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7">
    <w:name w:val="font7"/>
    <w:basedOn w:val="Normal"/>
    <w:rsid w:val="0093470E"/>
    <w:pP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66">
    <w:name w:val="xl66"/>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7">
    <w:name w:val="xl67"/>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8">
    <w:name w:val="xl68"/>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9">
    <w:name w:val="xl69"/>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222222"/>
      <w:sz w:val="24"/>
      <w:szCs w:val="24"/>
      <w:lang w:val="en-US"/>
    </w:rPr>
  </w:style>
  <w:style w:type="paragraph" w:customStyle="1" w:styleId="xl70">
    <w:name w:val="xl70"/>
    <w:basedOn w:val="Normal"/>
    <w:rsid w:val="00934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rPr>
  </w:style>
  <w:style w:type="paragraph" w:customStyle="1" w:styleId="xl71">
    <w:name w:val="xl71"/>
    <w:basedOn w:val="Normal"/>
    <w:rsid w:val="0093470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styleId="DocumentMap">
    <w:name w:val="Document Map"/>
    <w:basedOn w:val="Normal"/>
    <w:link w:val="DocumentMapChar"/>
    <w:uiPriority w:val="99"/>
    <w:semiHidden/>
    <w:unhideWhenUsed/>
    <w:rsid w:val="001416C5"/>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416C5"/>
    <w:rPr>
      <w:rFonts w:ascii="Times New Roman" w:hAnsi="Times New Roman" w:cs="Times New Roman"/>
      <w:sz w:val="24"/>
      <w:szCs w:val="24"/>
    </w:rPr>
  </w:style>
  <w:style w:type="character" w:customStyle="1" w:styleId="UnresolvedMention">
    <w:name w:val="Unresolved Mention"/>
    <w:basedOn w:val="DefaultParagraphFont"/>
    <w:uiPriority w:val="99"/>
    <w:unhideWhenUsed/>
    <w:rsid w:val="00982C31"/>
    <w:rPr>
      <w:color w:val="808080"/>
      <w:shd w:val="clear" w:color="auto" w:fill="E6E6E6"/>
    </w:rPr>
  </w:style>
  <w:style w:type="paragraph" w:customStyle="1" w:styleId="Caption2">
    <w:name w:val="Caption2"/>
    <w:basedOn w:val="Normal0"/>
    <w:qFormat/>
    <w:rsid w:val="00813AA6"/>
    <w:pPr>
      <w:spacing w:after="240"/>
    </w:pPr>
    <w:rPr>
      <w:rFonts w:ascii="Calibri" w:hAnsi="Calibri"/>
      <w:b/>
    </w:rPr>
  </w:style>
  <w:style w:type="paragraph" w:customStyle="1" w:styleId="CaptionFig">
    <w:name w:val="CaptionFig"/>
    <w:basedOn w:val="Normal0"/>
    <w:qFormat/>
    <w:rsid w:val="00813AA6"/>
    <w:pPr>
      <w:spacing w:after="120"/>
    </w:pPr>
    <w:rPr>
      <w:rFonts w:asciiTheme="minorHAnsi" w:hAnsiTheme="minorHAnsi" w:cs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1835">
      <w:bodyDiv w:val="1"/>
      <w:marLeft w:val="0"/>
      <w:marRight w:val="0"/>
      <w:marTop w:val="0"/>
      <w:marBottom w:val="0"/>
      <w:divBdr>
        <w:top w:val="none" w:sz="0" w:space="0" w:color="auto"/>
        <w:left w:val="none" w:sz="0" w:space="0" w:color="auto"/>
        <w:bottom w:val="none" w:sz="0" w:space="0" w:color="auto"/>
        <w:right w:val="none" w:sz="0" w:space="0" w:color="auto"/>
      </w:divBdr>
    </w:div>
    <w:div w:id="520046394">
      <w:bodyDiv w:val="1"/>
      <w:marLeft w:val="0"/>
      <w:marRight w:val="0"/>
      <w:marTop w:val="0"/>
      <w:marBottom w:val="0"/>
      <w:divBdr>
        <w:top w:val="none" w:sz="0" w:space="0" w:color="auto"/>
        <w:left w:val="none" w:sz="0" w:space="0" w:color="auto"/>
        <w:bottom w:val="none" w:sz="0" w:space="0" w:color="auto"/>
        <w:right w:val="none" w:sz="0" w:space="0" w:color="auto"/>
      </w:divBdr>
    </w:div>
    <w:div w:id="550119316">
      <w:bodyDiv w:val="1"/>
      <w:marLeft w:val="0"/>
      <w:marRight w:val="0"/>
      <w:marTop w:val="0"/>
      <w:marBottom w:val="0"/>
      <w:divBdr>
        <w:top w:val="none" w:sz="0" w:space="0" w:color="auto"/>
        <w:left w:val="none" w:sz="0" w:space="0" w:color="auto"/>
        <w:bottom w:val="none" w:sz="0" w:space="0" w:color="auto"/>
        <w:right w:val="none" w:sz="0" w:space="0" w:color="auto"/>
      </w:divBdr>
    </w:div>
    <w:div w:id="1198394014">
      <w:bodyDiv w:val="1"/>
      <w:marLeft w:val="0"/>
      <w:marRight w:val="0"/>
      <w:marTop w:val="0"/>
      <w:marBottom w:val="0"/>
      <w:divBdr>
        <w:top w:val="none" w:sz="0" w:space="0" w:color="auto"/>
        <w:left w:val="none" w:sz="0" w:space="0" w:color="auto"/>
        <w:bottom w:val="none" w:sz="0" w:space="0" w:color="auto"/>
        <w:right w:val="none" w:sz="0" w:space="0" w:color="auto"/>
      </w:divBdr>
    </w:div>
    <w:div w:id="1669822888">
      <w:bodyDiv w:val="1"/>
      <w:marLeft w:val="0"/>
      <w:marRight w:val="0"/>
      <w:marTop w:val="0"/>
      <w:marBottom w:val="0"/>
      <w:divBdr>
        <w:top w:val="none" w:sz="0" w:space="0" w:color="auto"/>
        <w:left w:val="none" w:sz="0" w:space="0" w:color="auto"/>
        <w:bottom w:val="none" w:sz="0" w:space="0" w:color="auto"/>
        <w:right w:val="none" w:sz="0" w:space="0" w:color="auto"/>
      </w:divBdr>
    </w:div>
    <w:div w:id="212252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microsoft.com/office/2007/relationships/diagramDrawing" Target="diagrams/drawing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healthevidence.org/documents/practice-tools/HETools_Levels&amp;SourcesPublicHealthEvidence_18.Mar.2013.doc"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image" Target="media/image8.tif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hyperlink" Target="https://doi.org/10.2753/IMH0020-74113602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s://www.socialventures.com.au/sva-annual-review-2016-2017/"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6.png"/><Relationship Id="rId28" Type="http://schemas.openxmlformats.org/officeDocument/2006/relationships/hyperlink" Target="https://www.cese.nsw.gov.au/about-cese/advisory-counci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yperlink" Target="http://www.arc.gov.au/grants-dataset"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diagramData" Target="diagrams/data1.xml"/><Relationship Id="rId22" Type="http://schemas.openxmlformats.org/officeDocument/2006/relationships/hyperlink" Target="http://www.healthevidence.org/documents/practice-tools/HETools_EIDMChecklist_18.Mar.2013.doc" TargetMode="External"/><Relationship Id="rId27" Type="http://schemas.openxmlformats.org/officeDocument/2006/relationships/image" Target="media/image10.png"/><Relationship Id="rId30" Type="http://schemas.openxmlformats.org/officeDocument/2006/relationships/hyperlink" Target="https://www.aitsl.edu.au/about-aitsl/governance"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rciamelga\Downloads\UoM-Long-Report-template%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4291E0-B2D5-4446-834F-EB3B83102D86}" type="doc">
      <dgm:prSet loTypeId="urn:microsoft.com/office/officeart/2009/3/layout/StepUpProcess" loCatId="process" qsTypeId="urn:microsoft.com/office/officeart/2005/8/quickstyle/simple4" qsCatId="simple" csTypeId="urn:microsoft.com/office/officeart/2005/8/colors/accent1_2" csCatId="accent1" phldr="1"/>
      <dgm:spPr/>
      <dgm:t>
        <a:bodyPr/>
        <a:lstStyle/>
        <a:p>
          <a:endParaRPr lang="en-GB"/>
        </a:p>
      </dgm:t>
    </dgm:pt>
    <dgm:pt modelId="{1FFCDC23-A155-5F47-B69D-7957E338053F}">
      <dgm:prSet phldrT="[Text]" custT="1"/>
      <dgm:spPr/>
      <dgm:t>
        <a:bodyPr/>
        <a:lstStyle/>
        <a:p>
          <a:r>
            <a:rPr lang="en-AU" sz="1400"/>
            <a:t>Identify desired results</a:t>
          </a:r>
          <a:endParaRPr lang="en-GB" sz="1400"/>
        </a:p>
      </dgm:t>
      <dgm:extLst/>
    </dgm:pt>
    <dgm:pt modelId="{6F0C0D76-6517-004E-97C1-6CC7D035296B}" type="parTrans" cxnId="{6B35CE5E-B300-B947-99E3-4F2924FF01B1}">
      <dgm:prSet/>
      <dgm:spPr/>
      <dgm:t>
        <a:bodyPr/>
        <a:lstStyle/>
        <a:p>
          <a:endParaRPr lang="en-GB"/>
        </a:p>
      </dgm:t>
    </dgm:pt>
    <dgm:pt modelId="{5B0C90E0-3E23-DE48-AC88-B9D5ADC88A07}" type="sibTrans" cxnId="{6B35CE5E-B300-B947-99E3-4F2924FF01B1}">
      <dgm:prSet/>
      <dgm:spPr/>
      <dgm:t>
        <a:bodyPr/>
        <a:lstStyle/>
        <a:p>
          <a:endParaRPr lang="en-GB"/>
        </a:p>
      </dgm:t>
    </dgm:pt>
    <dgm:pt modelId="{205F43AF-7C4B-FC4E-8B0A-BFAE9E43E9B2}">
      <dgm:prSet phldrT="[Text]" custT="1"/>
      <dgm:spPr/>
      <dgm:t>
        <a:bodyPr/>
        <a:lstStyle/>
        <a:p>
          <a:r>
            <a:rPr lang="en-AU" sz="1400"/>
            <a:t>Determine acceptable evidence</a:t>
          </a:r>
          <a:endParaRPr lang="en-GB" sz="1400"/>
        </a:p>
      </dgm:t>
    </dgm:pt>
    <dgm:pt modelId="{00A55737-97B0-0E48-9AA9-B913F82004E9}" type="parTrans" cxnId="{C870E74D-68B2-EF48-B389-11D8F0858168}">
      <dgm:prSet/>
      <dgm:spPr/>
      <dgm:t>
        <a:bodyPr/>
        <a:lstStyle/>
        <a:p>
          <a:endParaRPr lang="en-GB"/>
        </a:p>
      </dgm:t>
    </dgm:pt>
    <dgm:pt modelId="{F259797E-081E-EA4F-B540-7690FB6D546F}" type="sibTrans" cxnId="{C870E74D-68B2-EF48-B389-11D8F0858168}">
      <dgm:prSet/>
      <dgm:spPr/>
      <dgm:t>
        <a:bodyPr/>
        <a:lstStyle/>
        <a:p>
          <a:endParaRPr lang="en-GB"/>
        </a:p>
      </dgm:t>
    </dgm:pt>
    <dgm:pt modelId="{E9871437-AC6F-474B-8120-462BB53B6197}">
      <dgm:prSet phldrT="[Text]" custT="1"/>
      <dgm:spPr/>
      <dgm:t>
        <a:bodyPr/>
        <a:lstStyle/>
        <a:p>
          <a:r>
            <a:rPr lang="en-AU" sz="1400"/>
            <a:t>Plan learning experience</a:t>
          </a:r>
          <a:endParaRPr lang="en-GB" sz="1400"/>
        </a:p>
      </dgm:t>
    </dgm:pt>
    <dgm:pt modelId="{B54FF65D-6DC4-654C-A6A8-EC98DAAB1656}" type="parTrans" cxnId="{9244978E-42DC-364A-BDC8-2F36799C83BA}">
      <dgm:prSet/>
      <dgm:spPr/>
      <dgm:t>
        <a:bodyPr/>
        <a:lstStyle/>
        <a:p>
          <a:endParaRPr lang="en-GB"/>
        </a:p>
      </dgm:t>
    </dgm:pt>
    <dgm:pt modelId="{5D35E39D-DBD5-F044-9201-E824B122BBBF}" type="sibTrans" cxnId="{9244978E-42DC-364A-BDC8-2F36799C83BA}">
      <dgm:prSet/>
      <dgm:spPr/>
      <dgm:t>
        <a:bodyPr/>
        <a:lstStyle/>
        <a:p>
          <a:endParaRPr lang="en-GB"/>
        </a:p>
      </dgm:t>
    </dgm:pt>
    <dgm:pt modelId="{A0A313EC-CBC9-8E47-A5B7-372CFBDCEA34}" type="pres">
      <dgm:prSet presAssocID="{624291E0-B2D5-4446-834F-EB3B83102D86}" presName="rootnode" presStyleCnt="0">
        <dgm:presLayoutVars>
          <dgm:chMax/>
          <dgm:chPref/>
          <dgm:dir/>
          <dgm:animLvl val="lvl"/>
        </dgm:presLayoutVars>
      </dgm:prSet>
      <dgm:spPr/>
      <dgm:t>
        <a:bodyPr/>
        <a:lstStyle/>
        <a:p>
          <a:endParaRPr lang="en-AU"/>
        </a:p>
      </dgm:t>
    </dgm:pt>
    <dgm:pt modelId="{0126B10A-0FE3-D948-B9A6-FC3BBD862555}" type="pres">
      <dgm:prSet presAssocID="{1FFCDC23-A155-5F47-B69D-7957E338053F}" presName="composite" presStyleCnt="0"/>
      <dgm:spPr/>
    </dgm:pt>
    <dgm:pt modelId="{D7A6155D-FFF1-E24E-A18C-8B7B062B12F1}" type="pres">
      <dgm:prSet presAssocID="{1FFCDC23-A155-5F47-B69D-7957E338053F}" presName="LShape" presStyleLbl="alignNode1" presStyleIdx="0" presStyleCnt="5"/>
      <dgm:spPr/>
      <dgm:extLst/>
    </dgm:pt>
    <dgm:pt modelId="{6471E880-4CFE-F347-A3CE-3FD75ACA4AAD}" type="pres">
      <dgm:prSet presAssocID="{1FFCDC23-A155-5F47-B69D-7957E338053F}" presName="ParentText" presStyleLbl="revTx" presStyleIdx="0" presStyleCnt="3">
        <dgm:presLayoutVars>
          <dgm:chMax val="0"/>
          <dgm:chPref val="0"/>
          <dgm:bulletEnabled val="1"/>
        </dgm:presLayoutVars>
      </dgm:prSet>
      <dgm:spPr/>
      <dgm:t>
        <a:bodyPr/>
        <a:lstStyle/>
        <a:p>
          <a:endParaRPr lang="en-AU"/>
        </a:p>
      </dgm:t>
    </dgm:pt>
    <dgm:pt modelId="{275774CA-BA4B-334E-9468-21FD681C7988}" type="pres">
      <dgm:prSet presAssocID="{1FFCDC23-A155-5F47-B69D-7957E338053F}" presName="Triangle" presStyleLbl="alignNode1" presStyleIdx="1" presStyleCnt="5"/>
      <dgm:spPr/>
    </dgm:pt>
    <dgm:pt modelId="{BDC58002-7F05-8442-A467-C76296209B95}" type="pres">
      <dgm:prSet presAssocID="{5B0C90E0-3E23-DE48-AC88-B9D5ADC88A07}" presName="sibTrans" presStyleCnt="0"/>
      <dgm:spPr/>
    </dgm:pt>
    <dgm:pt modelId="{AB8555A6-2224-4045-A6C5-E96431F9ABDF}" type="pres">
      <dgm:prSet presAssocID="{5B0C90E0-3E23-DE48-AC88-B9D5ADC88A07}" presName="space" presStyleCnt="0"/>
      <dgm:spPr/>
    </dgm:pt>
    <dgm:pt modelId="{7C927162-EB8E-6846-B004-D2358FB156FD}" type="pres">
      <dgm:prSet presAssocID="{205F43AF-7C4B-FC4E-8B0A-BFAE9E43E9B2}" presName="composite" presStyleCnt="0"/>
      <dgm:spPr/>
    </dgm:pt>
    <dgm:pt modelId="{2252768E-0D11-684F-985F-A87DA4314966}" type="pres">
      <dgm:prSet presAssocID="{205F43AF-7C4B-FC4E-8B0A-BFAE9E43E9B2}" presName="LShape" presStyleLbl="alignNode1" presStyleIdx="2" presStyleCnt="5"/>
      <dgm:spPr/>
    </dgm:pt>
    <dgm:pt modelId="{2FBFD8BC-A548-3744-97CB-896EBE4857A3}" type="pres">
      <dgm:prSet presAssocID="{205F43AF-7C4B-FC4E-8B0A-BFAE9E43E9B2}" presName="ParentText" presStyleLbl="revTx" presStyleIdx="1" presStyleCnt="3">
        <dgm:presLayoutVars>
          <dgm:chMax val="0"/>
          <dgm:chPref val="0"/>
          <dgm:bulletEnabled val="1"/>
        </dgm:presLayoutVars>
      </dgm:prSet>
      <dgm:spPr/>
      <dgm:t>
        <a:bodyPr/>
        <a:lstStyle/>
        <a:p>
          <a:endParaRPr lang="en-AU"/>
        </a:p>
      </dgm:t>
    </dgm:pt>
    <dgm:pt modelId="{BD13A36B-9921-764F-AE61-86C301E93F07}" type="pres">
      <dgm:prSet presAssocID="{205F43AF-7C4B-FC4E-8B0A-BFAE9E43E9B2}" presName="Triangle" presStyleLbl="alignNode1" presStyleIdx="3" presStyleCnt="5"/>
      <dgm:spPr/>
    </dgm:pt>
    <dgm:pt modelId="{A7ED1ADF-E7F0-6744-B20D-76F8A599A916}" type="pres">
      <dgm:prSet presAssocID="{F259797E-081E-EA4F-B540-7690FB6D546F}" presName="sibTrans" presStyleCnt="0"/>
      <dgm:spPr/>
    </dgm:pt>
    <dgm:pt modelId="{6E09ACAD-7CCD-174D-8F89-C4D706B70E01}" type="pres">
      <dgm:prSet presAssocID="{F259797E-081E-EA4F-B540-7690FB6D546F}" presName="space" presStyleCnt="0"/>
      <dgm:spPr/>
    </dgm:pt>
    <dgm:pt modelId="{537F2CCA-20D0-6B48-8743-1720E78D61CB}" type="pres">
      <dgm:prSet presAssocID="{E9871437-AC6F-474B-8120-462BB53B6197}" presName="composite" presStyleCnt="0"/>
      <dgm:spPr/>
    </dgm:pt>
    <dgm:pt modelId="{0CEE5998-CC5F-A54C-ACE5-4D99E1406009}" type="pres">
      <dgm:prSet presAssocID="{E9871437-AC6F-474B-8120-462BB53B6197}" presName="LShape" presStyleLbl="alignNode1" presStyleIdx="4" presStyleCnt="5"/>
      <dgm:spPr/>
    </dgm:pt>
    <dgm:pt modelId="{6FF02F72-E220-E14F-88D4-6A1286013521}" type="pres">
      <dgm:prSet presAssocID="{E9871437-AC6F-474B-8120-462BB53B6197}" presName="ParentText" presStyleLbl="revTx" presStyleIdx="2" presStyleCnt="3">
        <dgm:presLayoutVars>
          <dgm:chMax val="0"/>
          <dgm:chPref val="0"/>
          <dgm:bulletEnabled val="1"/>
        </dgm:presLayoutVars>
      </dgm:prSet>
      <dgm:spPr/>
      <dgm:t>
        <a:bodyPr/>
        <a:lstStyle/>
        <a:p>
          <a:endParaRPr lang="en-AU"/>
        </a:p>
      </dgm:t>
    </dgm:pt>
  </dgm:ptLst>
  <dgm:cxnLst>
    <dgm:cxn modelId="{48FF2E26-7DF2-4A50-9B9F-EB9CFEBC3E76}" type="presOf" srcId="{624291E0-B2D5-4446-834F-EB3B83102D86}" destId="{A0A313EC-CBC9-8E47-A5B7-372CFBDCEA34}" srcOrd="0" destOrd="0" presId="urn:microsoft.com/office/officeart/2009/3/layout/StepUpProcess"/>
    <dgm:cxn modelId="{0E38C446-1589-47EE-920D-A0F83B9D4FC6}" type="presOf" srcId="{205F43AF-7C4B-FC4E-8B0A-BFAE9E43E9B2}" destId="{2FBFD8BC-A548-3744-97CB-896EBE4857A3}" srcOrd="0" destOrd="0" presId="urn:microsoft.com/office/officeart/2009/3/layout/StepUpProcess"/>
    <dgm:cxn modelId="{17FDA00D-83C3-4502-9CE3-546DC93376C7}" type="presOf" srcId="{1FFCDC23-A155-5F47-B69D-7957E338053F}" destId="{6471E880-4CFE-F347-A3CE-3FD75ACA4AAD}" srcOrd="0" destOrd="0" presId="urn:microsoft.com/office/officeart/2009/3/layout/StepUpProcess"/>
    <dgm:cxn modelId="{C870E74D-68B2-EF48-B389-11D8F0858168}" srcId="{624291E0-B2D5-4446-834F-EB3B83102D86}" destId="{205F43AF-7C4B-FC4E-8B0A-BFAE9E43E9B2}" srcOrd="1" destOrd="0" parTransId="{00A55737-97B0-0E48-9AA9-B913F82004E9}" sibTransId="{F259797E-081E-EA4F-B540-7690FB6D546F}"/>
    <dgm:cxn modelId="{9244978E-42DC-364A-BDC8-2F36799C83BA}" srcId="{624291E0-B2D5-4446-834F-EB3B83102D86}" destId="{E9871437-AC6F-474B-8120-462BB53B6197}" srcOrd="2" destOrd="0" parTransId="{B54FF65D-6DC4-654C-A6A8-EC98DAAB1656}" sibTransId="{5D35E39D-DBD5-F044-9201-E824B122BBBF}"/>
    <dgm:cxn modelId="{6B35CE5E-B300-B947-99E3-4F2924FF01B1}" srcId="{624291E0-B2D5-4446-834F-EB3B83102D86}" destId="{1FFCDC23-A155-5F47-B69D-7957E338053F}" srcOrd="0" destOrd="0" parTransId="{6F0C0D76-6517-004E-97C1-6CC7D035296B}" sibTransId="{5B0C90E0-3E23-DE48-AC88-B9D5ADC88A07}"/>
    <dgm:cxn modelId="{A58229E6-2A37-4C14-B272-590A36A6CF2B}" type="presOf" srcId="{E9871437-AC6F-474B-8120-462BB53B6197}" destId="{6FF02F72-E220-E14F-88D4-6A1286013521}" srcOrd="0" destOrd="0" presId="urn:microsoft.com/office/officeart/2009/3/layout/StepUpProcess"/>
    <dgm:cxn modelId="{C29AF3A5-E5C7-4F69-B3D1-6EDADDD9BFC1}" type="presParOf" srcId="{A0A313EC-CBC9-8E47-A5B7-372CFBDCEA34}" destId="{0126B10A-0FE3-D948-B9A6-FC3BBD862555}" srcOrd="0" destOrd="0" presId="urn:microsoft.com/office/officeart/2009/3/layout/StepUpProcess"/>
    <dgm:cxn modelId="{B2A3FB7B-1BC1-46C3-ACC9-D20A98DA6400}" type="presParOf" srcId="{0126B10A-0FE3-D948-B9A6-FC3BBD862555}" destId="{D7A6155D-FFF1-E24E-A18C-8B7B062B12F1}" srcOrd="0" destOrd="0" presId="urn:microsoft.com/office/officeart/2009/3/layout/StepUpProcess"/>
    <dgm:cxn modelId="{E6EC9DB1-AD1E-49F1-9B8F-650A30FC46C9}" type="presParOf" srcId="{0126B10A-0FE3-D948-B9A6-FC3BBD862555}" destId="{6471E880-4CFE-F347-A3CE-3FD75ACA4AAD}" srcOrd="1" destOrd="0" presId="urn:microsoft.com/office/officeart/2009/3/layout/StepUpProcess"/>
    <dgm:cxn modelId="{475710D2-9052-4CE2-A726-F7F9BB9626BE}" type="presParOf" srcId="{0126B10A-0FE3-D948-B9A6-FC3BBD862555}" destId="{275774CA-BA4B-334E-9468-21FD681C7988}" srcOrd="2" destOrd="0" presId="urn:microsoft.com/office/officeart/2009/3/layout/StepUpProcess"/>
    <dgm:cxn modelId="{A5E5D107-9C1C-45D4-AA3A-03425950CD91}" type="presParOf" srcId="{A0A313EC-CBC9-8E47-A5B7-372CFBDCEA34}" destId="{BDC58002-7F05-8442-A467-C76296209B95}" srcOrd="1" destOrd="0" presId="urn:microsoft.com/office/officeart/2009/3/layout/StepUpProcess"/>
    <dgm:cxn modelId="{5E42005E-FB2A-4525-A3E9-8714830103F3}" type="presParOf" srcId="{BDC58002-7F05-8442-A467-C76296209B95}" destId="{AB8555A6-2224-4045-A6C5-E96431F9ABDF}" srcOrd="0" destOrd="0" presId="urn:microsoft.com/office/officeart/2009/3/layout/StepUpProcess"/>
    <dgm:cxn modelId="{933087D7-31B1-4893-A02F-5C80D7A8AC56}" type="presParOf" srcId="{A0A313EC-CBC9-8E47-A5B7-372CFBDCEA34}" destId="{7C927162-EB8E-6846-B004-D2358FB156FD}" srcOrd="2" destOrd="0" presId="urn:microsoft.com/office/officeart/2009/3/layout/StepUpProcess"/>
    <dgm:cxn modelId="{DB033C1E-56DF-4841-A99C-CE2ABEB0CF88}" type="presParOf" srcId="{7C927162-EB8E-6846-B004-D2358FB156FD}" destId="{2252768E-0D11-684F-985F-A87DA4314966}" srcOrd="0" destOrd="0" presId="urn:microsoft.com/office/officeart/2009/3/layout/StepUpProcess"/>
    <dgm:cxn modelId="{6109733E-B73E-49F1-A37E-217D298A296E}" type="presParOf" srcId="{7C927162-EB8E-6846-B004-D2358FB156FD}" destId="{2FBFD8BC-A548-3744-97CB-896EBE4857A3}" srcOrd="1" destOrd="0" presId="urn:microsoft.com/office/officeart/2009/3/layout/StepUpProcess"/>
    <dgm:cxn modelId="{36EAC39A-9C15-4DD6-AF8B-C09A4CD1D1E1}" type="presParOf" srcId="{7C927162-EB8E-6846-B004-D2358FB156FD}" destId="{BD13A36B-9921-764F-AE61-86C301E93F07}" srcOrd="2" destOrd="0" presId="urn:microsoft.com/office/officeart/2009/3/layout/StepUpProcess"/>
    <dgm:cxn modelId="{DA71B333-32F4-444D-9651-C3CC34A615FC}" type="presParOf" srcId="{A0A313EC-CBC9-8E47-A5B7-372CFBDCEA34}" destId="{A7ED1ADF-E7F0-6744-B20D-76F8A599A916}" srcOrd="3" destOrd="0" presId="urn:microsoft.com/office/officeart/2009/3/layout/StepUpProcess"/>
    <dgm:cxn modelId="{CCED646E-9A2E-4583-B08C-3AF7B5EC42D3}" type="presParOf" srcId="{A7ED1ADF-E7F0-6744-B20D-76F8A599A916}" destId="{6E09ACAD-7CCD-174D-8F89-C4D706B70E01}" srcOrd="0" destOrd="0" presId="urn:microsoft.com/office/officeart/2009/3/layout/StepUpProcess"/>
    <dgm:cxn modelId="{F679E08A-6AA3-45FE-9B41-CB9CE723B84C}" type="presParOf" srcId="{A0A313EC-CBC9-8E47-A5B7-372CFBDCEA34}" destId="{537F2CCA-20D0-6B48-8743-1720E78D61CB}" srcOrd="4" destOrd="0" presId="urn:microsoft.com/office/officeart/2009/3/layout/StepUpProcess"/>
    <dgm:cxn modelId="{6637C23E-EFF2-455C-84D2-E36C761B6A55}" type="presParOf" srcId="{537F2CCA-20D0-6B48-8743-1720E78D61CB}" destId="{0CEE5998-CC5F-A54C-ACE5-4D99E1406009}" srcOrd="0" destOrd="0" presId="urn:microsoft.com/office/officeart/2009/3/layout/StepUpProcess"/>
    <dgm:cxn modelId="{D634D657-C12D-4A44-8C30-EF672C3B598E}" type="presParOf" srcId="{537F2CCA-20D0-6B48-8743-1720E78D61CB}" destId="{6FF02F72-E220-E14F-88D4-6A1286013521}" srcOrd="1" destOrd="0" presId="urn:microsoft.com/office/officeart/2009/3/layout/StepUp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A6155D-FFF1-E24E-A18C-8B7B062B12F1}">
      <dsp:nvSpPr>
        <dsp:cNvPr id="0" name=""/>
        <dsp:cNvSpPr/>
      </dsp:nvSpPr>
      <dsp:spPr>
        <a:xfrm rot="5400000">
          <a:off x="1167517" y="354036"/>
          <a:ext cx="610903" cy="1016530"/>
        </a:xfrm>
        <a:prstGeom prst="corner">
          <a:avLst>
            <a:gd name="adj1" fmla="val 16120"/>
            <a:gd name="adj2" fmla="val 1611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6471E880-4CFE-F347-A3CE-3FD75ACA4AAD}">
      <dsp:nvSpPr>
        <dsp:cNvPr id="0" name=""/>
        <dsp:cNvSpPr/>
      </dsp:nvSpPr>
      <dsp:spPr>
        <a:xfrm>
          <a:off x="1065542" y="657759"/>
          <a:ext cx="917729" cy="8044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AU" sz="1400" kern="1200"/>
            <a:t>Identify desired results</a:t>
          </a:r>
          <a:endParaRPr lang="en-GB" sz="1400" kern="1200"/>
        </a:p>
      </dsp:txBody>
      <dsp:txXfrm>
        <a:off x="1065542" y="657759"/>
        <a:ext cx="917729" cy="804443"/>
      </dsp:txXfrm>
    </dsp:sp>
    <dsp:sp modelId="{275774CA-BA4B-334E-9468-21FD681C7988}">
      <dsp:nvSpPr>
        <dsp:cNvPr id="0" name=""/>
        <dsp:cNvSpPr/>
      </dsp:nvSpPr>
      <dsp:spPr>
        <a:xfrm>
          <a:off x="1810114" y="279198"/>
          <a:ext cx="173156" cy="173156"/>
        </a:xfrm>
        <a:prstGeom prst="triangle">
          <a:avLst>
            <a:gd name="adj" fmla="val 1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2252768E-0D11-684F-985F-A87DA4314966}">
      <dsp:nvSpPr>
        <dsp:cNvPr id="0" name=""/>
        <dsp:cNvSpPr/>
      </dsp:nvSpPr>
      <dsp:spPr>
        <a:xfrm rot="5400000">
          <a:off x="2290997" y="76029"/>
          <a:ext cx="610903" cy="1016530"/>
        </a:xfrm>
        <a:prstGeom prst="corner">
          <a:avLst>
            <a:gd name="adj1" fmla="val 16120"/>
            <a:gd name="adj2" fmla="val 1611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2FBFD8BC-A548-3744-97CB-896EBE4857A3}">
      <dsp:nvSpPr>
        <dsp:cNvPr id="0" name=""/>
        <dsp:cNvSpPr/>
      </dsp:nvSpPr>
      <dsp:spPr>
        <a:xfrm>
          <a:off x="2189022" y="379753"/>
          <a:ext cx="917729" cy="8044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AU" sz="1400" kern="1200"/>
            <a:t>Determine acceptable evidence</a:t>
          </a:r>
          <a:endParaRPr lang="en-GB" sz="1400" kern="1200"/>
        </a:p>
      </dsp:txBody>
      <dsp:txXfrm>
        <a:off x="2189022" y="379753"/>
        <a:ext cx="917729" cy="804443"/>
      </dsp:txXfrm>
    </dsp:sp>
    <dsp:sp modelId="{BD13A36B-9921-764F-AE61-86C301E93F07}">
      <dsp:nvSpPr>
        <dsp:cNvPr id="0" name=""/>
        <dsp:cNvSpPr/>
      </dsp:nvSpPr>
      <dsp:spPr>
        <a:xfrm>
          <a:off x="2933594" y="1191"/>
          <a:ext cx="173156" cy="173156"/>
        </a:xfrm>
        <a:prstGeom prst="triangle">
          <a:avLst>
            <a:gd name="adj" fmla="val 1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0CEE5998-CC5F-A54C-ACE5-4D99E1406009}">
      <dsp:nvSpPr>
        <dsp:cNvPr id="0" name=""/>
        <dsp:cNvSpPr/>
      </dsp:nvSpPr>
      <dsp:spPr>
        <a:xfrm rot="5400000">
          <a:off x="3414476" y="-201976"/>
          <a:ext cx="610903" cy="1016530"/>
        </a:xfrm>
        <a:prstGeom prst="corner">
          <a:avLst>
            <a:gd name="adj1" fmla="val 16120"/>
            <a:gd name="adj2" fmla="val 1611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6FF02F72-E220-E14F-88D4-6A1286013521}">
      <dsp:nvSpPr>
        <dsp:cNvPr id="0" name=""/>
        <dsp:cNvSpPr/>
      </dsp:nvSpPr>
      <dsp:spPr>
        <a:xfrm>
          <a:off x="3312501" y="101747"/>
          <a:ext cx="917729" cy="8044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AU" sz="1400" kern="1200"/>
            <a:t>Plan learning experience</a:t>
          </a:r>
          <a:endParaRPr lang="en-GB" sz="1400" kern="1200"/>
        </a:p>
      </dsp:txBody>
      <dsp:txXfrm>
        <a:off x="3312501" y="101747"/>
        <a:ext cx="917729" cy="804443"/>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A0C17-1C37-407D-8BF3-2E178B91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UoM-Long-Report-template (1)</Template>
  <TotalTime>122</TotalTime>
  <Pages>94</Pages>
  <Words>72418</Words>
  <Characters>448271</Characters>
  <Application>Microsoft Office Word</Application>
  <DocSecurity>0</DocSecurity>
  <Lines>10673</Lines>
  <Paragraphs>6508</Paragraphs>
  <ScaleCrop>false</ScaleCrop>
  <HeadingPairs>
    <vt:vector size="2" baseType="variant">
      <vt:variant>
        <vt:lpstr>Title</vt:lpstr>
      </vt:variant>
      <vt:variant>
        <vt:i4>1</vt:i4>
      </vt:variant>
    </vt:vector>
  </HeadingPairs>
  <TitlesOfParts>
    <vt:vector size="1" baseType="lpstr">
      <vt:lpstr>Promoting evidence uptake in Australian schools: A review of the key features of research and evidence institutions</vt:lpstr>
    </vt:vector>
  </TitlesOfParts>
  <Company>Australian Government</Company>
  <LinksUpToDate>false</LinksUpToDate>
  <CharactersWithSpaces>514181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evidence uptake in Australian schools: A review of the key features of research and evidence institutions</dc:title>
  <dc:subject>March 2018</dc:subject>
  <dc:creator>Ana Garcia-Melgar</dc:creator>
  <cp:lastModifiedBy>afi</cp:lastModifiedBy>
  <cp:revision>12</cp:revision>
  <cp:lastPrinted>2018-04-06T05:45:00Z</cp:lastPrinted>
  <dcterms:created xsi:type="dcterms:W3CDTF">2018-04-09T03:21:00Z</dcterms:created>
  <dcterms:modified xsi:type="dcterms:W3CDTF">2018-04-20T07:14:00Z</dcterms:modified>
  <cp:category>Centre for Program Evaluation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ff489b95-2ecf-3473-80c5-93df5e3d2c40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