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DD" w:rsidRDefault="00EB10DD" w:rsidP="0040516E">
      <w:pPr>
        <w:pStyle w:val="Heading1"/>
        <w:rPr>
          <w:rFonts w:eastAsiaTheme="minorHAnsi" w:cstheme="minorBidi"/>
          <w:b w:val="0"/>
          <w:color w:val="auto"/>
          <w:kern w:val="0"/>
          <w:sz w:val="18"/>
          <w:szCs w:val="18"/>
        </w:rPr>
      </w:pPr>
    </w:p>
    <w:p w:rsidR="001864CD" w:rsidRPr="00BA769A" w:rsidRDefault="006F3AD7" w:rsidP="0040516E">
      <w:pPr>
        <w:pStyle w:val="Heading1"/>
        <w:rPr>
          <w:rFonts w:eastAsiaTheme="minorHAnsi" w:cstheme="minorBidi"/>
          <w:b w:val="0"/>
          <w:color w:val="auto"/>
          <w:kern w:val="0"/>
          <w:sz w:val="18"/>
          <w:szCs w:val="18"/>
        </w:rPr>
      </w:pPr>
      <w:r w:rsidRPr="00BA769A">
        <w:rPr>
          <w:rFonts w:eastAsiaTheme="minorHAnsi" w:cstheme="minorBidi"/>
          <w:b w:val="0"/>
          <w:color w:val="auto"/>
          <w:kern w:val="0"/>
          <w:sz w:val="18"/>
          <w:szCs w:val="18"/>
        </w:rPr>
        <w:t xml:space="preserve">The University of Southern Queensland’s Access and Participation Plan </w:t>
      </w:r>
      <w:r w:rsidR="001864CD" w:rsidRPr="00BA769A">
        <w:rPr>
          <w:rFonts w:eastAsiaTheme="minorHAnsi" w:cstheme="minorBidi"/>
          <w:b w:val="0"/>
          <w:color w:val="auto"/>
          <w:kern w:val="0"/>
          <w:sz w:val="18"/>
          <w:szCs w:val="18"/>
        </w:rPr>
        <w:t>2018</w:t>
      </w:r>
      <w:r w:rsidRPr="00BA769A">
        <w:rPr>
          <w:rFonts w:eastAsiaTheme="minorHAnsi" w:cstheme="minorBidi"/>
          <w:b w:val="0"/>
          <w:color w:val="auto"/>
          <w:kern w:val="0"/>
          <w:sz w:val="18"/>
          <w:szCs w:val="18"/>
        </w:rPr>
        <w:t xml:space="preserve"> aligns with the University’s </w:t>
      </w:r>
      <w:r w:rsidR="001864CD" w:rsidRPr="00BA769A">
        <w:rPr>
          <w:rFonts w:eastAsiaTheme="minorHAnsi" w:cstheme="minorBidi"/>
          <w:b w:val="0"/>
          <w:color w:val="auto"/>
          <w:kern w:val="0"/>
          <w:sz w:val="18"/>
          <w:szCs w:val="18"/>
        </w:rPr>
        <w:t xml:space="preserve">objectives </w:t>
      </w:r>
      <w:r w:rsidRPr="00BA769A">
        <w:rPr>
          <w:rFonts w:eastAsiaTheme="minorHAnsi" w:cstheme="minorBidi"/>
          <w:b w:val="0"/>
          <w:color w:val="auto"/>
          <w:kern w:val="0"/>
          <w:sz w:val="18"/>
          <w:szCs w:val="18"/>
        </w:rPr>
        <w:t>to</w:t>
      </w:r>
      <w:r w:rsidR="001864CD" w:rsidRPr="00BA769A">
        <w:rPr>
          <w:rFonts w:eastAsiaTheme="minorHAnsi" w:cstheme="minorBidi"/>
          <w:b w:val="0"/>
          <w:color w:val="auto"/>
          <w:kern w:val="0"/>
          <w:sz w:val="18"/>
          <w:szCs w:val="18"/>
        </w:rPr>
        <w:t>:</w:t>
      </w:r>
    </w:p>
    <w:p w:rsidR="001864CD" w:rsidRPr="00BA769A" w:rsidRDefault="001864CD" w:rsidP="00A30C96">
      <w:pPr>
        <w:pStyle w:val="ListParagraph"/>
        <w:numPr>
          <w:ilvl w:val="0"/>
          <w:numId w:val="5"/>
        </w:numPr>
        <w:spacing w:after="0"/>
        <w:rPr>
          <w:sz w:val="18"/>
          <w:szCs w:val="18"/>
        </w:rPr>
      </w:pPr>
      <w:r w:rsidRPr="00BA769A">
        <w:rPr>
          <w:sz w:val="18"/>
          <w:szCs w:val="18"/>
        </w:rPr>
        <w:t>broaden higher education attainment and social impact that makes a difference to communities;</w:t>
      </w:r>
    </w:p>
    <w:p w:rsidR="001864CD" w:rsidRPr="00BA769A" w:rsidRDefault="001864CD" w:rsidP="00A30C96">
      <w:pPr>
        <w:pStyle w:val="ListParagraph"/>
        <w:numPr>
          <w:ilvl w:val="0"/>
          <w:numId w:val="5"/>
        </w:numPr>
        <w:spacing w:after="0"/>
        <w:rPr>
          <w:sz w:val="18"/>
          <w:szCs w:val="18"/>
        </w:rPr>
      </w:pPr>
      <w:r w:rsidRPr="00BA769A">
        <w:rPr>
          <w:sz w:val="18"/>
          <w:szCs w:val="18"/>
        </w:rPr>
        <w:t xml:space="preserve">demonstrate leadership and innovation in the quality of the student experiences; and, </w:t>
      </w:r>
    </w:p>
    <w:p w:rsidR="001864CD" w:rsidRPr="00BA769A" w:rsidRDefault="001864CD" w:rsidP="00A30C96">
      <w:pPr>
        <w:pStyle w:val="ListParagraph"/>
        <w:numPr>
          <w:ilvl w:val="0"/>
          <w:numId w:val="5"/>
        </w:numPr>
        <w:spacing w:after="0"/>
        <w:rPr>
          <w:sz w:val="18"/>
          <w:szCs w:val="18"/>
        </w:rPr>
      </w:pPr>
      <w:r w:rsidRPr="00BA769A">
        <w:rPr>
          <w:sz w:val="18"/>
          <w:szCs w:val="18"/>
        </w:rPr>
        <w:t>enhance our global standing as a source of graduates who excel in the workplace and develop as leaders (USQ Strategic Plan 2016-2020).</w:t>
      </w:r>
    </w:p>
    <w:p w:rsidR="001864CD" w:rsidRPr="00BA769A" w:rsidRDefault="001864CD" w:rsidP="00A30C96">
      <w:pPr>
        <w:spacing w:before="240" w:after="0"/>
        <w:rPr>
          <w:sz w:val="18"/>
          <w:szCs w:val="18"/>
        </w:rPr>
      </w:pPr>
      <w:r w:rsidRPr="00BA769A">
        <w:rPr>
          <w:sz w:val="18"/>
          <w:szCs w:val="18"/>
        </w:rPr>
        <w:t xml:space="preserve">It also aligns with the University’s Social Justice Strategic Plan (2017-2020) </w:t>
      </w:r>
      <w:r w:rsidR="00A30C96" w:rsidRPr="00BA769A">
        <w:rPr>
          <w:sz w:val="18"/>
          <w:szCs w:val="18"/>
        </w:rPr>
        <w:t>to:</w:t>
      </w:r>
    </w:p>
    <w:p w:rsidR="00A30C96" w:rsidRPr="00BA769A" w:rsidRDefault="00A30C96" w:rsidP="00A30C96">
      <w:pPr>
        <w:pStyle w:val="ListParagraph"/>
        <w:numPr>
          <w:ilvl w:val="0"/>
          <w:numId w:val="5"/>
        </w:numPr>
        <w:spacing w:after="0"/>
        <w:rPr>
          <w:sz w:val="18"/>
          <w:szCs w:val="18"/>
        </w:rPr>
      </w:pPr>
      <w:r w:rsidRPr="00BA769A">
        <w:rPr>
          <w:sz w:val="18"/>
          <w:szCs w:val="18"/>
        </w:rPr>
        <w:t>ensure equity;</w:t>
      </w:r>
    </w:p>
    <w:p w:rsidR="00A30C96" w:rsidRPr="00BA769A" w:rsidRDefault="00A30C96" w:rsidP="00A30C96">
      <w:pPr>
        <w:pStyle w:val="ListParagraph"/>
        <w:numPr>
          <w:ilvl w:val="0"/>
          <w:numId w:val="5"/>
        </w:numPr>
        <w:rPr>
          <w:sz w:val="18"/>
          <w:szCs w:val="18"/>
        </w:rPr>
      </w:pPr>
      <w:r w:rsidRPr="00BA769A">
        <w:rPr>
          <w:sz w:val="18"/>
          <w:szCs w:val="18"/>
        </w:rPr>
        <w:t>facilitate self-determination;</w:t>
      </w:r>
    </w:p>
    <w:p w:rsidR="00A30C96" w:rsidRPr="00BA769A" w:rsidRDefault="00A30C96" w:rsidP="00A30C96">
      <w:pPr>
        <w:pStyle w:val="ListParagraph"/>
        <w:numPr>
          <w:ilvl w:val="0"/>
          <w:numId w:val="5"/>
        </w:numPr>
        <w:rPr>
          <w:sz w:val="18"/>
          <w:szCs w:val="18"/>
        </w:rPr>
      </w:pPr>
      <w:r w:rsidRPr="00BA769A">
        <w:rPr>
          <w:sz w:val="18"/>
          <w:szCs w:val="18"/>
        </w:rPr>
        <w:t>safeguard or enhance human rights;</w:t>
      </w:r>
    </w:p>
    <w:p w:rsidR="00A30C96" w:rsidRPr="00BA769A" w:rsidRDefault="00A30C96" w:rsidP="00A30C96">
      <w:pPr>
        <w:pStyle w:val="ListParagraph"/>
        <w:numPr>
          <w:ilvl w:val="0"/>
          <w:numId w:val="5"/>
        </w:numPr>
        <w:rPr>
          <w:sz w:val="18"/>
          <w:szCs w:val="18"/>
        </w:rPr>
      </w:pPr>
      <w:r w:rsidRPr="00BA769A">
        <w:rPr>
          <w:sz w:val="18"/>
          <w:szCs w:val="18"/>
        </w:rPr>
        <w:t>strengthen access; and,</w:t>
      </w:r>
    </w:p>
    <w:p w:rsidR="00A30C96" w:rsidRPr="00BA769A" w:rsidRDefault="00A30C96" w:rsidP="00A30C96">
      <w:pPr>
        <w:pStyle w:val="ListParagraph"/>
        <w:numPr>
          <w:ilvl w:val="0"/>
          <w:numId w:val="5"/>
        </w:numPr>
        <w:rPr>
          <w:sz w:val="18"/>
          <w:szCs w:val="18"/>
        </w:rPr>
      </w:pPr>
      <w:r w:rsidRPr="00BA769A">
        <w:rPr>
          <w:sz w:val="18"/>
          <w:szCs w:val="18"/>
        </w:rPr>
        <w:t>advance participation.</w:t>
      </w:r>
    </w:p>
    <w:p w:rsidR="0072512B" w:rsidRPr="00A30C96" w:rsidRDefault="00C35FA7" w:rsidP="0040516E">
      <w:pPr>
        <w:pStyle w:val="Heading1"/>
        <w:rPr>
          <w:b w:val="0"/>
          <w:color w:val="F58220"/>
          <w:sz w:val="20"/>
          <w:szCs w:val="20"/>
        </w:rPr>
      </w:pPr>
      <w:r w:rsidRPr="00A30C96">
        <w:rPr>
          <w:b w:val="0"/>
          <w:noProof/>
          <w:color w:val="F58220"/>
          <w:sz w:val="20"/>
          <w:szCs w:val="20"/>
          <w:lang w:eastAsia="en-AU"/>
        </w:rPr>
        <mc:AlternateContent>
          <mc:Choice Requires="wps">
            <w:drawing>
              <wp:anchor distT="0" distB="0" distL="114300" distR="114300" simplePos="0" relativeHeight="251659264" behindDoc="0" locked="0" layoutInCell="1" allowOverlap="1" wp14:anchorId="51C7D0C5" wp14:editId="79A1073B">
                <wp:simplePos x="0" y="0"/>
                <wp:positionH relativeFrom="page">
                  <wp:posOffset>2157046</wp:posOffset>
                </wp:positionH>
                <wp:positionV relativeFrom="page">
                  <wp:posOffset>719015</wp:posOffset>
                </wp:positionV>
                <wp:extent cx="4759569" cy="84406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569" cy="844062"/>
                        </a:xfrm>
                        <a:prstGeom prst="rect">
                          <a:avLst/>
                        </a:prstGeom>
                        <a:noFill/>
                        <a:ln w="9525">
                          <a:noFill/>
                          <a:miter lim="800000"/>
                          <a:headEnd/>
                          <a:tailEnd/>
                        </a:ln>
                      </wps:spPr>
                      <wps:txbx>
                        <w:txbxContent>
                          <w:p w:rsidR="0072512B" w:rsidRPr="0040516E" w:rsidRDefault="009F4C96" w:rsidP="0072512B">
                            <w:pPr>
                              <w:pStyle w:val="PosterHeading"/>
                            </w:pPr>
                            <w:r w:rsidRPr="0040516E">
                              <w:t>Access and Participation Plan</w:t>
                            </w:r>
                          </w:p>
                          <w:p w:rsidR="009F4C96" w:rsidRPr="0040516E" w:rsidRDefault="00A931E9" w:rsidP="00A931E9">
                            <w:pPr>
                              <w:pStyle w:val="PosterHeading"/>
                              <w:jc w:val="center"/>
                            </w:pPr>
                            <w:r>
                              <w:t>2018</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51C7D0C5" id="_x0000_t202" coordsize="21600,21600" o:spt="202" path="m,l,21600r21600,l21600,xe">
                <v:stroke joinstyle="miter"/>
                <v:path gradientshapeok="t" o:connecttype="rect"/>
              </v:shapetype>
              <v:shape id="Text Box 2" o:spid="_x0000_s1026" type="#_x0000_t202" style="position:absolute;margin-left:169.85pt;margin-top:56.6pt;width:374.75pt;height:6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" filled="f" stroked="f">
                <v:textbox style="mso-fit-shape-to-text:t">
                  <w:txbxContent>
                    <w:p w:rsidR="0072512B" w:rsidRPr="0040516E" w:rsidRDefault="009F4C96" w:rsidP="0072512B">
                      <w:pPr>
                        <w:pStyle w:val="PosterHeading"/>
                      </w:pPr>
                      <w:r w:rsidRPr="0040516E">
                        <w:t>Access and Participation Plan</w:t>
                      </w:r>
                    </w:p>
                    <w:p w:rsidR="009F4C96" w:rsidRPr="0040516E" w:rsidRDefault="00A931E9" w:rsidP="00A931E9">
                      <w:pPr>
                        <w:pStyle w:val="PosterHeading"/>
                        <w:jc w:val="center"/>
                      </w:pPr>
                      <w:r>
                        <w:t>2018</w:t>
                      </w:r>
                    </w:p>
                  </w:txbxContent>
                </v:textbox>
                <w10:wrap anchorx="page" anchory="page"/>
              </v:shape>
            </w:pict>
          </mc:Fallback>
        </mc:AlternateContent>
      </w:r>
      <w:r w:rsidR="006F3AD7" w:rsidRPr="00A30C96">
        <w:rPr>
          <w:b w:val="0"/>
          <w:color w:val="F58220"/>
          <w:sz w:val="20"/>
          <w:szCs w:val="20"/>
        </w:rPr>
        <w:t>Equity outcomes</w:t>
      </w:r>
      <w:r w:rsidR="001864CD" w:rsidRPr="00A30C96">
        <w:rPr>
          <w:b w:val="0"/>
          <w:color w:val="F58220"/>
          <w:sz w:val="20"/>
          <w:szCs w:val="20"/>
        </w:rPr>
        <w:t xml:space="preserve"> and strategies</w:t>
      </w:r>
    </w:p>
    <w:p w:rsidR="00A30C96" w:rsidRDefault="00A30C96" w:rsidP="006F3AD7">
      <w:pPr>
        <w:pStyle w:val="ListParagraph"/>
        <w:numPr>
          <w:ilvl w:val="0"/>
          <w:numId w:val="2"/>
        </w:numPr>
        <w:rPr>
          <w:sz w:val="20"/>
          <w:szCs w:val="20"/>
        </w:rPr>
      </w:pPr>
      <w:r>
        <w:rPr>
          <w:sz w:val="20"/>
          <w:szCs w:val="20"/>
        </w:rPr>
        <w:t>Maintain</w:t>
      </w:r>
      <w:r w:rsidR="00E66365">
        <w:rPr>
          <w:sz w:val="20"/>
          <w:szCs w:val="20"/>
        </w:rPr>
        <w:t xml:space="preserve"> USQ’s</w:t>
      </w:r>
      <w:r>
        <w:rPr>
          <w:sz w:val="20"/>
          <w:szCs w:val="20"/>
        </w:rPr>
        <w:t xml:space="preserve"> </w:t>
      </w:r>
      <w:r w:rsidRPr="00BA769A">
        <w:rPr>
          <w:b/>
          <w:sz w:val="20"/>
          <w:szCs w:val="20"/>
        </w:rPr>
        <w:t>access</w:t>
      </w:r>
      <w:r>
        <w:rPr>
          <w:sz w:val="20"/>
          <w:szCs w:val="20"/>
        </w:rPr>
        <w:t xml:space="preserve"> and </w:t>
      </w:r>
      <w:r w:rsidRPr="00BA769A">
        <w:rPr>
          <w:b/>
          <w:sz w:val="20"/>
          <w:szCs w:val="20"/>
        </w:rPr>
        <w:t>participation</w:t>
      </w:r>
      <w:r>
        <w:rPr>
          <w:sz w:val="20"/>
          <w:szCs w:val="20"/>
        </w:rPr>
        <w:t xml:space="preserve"> rates for people from low socioeconomic backgrounds</w:t>
      </w:r>
      <w:r w:rsidR="00E66365">
        <w:rPr>
          <w:sz w:val="20"/>
          <w:szCs w:val="20"/>
        </w:rPr>
        <w:t xml:space="preserve"> (LSES) through:</w:t>
      </w:r>
    </w:p>
    <w:p w:rsidR="00E66365" w:rsidRDefault="00E66365" w:rsidP="00E66365">
      <w:pPr>
        <w:pStyle w:val="ListParagraph"/>
        <w:numPr>
          <w:ilvl w:val="0"/>
          <w:numId w:val="6"/>
        </w:numPr>
        <w:rPr>
          <w:sz w:val="20"/>
          <w:szCs w:val="20"/>
        </w:rPr>
      </w:pPr>
      <w:r>
        <w:rPr>
          <w:sz w:val="20"/>
          <w:szCs w:val="20"/>
        </w:rPr>
        <w:t>Encouraging and supporting</w:t>
      </w:r>
      <w:r w:rsidRPr="00A30C96">
        <w:rPr>
          <w:sz w:val="20"/>
          <w:szCs w:val="20"/>
        </w:rPr>
        <w:t xml:space="preserve"> diversity at USQ through a range of wide</w:t>
      </w:r>
      <w:r>
        <w:rPr>
          <w:sz w:val="20"/>
          <w:szCs w:val="20"/>
        </w:rPr>
        <w:t>ning participation activities;</w:t>
      </w:r>
    </w:p>
    <w:p w:rsidR="00E66365" w:rsidRPr="00A30C96" w:rsidRDefault="00E66365" w:rsidP="00E66365">
      <w:pPr>
        <w:pStyle w:val="ListParagraph"/>
        <w:numPr>
          <w:ilvl w:val="0"/>
          <w:numId w:val="6"/>
        </w:numPr>
        <w:rPr>
          <w:sz w:val="20"/>
          <w:szCs w:val="20"/>
        </w:rPr>
      </w:pPr>
      <w:r>
        <w:rPr>
          <w:sz w:val="20"/>
          <w:szCs w:val="20"/>
        </w:rPr>
        <w:t>Championing the</w:t>
      </w:r>
      <w:r w:rsidRPr="00A30C96">
        <w:rPr>
          <w:sz w:val="20"/>
          <w:szCs w:val="20"/>
        </w:rPr>
        <w:t xml:space="preserve"> USQ Domestic Marketing Plan through</w:t>
      </w:r>
      <w:r>
        <w:rPr>
          <w:sz w:val="20"/>
          <w:szCs w:val="20"/>
        </w:rPr>
        <w:t xml:space="preserve"> targeted</w:t>
      </w:r>
      <w:r w:rsidR="00BA769A">
        <w:rPr>
          <w:sz w:val="20"/>
          <w:szCs w:val="20"/>
        </w:rPr>
        <w:t xml:space="preserve"> campaigns that</w:t>
      </w:r>
      <w:r w:rsidRPr="00A30C96">
        <w:rPr>
          <w:sz w:val="20"/>
          <w:szCs w:val="20"/>
        </w:rPr>
        <w:t xml:space="preserve"> encourage</w:t>
      </w:r>
      <w:r>
        <w:rPr>
          <w:sz w:val="20"/>
          <w:szCs w:val="20"/>
        </w:rPr>
        <w:t>s</w:t>
      </w:r>
      <w:r w:rsidRPr="00A30C96">
        <w:rPr>
          <w:sz w:val="20"/>
          <w:szCs w:val="20"/>
        </w:rPr>
        <w:t xml:space="preserve"> application</w:t>
      </w:r>
      <w:r>
        <w:rPr>
          <w:sz w:val="20"/>
          <w:szCs w:val="20"/>
        </w:rPr>
        <w:t>s from the core priority groups;</w:t>
      </w:r>
    </w:p>
    <w:p w:rsidR="00E66365" w:rsidRPr="00A30C96" w:rsidRDefault="00E66365" w:rsidP="00E66365">
      <w:pPr>
        <w:pStyle w:val="ListParagraph"/>
        <w:numPr>
          <w:ilvl w:val="0"/>
          <w:numId w:val="6"/>
        </w:numPr>
        <w:rPr>
          <w:sz w:val="20"/>
          <w:szCs w:val="20"/>
        </w:rPr>
      </w:pPr>
      <w:r>
        <w:rPr>
          <w:sz w:val="20"/>
          <w:szCs w:val="20"/>
        </w:rPr>
        <w:t xml:space="preserve">Maintaining the </w:t>
      </w:r>
      <w:r w:rsidRPr="00A30C96">
        <w:rPr>
          <w:sz w:val="20"/>
          <w:szCs w:val="20"/>
        </w:rPr>
        <w:t>career development approach to rais</w:t>
      </w:r>
      <w:r>
        <w:rPr>
          <w:sz w:val="20"/>
          <w:szCs w:val="20"/>
        </w:rPr>
        <w:t>ing</w:t>
      </w:r>
      <w:r w:rsidRPr="00A30C96">
        <w:rPr>
          <w:sz w:val="20"/>
          <w:szCs w:val="20"/>
        </w:rPr>
        <w:t xml:space="preserve"> aspirations</w:t>
      </w:r>
      <w:r w:rsidR="00BA769A">
        <w:rPr>
          <w:sz w:val="20"/>
          <w:szCs w:val="20"/>
        </w:rPr>
        <w:t xml:space="preserve"> for higher education</w:t>
      </w:r>
      <w:r w:rsidRPr="00A30C96">
        <w:rPr>
          <w:sz w:val="20"/>
          <w:szCs w:val="20"/>
        </w:rPr>
        <w:t xml:space="preserve"> in target communities</w:t>
      </w:r>
      <w:r>
        <w:rPr>
          <w:sz w:val="20"/>
          <w:szCs w:val="20"/>
        </w:rPr>
        <w:t>;</w:t>
      </w:r>
    </w:p>
    <w:p w:rsidR="00E66365" w:rsidRPr="00A30C96" w:rsidRDefault="00E66365" w:rsidP="00E66365">
      <w:pPr>
        <w:pStyle w:val="ListParagraph"/>
        <w:numPr>
          <w:ilvl w:val="0"/>
          <w:numId w:val="6"/>
        </w:numPr>
        <w:rPr>
          <w:sz w:val="20"/>
          <w:szCs w:val="20"/>
        </w:rPr>
      </w:pPr>
      <w:r w:rsidRPr="00A30C96">
        <w:rPr>
          <w:sz w:val="20"/>
          <w:szCs w:val="20"/>
        </w:rPr>
        <w:t>Continuation</w:t>
      </w:r>
      <w:r>
        <w:rPr>
          <w:sz w:val="20"/>
          <w:szCs w:val="20"/>
        </w:rPr>
        <w:t xml:space="preserve"> and enhancement</w:t>
      </w:r>
      <w:r w:rsidRPr="00A30C96">
        <w:rPr>
          <w:sz w:val="20"/>
          <w:szCs w:val="20"/>
        </w:rPr>
        <w:t xml:space="preserve"> of USQ’s suite o</w:t>
      </w:r>
      <w:r>
        <w:rPr>
          <w:sz w:val="20"/>
          <w:szCs w:val="20"/>
        </w:rPr>
        <w:t>f enabling and pathway programs;</w:t>
      </w:r>
    </w:p>
    <w:p w:rsidR="00E66365" w:rsidRPr="00A30C96" w:rsidRDefault="00E66365" w:rsidP="00E66365">
      <w:pPr>
        <w:pStyle w:val="ListParagraph"/>
        <w:numPr>
          <w:ilvl w:val="0"/>
          <w:numId w:val="6"/>
        </w:numPr>
        <w:rPr>
          <w:sz w:val="20"/>
          <w:szCs w:val="20"/>
        </w:rPr>
      </w:pPr>
      <w:r w:rsidRPr="00A30C96">
        <w:rPr>
          <w:sz w:val="20"/>
          <w:szCs w:val="20"/>
        </w:rPr>
        <w:t>Invest</w:t>
      </w:r>
      <w:r>
        <w:rPr>
          <w:sz w:val="20"/>
          <w:szCs w:val="20"/>
        </w:rPr>
        <w:t>ing</w:t>
      </w:r>
      <w:r w:rsidRPr="00A30C96">
        <w:rPr>
          <w:sz w:val="20"/>
          <w:szCs w:val="20"/>
        </w:rPr>
        <w:t xml:space="preserve"> in schools with students from diverse backgrounds</w:t>
      </w:r>
      <w:r>
        <w:rPr>
          <w:sz w:val="20"/>
          <w:szCs w:val="20"/>
        </w:rPr>
        <w:t>; and,</w:t>
      </w:r>
    </w:p>
    <w:p w:rsidR="00E66365" w:rsidRPr="00A30C96" w:rsidRDefault="00E66365" w:rsidP="00E66365">
      <w:pPr>
        <w:pStyle w:val="ListParagraph"/>
        <w:numPr>
          <w:ilvl w:val="0"/>
          <w:numId w:val="6"/>
        </w:numPr>
        <w:rPr>
          <w:sz w:val="20"/>
          <w:szCs w:val="20"/>
        </w:rPr>
      </w:pPr>
      <w:r w:rsidRPr="00A30C96">
        <w:rPr>
          <w:sz w:val="20"/>
          <w:szCs w:val="20"/>
        </w:rPr>
        <w:t>Refresh</w:t>
      </w:r>
      <w:r>
        <w:rPr>
          <w:sz w:val="20"/>
          <w:szCs w:val="20"/>
        </w:rPr>
        <w:t>ing</w:t>
      </w:r>
      <w:r w:rsidRPr="00A30C96">
        <w:rPr>
          <w:sz w:val="20"/>
          <w:szCs w:val="20"/>
        </w:rPr>
        <w:t xml:space="preserve"> our Reconciliation Action Plan with endorsement by Reconciliation Australia.</w:t>
      </w:r>
    </w:p>
    <w:p w:rsidR="00A30C96" w:rsidRDefault="00E66365" w:rsidP="006F3AD7">
      <w:pPr>
        <w:pStyle w:val="ListParagraph"/>
        <w:numPr>
          <w:ilvl w:val="0"/>
          <w:numId w:val="2"/>
        </w:numPr>
        <w:rPr>
          <w:sz w:val="20"/>
          <w:szCs w:val="20"/>
        </w:rPr>
      </w:pPr>
      <w:r w:rsidRPr="00BA769A">
        <w:rPr>
          <w:b/>
          <w:sz w:val="20"/>
          <w:szCs w:val="20"/>
        </w:rPr>
        <w:t>Evaluate</w:t>
      </w:r>
      <w:r>
        <w:rPr>
          <w:sz w:val="20"/>
          <w:szCs w:val="20"/>
        </w:rPr>
        <w:t xml:space="preserve"> the performance of LSES and Indigenous students at USQ (incorporating retention, success and completion rates) and </w:t>
      </w:r>
      <w:r w:rsidRPr="00BA769A">
        <w:rPr>
          <w:b/>
          <w:sz w:val="20"/>
          <w:szCs w:val="20"/>
        </w:rPr>
        <w:t>commence</w:t>
      </w:r>
      <w:r>
        <w:rPr>
          <w:sz w:val="20"/>
          <w:szCs w:val="20"/>
        </w:rPr>
        <w:t xml:space="preserve"> programs/activities to facilitate improved student outcomes, through:</w:t>
      </w:r>
    </w:p>
    <w:p w:rsidR="00E66365" w:rsidRDefault="00E66365" w:rsidP="00E66365">
      <w:pPr>
        <w:pStyle w:val="ListParagraph"/>
        <w:numPr>
          <w:ilvl w:val="0"/>
          <w:numId w:val="7"/>
        </w:numPr>
        <w:rPr>
          <w:sz w:val="20"/>
          <w:szCs w:val="20"/>
        </w:rPr>
      </w:pPr>
      <w:r>
        <w:rPr>
          <w:sz w:val="20"/>
          <w:szCs w:val="20"/>
        </w:rPr>
        <w:t>Analysing student performance data and other information management systems that enables the University to understand areas for improvement;</w:t>
      </w:r>
    </w:p>
    <w:p w:rsidR="00E66365" w:rsidRDefault="00E66365" w:rsidP="00E66365">
      <w:pPr>
        <w:pStyle w:val="ListParagraph"/>
        <w:numPr>
          <w:ilvl w:val="0"/>
          <w:numId w:val="7"/>
        </w:numPr>
        <w:rPr>
          <w:sz w:val="20"/>
          <w:szCs w:val="20"/>
        </w:rPr>
      </w:pPr>
      <w:r w:rsidRPr="00A30C96">
        <w:rPr>
          <w:sz w:val="20"/>
          <w:szCs w:val="20"/>
        </w:rPr>
        <w:t>Analys</w:t>
      </w:r>
      <w:r>
        <w:rPr>
          <w:sz w:val="20"/>
          <w:szCs w:val="20"/>
        </w:rPr>
        <w:t>ing</w:t>
      </w:r>
      <w:r w:rsidRPr="00A30C96">
        <w:rPr>
          <w:sz w:val="20"/>
          <w:szCs w:val="20"/>
        </w:rPr>
        <w:t xml:space="preserve"> USQ frameworks, systems and operations for areas of structural inequality and champion an approach to continuously</w:t>
      </w:r>
      <w:r>
        <w:rPr>
          <w:sz w:val="20"/>
          <w:szCs w:val="20"/>
        </w:rPr>
        <w:t xml:space="preserve"> improve frameworks and systems;</w:t>
      </w:r>
    </w:p>
    <w:p w:rsidR="00E66365" w:rsidRPr="00A30C96" w:rsidRDefault="00E66365" w:rsidP="00E66365">
      <w:pPr>
        <w:pStyle w:val="ListParagraph"/>
        <w:numPr>
          <w:ilvl w:val="0"/>
          <w:numId w:val="7"/>
        </w:numPr>
        <w:rPr>
          <w:sz w:val="20"/>
          <w:szCs w:val="20"/>
        </w:rPr>
      </w:pPr>
      <w:r>
        <w:rPr>
          <w:sz w:val="20"/>
          <w:szCs w:val="20"/>
        </w:rPr>
        <w:t>Maintaining an approach to</w:t>
      </w:r>
      <w:r w:rsidRPr="00A30C96">
        <w:rPr>
          <w:sz w:val="20"/>
          <w:szCs w:val="20"/>
        </w:rPr>
        <w:t xml:space="preserve"> orientation, learning support and student support programs that enable early detection and interventio</w:t>
      </w:r>
      <w:r>
        <w:rPr>
          <w:sz w:val="20"/>
          <w:szCs w:val="20"/>
        </w:rPr>
        <w:t>n programs for students at risk;</w:t>
      </w:r>
    </w:p>
    <w:p w:rsidR="00E66365" w:rsidRPr="00A30C96" w:rsidRDefault="00E66365" w:rsidP="00E66365">
      <w:pPr>
        <w:pStyle w:val="ListParagraph"/>
        <w:numPr>
          <w:ilvl w:val="0"/>
          <w:numId w:val="7"/>
        </w:numPr>
        <w:rPr>
          <w:sz w:val="20"/>
          <w:szCs w:val="20"/>
        </w:rPr>
      </w:pPr>
      <w:r w:rsidRPr="00A30C96">
        <w:rPr>
          <w:sz w:val="20"/>
          <w:szCs w:val="20"/>
        </w:rPr>
        <w:t>Monitor</w:t>
      </w:r>
      <w:r>
        <w:rPr>
          <w:sz w:val="20"/>
          <w:szCs w:val="20"/>
        </w:rPr>
        <w:t>ing</w:t>
      </w:r>
      <w:r w:rsidRPr="00A30C96">
        <w:rPr>
          <w:sz w:val="20"/>
          <w:szCs w:val="20"/>
        </w:rPr>
        <w:t xml:space="preserve"> accountability for key actions within our Disability Action Plan</w:t>
      </w:r>
      <w:r>
        <w:rPr>
          <w:sz w:val="20"/>
          <w:szCs w:val="20"/>
        </w:rPr>
        <w:t>; and,</w:t>
      </w:r>
    </w:p>
    <w:p w:rsidR="00E66365" w:rsidRPr="00E66365" w:rsidRDefault="00E66365" w:rsidP="00E66365">
      <w:pPr>
        <w:pStyle w:val="ListParagraph"/>
        <w:numPr>
          <w:ilvl w:val="0"/>
          <w:numId w:val="7"/>
        </w:numPr>
        <w:rPr>
          <w:sz w:val="20"/>
          <w:szCs w:val="20"/>
        </w:rPr>
      </w:pPr>
      <w:r w:rsidRPr="00A30C96">
        <w:rPr>
          <w:sz w:val="20"/>
          <w:szCs w:val="20"/>
        </w:rPr>
        <w:t>Refresh</w:t>
      </w:r>
      <w:r>
        <w:rPr>
          <w:sz w:val="20"/>
          <w:szCs w:val="20"/>
        </w:rPr>
        <w:t>ing</w:t>
      </w:r>
      <w:r w:rsidRPr="00A30C96">
        <w:rPr>
          <w:sz w:val="20"/>
          <w:szCs w:val="20"/>
        </w:rPr>
        <w:t xml:space="preserve"> our Reconciliation Action Plan with endorsement by Reconciliation Australia.</w:t>
      </w:r>
    </w:p>
    <w:p w:rsidR="00BA769A" w:rsidRDefault="00BA769A">
      <w:pPr>
        <w:rPr>
          <w:rFonts w:eastAsia="Verdana" w:cs="Arial"/>
          <w:color w:val="F58220"/>
          <w:kern w:val="24"/>
          <w:sz w:val="20"/>
          <w:szCs w:val="20"/>
        </w:rPr>
      </w:pPr>
      <w:r>
        <w:rPr>
          <w:color w:val="F58220"/>
          <w:sz w:val="20"/>
          <w:szCs w:val="20"/>
        </w:rPr>
        <w:br w:type="page"/>
      </w:r>
    </w:p>
    <w:p w:rsidR="001864CD" w:rsidRPr="00A30C96" w:rsidRDefault="001864CD" w:rsidP="0072512B">
      <w:pPr>
        <w:pStyle w:val="Heading2"/>
        <w:rPr>
          <w:color w:val="F58220"/>
          <w:sz w:val="20"/>
          <w:szCs w:val="20"/>
        </w:rPr>
      </w:pPr>
      <w:r w:rsidRPr="00A30C96">
        <w:rPr>
          <w:color w:val="F58220"/>
          <w:sz w:val="20"/>
          <w:szCs w:val="20"/>
        </w:rPr>
        <w:lastRenderedPageBreak/>
        <w:t>Key activities</w:t>
      </w:r>
    </w:p>
    <w:p w:rsidR="001864CD" w:rsidRPr="00A30C96" w:rsidRDefault="001864CD" w:rsidP="001864CD">
      <w:pPr>
        <w:pStyle w:val="ListParagraph"/>
        <w:numPr>
          <w:ilvl w:val="0"/>
          <w:numId w:val="4"/>
        </w:numPr>
        <w:rPr>
          <w:sz w:val="20"/>
          <w:szCs w:val="20"/>
        </w:rPr>
      </w:pPr>
      <w:r w:rsidRPr="00A30C96">
        <w:rPr>
          <w:sz w:val="20"/>
          <w:szCs w:val="20"/>
        </w:rPr>
        <w:t>Residential Scholarships</w:t>
      </w:r>
      <w:r w:rsidR="00E66365">
        <w:rPr>
          <w:sz w:val="20"/>
          <w:szCs w:val="20"/>
        </w:rPr>
        <w:t xml:space="preserve"> (scholarships to support LSES students to reside in Colleges)</w:t>
      </w:r>
    </w:p>
    <w:p w:rsidR="001864CD" w:rsidRPr="00A30C96" w:rsidRDefault="001864CD" w:rsidP="001864CD">
      <w:pPr>
        <w:pStyle w:val="ListParagraph"/>
        <w:numPr>
          <w:ilvl w:val="0"/>
          <w:numId w:val="4"/>
        </w:numPr>
        <w:rPr>
          <w:sz w:val="20"/>
          <w:szCs w:val="20"/>
        </w:rPr>
      </w:pPr>
      <w:r w:rsidRPr="00A30C96">
        <w:rPr>
          <w:sz w:val="20"/>
          <w:szCs w:val="20"/>
        </w:rPr>
        <w:t>Scholarships &amp; Bursaries</w:t>
      </w:r>
      <w:r w:rsidR="00E66365">
        <w:rPr>
          <w:sz w:val="20"/>
          <w:szCs w:val="20"/>
        </w:rPr>
        <w:t xml:space="preserve"> (financial assistance to support LSES students)</w:t>
      </w:r>
    </w:p>
    <w:p w:rsidR="001864CD" w:rsidRPr="00A30C96" w:rsidRDefault="001864CD" w:rsidP="001864CD">
      <w:pPr>
        <w:pStyle w:val="ListParagraph"/>
        <w:numPr>
          <w:ilvl w:val="0"/>
          <w:numId w:val="4"/>
        </w:numPr>
        <w:rPr>
          <w:sz w:val="20"/>
          <w:szCs w:val="20"/>
        </w:rPr>
      </w:pPr>
      <w:r w:rsidRPr="00A30C96">
        <w:rPr>
          <w:sz w:val="20"/>
          <w:szCs w:val="20"/>
        </w:rPr>
        <w:t>Indigenous outreach and retention</w:t>
      </w:r>
      <w:r w:rsidR="00E66365">
        <w:rPr>
          <w:sz w:val="20"/>
          <w:szCs w:val="20"/>
        </w:rPr>
        <w:t xml:space="preserve"> (</w:t>
      </w:r>
      <w:r w:rsidR="00D20A11">
        <w:rPr>
          <w:sz w:val="20"/>
          <w:szCs w:val="20"/>
        </w:rPr>
        <w:t>programs targeted towards supporting the access and retention of Aboriginal and Torres Strait Islander students)</w:t>
      </w:r>
    </w:p>
    <w:p w:rsidR="001864CD" w:rsidRPr="00A30C96" w:rsidRDefault="001864CD" w:rsidP="001864CD">
      <w:pPr>
        <w:pStyle w:val="ListParagraph"/>
        <w:numPr>
          <w:ilvl w:val="0"/>
          <w:numId w:val="4"/>
        </w:numPr>
        <w:rPr>
          <w:sz w:val="20"/>
          <w:szCs w:val="20"/>
        </w:rPr>
      </w:pPr>
      <w:r w:rsidRPr="00A30C96">
        <w:rPr>
          <w:sz w:val="20"/>
          <w:szCs w:val="20"/>
        </w:rPr>
        <w:t>Schools engagement</w:t>
      </w:r>
      <w:r w:rsidR="00D20A11">
        <w:rPr>
          <w:sz w:val="20"/>
          <w:szCs w:val="20"/>
        </w:rPr>
        <w:t xml:space="preserve"> (widening participation initiative targeted at LSES schools)</w:t>
      </w:r>
    </w:p>
    <w:p w:rsidR="001864CD" w:rsidRPr="00A30C96" w:rsidRDefault="001864CD" w:rsidP="001864CD">
      <w:pPr>
        <w:pStyle w:val="ListParagraph"/>
        <w:numPr>
          <w:ilvl w:val="0"/>
          <w:numId w:val="4"/>
        </w:numPr>
        <w:rPr>
          <w:sz w:val="20"/>
          <w:szCs w:val="20"/>
        </w:rPr>
      </w:pPr>
      <w:r w:rsidRPr="00A30C96">
        <w:rPr>
          <w:sz w:val="20"/>
          <w:szCs w:val="20"/>
        </w:rPr>
        <w:t>Indigenous Connections</w:t>
      </w:r>
      <w:r w:rsidR="00D20A11">
        <w:rPr>
          <w:sz w:val="20"/>
          <w:szCs w:val="20"/>
        </w:rPr>
        <w:t xml:space="preserve"> (widening participation initiative working in partnership with community Indigenous service providers and schools)</w:t>
      </w:r>
    </w:p>
    <w:p w:rsidR="001864CD" w:rsidRPr="00A30C96" w:rsidRDefault="001864CD" w:rsidP="001864CD">
      <w:pPr>
        <w:pStyle w:val="ListParagraph"/>
        <w:numPr>
          <w:ilvl w:val="0"/>
          <w:numId w:val="4"/>
        </w:numPr>
        <w:rPr>
          <w:sz w:val="20"/>
          <w:szCs w:val="20"/>
        </w:rPr>
      </w:pPr>
      <w:r w:rsidRPr="00A30C96">
        <w:rPr>
          <w:sz w:val="20"/>
          <w:szCs w:val="20"/>
        </w:rPr>
        <w:t>Accelerated Entry Pathway Program (AEPP)</w:t>
      </w:r>
      <w:r w:rsidR="00D20A11">
        <w:rPr>
          <w:sz w:val="20"/>
          <w:szCs w:val="20"/>
        </w:rPr>
        <w:t xml:space="preserve"> (enabling program supporting LSES school leavers without an OP to gain entry to USQ)</w:t>
      </w:r>
    </w:p>
    <w:p w:rsidR="001864CD" w:rsidRPr="00A30C96" w:rsidRDefault="001864CD" w:rsidP="001864CD">
      <w:pPr>
        <w:pStyle w:val="ListParagraph"/>
        <w:numPr>
          <w:ilvl w:val="0"/>
          <w:numId w:val="4"/>
        </w:numPr>
        <w:rPr>
          <w:sz w:val="20"/>
          <w:szCs w:val="20"/>
        </w:rPr>
      </w:pPr>
      <w:r w:rsidRPr="00A30C96">
        <w:rPr>
          <w:sz w:val="20"/>
          <w:szCs w:val="20"/>
        </w:rPr>
        <w:t>Making Career Choices</w:t>
      </w:r>
      <w:r w:rsidR="00D20A11">
        <w:rPr>
          <w:sz w:val="20"/>
          <w:szCs w:val="20"/>
        </w:rPr>
        <w:t xml:space="preserve"> (career outreach in LSES communities and schools to raise aspirations for higher education)</w:t>
      </w:r>
    </w:p>
    <w:p w:rsidR="001864CD" w:rsidRPr="00A30C96" w:rsidRDefault="001864CD" w:rsidP="001864CD">
      <w:pPr>
        <w:pStyle w:val="ListParagraph"/>
        <w:numPr>
          <w:ilvl w:val="0"/>
          <w:numId w:val="4"/>
        </w:numPr>
        <w:rPr>
          <w:sz w:val="20"/>
          <w:szCs w:val="20"/>
        </w:rPr>
      </w:pPr>
      <w:r w:rsidRPr="00A30C96">
        <w:rPr>
          <w:sz w:val="20"/>
          <w:szCs w:val="20"/>
        </w:rPr>
        <w:t>Making the Connection</w:t>
      </w:r>
      <w:r w:rsidR="00D20A11">
        <w:rPr>
          <w:sz w:val="20"/>
          <w:szCs w:val="20"/>
        </w:rPr>
        <w:t xml:space="preserve"> (making USQ courses available to incarcerated LSES and Indigenous people)</w:t>
      </w:r>
    </w:p>
    <w:p w:rsidR="001864CD" w:rsidRPr="00A30C96" w:rsidRDefault="001864CD" w:rsidP="001864CD">
      <w:pPr>
        <w:pStyle w:val="ListParagraph"/>
        <w:numPr>
          <w:ilvl w:val="0"/>
          <w:numId w:val="4"/>
        </w:numPr>
        <w:rPr>
          <w:sz w:val="20"/>
          <w:szCs w:val="20"/>
        </w:rPr>
      </w:pPr>
      <w:r w:rsidRPr="00A30C96">
        <w:rPr>
          <w:sz w:val="20"/>
          <w:szCs w:val="20"/>
        </w:rPr>
        <w:t>Indigenous student performance</w:t>
      </w:r>
      <w:r w:rsidR="00D20A11">
        <w:rPr>
          <w:sz w:val="20"/>
          <w:szCs w:val="20"/>
        </w:rPr>
        <w:t xml:space="preserve"> (targeted initiatives to address Indigenous success)</w:t>
      </w:r>
    </w:p>
    <w:p w:rsidR="00D20A11" w:rsidRPr="00A30C96" w:rsidRDefault="001864CD" w:rsidP="00D20A11">
      <w:pPr>
        <w:pStyle w:val="ListParagraph"/>
        <w:numPr>
          <w:ilvl w:val="0"/>
          <w:numId w:val="4"/>
        </w:numPr>
        <w:rPr>
          <w:sz w:val="20"/>
          <w:szCs w:val="20"/>
        </w:rPr>
      </w:pPr>
      <w:r w:rsidRPr="00A30C96">
        <w:rPr>
          <w:sz w:val="20"/>
          <w:szCs w:val="20"/>
        </w:rPr>
        <w:t>Student retention and success</w:t>
      </w:r>
      <w:r w:rsidR="00D20A11">
        <w:rPr>
          <w:sz w:val="20"/>
          <w:szCs w:val="20"/>
        </w:rPr>
        <w:t xml:space="preserve"> (targeted initiatives to address LSES student success)</w:t>
      </w:r>
    </w:p>
    <w:p w:rsidR="001864CD" w:rsidRPr="00A30C96" w:rsidRDefault="001864CD" w:rsidP="001864CD">
      <w:pPr>
        <w:pStyle w:val="ListParagraph"/>
        <w:numPr>
          <w:ilvl w:val="0"/>
          <w:numId w:val="4"/>
        </w:numPr>
        <w:rPr>
          <w:sz w:val="20"/>
          <w:szCs w:val="20"/>
        </w:rPr>
      </w:pPr>
      <w:r w:rsidRPr="00A30C96">
        <w:rPr>
          <w:sz w:val="20"/>
          <w:szCs w:val="20"/>
        </w:rPr>
        <w:t>Student support activities</w:t>
      </w:r>
      <w:r w:rsidR="00D20A11">
        <w:rPr>
          <w:sz w:val="20"/>
          <w:szCs w:val="20"/>
        </w:rPr>
        <w:t xml:space="preserve"> (suite of services designed to support LSES student learning journey)</w:t>
      </w:r>
    </w:p>
    <w:p w:rsidR="0072512B" w:rsidRPr="00A30C96" w:rsidRDefault="001864CD" w:rsidP="0072512B">
      <w:pPr>
        <w:pStyle w:val="Heading2"/>
        <w:rPr>
          <w:sz w:val="20"/>
          <w:szCs w:val="20"/>
        </w:rPr>
      </w:pPr>
      <w:r w:rsidRPr="00A30C96">
        <w:rPr>
          <w:color w:val="F58220"/>
          <w:sz w:val="20"/>
          <w:szCs w:val="20"/>
        </w:rPr>
        <w:t>Evaluation</w:t>
      </w:r>
    </w:p>
    <w:p w:rsidR="002D3330" w:rsidRPr="00A30C96" w:rsidRDefault="005215B7" w:rsidP="0072512B">
      <w:pPr>
        <w:pStyle w:val="BodyCopy"/>
        <w:rPr>
          <w:sz w:val="20"/>
          <w:szCs w:val="20"/>
        </w:rPr>
      </w:pPr>
      <w:r w:rsidRPr="00A30C96">
        <w:rPr>
          <w:sz w:val="20"/>
          <w:szCs w:val="20"/>
        </w:rPr>
        <w:t xml:space="preserve">The evaluation framework </w:t>
      </w:r>
      <w:r w:rsidR="001864CD" w:rsidRPr="00A30C96">
        <w:rPr>
          <w:sz w:val="20"/>
          <w:szCs w:val="20"/>
        </w:rPr>
        <w:t xml:space="preserve">used at USQ is a </w:t>
      </w:r>
      <w:r w:rsidRPr="00A30C96">
        <w:rPr>
          <w:sz w:val="20"/>
          <w:szCs w:val="20"/>
        </w:rPr>
        <w:t>two-tiered approach</w:t>
      </w:r>
      <w:r w:rsidR="002D3330" w:rsidRPr="00A30C96">
        <w:rPr>
          <w:sz w:val="20"/>
          <w:szCs w:val="20"/>
        </w:rPr>
        <w:t xml:space="preserve"> embedded within a project management framework</w:t>
      </w:r>
      <w:r w:rsidRPr="00A30C96">
        <w:rPr>
          <w:sz w:val="20"/>
          <w:szCs w:val="20"/>
        </w:rPr>
        <w:t xml:space="preserve"> that incorporates an assessment of institutional impact as well as attempting to measure worth of individual projects.  The evaluation process is based on the Logic Model of Evaluation created by Martin Quigley and utilised often to evaluate the effectiveness of a program </w:t>
      </w:r>
      <w:r w:rsidR="002D3330" w:rsidRPr="00A30C96">
        <w:rPr>
          <w:sz w:val="20"/>
          <w:szCs w:val="20"/>
        </w:rPr>
        <w:t xml:space="preserve">that articulates that planning and implementation has three key elements: input, outputs, and outcomes </w:t>
      </w:r>
      <w:r w:rsidRPr="00A30C96">
        <w:rPr>
          <w:sz w:val="20"/>
          <w:szCs w:val="20"/>
        </w:rPr>
        <w:t xml:space="preserve">(e.g. </w:t>
      </w:r>
      <w:hyperlink r:id="rId7" w:history="1">
        <w:r w:rsidRPr="00A30C96">
          <w:rPr>
            <w:rStyle w:val="Hyperlink"/>
            <w:sz w:val="20"/>
            <w:szCs w:val="20"/>
          </w:rPr>
          <w:t>http://www.uwex.edu/ces/pdande/evaluation/evallogicmodel.html</w:t>
        </w:r>
      </w:hyperlink>
      <w:r w:rsidRPr="00A30C96">
        <w:rPr>
          <w:sz w:val="20"/>
          <w:szCs w:val="20"/>
        </w:rPr>
        <w:t xml:space="preserve">).  </w:t>
      </w:r>
    </w:p>
    <w:p w:rsidR="005215B7" w:rsidRPr="00A30C96" w:rsidRDefault="005215B7" w:rsidP="0072512B">
      <w:pPr>
        <w:pStyle w:val="BodyCopy"/>
        <w:rPr>
          <w:sz w:val="20"/>
          <w:szCs w:val="20"/>
        </w:rPr>
      </w:pPr>
      <w:r w:rsidRPr="00BA769A">
        <w:rPr>
          <w:b/>
          <w:sz w:val="20"/>
          <w:szCs w:val="20"/>
        </w:rPr>
        <w:t>Tier 1:</w:t>
      </w:r>
      <w:r w:rsidRPr="00A30C96">
        <w:rPr>
          <w:sz w:val="20"/>
          <w:szCs w:val="20"/>
        </w:rPr>
        <w:t xml:space="preserve"> Institutional evaluation – mapping/balanced scorecard approach to ensure initiatives and funding are directed to areas of need</w:t>
      </w:r>
    </w:p>
    <w:p w:rsidR="005215B7" w:rsidRPr="00A30C96" w:rsidRDefault="005215B7" w:rsidP="0072512B">
      <w:pPr>
        <w:pStyle w:val="BodyCopy"/>
        <w:rPr>
          <w:sz w:val="20"/>
          <w:szCs w:val="20"/>
        </w:rPr>
      </w:pPr>
      <w:r w:rsidRPr="00BA769A">
        <w:rPr>
          <w:b/>
          <w:sz w:val="20"/>
          <w:szCs w:val="20"/>
        </w:rPr>
        <w:t>Tier 2:</w:t>
      </w:r>
      <w:r w:rsidRPr="00A30C96">
        <w:rPr>
          <w:sz w:val="20"/>
          <w:szCs w:val="20"/>
        </w:rPr>
        <w:t xml:space="preserve"> Project level evaluation – established minimum standards of quantitative and qualitative reporting on projects that are funded by HEPP</w:t>
      </w:r>
      <w:r w:rsidR="001864CD" w:rsidRPr="00A30C96">
        <w:rPr>
          <w:sz w:val="20"/>
          <w:szCs w:val="20"/>
        </w:rPr>
        <w:t>P</w:t>
      </w:r>
    </w:p>
    <w:p w:rsidR="009F4C96" w:rsidRPr="00A30C96" w:rsidRDefault="001864CD" w:rsidP="009F4C96">
      <w:pPr>
        <w:pStyle w:val="Heading2"/>
        <w:rPr>
          <w:sz w:val="20"/>
          <w:szCs w:val="20"/>
        </w:rPr>
      </w:pPr>
      <w:r w:rsidRPr="00A30C96">
        <w:rPr>
          <w:color w:val="F58220"/>
          <w:sz w:val="20"/>
          <w:szCs w:val="20"/>
        </w:rPr>
        <w:t>Partnerships and</w:t>
      </w:r>
      <w:r w:rsidR="009F4C96" w:rsidRPr="00A30C96">
        <w:rPr>
          <w:color w:val="F58220"/>
          <w:sz w:val="20"/>
          <w:szCs w:val="20"/>
        </w:rPr>
        <w:t xml:space="preserve"> collaboration</w:t>
      </w:r>
    </w:p>
    <w:p w:rsidR="00A30C96" w:rsidRPr="00A30C96" w:rsidRDefault="00A30C96" w:rsidP="00A30C96">
      <w:pPr>
        <w:pStyle w:val="BodyCopy"/>
        <w:spacing w:after="0" w:line="240" w:lineRule="auto"/>
        <w:rPr>
          <w:sz w:val="20"/>
          <w:szCs w:val="20"/>
        </w:rPr>
      </w:pPr>
      <w:r w:rsidRPr="00A30C96">
        <w:rPr>
          <w:sz w:val="20"/>
          <w:szCs w:val="20"/>
        </w:rPr>
        <w:t xml:space="preserve">USQ </w:t>
      </w:r>
      <w:r w:rsidR="00BA769A">
        <w:rPr>
          <w:sz w:val="20"/>
          <w:szCs w:val="20"/>
        </w:rPr>
        <w:t xml:space="preserve">will </w:t>
      </w:r>
      <w:r w:rsidRPr="00A30C96">
        <w:rPr>
          <w:sz w:val="20"/>
          <w:szCs w:val="20"/>
        </w:rPr>
        <w:t xml:space="preserve">invest in partnerships with local, regional and national corporate, government and not-for-profit organisations to diversify opportunities for collaboration, research and </w:t>
      </w:r>
      <w:r w:rsidR="00BA769A">
        <w:rPr>
          <w:sz w:val="20"/>
          <w:szCs w:val="20"/>
        </w:rPr>
        <w:t>support for our prospective and current students</w:t>
      </w:r>
      <w:r w:rsidRPr="00A30C96">
        <w:rPr>
          <w:sz w:val="20"/>
          <w:szCs w:val="20"/>
        </w:rPr>
        <w:t xml:space="preserve">.  Key stakeholders </w:t>
      </w:r>
      <w:r w:rsidR="00BA769A">
        <w:rPr>
          <w:sz w:val="20"/>
          <w:szCs w:val="20"/>
        </w:rPr>
        <w:t>are</w:t>
      </w:r>
      <w:r w:rsidRPr="00A30C96">
        <w:rPr>
          <w:sz w:val="20"/>
          <w:szCs w:val="20"/>
        </w:rPr>
        <w:t>:</w:t>
      </w:r>
    </w:p>
    <w:p w:rsidR="00BA769A" w:rsidRDefault="00BA769A" w:rsidP="002D3330">
      <w:pPr>
        <w:pStyle w:val="BodyCopy"/>
        <w:numPr>
          <w:ilvl w:val="0"/>
          <w:numId w:val="1"/>
        </w:numPr>
        <w:spacing w:after="0" w:line="240" w:lineRule="auto"/>
        <w:rPr>
          <w:sz w:val="20"/>
          <w:szCs w:val="20"/>
        </w:rPr>
      </w:pPr>
      <w:r>
        <w:rPr>
          <w:sz w:val="20"/>
          <w:szCs w:val="20"/>
        </w:rPr>
        <w:t xml:space="preserve">National </w:t>
      </w:r>
      <w:r w:rsidRPr="00A30C96">
        <w:rPr>
          <w:sz w:val="20"/>
          <w:szCs w:val="20"/>
        </w:rPr>
        <w:t>Centre for Student Equity in Higher Education</w:t>
      </w:r>
    </w:p>
    <w:p w:rsidR="001864CD" w:rsidRPr="00A30C96" w:rsidRDefault="001864CD" w:rsidP="002D3330">
      <w:pPr>
        <w:pStyle w:val="BodyCopy"/>
        <w:numPr>
          <w:ilvl w:val="0"/>
          <w:numId w:val="1"/>
        </w:numPr>
        <w:spacing w:after="0" w:line="240" w:lineRule="auto"/>
        <w:rPr>
          <w:sz w:val="20"/>
          <w:szCs w:val="20"/>
        </w:rPr>
      </w:pPr>
      <w:r w:rsidRPr="00A30C96">
        <w:rPr>
          <w:sz w:val="20"/>
          <w:szCs w:val="20"/>
        </w:rPr>
        <w:t>LSES schools in our regions</w:t>
      </w:r>
    </w:p>
    <w:p w:rsidR="001864CD" w:rsidRPr="00A30C96" w:rsidRDefault="001864CD" w:rsidP="002D3330">
      <w:pPr>
        <w:pStyle w:val="BodyCopy"/>
        <w:numPr>
          <w:ilvl w:val="0"/>
          <w:numId w:val="1"/>
        </w:numPr>
        <w:spacing w:after="0" w:line="240" w:lineRule="auto"/>
        <w:rPr>
          <w:sz w:val="20"/>
          <w:szCs w:val="20"/>
        </w:rPr>
      </w:pPr>
      <w:r w:rsidRPr="00A30C96">
        <w:rPr>
          <w:sz w:val="20"/>
          <w:szCs w:val="20"/>
        </w:rPr>
        <w:t>Schools with high Indigenous populations in our regions</w:t>
      </w:r>
    </w:p>
    <w:p w:rsidR="001864CD" w:rsidRPr="00A30C96" w:rsidRDefault="001864CD" w:rsidP="002D3330">
      <w:pPr>
        <w:pStyle w:val="BodyCopy"/>
        <w:numPr>
          <w:ilvl w:val="0"/>
          <w:numId w:val="1"/>
        </w:numPr>
        <w:spacing w:after="0" w:line="240" w:lineRule="auto"/>
        <w:rPr>
          <w:sz w:val="20"/>
          <w:szCs w:val="20"/>
        </w:rPr>
      </w:pPr>
      <w:r w:rsidRPr="00A30C96">
        <w:rPr>
          <w:sz w:val="20"/>
          <w:szCs w:val="20"/>
        </w:rPr>
        <w:t>Indigenous health and service providers</w:t>
      </w:r>
    </w:p>
    <w:p w:rsidR="001864CD" w:rsidRPr="00A30C96" w:rsidRDefault="001864CD" w:rsidP="002D3330">
      <w:pPr>
        <w:pStyle w:val="BodyCopy"/>
        <w:numPr>
          <w:ilvl w:val="0"/>
          <w:numId w:val="1"/>
        </w:numPr>
        <w:spacing w:after="0" w:line="240" w:lineRule="auto"/>
        <w:rPr>
          <w:sz w:val="20"/>
          <w:szCs w:val="20"/>
        </w:rPr>
      </w:pPr>
      <w:r w:rsidRPr="00A30C96">
        <w:rPr>
          <w:sz w:val="20"/>
          <w:szCs w:val="20"/>
        </w:rPr>
        <w:t>LSES and Indigenous communities</w:t>
      </w:r>
      <w:r w:rsidR="00A30C96" w:rsidRPr="00A30C96">
        <w:rPr>
          <w:sz w:val="20"/>
          <w:szCs w:val="20"/>
        </w:rPr>
        <w:t xml:space="preserve"> and not-for-profit service providers</w:t>
      </w:r>
    </w:p>
    <w:p w:rsidR="00A30C96" w:rsidRPr="00EB10DD" w:rsidRDefault="00A30C96" w:rsidP="00EB10DD">
      <w:pPr>
        <w:pStyle w:val="BodyCopy"/>
        <w:numPr>
          <w:ilvl w:val="0"/>
          <w:numId w:val="1"/>
        </w:numPr>
        <w:spacing w:after="0" w:line="240" w:lineRule="auto"/>
        <w:rPr>
          <w:sz w:val="20"/>
          <w:szCs w:val="20"/>
        </w:rPr>
      </w:pPr>
      <w:r w:rsidRPr="00A30C96">
        <w:rPr>
          <w:sz w:val="20"/>
          <w:szCs w:val="20"/>
        </w:rPr>
        <w:t>Correctional centres</w:t>
      </w:r>
      <w:bookmarkStart w:id="0" w:name="_GoBack"/>
      <w:bookmarkEnd w:id="0"/>
    </w:p>
    <w:sectPr w:rsidR="00A30C96" w:rsidRPr="00EB10DD" w:rsidSect="00EB10DD">
      <w:headerReference w:type="default" r:id="rId8"/>
      <w:footerReference w:type="default" r:id="rId9"/>
      <w:pgSz w:w="11906" w:h="16838"/>
      <w:pgMar w:top="2835"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C59" w:rsidRDefault="005A1C59" w:rsidP="0072512B">
      <w:pPr>
        <w:spacing w:after="0" w:line="240" w:lineRule="auto"/>
      </w:pPr>
      <w:r>
        <w:separator/>
      </w:r>
    </w:p>
  </w:endnote>
  <w:endnote w:type="continuationSeparator" w:id="0">
    <w:p w:rsidR="005A1C59" w:rsidRDefault="005A1C59" w:rsidP="0072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2B" w:rsidRDefault="0072512B">
    <w:pPr>
      <w:pStyle w:val="Footer"/>
    </w:pPr>
    <w:r>
      <w:rPr>
        <w:noProof/>
        <w:lang w:eastAsia="en-AU"/>
      </w:rPr>
      <w:drawing>
        <wp:anchor distT="0" distB="0" distL="114300" distR="114300" simplePos="0" relativeHeight="251658240" behindDoc="1" locked="0" layoutInCell="1" allowOverlap="1" wp14:anchorId="1A61452D" wp14:editId="20A783F3">
          <wp:simplePos x="0" y="0"/>
          <wp:positionH relativeFrom="column">
            <wp:posOffset>-900430</wp:posOffset>
          </wp:positionH>
          <wp:positionV relativeFrom="page">
            <wp:posOffset>7829550</wp:posOffset>
          </wp:positionV>
          <wp:extent cx="7560000" cy="2876400"/>
          <wp:effectExtent l="0" t="0" r="317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Q Poster Template A4 Portrait Option 2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8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C59" w:rsidRDefault="005A1C59" w:rsidP="0072512B">
      <w:pPr>
        <w:spacing w:after="0" w:line="240" w:lineRule="auto"/>
      </w:pPr>
      <w:r>
        <w:separator/>
      </w:r>
    </w:p>
  </w:footnote>
  <w:footnote w:type="continuationSeparator" w:id="0">
    <w:p w:rsidR="005A1C59" w:rsidRDefault="005A1C59" w:rsidP="00725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2B" w:rsidRDefault="0072512B">
    <w:pPr>
      <w:pStyle w:val="Header"/>
    </w:pPr>
    <w:r>
      <w:rPr>
        <w:noProof/>
        <w:lang w:eastAsia="en-AU"/>
      </w:rPr>
      <w:drawing>
        <wp:anchor distT="0" distB="0" distL="114300" distR="114300" simplePos="0" relativeHeight="251659264" behindDoc="1" locked="0" layoutInCell="1" allowOverlap="1" wp14:anchorId="7B132B80" wp14:editId="2978CD1B">
          <wp:simplePos x="0" y="0"/>
          <wp:positionH relativeFrom="column">
            <wp:posOffset>-894080</wp:posOffset>
          </wp:positionH>
          <wp:positionV relativeFrom="page">
            <wp:posOffset>0</wp:posOffset>
          </wp:positionV>
          <wp:extent cx="7560000" cy="162000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Q Poster Template A4 Portrait Option 2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277A2"/>
    <w:multiLevelType w:val="hybridMultilevel"/>
    <w:tmpl w:val="AA70F61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0113D9D"/>
    <w:multiLevelType w:val="hybridMultilevel"/>
    <w:tmpl w:val="D4C64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1D060E"/>
    <w:multiLevelType w:val="hybridMultilevel"/>
    <w:tmpl w:val="E2B86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4CD7874"/>
    <w:multiLevelType w:val="hybridMultilevel"/>
    <w:tmpl w:val="76AE61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566E71D1"/>
    <w:multiLevelType w:val="hybridMultilevel"/>
    <w:tmpl w:val="58868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7F0A9B"/>
    <w:multiLevelType w:val="hybridMultilevel"/>
    <w:tmpl w:val="FC7CE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0F0BD6"/>
    <w:multiLevelType w:val="hybridMultilevel"/>
    <w:tmpl w:val="6262A85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2B"/>
    <w:rsid w:val="001864CD"/>
    <w:rsid w:val="002135D2"/>
    <w:rsid w:val="002D3330"/>
    <w:rsid w:val="0033443B"/>
    <w:rsid w:val="00364558"/>
    <w:rsid w:val="0040516E"/>
    <w:rsid w:val="005215B7"/>
    <w:rsid w:val="005A1C59"/>
    <w:rsid w:val="006F2145"/>
    <w:rsid w:val="006F3AD7"/>
    <w:rsid w:val="0072512B"/>
    <w:rsid w:val="007822C5"/>
    <w:rsid w:val="00854CF3"/>
    <w:rsid w:val="008C3144"/>
    <w:rsid w:val="0099550E"/>
    <w:rsid w:val="009F4C96"/>
    <w:rsid w:val="00A30C96"/>
    <w:rsid w:val="00A931E9"/>
    <w:rsid w:val="00BA769A"/>
    <w:rsid w:val="00C35FA7"/>
    <w:rsid w:val="00D20A11"/>
    <w:rsid w:val="00E073DC"/>
    <w:rsid w:val="00E274A1"/>
    <w:rsid w:val="00E66365"/>
    <w:rsid w:val="00EB10DD"/>
    <w:rsid w:val="00EF5477"/>
    <w:rsid w:val="00F20F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C90536"/>
  <w15:docId w15:val="{42589DAF-860B-4092-BB8B-5726DFEF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troduction Text"/>
    <w:qFormat/>
    <w:rsid w:val="0072512B"/>
    <w:rPr>
      <w:rFonts w:ascii="Verdana" w:hAnsi="Verdana"/>
      <w:sz w:val="28"/>
    </w:rPr>
  </w:style>
  <w:style w:type="paragraph" w:styleId="Heading1">
    <w:name w:val="heading 1"/>
    <w:basedOn w:val="Normal"/>
    <w:next w:val="Normal"/>
    <w:link w:val="Heading1Char"/>
    <w:qFormat/>
    <w:rsid w:val="0072512B"/>
    <w:pPr>
      <w:tabs>
        <w:tab w:val="left" w:pos="5393"/>
      </w:tabs>
      <w:spacing w:after="60" w:line="240" w:lineRule="auto"/>
      <w:outlineLvl w:val="0"/>
    </w:pPr>
    <w:rPr>
      <w:rFonts w:eastAsia="Verdana" w:cs="Arial"/>
      <w:b/>
      <w:color w:val="FF6600"/>
      <w:kern w:val="24"/>
      <w:sz w:val="32"/>
      <w:szCs w:val="32"/>
    </w:rPr>
  </w:style>
  <w:style w:type="paragraph" w:styleId="Heading2">
    <w:name w:val="heading 2"/>
    <w:basedOn w:val="Normal"/>
    <w:next w:val="Normal"/>
    <w:link w:val="Heading2Char"/>
    <w:unhideWhenUsed/>
    <w:qFormat/>
    <w:rsid w:val="0072512B"/>
    <w:pPr>
      <w:tabs>
        <w:tab w:val="left" w:pos="5393"/>
      </w:tabs>
      <w:spacing w:before="360" w:after="60" w:line="240" w:lineRule="auto"/>
      <w:outlineLvl w:val="1"/>
    </w:pPr>
    <w:rPr>
      <w:rFonts w:eastAsia="Verdana" w:cs="Arial"/>
      <w:color w:val="FF6600"/>
      <w:kern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12B"/>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72512B"/>
  </w:style>
  <w:style w:type="paragraph" w:styleId="Footer">
    <w:name w:val="footer"/>
    <w:basedOn w:val="Normal"/>
    <w:link w:val="FooterChar"/>
    <w:uiPriority w:val="99"/>
    <w:unhideWhenUsed/>
    <w:rsid w:val="0072512B"/>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2512B"/>
  </w:style>
  <w:style w:type="paragraph" w:styleId="BalloonText">
    <w:name w:val="Balloon Text"/>
    <w:basedOn w:val="Normal"/>
    <w:link w:val="BalloonTextChar"/>
    <w:uiPriority w:val="99"/>
    <w:semiHidden/>
    <w:unhideWhenUsed/>
    <w:rsid w:val="0072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12B"/>
    <w:rPr>
      <w:rFonts w:ascii="Tahoma" w:hAnsi="Tahoma" w:cs="Tahoma"/>
      <w:sz w:val="16"/>
      <w:szCs w:val="16"/>
    </w:rPr>
  </w:style>
  <w:style w:type="character" w:customStyle="1" w:styleId="Heading1Char">
    <w:name w:val="Heading 1 Char"/>
    <w:basedOn w:val="DefaultParagraphFont"/>
    <w:link w:val="Heading1"/>
    <w:rsid w:val="0072512B"/>
    <w:rPr>
      <w:rFonts w:ascii="Verdana" w:eastAsia="Verdana" w:hAnsi="Verdana" w:cs="Arial"/>
      <w:b/>
      <w:color w:val="FF6600"/>
      <w:kern w:val="24"/>
      <w:sz w:val="32"/>
      <w:szCs w:val="32"/>
    </w:rPr>
  </w:style>
  <w:style w:type="character" w:customStyle="1" w:styleId="Heading2Char">
    <w:name w:val="Heading 2 Char"/>
    <w:basedOn w:val="DefaultParagraphFont"/>
    <w:link w:val="Heading2"/>
    <w:rsid w:val="0072512B"/>
    <w:rPr>
      <w:rFonts w:ascii="Verdana" w:eastAsia="Verdana" w:hAnsi="Verdana" w:cs="Arial"/>
      <w:color w:val="FF6600"/>
      <w:kern w:val="24"/>
      <w:sz w:val="28"/>
      <w:szCs w:val="28"/>
    </w:rPr>
  </w:style>
  <w:style w:type="paragraph" w:customStyle="1" w:styleId="PosterHeading">
    <w:name w:val="Poster Heading"/>
    <w:basedOn w:val="Normal"/>
    <w:link w:val="PosterHeadingChar"/>
    <w:qFormat/>
    <w:rsid w:val="0072512B"/>
    <w:pPr>
      <w:tabs>
        <w:tab w:val="left" w:pos="5393"/>
      </w:tabs>
      <w:spacing w:after="0" w:line="240" w:lineRule="auto"/>
    </w:pPr>
    <w:rPr>
      <w:rFonts w:eastAsia="Verdana" w:cs="Arial"/>
      <w:bCs/>
      <w:color w:val="000000" w:themeColor="text1"/>
      <w:kern w:val="24"/>
      <w:sz w:val="48"/>
      <w:szCs w:val="48"/>
    </w:rPr>
  </w:style>
  <w:style w:type="character" w:customStyle="1" w:styleId="PosterHeadingChar">
    <w:name w:val="Poster Heading Char"/>
    <w:basedOn w:val="DefaultParagraphFont"/>
    <w:link w:val="PosterHeading"/>
    <w:rsid w:val="0072512B"/>
    <w:rPr>
      <w:rFonts w:ascii="Verdana" w:eastAsia="Verdana" w:hAnsi="Verdana" w:cs="Arial"/>
      <w:bCs/>
      <w:color w:val="000000" w:themeColor="text1"/>
      <w:kern w:val="24"/>
      <w:sz w:val="48"/>
      <w:szCs w:val="48"/>
    </w:rPr>
  </w:style>
  <w:style w:type="paragraph" w:customStyle="1" w:styleId="BodyCopy">
    <w:name w:val="Body Copy"/>
    <w:link w:val="BodyCopyChar"/>
    <w:qFormat/>
    <w:rsid w:val="0072512B"/>
    <w:rPr>
      <w:rFonts w:ascii="Verdana" w:eastAsia="Cambria" w:hAnsi="Verdana" w:cs="Arial"/>
      <w:sz w:val="24"/>
      <w:szCs w:val="24"/>
    </w:rPr>
  </w:style>
  <w:style w:type="character" w:customStyle="1" w:styleId="BodyCopyChar">
    <w:name w:val="Body Copy Char"/>
    <w:basedOn w:val="DefaultParagraphFont"/>
    <w:link w:val="BodyCopy"/>
    <w:rsid w:val="0072512B"/>
    <w:rPr>
      <w:rFonts w:ascii="Verdana" w:eastAsia="Cambria" w:hAnsi="Verdana" w:cs="Arial"/>
      <w:sz w:val="24"/>
      <w:szCs w:val="24"/>
    </w:rPr>
  </w:style>
  <w:style w:type="character" w:styleId="Hyperlink">
    <w:name w:val="Hyperlink"/>
    <w:basedOn w:val="DefaultParagraphFont"/>
    <w:rsid w:val="005215B7"/>
    <w:rPr>
      <w:color w:val="0000FF" w:themeColor="hyperlink"/>
      <w:u w:val="single"/>
    </w:rPr>
  </w:style>
  <w:style w:type="paragraph" w:styleId="ListParagraph">
    <w:name w:val="List Paragraph"/>
    <w:basedOn w:val="Normal"/>
    <w:uiPriority w:val="34"/>
    <w:qFormat/>
    <w:rsid w:val="006F3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wex.edu/ces/pdande/evaluation/evallogicmode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Southern Queensland</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McLachlan</dc:creator>
  <cp:lastModifiedBy>Christie White</cp:lastModifiedBy>
  <cp:revision>4</cp:revision>
  <dcterms:created xsi:type="dcterms:W3CDTF">2018-02-20T04:50:00Z</dcterms:created>
  <dcterms:modified xsi:type="dcterms:W3CDTF">2018-02-26T05:38:00Z</dcterms:modified>
</cp:coreProperties>
</file>