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3C0" w:rsidRDefault="009A73C0" w:rsidP="00D61D35">
      <w:pPr>
        <w:pStyle w:val="NormalWeb"/>
        <w:widowControl w:val="0"/>
        <w:spacing w:before="0" w:beforeAutospacing="0" w:after="0" w:afterAutospacing="0" w:line="270" w:lineRule="atLeast"/>
        <w:jc w:val="both"/>
        <w:rPr>
          <w:rFonts w:ascii="Arial" w:hAnsi="Arial" w:cs="Arial"/>
          <w:b/>
          <w:bCs/>
          <w:color w:val="FF0000"/>
          <w:sz w:val="20"/>
          <w:szCs w:val="20"/>
        </w:rPr>
      </w:pPr>
    </w:p>
    <w:p w:rsidR="008E1C76" w:rsidRPr="008E1C76" w:rsidRDefault="008E1C76" w:rsidP="00D61D35">
      <w:pPr>
        <w:pStyle w:val="p1"/>
        <w:jc w:val="both"/>
        <w:rPr>
          <w:rFonts w:asciiTheme="minorHAnsi" w:hAnsiTheme="minorHAnsi"/>
          <w:sz w:val="24"/>
          <w:szCs w:val="24"/>
        </w:rPr>
      </w:pPr>
    </w:p>
    <w:p w:rsidR="00CB0309" w:rsidRPr="00884186" w:rsidRDefault="00CB0309" w:rsidP="00CB0309">
      <w:pPr>
        <w:rPr>
          <w:rFonts w:cs="Arial"/>
          <w:b/>
          <w:szCs w:val="20"/>
        </w:rPr>
      </w:pPr>
      <w:r w:rsidRPr="00884186">
        <w:rPr>
          <w:rFonts w:cs="Arial"/>
          <w:b/>
          <w:szCs w:val="20"/>
        </w:rPr>
        <w:t>Access and Participation Plan 2018</w:t>
      </w:r>
    </w:p>
    <w:p w:rsidR="00CB0309" w:rsidRDefault="00CB0309" w:rsidP="00CB0309">
      <w:pPr>
        <w:rPr>
          <w:rFonts w:cs="Arial"/>
          <w:szCs w:val="20"/>
        </w:rPr>
      </w:pPr>
      <w:r w:rsidRPr="00884186">
        <w:rPr>
          <w:rFonts w:cs="Arial"/>
          <w:szCs w:val="20"/>
        </w:rPr>
        <w:t xml:space="preserve">At the University of Sydney, we believe that the brightest and most promising students, regardless of their cultural or social background, can thrive and realise their potential through higher education. The University of Sydney’s </w:t>
      </w:r>
      <w:r w:rsidRPr="00884186">
        <w:rPr>
          <w:rFonts w:cs="Arial"/>
          <w:i/>
          <w:szCs w:val="20"/>
        </w:rPr>
        <w:t xml:space="preserve">Access and Participation Plan 2018 </w:t>
      </w:r>
      <w:r w:rsidRPr="00884186">
        <w:rPr>
          <w:rFonts w:cs="Arial"/>
          <w:szCs w:val="20"/>
        </w:rPr>
        <w:t>continues a deepening str</w:t>
      </w:r>
      <w:bookmarkStart w:id="0" w:name="_GoBack"/>
      <w:bookmarkEnd w:id="0"/>
      <w:r w:rsidRPr="00884186">
        <w:rPr>
          <w:rFonts w:cs="Arial"/>
          <w:szCs w:val="20"/>
        </w:rPr>
        <w:t>ategic commitment, underpinned by values of ‘inclusion and diversity’ to increase access and participation in higher education for people from lo</w:t>
      </w:r>
      <w:r>
        <w:rPr>
          <w:rFonts w:cs="Arial"/>
          <w:szCs w:val="20"/>
        </w:rPr>
        <w:t xml:space="preserve">w socio-economic status (LSES) </w:t>
      </w:r>
      <w:r w:rsidRPr="00884186">
        <w:rPr>
          <w:rFonts w:cs="Arial"/>
          <w:szCs w:val="20"/>
        </w:rPr>
        <w:t xml:space="preserve">backgrounds.   </w:t>
      </w:r>
    </w:p>
    <w:p w:rsidR="00CB0309" w:rsidRPr="00884186" w:rsidRDefault="00CB0309" w:rsidP="00CB0309">
      <w:pPr>
        <w:rPr>
          <w:rFonts w:cs="Arial"/>
          <w:szCs w:val="20"/>
        </w:rPr>
      </w:pPr>
    </w:p>
    <w:tbl>
      <w:tblPr>
        <w:tblStyle w:val="TableGrid"/>
        <w:tblW w:w="12895" w:type="dxa"/>
        <w:tblLook w:val="04A0" w:firstRow="1" w:lastRow="0" w:firstColumn="1" w:lastColumn="0" w:noHBand="0" w:noVBand="1"/>
      </w:tblPr>
      <w:tblGrid>
        <w:gridCol w:w="2405"/>
        <w:gridCol w:w="3402"/>
        <w:gridCol w:w="3260"/>
        <w:gridCol w:w="3828"/>
      </w:tblGrid>
      <w:tr w:rsidR="00CB0309" w:rsidRPr="00884186" w:rsidTr="00CB0309">
        <w:trPr>
          <w:trHeight w:val="203"/>
        </w:trPr>
        <w:tc>
          <w:tcPr>
            <w:tcW w:w="12895" w:type="dxa"/>
            <w:gridSpan w:val="4"/>
          </w:tcPr>
          <w:p w:rsidR="00CB0309" w:rsidRPr="00884186" w:rsidRDefault="00CB0309" w:rsidP="000E7F68">
            <w:pPr>
              <w:rPr>
                <w:rFonts w:cs="Arial"/>
                <w:b/>
                <w:color w:val="FF0000"/>
                <w:szCs w:val="20"/>
              </w:rPr>
            </w:pPr>
            <w:r w:rsidRPr="00884186">
              <w:rPr>
                <w:rFonts w:cs="Arial"/>
                <w:b/>
                <w:szCs w:val="20"/>
              </w:rPr>
              <w:t>PRE-ACCESS</w:t>
            </w:r>
          </w:p>
        </w:tc>
      </w:tr>
      <w:tr w:rsidR="00CB0309" w:rsidRPr="00884186" w:rsidTr="00CB0309">
        <w:trPr>
          <w:trHeight w:val="203"/>
        </w:trPr>
        <w:tc>
          <w:tcPr>
            <w:tcW w:w="2405" w:type="dxa"/>
          </w:tcPr>
          <w:p w:rsidR="00CB0309" w:rsidRPr="00884186" w:rsidRDefault="00CB0309" w:rsidP="000E7F68">
            <w:pPr>
              <w:rPr>
                <w:rFonts w:cs="Arial"/>
                <w:szCs w:val="20"/>
                <w:highlight w:val="yellow"/>
              </w:rPr>
            </w:pPr>
            <w:bookmarkStart w:id="1" w:name="_Hlk508363057"/>
            <w:r w:rsidRPr="00884186">
              <w:rPr>
                <w:rFonts w:cs="Arial"/>
                <w:b/>
                <w:szCs w:val="20"/>
              </w:rPr>
              <w:t>Equity outcomes and strategies:</w:t>
            </w:r>
            <w:r w:rsidRPr="00884186">
              <w:rPr>
                <w:rFonts w:cs="Arial"/>
                <w:szCs w:val="20"/>
              </w:rPr>
              <w:t xml:space="preserve"> (</w:t>
            </w:r>
            <w:r w:rsidRPr="00884186">
              <w:rPr>
                <w:rFonts w:cs="Arial"/>
                <w:i/>
                <w:szCs w:val="20"/>
              </w:rPr>
              <w:t>For improving outcomes form people from a low SES background)</w:t>
            </w:r>
          </w:p>
          <w:p w:rsidR="00CB0309" w:rsidRPr="00884186" w:rsidRDefault="00CB0309" w:rsidP="000E7F68">
            <w:pPr>
              <w:rPr>
                <w:rFonts w:cs="Arial"/>
                <w:b/>
                <w:szCs w:val="20"/>
              </w:rPr>
            </w:pPr>
          </w:p>
        </w:tc>
        <w:tc>
          <w:tcPr>
            <w:tcW w:w="3402" w:type="dxa"/>
          </w:tcPr>
          <w:p w:rsidR="00CB0309" w:rsidRPr="00884186" w:rsidRDefault="00CB0309" w:rsidP="000E7F68">
            <w:pPr>
              <w:rPr>
                <w:rFonts w:cs="Arial"/>
                <w:b/>
                <w:szCs w:val="20"/>
              </w:rPr>
            </w:pPr>
            <w:r w:rsidRPr="00884186">
              <w:rPr>
                <w:rFonts w:cs="Arial"/>
                <w:b/>
                <w:szCs w:val="20"/>
              </w:rPr>
              <w:t xml:space="preserve">Key activities: </w:t>
            </w:r>
            <w:r w:rsidRPr="00884186">
              <w:rPr>
                <w:rFonts w:cs="Arial"/>
                <w:i/>
                <w:szCs w:val="20"/>
              </w:rPr>
              <w:t>(which will deliver an increase in the access, participation and success of people from a low SES background)</w:t>
            </w:r>
          </w:p>
        </w:tc>
        <w:tc>
          <w:tcPr>
            <w:tcW w:w="3260" w:type="dxa"/>
          </w:tcPr>
          <w:p w:rsidR="00CB0309" w:rsidRPr="00884186" w:rsidRDefault="00CB0309" w:rsidP="000E7F68">
            <w:pPr>
              <w:rPr>
                <w:rFonts w:cs="Arial"/>
                <w:b/>
                <w:szCs w:val="20"/>
              </w:rPr>
            </w:pPr>
            <w:r w:rsidRPr="00884186">
              <w:rPr>
                <w:rFonts w:cs="Arial"/>
                <w:b/>
                <w:szCs w:val="20"/>
              </w:rPr>
              <w:t xml:space="preserve">Evaluation: </w:t>
            </w:r>
            <w:r w:rsidRPr="00884186">
              <w:rPr>
                <w:rFonts w:cs="Arial"/>
                <w:i/>
                <w:szCs w:val="20"/>
              </w:rPr>
              <w:t>(How the University plans to evaluate the effectiveness of the equity strategies)</w:t>
            </w:r>
          </w:p>
          <w:p w:rsidR="00CB0309" w:rsidRPr="00884186" w:rsidRDefault="00CB0309" w:rsidP="000E7F68">
            <w:pPr>
              <w:rPr>
                <w:rFonts w:cs="Arial"/>
                <w:b/>
                <w:szCs w:val="20"/>
              </w:rPr>
            </w:pPr>
          </w:p>
        </w:tc>
        <w:tc>
          <w:tcPr>
            <w:tcW w:w="3828" w:type="dxa"/>
          </w:tcPr>
          <w:p w:rsidR="00CB0309" w:rsidRPr="00884186" w:rsidRDefault="00CB0309" w:rsidP="000E7F68">
            <w:pPr>
              <w:rPr>
                <w:rFonts w:cs="Arial"/>
                <w:b/>
                <w:szCs w:val="20"/>
              </w:rPr>
            </w:pPr>
            <w:r w:rsidRPr="00884186">
              <w:rPr>
                <w:rFonts w:cs="Arial"/>
                <w:b/>
                <w:szCs w:val="20"/>
              </w:rPr>
              <w:t xml:space="preserve">Partnerships and collaboration: </w:t>
            </w:r>
            <w:r w:rsidRPr="00884186">
              <w:rPr>
                <w:rFonts w:cs="Arial"/>
                <w:i/>
                <w:szCs w:val="20"/>
              </w:rPr>
              <w:t>(who the University will partner and collaborate with and how this will improve equity performance)</w:t>
            </w:r>
          </w:p>
        </w:tc>
      </w:tr>
      <w:bookmarkEnd w:id="1"/>
      <w:tr w:rsidR="00CB0309" w:rsidRPr="00884186" w:rsidTr="00CB0309">
        <w:trPr>
          <w:trHeight w:val="203"/>
        </w:trPr>
        <w:tc>
          <w:tcPr>
            <w:tcW w:w="2405" w:type="dxa"/>
          </w:tcPr>
          <w:p w:rsidR="00CB0309" w:rsidRPr="00884186" w:rsidRDefault="00CB0309" w:rsidP="000E7F68">
            <w:pPr>
              <w:rPr>
                <w:rFonts w:cs="Arial"/>
                <w:szCs w:val="20"/>
              </w:rPr>
            </w:pPr>
            <w:r w:rsidRPr="00884186">
              <w:rPr>
                <w:rFonts w:cs="Arial"/>
                <w:szCs w:val="20"/>
              </w:rPr>
              <w:t>Pre-tertiary academic capacity building program aims to:</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Increase access and participation in higher education for young people from low socio-economic status (LSES), regional and remote areas and Aboriginal and Torres Strait Islander backgrounds</w:t>
            </w:r>
            <w:r>
              <w:rPr>
                <w:rFonts w:cs="Arial"/>
                <w:szCs w:val="20"/>
              </w:rPr>
              <w:t xml:space="preserve"> who are also LSES</w:t>
            </w:r>
            <w:r w:rsidRPr="00884186">
              <w:rPr>
                <w:rFonts w:cs="Arial"/>
                <w:szCs w:val="20"/>
              </w:rPr>
              <w:t>.</w:t>
            </w:r>
            <w:r>
              <w:rPr>
                <w:rFonts w:cs="Arial"/>
                <w:szCs w:val="20"/>
              </w:rPr>
              <w:t xml:space="preserve"> </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lastRenderedPageBreak/>
              <w:t>Engage and connect with teachers, families and community influencers to foster sustained change in beliefs and attitudes about higher education.</w:t>
            </w:r>
          </w:p>
          <w:p w:rsidR="00CB0309" w:rsidRPr="00884186" w:rsidRDefault="00CB0309" w:rsidP="000E7F68">
            <w:pPr>
              <w:pStyle w:val="ListParagraph"/>
              <w:rPr>
                <w:rFonts w:cs="Arial"/>
                <w:szCs w:val="20"/>
              </w:rPr>
            </w:pPr>
          </w:p>
          <w:p w:rsidR="00CB0309" w:rsidRPr="00884186" w:rsidRDefault="00CB0309" w:rsidP="000E7F68">
            <w:pPr>
              <w:rPr>
                <w:rFonts w:cs="Arial"/>
                <w:b/>
                <w:szCs w:val="20"/>
              </w:rPr>
            </w:pPr>
            <w:r w:rsidRPr="00884186">
              <w:rPr>
                <w:rFonts w:cs="Arial"/>
                <w:szCs w:val="20"/>
              </w:rPr>
              <w:t>Extend unique curriculum linked learning experiences to enable improved educational outcomes, capacity and engagement with life-long learning.</w:t>
            </w:r>
          </w:p>
          <w:p w:rsidR="00CB0309" w:rsidRPr="00884186" w:rsidRDefault="00CB0309" w:rsidP="000E7F68">
            <w:pPr>
              <w:rPr>
                <w:rFonts w:cs="Arial"/>
                <w:szCs w:val="20"/>
              </w:rPr>
            </w:pPr>
          </w:p>
          <w:p w:rsidR="00CB0309" w:rsidRPr="00884186" w:rsidRDefault="00CB0309" w:rsidP="000E7F68">
            <w:pPr>
              <w:rPr>
                <w:rFonts w:cs="Arial"/>
                <w:szCs w:val="20"/>
              </w:rPr>
            </w:pPr>
          </w:p>
          <w:p w:rsidR="00CB0309" w:rsidRPr="00884186" w:rsidRDefault="00CB0309" w:rsidP="000E7F68">
            <w:pPr>
              <w:rPr>
                <w:rFonts w:cs="Arial"/>
                <w:szCs w:val="20"/>
              </w:rPr>
            </w:pPr>
          </w:p>
        </w:tc>
        <w:tc>
          <w:tcPr>
            <w:tcW w:w="3402" w:type="dxa"/>
          </w:tcPr>
          <w:p w:rsidR="00CB0309" w:rsidRPr="00884186" w:rsidRDefault="00CB0309" w:rsidP="000E7F68">
            <w:pPr>
              <w:rPr>
                <w:rFonts w:cs="Arial"/>
                <w:szCs w:val="20"/>
              </w:rPr>
            </w:pPr>
            <w:r w:rsidRPr="00884186">
              <w:rPr>
                <w:rFonts w:cs="Arial"/>
                <w:szCs w:val="20"/>
              </w:rPr>
              <w:lastRenderedPageBreak/>
              <w:t>Widening Participation and Outreach multi-modal program initiatives include: experiential learning on campus, residential programs, community engagement and schools outreach.</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In- school enrichment programs across greater western Sydney and regional NSW develop critical academic skills to prepare students for higher education.</w:t>
            </w:r>
          </w:p>
          <w:p w:rsidR="00CB0309" w:rsidRPr="00884186" w:rsidRDefault="00CB0309" w:rsidP="000E7F68">
            <w:pPr>
              <w:rPr>
                <w:rFonts w:cs="Arial"/>
                <w:i/>
                <w:szCs w:val="20"/>
              </w:rPr>
            </w:pPr>
          </w:p>
          <w:p w:rsidR="00CB0309" w:rsidRPr="00884186" w:rsidRDefault="00CB0309" w:rsidP="000E7F68">
            <w:pPr>
              <w:rPr>
                <w:rFonts w:cs="Arial"/>
                <w:szCs w:val="20"/>
              </w:rPr>
            </w:pPr>
            <w:r w:rsidRPr="00884186">
              <w:rPr>
                <w:rFonts w:cs="Arial"/>
                <w:szCs w:val="20"/>
              </w:rPr>
              <w:t xml:space="preserve">Literacy programs support enhanced academic outcomes for students through innovative </w:t>
            </w:r>
            <w:r w:rsidRPr="00884186">
              <w:rPr>
                <w:rFonts w:cs="Arial"/>
                <w:szCs w:val="20"/>
              </w:rPr>
              <w:lastRenderedPageBreak/>
              <w:t>creative and persuasive writing activities.</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STEM focused programs encourage positive engagement and achievement in Science, Technology Engineering and Mathematics-related, subjects, degrees and professions.</w:t>
            </w:r>
          </w:p>
          <w:p w:rsidR="00CB0309" w:rsidRPr="00884186" w:rsidRDefault="00CB0309" w:rsidP="000E7F68">
            <w:pPr>
              <w:rPr>
                <w:rFonts w:cs="Arial"/>
                <w:szCs w:val="20"/>
              </w:rPr>
            </w:pPr>
          </w:p>
          <w:p w:rsidR="00CB0309" w:rsidRPr="00884186" w:rsidRDefault="00CB0309" w:rsidP="000E7F68">
            <w:pPr>
              <w:rPr>
                <w:rFonts w:cs="Arial"/>
                <w:i/>
                <w:szCs w:val="20"/>
              </w:rPr>
            </w:pPr>
            <w:r w:rsidRPr="00884186">
              <w:rPr>
                <w:rFonts w:cs="Arial"/>
                <w:szCs w:val="20"/>
              </w:rPr>
              <w:t>Professional Learning Programs support increased individual and collective efficacy of school teachers and leaders.</w:t>
            </w:r>
          </w:p>
        </w:tc>
        <w:tc>
          <w:tcPr>
            <w:tcW w:w="3260" w:type="dxa"/>
          </w:tcPr>
          <w:p w:rsidR="00CB0309" w:rsidRPr="00884186" w:rsidRDefault="00CB0309" w:rsidP="000E7F68">
            <w:pPr>
              <w:rPr>
                <w:rFonts w:cs="Arial"/>
                <w:szCs w:val="20"/>
              </w:rPr>
            </w:pPr>
            <w:r w:rsidRPr="00884186">
              <w:rPr>
                <w:rFonts w:cs="Arial"/>
                <w:i/>
                <w:szCs w:val="20"/>
              </w:rPr>
              <w:lastRenderedPageBreak/>
              <w:t xml:space="preserve">Longitudinal evaluation project (2018-2020) </w:t>
            </w:r>
            <w:r w:rsidRPr="00884186">
              <w:rPr>
                <w:rFonts w:cs="Arial"/>
                <w:szCs w:val="20"/>
              </w:rPr>
              <w:t>partnership agreements with targeted schools will see a core suite of enrichment activity extended to senior secondary cohorts.</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 xml:space="preserve">Comprehensive longitudinal evaluation will include measures of: </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Program participation numbers and participant feedback</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lastRenderedPageBreak/>
              <w:t>Increases in university applications/offers/enrolments from under-represented groups.</w:t>
            </w:r>
          </w:p>
          <w:p w:rsidR="00CB0309" w:rsidRPr="00884186" w:rsidRDefault="00CB0309" w:rsidP="000E7F68">
            <w:pPr>
              <w:tabs>
                <w:tab w:val="left" w:pos="1122"/>
              </w:tabs>
              <w:rPr>
                <w:rFonts w:cs="Arial"/>
                <w:szCs w:val="20"/>
              </w:rPr>
            </w:pPr>
            <w:r>
              <w:rPr>
                <w:rFonts w:cs="Arial"/>
                <w:szCs w:val="20"/>
              </w:rPr>
              <w:tab/>
            </w:r>
          </w:p>
          <w:p w:rsidR="00CB0309" w:rsidRPr="00884186" w:rsidRDefault="00CB0309" w:rsidP="000E7F68">
            <w:pPr>
              <w:rPr>
                <w:rFonts w:cs="Arial"/>
                <w:szCs w:val="20"/>
              </w:rPr>
            </w:pPr>
            <w:r w:rsidRPr="00884186">
              <w:rPr>
                <w:rFonts w:cs="Arial"/>
                <w:szCs w:val="20"/>
              </w:rPr>
              <w:t>Increases in applications/offers and enrolments through alternative pathways from engaged schools/students.</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Increased academic capacity and preparedness for higher education.</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Increased understanding of the breadth of study options and opportunities at university.</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 xml:space="preserve">Increased ability to make meaningful links between personal interests, higher education study options and careers. </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Increased understanding of the importance of subject selection, obtaining an ATAR and implications for future study at university.</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 xml:space="preserve">Increased knowledge of entry pathways, scholarships and support services available at University. </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lastRenderedPageBreak/>
              <w:t>Increased student confidence about university being a place for them.</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Enriched teacher and school leader capacity through professional development opportunities.</w:t>
            </w:r>
          </w:p>
          <w:p w:rsidR="00CB0309" w:rsidRPr="00884186" w:rsidRDefault="00CB0309" w:rsidP="000E7F68">
            <w:pPr>
              <w:rPr>
                <w:rFonts w:cs="Arial"/>
                <w:szCs w:val="20"/>
              </w:rPr>
            </w:pPr>
          </w:p>
        </w:tc>
        <w:tc>
          <w:tcPr>
            <w:tcW w:w="3828" w:type="dxa"/>
          </w:tcPr>
          <w:p w:rsidR="00CB0309" w:rsidRPr="00884186" w:rsidRDefault="00CB0309" w:rsidP="000E7F68">
            <w:pPr>
              <w:pStyle w:val="NormalWeb"/>
              <w:shd w:val="clear" w:color="auto" w:fill="FFFFFF"/>
              <w:spacing w:before="120" w:beforeAutospacing="0" w:after="120" w:afterAutospacing="0"/>
              <w:rPr>
                <w:rFonts w:ascii="Arial" w:hAnsi="Arial" w:cs="Arial"/>
                <w:b/>
                <w:sz w:val="20"/>
                <w:szCs w:val="20"/>
              </w:rPr>
            </w:pPr>
            <w:r w:rsidRPr="00884186">
              <w:rPr>
                <w:rFonts w:ascii="Arial" w:hAnsi="Arial" w:cs="Arial"/>
                <w:sz w:val="20"/>
                <w:szCs w:val="20"/>
              </w:rPr>
              <w:lastRenderedPageBreak/>
              <w:t xml:space="preserve">Collaborative partnerships with community organisations:  </w:t>
            </w:r>
            <w:r w:rsidRPr="00884186">
              <w:rPr>
                <w:rFonts w:ascii="Arial" w:hAnsi="Arial" w:cs="Arial"/>
                <w:i/>
                <w:sz w:val="20"/>
                <w:szCs w:val="20"/>
              </w:rPr>
              <w:t xml:space="preserve">Education and Training Out West and The Smith Family </w:t>
            </w:r>
            <w:r w:rsidRPr="00884186">
              <w:rPr>
                <w:rFonts w:ascii="Arial" w:hAnsi="Arial" w:cs="Arial"/>
                <w:sz w:val="20"/>
                <w:szCs w:val="20"/>
              </w:rPr>
              <w:t>enable extended reach and more effectively directed enrichment to students from priority cohorts.</w:t>
            </w:r>
          </w:p>
          <w:p w:rsidR="00CB0309" w:rsidRPr="00884186" w:rsidRDefault="00CB0309" w:rsidP="000E7F68">
            <w:pPr>
              <w:pStyle w:val="NormalWeb"/>
              <w:shd w:val="clear" w:color="auto" w:fill="FFFFFF"/>
              <w:spacing w:before="120" w:beforeAutospacing="0" w:after="120" w:afterAutospacing="0"/>
              <w:rPr>
                <w:rFonts w:ascii="Arial" w:hAnsi="Arial" w:cs="Arial"/>
                <w:color w:val="333333"/>
                <w:sz w:val="20"/>
                <w:szCs w:val="20"/>
              </w:rPr>
            </w:pPr>
            <w:r w:rsidRPr="00884186">
              <w:rPr>
                <w:rFonts w:ascii="Arial" w:hAnsi="Arial" w:cs="Arial"/>
                <w:sz w:val="20"/>
                <w:szCs w:val="20"/>
              </w:rPr>
              <w:t>Public Library partnerships with:</w:t>
            </w:r>
            <w:r w:rsidRPr="00884186">
              <w:rPr>
                <w:rFonts w:ascii="Arial" w:hAnsi="Arial" w:cs="Arial"/>
                <w:i/>
                <w:sz w:val="20"/>
                <w:szCs w:val="20"/>
              </w:rPr>
              <w:t xml:space="preserve"> Liverpool City Library, Whitlam Library (Cabramatta), HJ Daley Library (Campbelltown), Max Webber Library (Blacktown), Fisher Library (The University of Sydney) </w:t>
            </w:r>
            <w:r w:rsidRPr="00884186">
              <w:rPr>
                <w:rFonts w:ascii="Arial" w:hAnsi="Arial" w:cs="Arial"/>
                <w:sz w:val="20"/>
                <w:szCs w:val="20"/>
              </w:rPr>
              <w:t xml:space="preserve">provide in-community hosts for study centres, </w:t>
            </w:r>
            <w:r w:rsidRPr="00884186">
              <w:rPr>
                <w:rFonts w:ascii="Arial" w:hAnsi="Arial" w:cs="Arial"/>
                <w:sz w:val="20"/>
                <w:szCs w:val="20"/>
              </w:rPr>
              <w:lastRenderedPageBreak/>
              <w:t xml:space="preserve">parent and community information evenings and </w:t>
            </w:r>
            <w:r w:rsidRPr="00884186">
              <w:rPr>
                <w:rFonts w:ascii="Arial" w:hAnsi="Arial" w:cs="Arial"/>
                <w:color w:val="333333"/>
                <w:sz w:val="20"/>
                <w:szCs w:val="20"/>
                <w:shd w:val="clear" w:color="auto" w:fill="FFFFFF"/>
              </w:rPr>
              <w:t>HSCram events</w:t>
            </w:r>
            <w:r w:rsidRPr="00884186">
              <w:rPr>
                <w:rFonts w:ascii="Arial" w:hAnsi="Arial" w:cs="Arial"/>
                <w:sz w:val="20"/>
                <w:szCs w:val="20"/>
              </w:rPr>
              <w:t>.</w:t>
            </w:r>
          </w:p>
          <w:p w:rsidR="00CB0309" w:rsidRPr="00884186" w:rsidRDefault="00CB0309" w:rsidP="000E7F68">
            <w:pPr>
              <w:rPr>
                <w:rFonts w:cs="Arial"/>
                <w:b/>
                <w:szCs w:val="20"/>
              </w:rPr>
            </w:pPr>
            <w:r w:rsidRPr="00884186">
              <w:rPr>
                <w:rFonts w:cs="Arial"/>
                <w:szCs w:val="20"/>
              </w:rPr>
              <w:t xml:space="preserve">Partnerships with arts and cultural organisations: </w:t>
            </w:r>
            <w:r w:rsidRPr="00884186">
              <w:rPr>
                <w:rFonts w:cs="Arial"/>
                <w:i/>
                <w:szCs w:val="20"/>
              </w:rPr>
              <w:t xml:space="preserve">The Australian Museum, The Sydney Writers Festival, The Sydney Story Factory </w:t>
            </w:r>
            <w:r w:rsidRPr="00884186">
              <w:rPr>
                <w:rFonts w:cs="Arial"/>
                <w:szCs w:val="20"/>
              </w:rPr>
              <w:t>and</w:t>
            </w:r>
            <w:r w:rsidRPr="00884186">
              <w:rPr>
                <w:rFonts w:cs="Arial"/>
                <w:i/>
                <w:szCs w:val="20"/>
              </w:rPr>
              <w:t xml:space="preserve"> The Seymour Centre </w:t>
            </w:r>
            <w:r w:rsidRPr="00884186">
              <w:rPr>
                <w:rFonts w:cs="Arial"/>
                <w:szCs w:val="20"/>
              </w:rPr>
              <w:t>enable the provision of specialised educational experiences that students and schools may not otherwise access and the acquisition of cultural capital to prepare students for University life.</w:t>
            </w:r>
          </w:p>
          <w:p w:rsidR="00CB0309" w:rsidRPr="00884186" w:rsidRDefault="00CB0309" w:rsidP="000E7F68">
            <w:pPr>
              <w:rPr>
                <w:rFonts w:cs="Arial"/>
                <w:b/>
                <w:szCs w:val="20"/>
              </w:rPr>
            </w:pPr>
          </w:p>
          <w:p w:rsidR="00CB0309" w:rsidRPr="00884186" w:rsidRDefault="00CB0309" w:rsidP="000E7F68">
            <w:pPr>
              <w:rPr>
                <w:rFonts w:cs="Arial"/>
                <w:color w:val="333333"/>
                <w:szCs w:val="20"/>
                <w:shd w:val="clear" w:color="auto" w:fill="FFFFFF"/>
              </w:rPr>
            </w:pPr>
            <w:r w:rsidRPr="00884186">
              <w:rPr>
                <w:rFonts w:cs="Arial"/>
                <w:szCs w:val="20"/>
              </w:rPr>
              <w:t xml:space="preserve">Partnership with </w:t>
            </w:r>
            <w:r w:rsidRPr="00884186">
              <w:rPr>
                <w:rFonts w:cs="Arial"/>
                <w:i/>
                <w:szCs w:val="20"/>
              </w:rPr>
              <w:t>Studiosity</w:t>
            </w:r>
            <w:r w:rsidRPr="00884186">
              <w:rPr>
                <w:rFonts w:cs="Arial"/>
                <w:szCs w:val="20"/>
              </w:rPr>
              <w:t xml:space="preserve">, enables the University of Sydney to extend online, on demand academic tutoring to secondary school students </w:t>
            </w:r>
            <w:r w:rsidRPr="00884186">
              <w:rPr>
                <w:rFonts w:cs="Arial"/>
                <w:color w:val="333333"/>
                <w:szCs w:val="20"/>
                <w:shd w:val="clear" w:color="auto" w:fill="FFFFFF"/>
              </w:rPr>
              <w:t>who attend one of our engaged schools and/or identify as Aboriginal or Torres Strait Islander.</w:t>
            </w:r>
          </w:p>
          <w:p w:rsidR="00CB0309" w:rsidRPr="00884186" w:rsidRDefault="00CB0309" w:rsidP="000E7F68">
            <w:pPr>
              <w:rPr>
                <w:rFonts w:cs="Arial"/>
                <w:b/>
                <w:szCs w:val="20"/>
              </w:rPr>
            </w:pPr>
          </w:p>
          <w:p w:rsidR="00CB0309" w:rsidRPr="00884186" w:rsidRDefault="00CB0309" w:rsidP="000E7F68">
            <w:pPr>
              <w:rPr>
                <w:rFonts w:cs="Arial"/>
                <w:szCs w:val="20"/>
              </w:rPr>
            </w:pPr>
            <w:r w:rsidRPr="00884186">
              <w:rPr>
                <w:rStyle w:val="Strong"/>
                <w:rFonts w:cs="Arial"/>
                <w:i/>
                <w:color w:val="333333"/>
                <w:szCs w:val="20"/>
                <w:shd w:val="clear" w:color="auto" w:fill="FFFFFF"/>
              </w:rPr>
              <w:t xml:space="preserve">Western Sydney University </w:t>
            </w:r>
            <w:r w:rsidRPr="00884186">
              <w:rPr>
                <w:rStyle w:val="Strong"/>
                <w:rFonts w:cs="Arial"/>
                <w:color w:val="333333"/>
                <w:szCs w:val="20"/>
                <w:shd w:val="clear" w:color="auto" w:fill="FFFFFF"/>
              </w:rPr>
              <w:t xml:space="preserve">is a </w:t>
            </w:r>
            <w:hyperlink r:id="rId8" w:history="1">
              <w:r w:rsidRPr="00884186">
                <w:rPr>
                  <w:rFonts w:cs="Arial"/>
                  <w:szCs w:val="20"/>
                  <w:shd w:val="clear" w:color="auto" w:fill="FFFFFF"/>
                </w:rPr>
                <w:t>p</w:t>
              </w:r>
              <w:r w:rsidRPr="00884186">
                <w:rPr>
                  <w:rStyle w:val="Hyperlink"/>
                  <w:rFonts w:cs="Arial"/>
                  <w:szCs w:val="20"/>
                  <w:bdr w:val="none" w:sz="0" w:space="0" w:color="auto" w:frame="1"/>
                  <w:shd w:val="clear" w:color="auto" w:fill="FFFFFF"/>
                </w:rPr>
                <w:t>roject partner</w:t>
              </w:r>
            </w:hyperlink>
            <w:r w:rsidRPr="00884186">
              <w:rPr>
                <w:rFonts w:cs="Arial"/>
                <w:szCs w:val="20"/>
                <w:shd w:val="clear" w:color="auto" w:fill="FFFFFF"/>
              </w:rPr>
              <w:t xml:space="preserve"> </w:t>
            </w:r>
            <w:r w:rsidRPr="00884186">
              <w:rPr>
                <w:rFonts w:cs="Arial"/>
                <w:color w:val="333333"/>
                <w:szCs w:val="20"/>
                <w:shd w:val="clear" w:color="auto" w:fill="FFFFFF"/>
              </w:rPr>
              <w:t>for the study of an individual-based socio-economic disadvantage measure, commissioned under the Higher Education Participation and Partnerships Program (HEPPP) National Priorities Pool.</w:t>
            </w:r>
          </w:p>
          <w:p w:rsidR="00CB0309" w:rsidRDefault="00CB0309" w:rsidP="000E7F68">
            <w:pPr>
              <w:rPr>
                <w:rFonts w:cs="Arial"/>
                <w:b/>
                <w:szCs w:val="20"/>
              </w:rPr>
            </w:pPr>
          </w:p>
          <w:p w:rsidR="00CB0309" w:rsidRDefault="00CB0309" w:rsidP="000E7F68">
            <w:pPr>
              <w:rPr>
                <w:rFonts w:cs="Arial"/>
                <w:b/>
                <w:szCs w:val="20"/>
              </w:rPr>
            </w:pPr>
          </w:p>
          <w:p w:rsidR="00CB0309" w:rsidRDefault="00CB0309" w:rsidP="000E7F68">
            <w:pPr>
              <w:rPr>
                <w:rFonts w:cs="Arial"/>
                <w:b/>
                <w:szCs w:val="20"/>
              </w:rPr>
            </w:pPr>
          </w:p>
          <w:p w:rsidR="00CB0309" w:rsidRPr="00884186" w:rsidRDefault="00CB0309" w:rsidP="000E7F68">
            <w:pPr>
              <w:rPr>
                <w:rFonts w:cs="Arial"/>
                <w:b/>
                <w:szCs w:val="20"/>
              </w:rPr>
            </w:pPr>
          </w:p>
        </w:tc>
      </w:tr>
      <w:tr w:rsidR="00CB0309" w:rsidRPr="00884186" w:rsidTr="00CB0309">
        <w:tc>
          <w:tcPr>
            <w:tcW w:w="12895" w:type="dxa"/>
            <w:gridSpan w:val="4"/>
          </w:tcPr>
          <w:p w:rsidR="00CB0309" w:rsidRPr="00884186" w:rsidRDefault="00CB0309" w:rsidP="000E7F68">
            <w:pPr>
              <w:rPr>
                <w:rFonts w:cs="Arial"/>
                <w:b/>
                <w:szCs w:val="20"/>
              </w:rPr>
            </w:pPr>
            <w:r w:rsidRPr="00884186">
              <w:rPr>
                <w:rFonts w:cs="Arial"/>
                <w:b/>
                <w:szCs w:val="20"/>
              </w:rPr>
              <w:lastRenderedPageBreak/>
              <w:t>ACCESS</w:t>
            </w:r>
          </w:p>
        </w:tc>
      </w:tr>
      <w:tr w:rsidR="00CB0309" w:rsidRPr="00884186" w:rsidTr="00CB0309">
        <w:trPr>
          <w:trHeight w:val="203"/>
        </w:trPr>
        <w:tc>
          <w:tcPr>
            <w:tcW w:w="2405" w:type="dxa"/>
          </w:tcPr>
          <w:p w:rsidR="00CB0309" w:rsidRPr="00884186" w:rsidRDefault="00CB0309" w:rsidP="000E7F68">
            <w:pPr>
              <w:rPr>
                <w:rFonts w:cs="Arial"/>
                <w:i/>
                <w:szCs w:val="20"/>
                <w:highlight w:val="yellow"/>
              </w:rPr>
            </w:pPr>
            <w:bookmarkStart w:id="2" w:name="_Hlk508365823"/>
            <w:r w:rsidRPr="00884186">
              <w:rPr>
                <w:rFonts w:cs="Arial"/>
                <w:b/>
                <w:szCs w:val="20"/>
              </w:rPr>
              <w:t>Equity outcomes and strategies</w:t>
            </w:r>
          </w:p>
        </w:tc>
        <w:tc>
          <w:tcPr>
            <w:tcW w:w="3402" w:type="dxa"/>
          </w:tcPr>
          <w:p w:rsidR="00CB0309" w:rsidRPr="00884186" w:rsidRDefault="00CB0309" w:rsidP="000E7F68">
            <w:pPr>
              <w:rPr>
                <w:rFonts w:cs="Arial"/>
                <w:b/>
                <w:szCs w:val="20"/>
              </w:rPr>
            </w:pPr>
            <w:r w:rsidRPr="00884186">
              <w:rPr>
                <w:rFonts w:cs="Arial"/>
                <w:b/>
                <w:szCs w:val="20"/>
              </w:rPr>
              <w:t>Key activities</w:t>
            </w:r>
          </w:p>
        </w:tc>
        <w:tc>
          <w:tcPr>
            <w:tcW w:w="3260" w:type="dxa"/>
          </w:tcPr>
          <w:p w:rsidR="00CB0309" w:rsidRPr="00884186" w:rsidRDefault="00CB0309" w:rsidP="000E7F68">
            <w:pPr>
              <w:rPr>
                <w:rFonts w:cs="Arial"/>
                <w:b/>
                <w:szCs w:val="20"/>
              </w:rPr>
            </w:pPr>
            <w:r w:rsidRPr="00884186">
              <w:rPr>
                <w:rFonts w:cs="Arial"/>
                <w:b/>
                <w:szCs w:val="20"/>
              </w:rPr>
              <w:t xml:space="preserve">Evaluation: </w:t>
            </w:r>
          </w:p>
        </w:tc>
        <w:tc>
          <w:tcPr>
            <w:tcW w:w="3828" w:type="dxa"/>
          </w:tcPr>
          <w:p w:rsidR="00CB0309" w:rsidRPr="00884186" w:rsidRDefault="00CB0309" w:rsidP="000E7F68">
            <w:pPr>
              <w:rPr>
                <w:rFonts w:cs="Arial"/>
                <w:b/>
                <w:szCs w:val="20"/>
              </w:rPr>
            </w:pPr>
            <w:r w:rsidRPr="00884186">
              <w:rPr>
                <w:rFonts w:cs="Arial"/>
                <w:b/>
                <w:szCs w:val="20"/>
              </w:rPr>
              <w:t xml:space="preserve">Partnerships and collaboration: </w:t>
            </w:r>
          </w:p>
        </w:tc>
      </w:tr>
      <w:bookmarkEnd w:id="2"/>
      <w:tr w:rsidR="00CB0309" w:rsidRPr="00884186" w:rsidTr="00CB0309">
        <w:trPr>
          <w:trHeight w:val="203"/>
        </w:trPr>
        <w:tc>
          <w:tcPr>
            <w:tcW w:w="2405" w:type="dxa"/>
          </w:tcPr>
          <w:p w:rsidR="00CB0309" w:rsidRPr="00884186" w:rsidRDefault="00CB0309" w:rsidP="000E7F68">
            <w:pPr>
              <w:rPr>
                <w:rFonts w:cs="Arial"/>
                <w:b/>
                <w:szCs w:val="20"/>
              </w:rPr>
            </w:pPr>
            <w:r w:rsidRPr="00884186">
              <w:rPr>
                <w:rFonts w:cs="Arial"/>
                <w:b/>
                <w:szCs w:val="20"/>
              </w:rPr>
              <w:t>Provision and promotion of pathway programs, alternative selection criteria tools, scholarships and integrated policy frameworks on equity-related issues</w:t>
            </w:r>
          </w:p>
        </w:tc>
        <w:tc>
          <w:tcPr>
            <w:tcW w:w="3402" w:type="dxa"/>
          </w:tcPr>
          <w:p w:rsidR="00CB0309" w:rsidRPr="00884186" w:rsidRDefault="00CB0309" w:rsidP="000E7F68">
            <w:pPr>
              <w:rPr>
                <w:rFonts w:cs="Arial"/>
                <w:szCs w:val="20"/>
              </w:rPr>
            </w:pPr>
            <w:r>
              <w:rPr>
                <w:rFonts w:cs="Arial"/>
                <w:szCs w:val="20"/>
              </w:rPr>
              <w:t>Expansion</w:t>
            </w:r>
            <w:r w:rsidRPr="00884186">
              <w:rPr>
                <w:rFonts w:cs="Arial"/>
                <w:szCs w:val="20"/>
              </w:rPr>
              <w:t xml:space="preserve"> of </w:t>
            </w:r>
            <w:r>
              <w:rPr>
                <w:rFonts w:cs="Arial"/>
                <w:szCs w:val="20"/>
              </w:rPr>
              <w:t xml:space="preserve">the University of Sydney’s </w:t>
            </w:r>
            <w:r>
              <w:rPr>
                <w:rFonts w:cs="Arial"/>
                <w:i/>
                <w:szCs w:val="20"/>
              </w:rPr>
              <w:t>Widening Participation and Outreach</w:t>
            </w:r>
            <w:r w:rsidRPr="00884186">
              <w:rPr>
                <w:rFonts w:cs="Arial"/>
                <w:i/>
                <w:szCs w:val="20"/>
              </w:rPr>
              <w:t xml:space="preserve"> strategy</w:t>
            </w:r>
            <w:r w:rsidRPr="00884186">
              <w:rPr>
                <w:rFonts w:cs="Arial"/>
                <w:szCs w:val="20"/>
              </w:rPr>
              <w:t xml:space="preserve"> anchor</w:t>
            </w:r>
            <w:r>
              <w:rPr>
                <w:rFonts w:cs="Arial"/>
                <w:szCs w:val="20"/>
              </w:rPr>
              <w:t>ing</w:t>
            </w:r>
            <w:r w:rsidRPr="00884186">
              <w:rPr>
                <w:rFonts w:cs="Arial"/>
                <w:szCs w:val="20"/>
              </w:rPr>
              <w:t xml:space="preserve"> and </w:t>
            </w:r>
            <w:r>
              <w:rPr>
                <w:rFonts w:cs="Arial"/>
                <w:szCs w:val="20"/>
              </w:rPr>
              <w:t xml:space="preserve">focusing </w:t>
            </w:r>
            <w:r w:rsidRPr="00884186">
              <w:rPr>
                <w:rFonts w:cs="Arial"/>
                <w:szCs w:val="20"/>
              </w:rPr>
              <w:t xml:space="preserve">access and participation activity across each stage of the student life cycle: Pre- access (outreach to school and communities), Access (pre-entry and admissions), Participation (transition and progression during studies) Attainment (successful completion and preparation for graduate employment.) </w:t>
            </w:r>
          </w:p>
          <w:p w:rsidR="00CB0309" w:rsidRDefault="00CB0309" w:rsidP="000E7F68">
            <w:pPr>
              <w:rPr>
                <w:rFonts w:cs="Arial"/>
                <w:szCs w:val="20"/>
              </w:rPr>
            </w:pPr>
          </w:p>
          <w:p w:rsidR="00CB0309" w:rsidRDefault="00CB0309" w:rsidP="000E7F68">
            <w:pPr>
              <w:rPr>
                <w:rFonts w:cs="Arial"/>
                <w:szCs w:val="20"/>
              </w:rPr>
            </w:pPr>
            <w:r>
              <w:rPr>
                <w:rFonts w:cs="Arial"/>
                <w:szCs w:val="20"/>
              </w:rPr>
              <w:t>R</w:t>
            </w:r>
            <w:r w:rsidRPr="00884186">
              <w:rPr>
                <w:rFonts w:cs="Arial"/>
                <w:szCs w:val="20"/>
              </w:rPr>
              <w:t>eview of alternative entry pathways</w:t>
            </w:r>
            <w:r>
              <w:rPr>
                <w:rFonts w:cs="Arial"/>
                <w:szCs w:val="20"/>
              </w:rPr>
              <w:t xml:space="preserve"> at The University of Sydney.</w:t>
            </w:r>
          </w:p>
          <w:p w:rsidR="00CB0309" w:rsidRDefault="00CB0309" w:rsidP="000E7F68">
            <w:pPr>
              <w:rPr>
                <w:rFonts w:cs="Arial"/>
                <w:szCs w:val="20"/>
              </w:rPr>
            </w:pPr>
          </w:p>
          <w:p w:rsidR="00CB0309" w:rsidRDefault="00CB0309" w:rsidP="000E7F68">
            <w:pPr>
              <w:rPr>
                <w:rFonts w:cs="Arial"/>
                <w:szCs w:val="20"/>
              </w:rPr>
            </w:pPr>
            <w:r>
              <w:rPr>
                <w:rFonts w:cs="Arial"/>
                <w:szCs w:val="20"/>
              </w:rPr>
              <w:t xml:space="preserve">Review impact of mathematics pre-requisites on Recent School Leavers accessing the University equity pathways and </w:t>
            </w:r>
            <w:r>
              <w:rPr>
                <w:rFonts w:cs="Arial"/>
                <w:szCs w:val="20"/>
              </w:rPr>
              <w:lastRenderedPageBreak/>
              <w:t>implementation of bridging courses and/or concessions to minimise access barriers.</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 xml:space="preserve">Current </w:t>
            </w:r>
            <w:r>
              <w:rPr>
                <w:rFonts w:cs="Arial"/>
                <w:szCs w:val="20"/>
              </w:rPr>
              <w:t xml:space="preserve">equity </w:t>
            </w:r>
            <w:r w:rsidRPr="00884186">
              <w:rPr>
                <w:rFonts w:cs="Arial"/>
                <w:szCs w:val="20"/>
              </w:rPr>
              <w:t>entry pathways will continue for 2018</w:t>
            </w:r>
            <w:r>
              <w:rPr>
                <w:rFonts w:cs="Arial"/>
                <w:szCs w:val="20"/>
              </w:rPr>
              <w:t>:</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 xml:space="preserve">The </w:t>
            </w:r>
            <w:r w:rsidRPr="00884186">
              <w:rPr>
                <w:rFonts w:cs="Arial"/>
                <w:i/>
                <w:szCs w:val="20"/>
              </w:rPr>
              <w:t>Early Offer Year 12 (E12) scheme</w:t>
            </w:r>
            <w:r w:rsidRPr="00884186">
              <w:rPr>
                <w:rFonts w:cs="Arial"/>
                <w:szCs w:val="20"/>
              </w:rPr>
              <w:t xml:space="preserve"> for students who are from a financially disadvantaged background and/or are attending a </w:t>
            </w:r>
            <w:r w:rsidRPr="00884186">
              <w:rPr>
                <w:rFonts w:cs="Arial"/>
                <w:color w:val="333333"/>
                <w:szCs w:val="20"/>
                <w:shd w:val="clear" w:color="auto" w:fill="FFFFFF"/>
              </w:rPr>
              <w:t>UAC identified S01E list</w:t>
            </w:r>
            <w:r w:rsidRPr="00884186">
              <w:rPr>
                <w:rFonts w:cs="Arial"/>
                <w:szCs w:val="20"/>
              </w:rPr>
              <w:t xml:space="preserve"> high school</w:t>
            </w:r>
            <w:r>
              <w:rPr>
                <w:rFonts w:cs="Arial"/>
                <w:szCs w:val="20"/>
              </w:rPr>
              <w:t>.</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i/>
                <w:szCs w:val="20"/>
              </w:rPr>
              <w:t xml:space="preserve">Broadway Scheme </w:t>
            </w:r>
            <w:r w:rsidRPr="00884186">
              <w:rPr>
                <w:rFonts w:cs="Arial"/>
                <w:szCs w:val="20"/>
              </w:rPr>
              <w:t>for domestic students who have experienced long-term disadvantage that has affected educational performance in Year 11 and/or Year 12 including from disrupted schooling, financial hardship, home or school environment, English language difficulty, personal illness or disability, or refugee status.</w:t>
            </w:r>
          </w:p>
          <w:p w:rsidR="00CB0309" w:rsidRPr="00884186" w:rsidRDefault="00CB0309" w:rsidP="000E7F68">
            <w:pPr>
              <w:rPr>
                <w:rFonts w:cs="Arial"/>
                <w:szCs w:val="20"/>
              </w:rPr>
            </w:pPr>
          </w:p>
          <w:p w:rsidR="00CB0309" w:rsidRPr="00884186" w:rsidRDefault="00CB0309" w:rsidP="000E7F68">
            <w:pPr>
              <w:pStyle w:val="Default"/>
              <w:rPr>
                <w:rFonts w:ascii="Arial" w:hAnsi="Arial" w:cs="Arial"/>
                <w:color w:val="auto"/>
                <w:sz w:val="20"/>
                <w:szCs w:val="20"/>
                <w:lang w:val="en-GB"/>
              </w:rPr>
            </w:pPr>
            <w:r w:rsidRPr="00884186">
              <w:rPr>
                <w:rFonts w:ascii="Arial" w:hAnsi="Arial" w:cs="Arial"/>
                <w:color w:val="auto"/>
                <w:sz w:val="20"/>
                <w:szCs w:val="20"/>
                <w:lang w:val="en-GB"/>
              </w:rPr>
              <w:t xml:space="preserve">The </w:t>
            </w:r>
            <w:r w:rsidRPr="00884186">
              <w:rPr>
                <w:rFonts w:ascii="Arial" w:hAnsi="Arial" w:cs="Arial"/>
                <w:i/>
                <w:color w:val="auto"/>
                <w:sz w:val="20"/>
                <w:szCs w:val="20"/>
                <w:lang w:val="en-GB"/>
              </w:rPr>
              <w:t>Dalyell Scholars program</w:t>
            </w:r>
            <w:r w:rsidRPr="00884186">
              <w:rPr>
                <w:rFonts w:ascii="Arial" w:hAnsi="Arial" w:cs="Arial"/>
                <w:color w:val="auto"/>
                <w:sz w:val="20"/>
                <w:szCs w:val="20"/>
                <w:lang w:val="en-GB"/>
              </w:rPr>
              <w:t xml:space="preserve"> for high achieving students will continue its ATAR concessions for alternative pathway applicants</w:t>
            </w:r>
            <w:r>
              <w:rPr>
                <w:rFonts w:ascii="Arial" w:hAnsi="Arial" w:cs="Arial"/>
                <w:color w:val="auto"/>
                <w:sz w:val="20"/>
                <w:szCs w:val="20"/>
                <w:lang w:val="en-GB"/>
              </w:rPr>
              <w:t>.</w:t>
            </w:r>
            <w:r w:rsidRPr="00884186">
              <w:rPr>
                <w:rFonts w:ascii="Arial" w:hAnsi="Arial" w:cs="Arial"/>
                <w:color w:val="auto"/>
                <w:sz w:val="20"/>
                <w:szCs w:val="20"/>
                <w:lang w:val="en-GB"/>
              </w:rPr>
              <w:t xml:space="preserve"> </w:t>
            </w:r>
          </w:p>
          <w:p w:rsidR="00CB0309" w:rsidRPr="00884186" w:rsidRDefault="00CB0309" w:rsidP="000E7F68">
            <w:pPr>
              <w:rPr>
                <w:rFonts w:cs="Arial"/>
                <w:szCs w:val="20"/>
              </w:rPr>
            </w:pPr>
          </w:p>
          <w:p w:rsidR="00CB0309" w:rsidRPr="00884186" w:rsidRDefault="00CB0309" w:rsidP="000E7F68">
            <w:pPr>
              <w:rPr>
                <w:rFonts w:cs="Arial"/>
                <w:szCs w:val="20"/>
              </w:rPr>
            </w:pPr>
            <w:r>
              <w:rPr>
                <w:rFonts w:cs="Arial"/>
                <w:szCs w:val="20"/>
              </w:rPr>
              <w:t xml:space="preserve">The University is scoping the development of a </w:t>
            </w:r>
            <w:r w:rsidRPr="00884186">
              <w:rPr>
                <w:rFonts w:cs="Arial"/>
                <w:i/>
                <w:szCs w:val="20"/>
              </w:rPr>
              <w:t>Foundation Year</w:t>
            </w:r>
            <w:r>
              <w:rPr>
                <w:rFonts w:cs="Arial"/>
                <w:szCs w:val="20"/>
              </w:rPr>
              <w:t xml:space="preserve"> e</w:t>
            </w:r>
            <w:r w:rsidRPr="00884186">
              <w:rPr>
                <w:rFonts w:cs="Arial"/>
                <w:szCs w:val="20"/>
              </w:rPr>
              <w:t xml:space="preserve">nabling program targeted at Aboriginal and Torres Strait </w:t>
            </w:r>
            <w:r w:rsidRPr="00884186">
              <w:rPr>
                <w:rFonts w:cs="Arial"/>
                <w:szCs w:val="20"/>
              </w:rPr>
              <w:lastRenderedPageBreak/>
              <w:t xml:space="preserve">Islanders </w:t>
            </w:r>
            <w:r>
              <w:rPr>
                <w:rFonts w:cs="Arial"/>
                <w:szCs w:val="20"/>
              </w:rPr>
              <w:t xml:space="preserve">and potentially LSES students </w:t>
            </w:r>
            <w:r w:rsidRPr="00884186">
              <w:rPr>
                <w:rFonts w:cs="Arial"/>
                <w:szCs w:val="20"/>
              </w:rPr>
              <w:t xml:space="preserve">who may be unable to gain University entry via traditional pathways. </w:t>
            </w:r>
          </w:p>
          <w:p w:rsidR="00CB0309" w:rsidRPr="00884186" w:rsidRDefault="00CB0309" w:rsidP="000E7F68">
            <w:pPr>
              <w:rPr>
                <w:rFonts w:cs="Arial"/>
                <w:szCs w:val="20"/>
              </w:rPr>
            </w:pPr>
          </w:p>
          <w:p w:rsidR="00CB0309" w:rsidRPr="00884186" w:rsidRDefault="00CB0309" w:rsidP="000E7F68">
            <w:pPr>
              <w:pStyle w:val="Default"/>
              <w:rPr>
                <w:rFonts w:ascii="Arial" w:hAnsi="Arial" w:cs="Arial"/>
                <w:color w:val="auto"/>
                <w:sz w:val="20"/>
                <w:szCs w:val="20"/>
              </w:rPr>
            </w:pPr>
            <w:r w:rsidRPr="00884186">
              <w:rPr>
                <w:rFonts w:ascii="Arial" w:hAnsi="Arial" w:cs="Arial"/>
                <w:color w:val="auto"/>
                <w:sz w:val="20"/>
                <w:szCs w:val="20"/>
                <w:lang w:val="en-GB"/>
              </w:rPr>
              <w:t xml:space="preserve">Additional </w:t>
            </w:r>
            <w:r w:rsidRPr="00884186">
              <w:rPr>
                <w:rFonts w:ascii="Arial" w:hAnsi="Arial" w:cs="Arial"/>
                <w:i/>
                <w:color w:val="auto"/>
                <w:sz w:val="20"/>
                <w:szCs w:val="20"/>
                <w:lang w:val="en-GB"/>
              </w:rPr>
              <w:t>scholarships</w:t>
            </w:r>
            <w:r w:rsidRPr="00884186">
              <w:rPr>
                <w:rFonts w:ascii="Arial" w:hAnsi="Arial" w:cs="Arial"/>
                <w:color w:val="auto"/>
                <w:sz w:val="20"/>
                <w:szCs w:val="20"/>
                <w:lang w:val="en-GB"/>
              </w:rPr>
              <w:t xml:space="preserve"> like the </w:t>
            </w:r>
            <w:r w:rsidRPr="00884186">
              <w:rPr>
                <w:rFonts w:ascii="Arial" w:hAnsi="Arial" w:cs="Arial"/>
                <w:color w:val="auto"/>
                <w:sz w:val="20"/>
                <w:szCs w:val="20"/>
              </w:rPr>
              <w:t>Thyn</w:t>
            </w:r>
            <w:r>
              <w:rPr>
                <w:rFonts w:ascii="Arial" w:hAnsi="Arial" w:cs="Arial"/>
                <w:color w:val="auto"/>
                <w:sz w:val="20"/>
                <w:szCs w:val="20"/>
              </w:rPr>
              <w:t>n</w:t>
            </w:r>
            <w:r w:rsidRPr="00884186">
              <w:rPr>
                <w:rFonts w:ascii="Arial" w:hAnsi="Arial" w:cs="Arial"/>
                <w:color w:val="auto"/>
                <w:sz w:val="20"/>
                <w:szCs w:val="20"/>
              </w:rPr>
              <w:t>e Reid Foundation E12 Accommodation Scholarships</w:t>
            </w:r>
            <w:r w:rsidRPr="00884186">
              <w:rPr>
                <w:rFonts w:ascii="Arial" w:hAnsi="Arial" w:cs="Arial"/>
                <w:b/>
                <w:color w:val="auto"/>
                <w:sz w:val="20"/>
                <w:szCs w:val="20"/>
              </w:rPr>
              <w:t xml:space="preserve"> </w:t>
            </w:r>
            <w:r w:rsidRPr="00884186">
              <w:rPr>
                <w:rFonts w:ascii="Arial" w:hAnsi="Arial" w:cs="Arial"/>
                <w:color w:val="auto"/>
                <w:sz w:val="20"/>
                <w:szCs w:val="20"/>
              </w:rPr>
              <w:t xml:space="preserve">will continue to provide critical additional support to regional students from low socio-economic status backgrounds who enter the University of Sydney through the E12 pathway. </w:t>
            </w:r>
          </w:p>
          <w:p w:rsidR="00CB0309" w:rsidRPr="00884186" w:rsidRDefault="00CB0309" w:rsidP="000E7F68">
            <w:pPr>
              <w:rPr>
                <w:rFonts w:cs="Arial"/>
                <w:b/>
                <w:szCs w:val="20"/>
              </w:rPr>
            </w:pPr>
          </w:p>
        </w:tc>
        <w:tc>
          <w:tcPr>
            <w:tcW w:w="3260" w:type="dxa"/>
          </w:tcPr>
          <w:p w:rsidR="00CB0309" w:rsidRPr="00884186" w:rsidRDefault="00CB0309" w:rsidP="000E7F68">
            <w:pPr>
              <w:rPr>
                <w:rFonts w:cs="Arial"/>
                <w:szCs w:val="20"/>
              </w:rPr>
            </w:pPr>
            <w:r w:rsidRPr="00884186">
              <w:rPr>
                <w:rFonts w:cs="Arial"/>
                <w:szCs w:val="20"/>
              </w:rPr>
              <w:lastRenderedPageBreak/>
              <w:t>Increased equity group acces</w:t>
            </w:r>
            <w:r>
              <w:rPr>
                <w:rFonts w:cs="Arial"/>
                <w:szCs w:val="20"/>
              </w:rPr>
              <w:t>s rates and participation rates</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Alternative pathway, applications, enrolment numbers and offer statistics</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Equity scholarships granted</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 xml:space="preserve">Accommodation subsidies granted  </w:t>
            </w:r>
          </w:p>
          <w:p w:rsidR="00CB0309" w:rsidRPr="00884186" w:rsidRDefault="00CB0309" w:rsidP="000E7F68">
            <w:pPr>
              <w:rPr>
                <w:rFonts w:cs="Arial"/>
                <w:szCs w:val="20"/>
              </w:rPr>
            </w:pPr>
          </w:p>
          <w:p w:rsidR="00CB0309" w:rsidRPr="00884186" w:rsidRDefault="00CB0309" w:rsidP="000E7F68">
            <w:pPr>
              <w:rPr>
                <w:rFonts w:cs="Arial"/>
                <w:szCs w:val="20"/>
              </w:rPr>
            </w:pPr>
          </w:p>
          <w:p w:rsidR="00CB0309" w:rsidRPr="00884186" w:rsidRDefault="00CB0309" w:rsidP="000E7F68">
            <w:pPr>
              <w:rPr>
                <w:rFonts w:cs="Arial"/>
                <w:szCs w:val="20"/>
              </w:rPr>
            </w:pPr>
          </w:p>
        </w:tc>
        <w:tc>
          <w:tcPr>
            <w:tcW w:w="3828" w:type="dxa"/>
          </w:tcPr>
          <w:p w:rsidR="00CB0309" w:rsidRPr="00884186" w:rsidRDefault="00CB0309" w:rsidP="000E7F68">
            <w:pPr>
              <w:rPr>
                <w:rFonts w:cs="Arial"/>
                <w:b/>
                <w:szCs w:val="20"/>
              </w:rPr>
            </w:pPr>
          </w:p>
        </w:tc>
      </w:tr>
      <w:tr w:rsidR="00CB0309" w:rsidRPr="00884186" w:rsidTr="00CB0309">
        <w:tc>
          <w:tcPr>
            <w:tcW w:w="12895" w:type="dxa"/>
            <w:gridSpan w:val="4"/>
          </w:tcPr>
          <w:p w:rsidR="00CB0309" w:rsidRPr="00884186" w:rsidRDefault="00CB0309" w:rsidP="000E7F68">
            <w:pPr>
              <w:rPr>
                <w:rFonts w:cs="Arial"/>
                <w:b/>
                <w:szCs w:val="20"/>
              </w:rPr>
            </w:pPr>
            <w:r w:rsidRPr="00884186">
              <w:rPr>
                <w:rFonts w:cs="Arial"/>
                <w:b/>
                <w:szCs w:val="20"/>
              </w:rPr>
              <w:lastRenderedPageBreak/>
              <w:t>PARTICIPATION</w:t>
            </w:r>
          </w:p>
        </w:tc>
      </w:tr>
      <w:tr w:rsidR="00CB0309" w:rsidRPr="00884186" w:rsidTr="00CB0309">
        <w:trPr>
          <w:trHeight w:val="203"/>
        </w:trPr>
        <w:tc>
          <w:tcPr>
            <w:tcW w:w="2405" w:type="dxa"/>
          </w:tcPr>
          <w:p w:rsidR="00CB0309" w:rsidRPr="00884186" w:rsidRDefault="00CB0309" w:rsidP="000E7F68">
            <w:pPr>
              <w:rPr>
                <w:rFonts w:cs="Arial"/>
                <w:i/>
                <w:szCs w:val="20"/>
                <w:highlight w:val="yellow"/>
              </w:rPr>
            </w:pPr>
            <w:r w:rsidRPr="00884186">
              <w:rPr>
                <w:rFonts w:cs="Arial"/>
                <w:b/>
                <w:szCs w:val="20"/>
              </w:rPr>
              <w:t>Equity outcomes and strategies</w:t>
            </w:r>
          </w:p>
        </w:tc>
        <w:tc>
          <w:tcPr>
            <w:tcW w:w="3402" w:type="dxa"/>
          </w:tcPr>
          <w:p w:rsidR="00CB0309" w:rsidRPr="00884186" w:rsidRDefault="00CB0309" w:rsidP="000E7F68">
            <w:pPr>
              <w:rPr>
                <w:rFonts w:cs="Arial"/>
                <w:b/>
                <w:szCs w:val="20"/>
              </w:rPr>
            </w:pPr>
            <w:r w:rsidRPr="00884186">
              <w:rPr>
                <w:rFonts w:cs="Arial"/>
                <w:b/>
                <w:szCs w:val="20"/>
              </w:rPr>
              <w:t>Key activities</w:t>
            </w:r>
          </w:p>
        </w:tc>
        <w:tc>
          <w:tcPr>
            <w:tcW w:w="3260" w:type="dxa"/>
          </w:tcPr>
          <w:p w:rsidR="00CB0309" w:rsidRPr="00884186" w:rsidRDefault="00CB0309" w:rsidP="000E7F68">
            <w:pPr>
              <w:rPr>
                <w:rFonts w:cs="Arial"/>
                <w:b/>
                <w:szCs w:val="20"/>
              </w:rPr>
            </w:pPr>
            <w:r w:rsidRPr="00884186">
              <w:rPr>
                <w:rFonts w:cs="Arial"/>
                <w:b/>
                <w:szCs w:val="20"/>
              </w:rPr>
              <w:t>Evaluation</w:t>
            </w:r>
          </w:p>
        </w:tc>
        <w:tc>
          <w:tcPr>
            <w:tcW w:w="3828" w:type="dxa"/>
          </w:tcPr>
          <w:p w:rsidR="00CB0309" w:rsidRPr="00884186" w:rsidRDefault="00CB0309" w:rsidP="000E7F68">
            <w:pPr>
              <w:rPr>
                <w:rFonts w:cs="Arial"/>
                <w:b/>
                <w:szCs w:val="20"/>
              </w:rPr>
            </w:pPr>
            <w:r w:rsidRPr="00884186">
              <w:rPr>
                <w:rFonts w:cs="Arial"/>
                <w:b/>
                <w:szCs w:val="20"/>
              </w:rPr>
              <w:t>Partnerships and collaboration</w:t>
            </w:r>
          </w:p>
        </w:tc>
      </w:tr>
      <w:tr w:rsidR="00CB0309" w:rsidRPr="00884186" w:rsidTr="00CB0309">
        <w:tc>
          <w:tcPr>
            <w:tcW w:w="2405" w:type="dxa"/>
          </w:tcPr>
          <w:p w:rsidR="00CB0309" w:rsidRPr="00884186" w:rsidRDefault="00CB0309" w:rsidP="000E7F68">
            <w:pPr>
              <w:rPr>
                <w:rFonts w:cs="Arial"/>
                <w:b/>
                <w:szCs w:val="20"/>
              </w:rPr>
            </w:pPr>
          </w:p>
          <w:p w:rsidR="00CB0309" w:rsidRPr="00884186" w:rsidRDefault="00CB0309" w:rsidP="000E7F68">
            <w:pPr>
              <w:rPr>
                <w:rFonts w:cs="Arial"/>
                <w:b/>
                <w:szCs w:val="20"/>
              </w:rPr>
            </w:pPr>
            <w:r w:rsidRPr="00884186">
              <w:rPr>
                <w:rFonts w:cs="Arial"/>
                <w:b/>
                <w:szCs w:val="20"/>
              </w:rPr>
              <w:t>Provision and promotion of programs and support which ameliorate the challenges faced by identified student cohorts- transition, retention and success programs.</w:t>
            </w:r>
          </w:p>
          <w:p w:rsidR="00CB0309" w:rsidRPr="00884186" w:rsidRDefault="00CB0309" w:rsidP="000E7F68">
            <w:pPr>
              <w:rPr>
                <w:rFonts w:cs="Arial"/>
                <w:b/>
                <w:szCs w:val="20"/>
              </w:rPr>
            </w:pPr>
          </w:p>
          <w:p w:rsidR="00CB0309" w:rsidRPr="00884186" w:rsidRDefault="00CB0309" w:rsidP="000E7F68">
            <w:pPr>
              <w:rPr>
                <w:rFonts w:cs="Arial"/>
                <w:b/>
                <w:szCs w:val="20"/>
              </w:rPr>
            </w:pPr>
            <w:r w:rsidRPr="00884186">
              <w:rPr>
                <w:rFonts w:cs="Arial"/>
                <w:b/>
                <w:szCs w:val="20"/>
              </w:rPr>
              <w:t xml:space="preserve">First year students and Progression during studies </w:t>
            </w:r>
          </w:p>
          <w:p w:rsidR="00CB0309" w:rsidRPr="00884186" w:rsidRDefault="00CB0309" w:rsidP="000E7F68">
            <w:pPr>
              <w:rPr>
                <w:rFonts w:cs="Arial"/>
                <w:b/>
                <w:szCs w:val="20"/>
              </w:rPr>
            </w:pPr>
          </w:p>
          <w:p w:rsidR="00CB0309" w:rsidRPr="00884186" w:rsidRDefault="00CB0309" w:rsidP="000E7F68">
            <w:pPr>
              <w:rPr>
                <w:rFonts w:cs="Arial"/>
                <w:b/>
                <w:szCs w:val="20"/>
              </w:rPr>
            </w:pPr>
          </w:p>
        </w:tc>
        <w:tc>
          <w:tcPr>
            <w:tcW w:w="3402" w:type="dxa"/>
          </w:tcPr>
          <w:p w:rsidR="00CB0309" w:rsidRPr="00884186" w:rsidRDefault="00CB0309" w:rsidP="000E7F68">
            <w:pPr>
              <w:pStyle w:val="NoSpacing"/>
              <w:rPr>
                <w:rFonts w:cs="Arial"/>
                <w:szCs w:val="20"/>
              </w:rPr>
            </w:pPr>
            <w:r w:rsidRPr="00884186">
              <w:rPr>
                <w:rFonts w:cs="Arial"/>
                <w:i/>
                <w:szCs w:val="20"/>
              </w:rPr>
              <w:t>Student Support Services</w:t>
            </w:r>
            <w:r w:rsidRPr="00884186">
              <w:rPr>
                <w:rFonts w:cs="Arial"/>
                <w:szCs w:val="20"/>
              </w:rPr>
              <w:t xml:space="preserve"> program of enhanced support is designed to decrease early attrition and encourage students' persistence, engagement and sense of belonging at the University. </w:t>
            </w:r>
          </w:p>
          <w:p w:rsidR="00CB0309" w:rsidRPr="00884186" w:rsidRDefault="00CB0309" w:rsidP="000E7F68">
            <w:pPr>
              <w:rPr>
                <w:rFonts w:cs="Arial"/>
                <w:i/>
                <w:szCs w:val="20"/>
                <w:lang w:val="en-GB"/>
              </w:rPr>
            </w:pPr>
          </w:p>
          <w:p w:rsidR="00CB0309" w:rsidRPr="00884186" w:rsidRDefault="00CB0309" w:rsidP="000E7F68">
            <w:pPr>
              <w:rPr>
                <w:rFonts w:cs="Arial"/>
                <w:szCs w:val="20"/>
                <w:lang w:val="en-GB"/>
              </w:rPr>
            </w:pPr>
            <w:r w:rsidRPr="00884186">
              <w:rPr>
                <w:rFonts w:cs="Arial"/>
                <w:szCs w:val="20"/>
                <w:lang w:val="en-GB"/>
              </w:rPr>
              <w:t xml:space="preserve">The University’ s </w:t>
            </w:r>
            <w:r w:rsidRPr="00884186">
              <w:rPr>
                <w:rFonts w:cs="Arial"/>
                <w:i/>
                <w:szCs w:val="20"/>
                <w:lang w:val="en-GB"/>
              </w:rPr>
              <w:t>Student Transition and Retention (STAR</w:t>
            </w:r>
            <w:r w:rsidRPr="00884186">
              <w:rPr>
                <w:rFonts w:cs="Arial"/>
                <w:szCs w:val="20"/>
                <w:lang w:val="en-GB"/>
              </w:rPr>
              <w:t>) team will continue to enable critical welcome, orientation and information regarding support available to students entering via alternative pathways.</w:t>
            </w:r>
          </w:p>
          <w:p w:rsidR="00CB0309" w:rsidRPr="00884186" w:rsidRDefault="00CB0309" w:rsidP="000E7F68">
            <w:pPr>
              <w:rPr>
                <w:rFonts w:cs="Arial"/>
                <w:i/>
                <w:szCs w:val="20"/>
                <w:lang w:val="en-GB"/>
              </w:rPr>
            </w:pPr>
          </w:p>
          <w:p w:rsidR="00CB0309" w:rsidRPr="00884186" w:rsidRDefault="00CB0309" w:rsidP="000E7F68">
            <w:pPr>
              <w:rPr>
                <w:rFonts w:cs="Arial"/>
                <w:szCs w:val="20"/>
                <w:lang w:val="en-GB"/>
              </w:rPr>
            </w:pPr>
            <w:r>
              <w:rPr>
                <w:rFonts w:cs="Arial"/>
                <w:szCs w:val="20"/>
                <w:lang w:val="en-GB"/>
              </w:rPr>
              <w:lastRenderedPageBreak/>
              <w:t xml:space="preserve">Review Low-Ses data from the </w:t>
            </w:r>
            <w:r w:rsidRPr="00884186">
              <w:rPr>
                <w:rFonts w:cs="Arial"/>
                <w:i/>
                <w:szCs w:val="20"/>
                <w:lang w:val="en-GB"/>
              </w:rPr>
              <w:t>Track and Connect</w:t>
            </w:r>
            <w:r w:rsidRPr="00884186">
              <w:rPr>
                <w:rFonts w:cs="Arial"/>
                <w:szCs w:val="20"/>
                <w:lang w:val="en-GB"/>
              </w:rPr>
              <w:t xml:space="preserve"> early intervention initiative to support student success, targeting students identified by teaching staff as being at risk of withdrawal or failure based on academic and engagement data; this program will continue to provide pastoral support and important information to students, and offer referral to services such as </w:t>
            </w:r>
            <w:r w:rsidRPr="00884186">
              <w:rPr>
                <w:rFonts w:cs="Arial"/>
                <w:i/>
                <w:szCs w:val="20"/>
                <w:lang w:val="en-GB"/>
              </w:rPr>
              <w:t>Counselling and Psychological Services (CAPS), Disability Services, the Careers Centre and Financial Assistance</w:t>
            </w:r>
            <w:r w:rsidRPr="00884186">
              <w:rPr>
                <w:rFonts w:cs="Arial"/>
                <w:szCs w:val="20"/>
                <w:lang w:val="en-GB"/>
              </w:rPr>
              <w:t>.</w:t>
            </w:r>
          </w:p>
          <w:p w:rsidR="00CB0309" w:rsidRPr="00884186" w:rsidRDefault="00CB0309" w:rsidP="000E7F68">
            <w:pPr>
              <w:pStyle w:val="NoSpacing"/>
              <w:rPr>
                <w:rFonts w:cs="Arial"/>
                <w:szCs w:val="20"/>
              </w:rPr>
            </w:pPr>
          </w:p>
          <w:p w:rsidR="00CB0309" w:rsidRPr="00884186" w:rsidRDefault="00CB0309" w:rsidP="000E7F68">
            <w:pPr>
              <w:pStyle w:val="NoSpacing"/>
              <w:rPr>
                <w:rFonts w:cs="Arial"/>
                <w:szCs w:val="20"/>
              </w:rPr>
            </w:pPr>
            <w:r w:rsidRPr="00884186">
              <w:rPr>
                <w:rFonts w:cs="Arial"/>
                <w:szCs w:val="20"/>
              </w:rPr>
              <w:t>Opportunities to promote available s</w:t>
            </w:r>
            <w:r w:rsidRPr="00884186">
              <w:rPr>
                <w:rFonts w:cs="Arial"/>
                <w:i/>
                <w:szCs w:val="20"/>
              </w:rPr>
              <w:t>cholarships</w:t>
            </w:r>
            <w:r w:rsidRPr="00884186">
              <w:rPr>
                <w:rFonts w:cs="Arial"/>
                <w:szCs w:val="20"/>
              </w:rPr>
              <w:t xml:space="preserve"> for students from targeted cohorts will be prioritised.</w:t>
            </w:r>
          </w:p>
          <w:p w:rsidR="00CB0309" w:rsidRPr="00884186" w:rsidRDefault="00CB0309" w:rsidP="000E7F68">
            <w:pPr>
              <w:rPr>
                <w:rFonts w:cs="Arial"/>
                <w:b/>
                <w:szCs w:val="20"/>
              </w:rPr>
            </w:pPr>
          </w:p>
          <w:p w:rsidR="00CB0309" w:rsidRPr="00884186" w:rsidRDefault="00CB0309" w:rsidP="000E7F68">
            <w:pPr>
              <w:pStyle w:val="Default"/>
              <w:rPr>
                <w:rFonts w:ascii="Arial" w:hAnsi="Arial" w:cs="Arial"/>
                <w:sz w:val="20"/>
                <w:szCs w:val="20"/>
                <w:shd w:val="clear" w:color="auto" w:fill="FFFFFF"/>
              </w:rPr>
            </w:pPr>
            <w:r w:rsidRPr="00884186">
              <w:rPr>
                <w:rFonts w:ascii="Arial" w:hAnsi="Arial" w:cs="Arial"/>
                <w:sz w:val="20"/>
                <w:szCs w:val="20"/>
                <w:lang w:val="en-GB"/>
              </w:rPr>
              <w:t xml:space="preserve">Sydney Abroad will facilitate the </w:t>
            </w:r>
            <w:r w:rsidRPr="00884186">
              <w:rPr>
                <w:rFonts w:ascii="Arial" w:hAnsi="Arial" w:cs="Arial"/>
                <w:i/>
                <w:sz w:val="20"/>
                <w:szCs w:val="20"/>
                <w:shd w:val="clear" w:color="auto" w:fill="FFFFFF"/>
              </w:rPr>
              <w:t>Vice Chancellor's Global Mobility Award</w:t>
            </w:r>
            <w:r w:rsidRPr="00884186">
              <w:rPr>
                <w:rFonts w:ascii="Arial" w:hAnsi="Arial" w:cs="Arial"/>
                <w:sz w:val="20"/>
                <w:szCs w:val="20"/>
              </w:rPr>
              <w:t xml:space="preserve">, </w:t>
            </w:r>
            <w:r w:rsidRPr="00884186">
              <w:rPr>
                <w:rFonts w:ascii="Arial" w:hAnsi="Arial" w:cs="Arial"/>
                <w:sz w:val="20"/>
                <w:szCs w:val="20"/>
                <w:shd w:val="clear" w:color="auto" w:fill="FFFFFF"/>
              </w:rPr>
              <w:t>allocated to students who entered the University of Sydney on an </w:t>
            </w:r>
            <w:hyperlink r:id="rId9" w:tgtFrame="_blank" w:history="1">
              <w:r w:rsidRPr="00884186">
                <w:rPr>
                  <w:rStyle w:val="Hyperlink"/>
                  <w:rFonts w:ascii="Arial" w:hAnsi="Arial" w:cs="Arial"/>
                  <w:color w:val="424242"/>
                  <w:sz w:val="20"/>
                  <w:szCs w:val="20"/>
                  <w:shd w:val="clear" w:color="auto" w:fill="FFFFFF"/>
                </w:rPr>
                <w:t>E12</w:t>
              </w:r>
            </w:hyperlink>
            <w:r w:rsidRPr="00884186">
              <w:rPr>
                <w:rFonts w:ascii="Arial" w:hAnsi="Arial" w:cs="Arial"/>
                <w:sz w:val="20"/>
                <w:szCs w:val="20"/>
                <w:shd w:val="clear" w:color="auto" w:fill="FFFFFF"/>
              </w:rPr>
              <w:t> or equivalent pathway.</w:t>
            </w:r>
          </w:p>
          <w:p w:rsidR="00CB0309" w:rsidRPr="00884186" w:rsidRDefault="00CB0309" w:rsidP="000E7F68">
            <w:pPr>
              <w:pStyle w:val="Default"/>
              <w:rPr>
                <w:rFonts w:ascii="Arial" w:hAnsi="Arial" w:cs="Arial"/>
                <w:sz w:val="20"/>
                <w:szCs w:val="20"/>
                <w:shd w:val="clear" w:color="auto" w:fill="FFFFFF"/>
              </w:rPr>
            </w:pPr>
          </w:p>
          <w:p w:rsidR="00CB0309" w:rsidRPr="00884186" w:rsidRDefault="00CB0309" w:rsidP="000E7F68">
            <w:pPr>
              <w:pStyle w:val="Default"/>
              <w:rPr>
                <w:rFonts w:ascii="Arial" w:hAnsi="Arial" w:cs="Arial"/>
                <w:sz w:val="20"/>
                <w:szCs w:val="20"/>
                <w:shd w:val="clear" w:color="auto" w:fill="FFFFFF"/>
              </w:rPr>
            </w:pPr>
            <w:r>
              <w:rPr>
                <w:rFonts w:ascii="Arial" w:hAnsi="Arial" w:cs="Arial"/>
                <w:sz w:val="20"/>
                <w:szCs w:val="20"/>
                <w:shd w:val="clear" w:color="auto" w:fill="FFFFFF"/>
              </w:rPr>
              <w:t xml:space="preserve">Extend </w:t>
            </w:r>
            <w:r w:rsidRPr="00884186">
              <w:rPr>
                <w:rFonts w:ascii="Arial" w:hAnsi="Arial" w:cs="Arial"/>
                <w:sz w:val="20"/>
                <w:szCs w:val="20"/>
                <w:shd w:val="clear" w:color="auto" w:fill="FFFFFF"/>
              </w:rPr>
              <w:t>and provide support for a First in Family (FIF) student and staff network</w:t>
            </w:r>
            <w:r>
              <w:rPr>
                <w:rFonts w:ascii="Arial" w:hAnsi="Arial" w:cs="Arial"/>
                <w:sz w:val="20"/>
                <w:szCs w:val="20"/>
                <w:shd w:val="clear" w:color="auto" w:fill="FFFFFF"/>
              </w:rPr>
              <w:t xml:space="preserve">, beyond the Faculty of Arts and Social Sciences at the University of Sydney. </w:t>
            </w:r>
          </w:p>
          <w:p w:rsidR="00CB0309" w:rsidRPr="00884186" w:rsidRDefault="00CB0309" w:rsidP="000E7F68">
            <w:pPr>
              <w:rPr>
                <w:rFonts w:cs="Arial"/>
                <w:szCs w:val="20"/>
              </w:rPr>
            </w:pPr>
          </w:p>
        </w:tc>
        <w:tc>
          <w:tcPr>
            <w:tcW w:w="3260" w:type="dxa"/>
          </w:tcPr>
          <w:p w:rsidR="00CB0309" w:rsidRPr="00884186" w:rsidRDefault="00CB0309" w:rsidP="000E7F68">
            <w:pPr>
              <w:rPr>
                <w:rFonts w:cs="Arial"/>
                <w:szCs w:val="20"/>
              </w:rPr>
            </w:pPr>
            <w:r w:rsidRPr="00884186">
              <w:rPr>
                <w:rFonts w:cs="Arial"/>
                <w:szCs w:val="20"/>
              </w:rPr>
              <w:lastRenderedPageBreak/>
              <w:t>Increase in target cohort student retention and success ratios</w:t>
            </w:r>
          </w:p>
          <w:p w:rsidR="00CB0309" w:rsidRPr="00884186" w:rsidRDefault="00CB0309" w:rsidP="000E7F68">
            <w:pPr>
              <w:rPr>
                <w:rFonts w:cs="Arial"/>
                <w:szCs w:val="20"/>
              </w:rPr>
            </w:pPr>
          </w:p>
          <w:p w:rsidR="00CB0309" w:rsidRPr="00884186" w:rsidRDefault="00CB0309" w:rsidP="000E7F68">
            <w:pPr>
              <w:rPr>
                <w:rFonts w:cs="Arial"/>
                <w:szCs w:val="20"/>
              </w:rPr>
            </w:pPr>
            <w:r w:rsidRPr="00884186">
              <w:rPr>
                <w:rFonts w:cs="Arial"/>
                <w:szCs w:val="20"/>
              </w:rPr>
              <w:t>Support program/s participation numbers and participant feedback</w:t>
            </w:r>
          </w:p>
          <w:p w:rsidR="00CB0309" w:rsidRPr="00884186" w:rsidRDefault="00CB0309" w:rsidP="000E7F68">
            <w:pPr>
              <w:rPr>
                <w:rFonts w:cs="Arial"/>
                <w:szCs w:val="20"/>
              </w:rPr>
            </w:pPr>
          </w:p>
          <w:p w:rsidR="00CB0309" w:rsidRPr="00884186" w:rsidRDefault="00CB0309" w:rsidP="000E7F68">
            <w:pPr>
              <w:rPr>
                <w:rFonts w:cs="Arial"/>
                <w:szCs w:val="20"/>
              </w:rPr>
            </w:pPr>
          </w:p>
          <w:p w:rsidR="00CB0309" w:rsidRPr="00884186" w:rsidRDefault="00CB0309" w:rsidP="000E7F68">
            <w:pPr>
              <w:rPr>
                <w:rFonts w:cs="Arial"/>
                <w:szCs w:val="20"/>
              </w:rPr>
            </w:pPr>
          </w:p>
          <w:p w:rsidR="00CB0309" w:rsidRPr="00884186" w:rsidRDefault="00CB0309" w:rsidP="000E7F68">
            <w:pPr>
              <w:rPr>
                <w:rFonts w:cs="Arial"/>
                <w:szCs w:val="20"/>
              </w:rPr>
            </w:pPr>
          </w:p>
          <w:p w:rsidR="00CB0309" w:rsidRPr="00884186" w:rsidRDefault="00CB0309" w:rsidP="000E7F68">
            <w:pPr>
              <w:rPr>
                <w:rFonts w:cs="Arial"/>
                <w:szCs w:val="20"/>
              </w:rPr>
            </w:pPr>
          </w:p>
          <w:p w:rsidR="00CB0309" w:rsidRPr="00884186" w:rsidRDefault="00CB0309" w:rsidP="000E7F68">
            <w:pPr>
              <w:rPr>
                <w:rFonts w:cs="Arial"/>
                <w:szCs w:val="20"/>
              </w:rPr>
            </w:pPr>
          </w:p>
          <w:p w:rsidR="00CB0309" w:rsidRPr="00884186" w:rsidRDefault="00CB0309" w:rsidP="000E7F68">
            <w:pPr>
              <w:rPr>
                <w:rFonts w:cs="Arial"/>
                <w:szCs w:val="20"/>
              </w:rPr>
            </w:pPr>
          </w:p>
          <w:p w:rsidR="00CB0309" w:rsidRPr="00884186" w:rsidRDefault="00CB0309" w:rsidP="000E7F68">
            <w:pPr>
              <w:rPr>
                <w:rFonts w:cs="Arial"/>
                <w:szCs w:val="20"/>
              </w:rPr>
            </w:pPr>
          </w:p>
          <w:p w:rsidR="00CB0309" w:rsidRPr="00884186" w:rsidRDefault="00CB0309" w:rsidP="000E7F68">
            <w:pPr>
              <w:rPr>
                <w:rFonts w:cs="Arial"/>
                <w:szCs w:val="20"/>
              </w:rPr>
            </w:pPr>
          </w:p>
        </w:tc>
        <w:tc>
          <w:tcPr>
            <w:tcW w:w="3828" w:type="dxa"/>
          </w:tcPr>
          <w:p w:rsidR="00CB0309" w:rsidRPr="00884186" w:rsidRDefault="00CB0309" w:rsidP="000E7F68">
            <w:pPr>
              <w:rPr>
                <w:rFonts w:cs="Arial"/>
                <w:b/>
                <w:szCs w:val="20"/>
              </w:rPr>
            </w:pPr>
          </w:p>
        </w:tc>
      </w:tr>
      <w:tr w:rsidR="00CB0309" w:rsidRPr="00884186" w:rsidTr="00CB0309">
        <w:tc>
          <w:tcPr>
            <w:tcW w:w="12895" w:type="dxa"/>
            <w:gridSpan w:val="4"/>
          </w:tcPr>
          <w:p w:rsidR="00CB0309" w:rsidRPr="00884186" w:rsidRDefault="00CB0309" w:rsidP="000E7F68">
            <w:pPr>
              <w:rPr>
                <w:rFonts w:cs="Arial"/>
                <w:b/>
                <w:szCs w:val="20"/>
              </w:rPr>
            </w:pPr>
            <w:r w:rsidRPr="00884186">
              <w:rPr>
                <w:rFonts w:cs="Arial"/>
                <w:b/>
                <w:szCs w:val="20"/>
              </w:rPr>
              <w:t>ATTAINMENT</w:t>
            </w:r>
          </w:p>
        </w:tc>
      </w:tr>
      <w:tr w:rsidR="00CB0309" w:rsidRPr="00884186" w:rsidTr="00CB0309">
        <w:trPr>
          <w:trHeight w:val="203"/>
        </w:trPr>
        <w:tc>
          <w:tcPr>
            <w:tcW w:w="2405" w:type="dxa"/>
          </w:tcPr>
          <w:p w:rsidR="00CB0309" w:rsidRPr="00884186" w:rsidRDefault="00CB0309" w:rsidP="000E7F68">
            <w:pPr>
              <w:rPr>
                <w:rFonts w:cs="Arial"/>
                <w:i/>
                <w:szCs w:val="20"/>
                <w:highlight w:val="yellow"/>
              </w:rPr>
            </w:pPr>
            <w:r w:rsidRPr="00884186">
              <w:rPr>
                <w:rFonts w:cs="Arial"/>
                <w:b/>
                <w:szCs w:val="20"/>
              </w:rPr>
              <w:lastRenderedPageBreak/>
              <w:t>Equity outcomes and strategies:</w:t>
            </w:r>
            <w:r w:rsidRPr="00884186">
              <w:rPr>
                <w:rFonts w:cs="Arial"/>
                <w:szCs w:val="20"/>
              </w:rPr>
              <w:t xml:space="preserve"> (</w:t>
            </w:r>
            <w:r w:rsidRPr="00884186">
              <w:rPr>
                <w:rFonts w:cs="Arial"/>
                <w:i/>
                <w:szCs w:val="20"/>
              </w:rPr>
              <w:t>For improving outcomes form people from a low SES background)</w:t>
            </w:r>
          </w:p>
        </w:tc>
        <w:tc>
          <w:tcPr>
            <w:tcW w:w="3402" w:type="dxa"/>
          </w:tcPr>
          <w:p w:rsidR="00CB0309" w:rsidRPr="00884186" w:rsidRDefault="00CB0309" w:rsidP="000E7F68">
            <w:pPr>
              <w:rPr>
                <w:rFonts w:cs="Arial"/>
                <w:b/>
                <w:szCs w:val="20"/>
              </w:rPr>
            </w:pPr>
            <w:r w:rsidRPr="00884186">
              <w:rPr>
                <w:rFonts w:cs="Arial"/>
                <w:b/>
                <w:szCs w:val="20"/>
              </w:rPr>
              <w:t xml:space="preserve">Key activities: </w:t>
            </w:r>
            <w:r w:rsidRPr="00884186">
              <w:rPr>
                <w:rFonts w:cs="Arial"/>
                <w:i/>
                <w:szCs w:val="20"/>
              </w:rPr>
              <w:t>(which will deliver an increase in the access, participation and success of people from a low SES background)</w:t>
            </w:r>
          </w:p>
        </w:tc>
        <w:tc>
          <w:tcPr>
            <w:tcW w:w="3260" w:type="dxa"/>
          </w:tcPr>
          <w:p w:rsidR="00CB0309" w:rsidRPr="00884186" w:rsidRDefault="00CB0309" w:rsidP="000E7F68">
            <w:pPr>
              <w:rPr>
                <w:rFonts w:cs="Arial"/>
                <w:b/>
                <w:szCs w:val="20"/>
              </w:rPr>
            </w:pPr>
            <w:r w:rsidRPr="00884186">
              <w:rPr>
                <w:rFonts w:cs="Arial"/>
                <w:b/>
                <w:szCs w:val="20"/>
              </w:rPr>
              <w:t xml:space="preserve">Evaluation: </w:t>
            </w:r>
            <w:r w:rsidRPr="00884186">
              <w:rPr>
                <w:rFonts w:cs="Arial"/>
                <w:i/>
                <w:szCs w:val="20"/>
              </w:rPr>
              <w:t>(How the University plans to evaluate the effectiveness of the equity strategies)</w:t>
            </w:r>
          </w:p>
          <w:p w:rsidR="00CB0309" w:rsidRPr="00884186" w:rsidRDefault="00CB0309" w:rsidP="000E7F68">
            <w:pPr>
              <w:rPr>
                <w:rFonts w:cs="Arial"/>
                <w:b/>
                <w:szCs w:val="20"/>
              </w:rPr>
            </w:pPr>
          </w:p>
        </w:tc>
        <w:tc>
          <w:tcPr>
            <w:tcW w:w="3828" w:type="dxa"/>
          </w:tcPr>
          <w:p w:rsidR="00CB0309" w:rsidRPr="00884186" w:rsidRDefault="00CB0309" w:rsidP="00CB0309">
            <w:pPr>
              <w:ind w:right="-379"/>
              <w:rPr>
                <w:rFonts w:cs="Arial"/>
                <w:b/>
                <w:szCs w:val="20"/>
              </w:rPr>
            </w:pPr>
            <w:r w:rsidRPr="00884186">
              <w:rPr>
                <w:rFonts w:cs="Arial"/>
                <w:b/>
                <w:szCs w:val="20"/>
              </w:rPr>
              <w:t xml:space="preserve">Partnerships and collaboration: </w:t>
            </w:r>
            <w:r w:rsidRPr="00884186">
              <w:rPr>
                <w:rFonts w:cs="Arial"/>
                <w:i/>
                <w:szCs w:val="20"/>
              </w:rPr>
              <w:t>(who the University will partner and collaborate with and how this will improve equity performance)</w:t>
            </w:r>
          </w:p>
        </w:tc>
      </w:tr>
      <w:tr w:rsidR="00CB0309" w:rsidRPr="00884186" w:rsidTr="00CB0309">
        <w:tc>
          <w:tcPr>
            <w:tcW w:w="2405" w:type="dxa"/>
          </w:tcPr>
          <w:p w:rsidR="00CB0309" w:rsidRPr="00884186" w:rsidRDefault="00CB0309" w:rsidP="000E7F68">
            <w:pPr>
              <w:rPr>
                <w:rFonts w:cs="Arial"/>
                <w:b/>
                <w:szCs w:val="20"/>
              </w:rPr>
            </w:pPr>
            <w:r w:rsidRPr="00884186">
              <w:rPr>
                <w:rFonts w:cs="Arial"/>
                <w:b/>
                <w:szCs w:val="20"/>
              </w:rPr>
              <w:t>Provision and promotion of programs and support to ensure successful completion and preparation for employment</w:t>
            </w:r>
          </w:p>
        </w:tc>
        <w:tc>
          <w:tcPr>
            <w:tcW w:w="3402" w:type="dxa"/>
          </w:tcPr>
          <w:p w:rsidR="00CB0309" w:rsidRPr="00884186" w:rsidRDefault="00CB0309" w:rsidP="000E7F68">
            <w:pPr>
              <w:rPr>
                <w:rFonts w:cs="Arial"/>
                <w:szCs w:val="20"/>
              </w:rPr>
            </w:pPr>
            <w:r w:rsidRPr="00884186">
              <w:rPr>
                <w:rFonts w:cs="Arial"/>
                <w:szCs w:val="20"/>
              </w:rPr>
              <w:t>Undertake strategic review, analysis and evaluation of the student experience and graduate destinations for students from Low- Socio-economic backgrounds and Aboriginal and Torres Strait Islander students.</w:t>
            </w:r>
          </w:p>
          <w:p w:rsidR="00CB0309" w:rsidRDefault="00CB0309" w:rsidP="000E7F68">
            <w:pPr>
              <w:rPr>
                <w:rFonts w:cs="Arial"/>
                <w:szCs w:val="20"/>
              </w:rPr>
            </w:pPr>
          </w:p>
          <w:p w:rsidR="00CB0309" w:rsidRPr="00884186" w:rsidRDefault="00CB0309" w:rsidP="000E7F68">
            <w:pPr>
              <w:rPr>
                <w:rFonts w:cs="Arial"/>
                <w:szCs w:val="20"/>
              </w:rPr>
            </w:pPr>
          </w:p>
          <w:p w:rsidR="00CB0309" w:rsidRPr="00884186" w:rsidRDefault="00CB0309" w:rsidP="000E7F68">
            <w:pPr>
              <w:rPr>
                <w:rFonts w:cs="Arial"/>
                <w:szCs w:val="20"/>
              </w:rPr>
            </w:pPr>
          </w:p>
          <w:p w:rsidR="00CB0309" w:rsidRPr="00884186" w:rsidRDefault="00CB0309" w:rsidP="000E7F68">
            <w:pPr>
              <w:rPr>
                <w:rFonts w:cs="Arial"/>
                <w:szCs w:val="20"/>
              </w:rPr>
            </w:pPr>
          </w:p>
        </w:tc>
        <w:tc>
          <w:tcPr>
            <w:tcW w:w="3260" w:type="dxa"/>
          </w:tcPr>
          <w:p w:rsidR="00CB0309" w:rsidRPr="00884186" w:rsidRDefault="00CB0309" w:rsidP="000E7F68">
            <w:pPr>
              <w:rPr>
                <w:rFonts w:cs="Arial"/>
                <w:szCs w:val="20"/>
              </w:rPr>
            </w:pPr>
            <w:r w:rsidRPr="00884186">
              <w:rPr>
                <w:rFonts w:cs="Arial"/>
                <w:szCs w:val="20"/>
              </w:rPr>
              <w:t>Increased completion rates for targeted equity groups</w:t>
            </w:r>
          </w:p>
          <w:p w:rsidR="00CB0309" w:rsidRPr="00884186" w:rsidRDefault="00CB0309" w:rsidP="000E7F68">
            <w:pPr>
              <w:rPr>
                <w:rFonts w:cs="Arial"/>
                <w:b/>
                <w:szCs w:val="20"/>
              </w:rPr>
            </w:pPr>
          </w:p>
          <w:p w:rsidR="00CB0309" w:rsidRPr="00884186" w:rsidRDefault="00CB0309" w:rsidP="000E7F68">
            <w:pPr>
              <w:rPr>
                <w:rFonts w:cs="Arial"/>
                <w:szCs w:val="20"/>
              </w:rPr>
            </w:pPr>
            <w:r w:rsidRPr="00884186">
              <w:rPr>
                <w:rFonts w:cs="Arial"/>
                <w:szCs w:val="20"/>
              </w:rPr>
              <w:t>Rates of graduate employment or postgraduate study by target cohorts</w:t>
            </w:r>
          </w:p>
          <w:p w:rsidR="00CB0309" w:rsidRPr="00884186" w:rsidRDefault="00CB0309" w:rsidP="000E7F68">
            <w:pPr>
              <w:rPr>
                <w:rFonts w:cs="Arial"/>
                <w:szCs w:val="20"/>
              </w:rPr>
            </w:pPr>
          </w:p>
          <w:p w:rsidR="00CB0309" w:rsidRPr="00884186" w:rsidRDefault="00CB0309" w:rsidP="000E7F68">
            <w:pPr>
              <w:rPr>
                <w:rFonts w:cs="Arial"/>
                <w:b/>
                <w:szCs w:val="20"/>
              </w:rPr>
            </w:pPr>
            <w:r w:rsidRPr="00884186">
              <w:rPr>
                <w:rFonts w:cs="Arial"/>
                <w:szCs w:val="20"/>
              </w:rPr>
              <w:t>Graduate Destination Survey</w:t>
            </w:r>
            <w:r w:rsidRPr="00884186">
              <w:rPr>
                <w:rFonts w:cs="Arial"/>
                <w:b/>
                <w:szCs w:val="20"/>
              </w:rPr>
              <w:t xml:space="preserve"> </w:t>
            </w:r>
          </w:p>
        </w:tc>
        <w:tc>
          <w:tcPr>
            <w:tcW w:w="3828" w:type="dxa"/>
          </w:tcPr>
          <w:p w:rsidR="00CB0309" w:rsidRPr="00884186" w:rsidRDefault="00CB0309" w:rsidP="000E7F68">
            <w:pPr>
              <w:rPr>
                <w:rFonts w:cs="Arial"/>
                <w:b/>
                <w:szCs w:val="20"/>
              </w:rPr>
            </w:pPr>
          </w:p>
        </w:tc>
      </w:tr>
    </w:tbl>
    <w:p w:rsidR="00CB0309" w:rsidRPr="009543BC" w:rsidRDefault="00CB0309" w:rsidP="00CB0309">
      <w:pPr>
        <w:rPr>
          <w:rFonts w:cs="Arial"/>
          <w:szCs w:val="20"/>
        </w:rPr>
      </w:pPr>
    </w:p>
    <w:p w:rsidR="00D61D35" w:rsidRPr="00D61D35" w:rsidRDefault="00D61D35" w:rsidP="00D61D35">
      <w:pPr>
        <w:pStyle w:val="NormalWeb"/>
        <w:widowControl w:val="0"/>
        <w:spacing w:before="0" w:beforeAutospacing="0" w:after="0" w:afterAutospacing="0" w:line="270" w:lineRule="atLeast"/>
        <w:jc w:val="both"/>
        <w:rPr>
          <w:rFonts w:asciiTheme="minorHAnsi" w:hAnsiTheme="minorHAnsi" w:cs="Arial"/>
          <w:bCs/>
          <w:sz w:val="22"/>
          <w:szCs w:val="22"/>
        </w:rPr>
      </w:pPr>
    </w:p>
    <w:sectPr w:rsidR="00D61D35" w:rsidRPr="00D61D35" w:rsidSect="00CB0309">
      <w:headerReference w:type="even" r:id="rId10"/>
      <w:headerReference w:type="default" r:id="rId11"/>
      <w:footerReference w:type="default" r:id="rId12"/>
      <w:headerReference w:type="first" r:id="rId13"/>
      <w:footerReference w:type="first" r:id="rId14"/>
      <w:pgSz w:w="16840" w:h="11901" w:orient="landscape"/>
      <w:pgMar w:top="1701" w:right="1985" w:bottom="2268" w:left="1770" w:header="567" w:footer="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B4D" w:rsidRDefault="00AE3B4D" w:rsidP="00122309">
      <w:r>
        <w:separator/>
      </w:r>
    </w:p>
  </w:endnote>
  <w:endnote w:type="continuationSeparator" w:id="0">
    <w:p w:rsidR="00AE3B4D" w:rsidRDefault="00AE3B4D" w:rsidP="0012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ReplicaStd-Light">
    <w:altName w:val="Calibri"/>
    <w:panose1 w:val="020B0604020202020204"/>
    <w:charset w:val="4D"/>
    <w:family w:val="auto"/>
    <w:notTrueType/>
    <w:pitch w:val="default"/>
    <w:sig w:usb0="00000003" w:usb1="00000000" w:usb2="00000000" w:usb3="00000000" w:csb0="00000001" w:csb1="00000000"/>
  </w:font>
  <w:font w:name="Times-Roman">
    <w:altName w:val="Times"/>
    <w:panose1 w:val="00000500000000020000"/>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E3E" w:rsidRDefault="00727E3E">
    <w:pPr>
      <w:pStyle w:val="Footer"/>
    </w:pP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E3E" w:rsidRPr="00E50D9C" w:rsidRDefault="00727E3E" w:rsidP="00727E3E">
    <w:pPr>
      <w:pStyle w:val="adresstable"/>
      <w:framePr w:hSpace="0" w:wrap="auto" w:vAnchor="margin" w:hAnchor="text" w:xAlign="left" w:yAlign="inline"/>
      <w:tabs>
        <w:tab w:val="center" w:pos="3966"/>
      </w:tabs>
      <w:spacing w:after="0"/>
      <w:rPr>
        <w:caps/>
        <w:lang w:eastAsia="en-AU"/>
      </w:rPr>
    </w:pPr>
    <w:r>
      <w:rPr>
        <w:b/>
      </w:rPr>
      <w:tab/>
    </w:r>
  </w:p>
  <w:tbl>
    <w:tblPr>
      <w:tblW w:w="8673" w:type="dxa"/>
      <w:tblLook w:val="04A0" w:firstRow="1" w:lastRow="0" w:firstColumn="1" w:lastColumn="0" w:noHBand="0" w:noVBand="1"/>
    </w:tblPr>
    <w:tblGrid>
      <w:gridCol w:w="8164"/>
      <w:gridCol w:w="253"/>
      <w:gridCol w:w="256"/>
    </w:tblGrid>
    <w:tr w:rsidR="00727E3E" w:rsidRPr="00AC1B98" w:rsidTr="00AC1B98">
      <w:trPr>
        <w:trHeight w:val="795"/>
      </w:trPr>
      <w:tc>
        <w:tcPr>
          <w:tcW w:w="3168" w:type="dxa"/>
          <w:shd w:val="clear" w:color="auto" w:fill="auto"/>
        </w:tcPr>
        <w:tbl>
          <w:tblPr>
            <w:tblW w:w="7948" w:type="dxa"/>
            <w:tblLook w:val="04A0" w:firstRow="1" w:lastRow="0" w:firstColumn="1" w:lastColumn="0" w:noHBand="0" w:noVBand="1"/>
          </w:tblPr>
          <w:tblGrid>
            <w:gridCol w:w="3113"/>
            <w:gridCol w:w="269"/>
            <w:gridCol w:w="3198"/>
            <w:gridCol w:w="269"/>
            <w:gridCol w:w="1099"/>
          </w:tblGrid>
          <w:tr w:rsidR="00252826" w:rsidRPr="00971375" w:rsidTr="00262BC7">
            <w:trPr>
              <w:cantSplit/>
            </w:trPr>
            <w:tc>
              <w:tcPr>
                <w:tcW w:w="3144" w:type="dxa"/>
                <w:shd w:val="clear" w:color="auto" w:fill="auto"/>
                <w:tcMar>
                  <w:left w:w="0" w:type="dxa"/>
                  <w:right w:w="0" w:type="dxa"/>
                </w:tcMar>
              </w:tcPr>
              <w:p w:rsidR="00252826" w:rsidRPr="008E1C76" w:rsidRDefault="00252826" w:rsidP="00252826">
                <w:pPr>
                  <w:pStyle w:val="adresstable"/>
                  <w:framePr w:hSpace="0" w:wrap="auto" w:vAnchor="margin" w:hAnchor="text" w:xAlign="left" w:yAlign="inline"/>
                  <w:spacing w:after="0"/>
                  <w:rPr>
                    <w:b/>
                    <w:color w:val="FF0000"/>
                    <w:lang w:eastAsia="en-AU"/>
                  </w:rPr>
                </w:pPr>
                <w:r w:rsidRPr="00CC2824">
                  <w:rPr>
                    <w:b/>
                    <w:color w:val="auto"/>
                    <w:lang w:eastAsia="en-AU"/>
                  </w:rPr>
                  <w:t>Widening Participation and Outreach</w:t>
                </w:r>
                <w:r>
                  <w:rPr>
                    <w:b/>
                    <w:color w:val="FF0000"/>
                    <w:lang w:eastAsia="en-AU"/>
                  </w:rPr>
                  <w:br/>
                </w:r>
                <w:r w:rsidRPr="00971375">
                  <w:rPr>
                    <w:lang w:eastAsia="en-AU"/>
                  </w:rPr>
                  <w:t>University of Sydney</w:t>
                </w:r>
                <w:r w:rsidRPr="00971375">
                  <w:rPr>
                    <w:lang w:eastAsia="en-AU"/>
                  </w:rPr>
                  <w:br/>
                  <w:t>NSW 2006 Australia</w:t>
                </w:r>
              </w:p>
              <w:p w:rsidR="00252826" w:rsidRPr="00971375" w:rsidRDefault="00252826" w:rsidP="00252826">
                <w:pPr>
                  <w:pStyle w:val="adresstable"/>
                  <w:framePr w:hSpace="0" w:wrap="auto" w:vAnchor="margin" w:hAnchor="text" w:xAlign="left" w:yAlign="inline"/>
                  <w:rPr>
                    <w:b/>
                    <w:lang w:eastAsia="en-AU"/>
                  </w:rPr>
                </w:pPr>
              </w:p>
              <w:p w:rsidR="00252826" w:rsidRPr="00971375" w:rsidRDefault="00252826" w:rsidP="00252826">
                <w:pPr>
                  <w:pStyle w:val="adresstable"/>
                  <w:framePr w:hSpace="0" w:wrap="auto" w:vAnchor="margin" w:hAnchor="text" w:xAlign="left" w:yAlign="inline"/>
                  <w:rPr>
                    <w:b/>
                    <w:lang w:eastAsia="en-AU"/>
                  </w:rPr>
                </w:pPr>
              </w:p>
            </w:tc>
            <w:tc>
              <w:tcPr>
                <w:tcW w:w="277" w:type="dxa"/>
                <w:shd w:val="clear" w:color="auto" w:fill="auto"/>
                <w:tcMar>
                  <w:left w:w="0" w:type="dxa"/>
                  <w:right w:w="0" w:type="dxa"/>
                </w:tcMar>
              </w:tcPr>
              <w:p w:rsidR="00252826" w:rsidRPr="00971375" w:rsidRDefault="00252826" w:rsidP="00252826">
                <w:pPr>
                  <w:pStyle w:val="adresstable"/>
                  <w:framePr w:hSpace="0" w:wrap="auto" w:vAnchor="margin" w:hAnchor="text" w:xAlign="left" w:yAlign="inline"/>
                  <w:rPr>
                    <w:b/>
                    <w:lang w:eastAsia="en-AU"/>
                  </w:rPr>
                </w:pPr>
              </w:p>
            </w:tc>
            <w:tc>
              <w:tcPr>
                <w:tcW w:w="3144" w:type="dxa"/>
                <w:shd w:val="clear" w:color="auto" w:fill="auto"/>
                <w:tcMar>
                  <w:left w:w="0" w:type="dxa"/>
                  <w:right w:w="0" w:type="dxa"/>
                </w:tcMar>
              </w:tcPr>
              <w:p w:rsidR="00252826" w:rsidRPr="00971375" w:rsidRDefault="00252826" w:rsidP="00252826">
                <w:pPr>
                  <w:pStyle w:val="00TFE"/>
                  <w:rPr>
                    <w:b w:val="0"/>
                    <w:color w:val="FF0000"/>
                    <w:lang w:val="en-AU" w:eastAsia="en-AU"/>
                  </w:rPr>
                </w:pPr>
                <w:r w:rsidRPr="00971375">
                  <w:rPr>
                    <w:lang w:eastAsia="en-AU"/>
                  </w:rPr>
                  <w:t xml:space="preserve">T </w:t>
                </w:r>
                <w:r w:rsidRPr="00971375">
                  <w:rPr>
                    <w:b w:val="0"/>
                    <w:lang w:eastAsia="en-AU"/>
                  </w:rPr>
                  <w:t xml:space="preserve">+61 2 </w:t>
                </w:r>
                <w:r w:rsidRPr="00CC2824">
                  <w:rPr>
                    <w:b w:val="0"/>
                    <w:color w:val="auto"/>
                    <w:lang w:val="en-AU" w:eastAsia="en-AU"/>
                  </w:rPr>
                  <w:t>8627 8515</w:t>
                </w:r>
              </w:p>
              <w:p w:rsidR="00252826" w:rsidRPr="00971375" w:rsidRDefault="00252826" w:rsidP="00252826">
                <w:pPr>
                  <w:pStyle w:val="00TFE"/>
                  <w:rPr>
                    <w:b w:val="0"/>
                    <w:color w:val="FF0000"/>
                    <w:lang w:eastAsia="en-AU"/>
                  </w:rPr>
                </w:pPr>
                <w:r w:rsidRPr="00971375">
                  <w:rPr>
                    <w:lang w:eastAsia="en-AU"/>
                  </w:rPr>
                  <w:t xml:space="preserve">F </w:t>
                </w:r>
                <w:r w:rsidRPr="00971375">
                  <w:rPr>
                    <w:b w:val="0"/>
                    <w:lang w:eastAsia="en-AU"/>
                  </w:rPr>
                  <w:t>+61 2</w:t>
                </w:r>
                <w:r w:rsidRPr="00971375">
                  <w:rPr>
                    <w:lang w:eastAsia="en-AU"/>
                  </w:rPr>
                  <w:t xml:space="preserve"> </w:t>
                </w:r>
                <w:r w:rsidRPr="00CC2824">
                  <w:rPr>
                    <w:b w:val="0"/>
                    <w:color w:val="auto"/>
                    <w:lang w:eastAsia="en-AU"/>
                  </w:rPr>
                  <w:t>8627 8518</w:t>
                </w:r>
              </w:p>
              <w:p w:rsidR="00252826" w:rsidRPr="00CC2824" w:rsidRDefault="00252826" w:rsidP="00252826">
                <w:pPr>
                  <w:pStyle w:val="00TFE"/>
                  <w:rPr>
                    <w:color w:val="auto"/>
                    <w:lang w:eastAsia="en-AU"/>
                  </w:rPr>
                </w:pPr>
                <w:r w:rsidRPr="00CC2824">
                  <w:rPr>
                    <w:b w:val="0"/>
                    <w:caps w:val="0"/>
                    <w:color w:val="auto"/>
                    <w:lang w:eastAsia="en-AU"/>
                  </w:rPr>
                  <w:t>wpo.administration@sydney.edu.au</w:t>
                </w:r>
              </w:p>
              <w:p w:rsidR="00252826" w:rsidRPr="00971375" w:rsidRDefault="00252826" w:rsidP="00252826">
                <w:pPr>
                  <w:pStyle w:val="00TFE"/>
                  <w:rPr>
                    <w:rStyle w:val="Bold"/>
                  </w:rPr>
                </w:pPr>
                <w:r w:rsidRPr="00971375">
                  <w:rPr>
                    <w:rStyle w:val="Bold"/>
                    <w:caps w:val="0"/>
                    <w:lang w:eastAsia="en-AU"/>
                  </w:rPr>
                  <w:t>sydney.edu.au</w:t>
                </w:r>
              </w:p>
              <w:p w:rsidR="00252826" w:rsidRPr="00971375" w:rsidRDefault="00252826" w:rsidP="00252826">
                <w:pPr>
                  <w:pStyle w:val="00TFE"/>
                  <w:rPr>
                    <w:lang w:eastAsia="en-AU"/>
                  </w:rPr>
                </w:pPr>
              </w:p>
            </w:tc>
            <w:tc>
              <w:tcPr>
                <w:tcW w:w="277" w:type="dxa"/>
                <w:shd w:val="clear" w:color="auto" w:fill="auto"/>
                <w:tcMar>
                  <w:left w:w="0" w:type="dxa"/>
                  <w:right w:w="0" w:type="dxa"/>
                </w:tcMar>
              </w:tcPr>
              <w:p w:rsidR="00252826" w:rsidRPr="00971375" w:rsidRDefault="00252826" w:rsidP="00252826">
                <w:pPr>
                  <w:pStyle w:val="adresstable"/>
                  <w:framePr w:hSpace="0" w:wrap="auto" w:vAnchor="margin" w:hAnchor="text" w:xAlign="left" w:yAlign="inline"/>
                  <w:rPr>
                    <w:b/>
                    <w:lang w:eastAsia="en-AU"/>
                  </w:rPr>
                </w:pPr>
              </w:p>
            </w:tc>
            <w:tc>
              <w:tcPr>
                <w:tcW w:w="1106" w:type="dxa"/>
                <w:shd w:val="clear" w:color="auto" w:fill="auto"/>
                <w:tcMar>
                  <w:left w:w="0" w:type="dxa"/>
                  <w:right w:w="0" w:type="dxa"/>
                </w:tcMar>
              </w:tcPr>
              <w:p w:rsidR="00252826" w:rsidRPr="00971375" w:rsidRDefault="00252826" w:rsidP="00252826">
                <w:pPr>
                  <w:pStyle w:val="adresstable"/>
                  <w:framePr w:hSpace="0" w:wrap="auto" w:vAnchor="margin" w:hAnchor="text" w:xAlign="left" w:yAlign="inline"/>
                  <w:spacing w:line="120" w:lineRule="atLeast"/>
                  <w:rPr>
                    <w:b/>
                    <w:lang w:eastAsia="en-AU"/>
                  </w:rPr>
                </w:pPr>
                <w:r w:rsidRPr="00971375">
                  <w:rPr>
                    <w:color w:val="auto"/>
                    <w:sz w:val="11"/>
                    <w:szCs w:val="11"/>
                    <w:lang w:eastAsia="en-AU"/>
                  </w:rPr>
                  <w:t>ABN 15 211 513 464</w:t>
                </w:r>
                <w:r w:rsidRPr="00971375">
                  <w:rPr>
                    <w:color w:val="auto"/>
                    <w:sz w:val="11"/>
                    <w:szCs w:val="11"/>
                    <w:lang w:eastAsia="en-AU"/>
                  </w:rPr>
                  <w:br/>
                  <w:t>CRICOS 00026A</w:t>
                </w:r>
              </w:p>
            </w:tc>
          </w:tr>
          <w:tr w:rsidR="00252826" w:rsidRPr="00971375" w:rsidTr="00262BC7">
            <w:trPr>
              <w:cantSplit/>
            </w:trPr>
            <w:tc>
              <w:tcPr>
                <w:tcW w:w="3232" w:type="dxa"/>
                <w:shd w:val="clear" w:color="auto" w:fill="auto"/>
                <w:tcMar>
                  <w:left w:w="0" w:type="dxa"/>
                  <w:right w:w="0" w:type="dxa"/>
                </w:tcMar>
              </w:tcPr>
              <w:p w:rsidR="00252826" w:rsidRPr="00971375" w:rsidRDefault="00252826" w:rsidP="00252826">
                <w:pPr>
                  <w:pStyle w:val="adresstable"/>
                  <w:framePr w:hSpace="0" w:wrap="auto" w:vAnchor="margin" w:hAnchor="text" w:xAlign="left" w:yAlign="inline"/>
                  <w:rPr>
                    <w:b/>
                    <w:lang w:eastAsia="en-AU"/>
                  </w:rPr>
                </w:pPr>
              </w:p>
            </w:tc>
            <w:tc>
              <w:tcPr>
                <w:tcW w:w="284" w:type="dxa"/>
                <w:shd w:val="clear" w:color="auto" w:fill="auto"/>
                <w:tcMar>
                  <w:left w:w="0" w:type="dxa"/>
                  <w:right w:w="0" w:type="dxa"/>
                </w:tcMar>
              </w:tcPr>
              <w:p w:rsidR="00252826" w:rsidRPr="00971375" w:rsidRDefault="00252826" w:rsidP="00252826">
                <w:pPr>
                  <w:pStyle w:val="adresstable"/>
                  <w:framePr w:hSpace="0" w:wrap="auto" w:vAnchor="margin" w:hAnchor="text" w:xAlign="left" w:yAlign="inline"/>
                  <w:rPr>
                    <w:b/>
                    <w:lang w:eastAsia="en-AU"/>
                  </w:rPr>
                </w:pPr>
              </w:p>
            </w:tc>
            <w:tc>
              <w:tcPr>
                <w:tcW w:w="3232" w:type="dxa"/>
                <w:shd w:val="clear" w:color="auto" w:fill="auto"/>
                <w:tcMar>
                  <w:left w:w="0" w:type="dxa"/>
                  <w:right w:w="0" w:type="dxa"/>
                </w:tcMar>
              </w:tcPr>
              <w:p w:rsidR="00252826" w:rsidRPr="00971375" w:rsidRDefault="00252826" w:rsidP="00252826">
                <w:pPr>
                  <w:pStyle w:val="00TFE"/>
                  <w:rPr>
                    <w:lang w:eastAsia="en-AU"/>
                  </w:rPr>
                </w:pPr>
              </w:p>
            </w:tc>
            <w:tc>
              <w:tcPr>
                <w:tcW w:w="284" w:type="dxa"/>
                <w:shd w:val="clear" w:color="auto" w:fill="auto"/>
                <w:tcMar>
                  <w:left w:w="0" w:type="dxa"/>
                  <w:right w:w="0" w:type="dxa"/>
                </w:tcMar>
              </w:tcPr>
              <w:p w:rsidR="00252826" w:rsidRPr="00971375" w:rsidRDefault="00252826" w:rsidP="00252826">
                <w:pPr>
                  <w:pStyle w:val="adresstable"/>
                  <w:framePr w:hSpace="0" w:wrap="auto" w:vAnchor="margin" w:hAnchor="text" w:xAlign="left" w:yAlign="inline"/>
                  <w:rPr>
                    <w:b/>
                    <w:lang w:eastAsia="en-AU"/>
                  </w:rPr>
                </w:pPr>
              </w:p>
            </w:tc>
            <w:tc>
              <w:tcPr>
                <w:tcW w:w="1136" w:type="dxa"/>
                <w:shd w:val="clear" w:color="auto" w:fill="auto"/>
                <w:tcMar>
                  <w:left w:w="0" w:type="dxa"/>
                  <w:right w:w="0" w:type="dxa"/>
                </w:tcMar>
              </w:tcPr>
              <w:p w:rsidR="00252826" w:rsidRPr="00971375" w:rsidRDefault="00252826" w:rsidP="00252826">
                <w:pPr>
                  <w:pStyle w:val="adresstable"/>
                  <w:framePr w:hSpace="0" w:wrap="auto" w:vAnchor="margin" w:hAnchor="text" w:xAlign="left" w:yAlign="inline"/>
                  <w:spacing w:line="120" w:lineRule="atLeast"/>
                  <w:rPr>
                    <w:b/>
                    <w:lang w:eastAsia="en-AU"/>
                  </w:rPr>
                </w:pPr>
              </w:p>
            </w:tc>
          </w:tr>
        </w:tbl>
        <w:p w:rsidR="00727E3E" w:rsidRPr="00AC1B98" w:rsidRDefault="00727E3E" w:rsidP="00AC1B98">
          <w:pPr>
            <w:pStyle w:val="adresstable"/>
            <w:framePr w:hSpace="0" w:wrap="auto" w:vAnchor="margin" w:hAnchor="text" w:xAlign="left" w:yAlign="inline"/>
            <w:spacing w:after="0"/>
            <w:rPr>
              <w:b/>
            </w:rPr>
          </w:pPr>
        </w:p>
      </w:tc>
      <w:tc>
        <w:tcPr>
          <w:tcW w:w="2614" w:type="dxa"/>
          <w:shd w:val="clear" w:color="auto" w:fill="auto"/>
        </w:tcPr>
        <w:p w:rsidR="00727E3E" w:rsidRPr="00AC1B98" w:rsidRDefault="00727E3E" w:rsidP="00AC1B98">
          <w:pPr>
            <w:pStyle w:val="adresstable"/>
            <w:framePr w:hSpace="0" w:wrap="auto" w:vAnchor="margin" w:hAnchor="text" w:xAlign="left" w:yAlign="inline"/>
            <w:rPr>
              <w:b/>
              <w:lang w:eastAsia="en-AU"/>
            </w:rPr>
          </w:pPr>
        </w:p>
      </w:tc>
      <w:tc>
        <w:tcPr>
          <w:tcW w:w="2891" w:type="dxa"/>
          <w:shd w:val="clear" w:color="auto" w:fill="auto"/>
        </w:tcPr>
        <w:p w:rsidR="00727E3E" w:rsidRPr="00971375" w:rsidRDefault="00727E3E" w:rsidP="00727E3E">
          <w:pPr>
            <w:pStyle w:val="00TFE"/>
            <w:rPr>
              <w:lang w:eastAsia="en-AU"/>
            </w:rPr>
          </w:pPr>
        </w:p>
      </w:tc>
    </w:tr>
  </w:tbl>
  <w:p w:rsidR="00727E3E" w:rsidRPr="00B15848" w:rsidRDefault="00727E3E" w:rsidP="00727E3E">
    <w:pPr>
      <w:pStyle w:val="adresstable"/>
      <w:framePr w:hSpace="0" w:wrap="auto" w:vAnchor="margin" w:hAnchor="text" w:xAlign="left" w:yAlign="inline"/>
      <w:tabs>
        <w:tab w:val="center" w:pos="3966"/>
      </w:tabs>
      <w:spacing w:after="0"/>
      <w:rPr>
        <w:b/>
      </w:rPr>
    </w:pPr>
  </w:p>
  <w:p w:rsidR="00727E3E" w:rsidRDefault="00727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B4D" w:rsidRDefault="00AE3B4D" w:rsidP="00122309">
      <w:r>
        <w:separator/>
      </w:r>
    </w:p>
  </w:footnote>
  <w:footnote w:type="continuationSeparator" w:id="0">
    <w:p w:rsidR="00AE3B4D" w:rsidRDefault="00AE3B4D" w:rsidP="0012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38" w:type="dxa"/>
      <w:tblLayout w:type="fixed"/>
      <w:tblLook w:val="04A0" w:firstRow="1" w:lastRow="0" w:firstColumn="1" w:lastColumn="0" w:noHBand="0" w:noVBand="1"/>
    </w:tblPr>
    <w:tblGrid>
      <w:gridCol w:w="3114"/>
      <w:gridCol w:w="273"/>
      <w:gridCol w:w="3114"/>
      <w:gridCol w:w="273"/>
      <w:gridCol w:w="1164"/>
    </w:tblGrid>
    <w:tr w:rsidR="00727E3E" w:rsidRPr="00971375">
      <w:trPr>
        <w:cantSplit/>
      </w:trPr>
      <w:tc>
        <w:tcPr>
          <w:tcW w:w="3114" w:type="dxa"/>
          <w:shd w:val="clear" w:color="auto" w:fill="auto"/>
          <w:tcMar>
            <w:left w:w="0" w:type="dxa"/>
            <w:right w:w="0" w:type="dxa"/>
          </w:tcMar>
        </w:tcPr>
        <w:p w:rsidR="00727E3E" w:rsidRPr="00971375" w:rsidRDefault="00727E3E" w:rsidP="00971375">
          <w:pPr>
            <w:pStyle w:val="adresstable"/>
            <w:framePr w:hSpace="0" w:wrap="auto" w:vAnchor="margin" w:hAnchor="text" w:xAlign="left" w:yAlign="inline"/>
            <w:rPr>
              <w:b/>
              <w:lang w:eastAsia="en-AU"/>
            </w:rPr>
          </w:pPr>
          <w:r w:rsidRPr="00971375">
            <w:rPr>
              <w:lang w:eastAsia="en-AU"/>
            </w:rPr>
            <w:t>Department</w:t>
          </w:r>
          <w:r w:rsidRPr="00971375">
            <w:rPr>
              <w:lang w:eastAsia="en-AU"/>
            </w:rPr>
            <w:br/>
            <w:t>Division or Faculty</w:t>
          </w:r>
          <w:r w:rsidRPr="00971375">
            <w:rPr>
              <w:lang w:eastAsia="en-AU"/>
            </w:rPr>
            <w:br/>
            <w:t>Rm No, Building Name No</w:t>
          </w:r>
          <w:r w:rsidRPr="00971375">
            <w:rPr>
              <w:lang w:eastAsia="en-AU"/>
            </w:rPr>
            <w:br/>
            <w:t>Suburb</w:t>
          </w:r>
          <w:r w:rsidRPr="00971375">
            <w:rPr>
              <w:lang w:eastAsia="en-AU"/>
            </w:rPr>
            <w:br/>
            <w:t>NSW 0000 Australia</w:t>
          </w:r>
        </w:p>
        <w:p w:rsidR="00727E3E" w:rsidRPr="00971375" w:rsidRDefault="00727E3E" w:rsidP="00971375">
          <w:pPr>
            <w:pStyle w:val="adresstable"/>
            <w:framePr w:hSpace="0" w:wrap="auto" w:vAnchor="margin" w:hAnchor="text" w:xAlign="left" w:yAlign="inline"/>
            <w:rPr>
              <w:b/>
              <w:lang w:eastAsia="en-AU"/>
            </w:rPr>
          </w:pPr>
        </w:p>
        <w:p w:rsidR="00727E3E" w:rsidRPr="00971375" w:rsidRDefault="00727E3E" w:rsidP="00971375">
          <w:pPr>
            <w:pStyle w:val="adresstable"/>
            <w:framePr w:hSpace="0" w:wrap="auto" w:vAnchor="margin" w:hAnchor="text" w:xAlign="left" w:yAlign="inline"/>
            <w:rPr>
              <w:b/>
              <w:lang w:eastAsia="en-AU"/>
            </w:rPr>
          </w:pPr>
        </w:p>
      </w:tc>
      <w:tc>
        <w:tcPr>
          <w:tcW w:w="273" w:type="dxa"/>
          <w:shd w:val="clear" w:color="auto" w:fill="auto"/>
          <w:tcMar>
            <w:left w:w="0" w:type="dxa"/>
            <w:right w:w="0" w:type="dxa"/>
          </w:tcMar>
        </w:tcPr>
        <w:p w:rsidR="00727E3E" w:rsidRPr="00971375" w:rsidRDefault="00727E3E" w:rsidP="00971375">
          <w:pPr>
            <w:pStyle w:val="adresstable"/>
            <w:framePr w:hSpace="0" w:wrap="auto" w:vAnchor="margin" w:hAnchor="text" w:xAlign="left" w:yAlign="inline"/>
            <w:rPr>
              <w:b/>
              <w:lang w:eastAsia="en-AU"/>
            </w:rPr>
          </w:pPr>
        </w:p>
      </w:tc>
      <w:tc>
        <w:tcPr>
          <w:tcW w:w="3114" w:type="dxa"/>
          <w:shd w:val="clear" w:color="auto" w:fill="auto"/>
          <w:tcMar>
            <w:left w:w="0" w:type="dxa"/>
            <w:right w:w="0" w:type="dxa"/>
          </w:tcMar>
        </w:tcPr>
        <w:p w:rsidR="00727E3E" w:rsidRPr="00971375" w:rsidRDefault="00727E3E" w:rsidP="001E21C5">
          <w:pPr>
            <w:pStyle w:val="00TFE"/>
            <w:rPr>
              <w:spacing w:val="0"/>
              <w:lang w:val="en-GB" w:eastAsia="en-AU"/>
            </w:rPr>
          </w:pPr>
          <w:r w:rsidRPr="00971375">
            <w:rPr>
              <w:lang w:eastAsia="en-AU"/>
            </w:rPr>
            <w:t xml:space="preserve">t +61 2 9000 0000 </w:t>
          </w:r>
          <w:r w:rsidRPr="00971375">
            <w:rPr>
              <w:lang w:eastAsia="en-AU"/>
            </w:rPr>
            <w:br/>
            <w:t>F +61 2 9000 0000</w:t>
          </w:r>
          <w:r w:rsidRPr="00971375">
            <w:rPr>
              <w:spacing w:val="4"/>
              <w:lang w:eastAsia="en-AU"/>
            </w:rPr>
            <w:br/>
          </w:r>
          <w:r w:rsidRPr="00971375">
            <w:rPr>
              <w:lang w:eastAsia="en-AU"/>
            </w:rPr>
            <w:t xml:space="preserve">E </w:t>
          </w:r>
          <w:r w:rsidRPr="00971375">
            <w:rPr>
              <w:caps w:val="0"/>
              <w:spacing w:val="0"/>
              <w:lang w:val="en-GB" w:eastAsia="en-AU"/>
            </w:rPr>
            <w:t>first.lastname@sydney.edu.au</w:t>
          </w:r>
        </w:p>
      </w:tc>
      <w:tc>
        <w:tcPr>
          <w:tcW w:w="273" w:type="dxa"/>
          <w:shd w:val="clear" w:color="auto" w:fill="auto"/>
          <w:tcMar>
            <w:left w:w="0" w:type="dxa"/>
            <w:right w:w="0" w:type="dxa"/>
          </w:tcMar>
        </w:tcPr>
        <w:p w:rsidR="00727E3E" w:rsidRPr="00971375" w:rsidRDefault="00727E3E" w:rsidP="00971375">
          <w:pPr>
            <w:pStyle w:val="adresstable"/>
            <w:framePr w:hSpace="0" w:wrap="auto" w:vAnchor="margin" w:hAnchor="text" w:xAlign="left" w:yAlign="inline"/>
            <w:rPr>
              <w:b/>
              <w:lang w:eastAsia="en-AU"/>
            </w:rPr>
          </w:pPr>
        </w:p>
      </w:tc>
      <w:tc>
        <w:tcPr>
          <w:tcW w:w="1164" w:type="dxa"/>
          <w:shd w:val="clear" w:color="auto" w:fill="auto"/>
          <w:tcMar>
            <w:left w:w="0" w:type="dxa"/>
            <w:right w:w="0" w:type="dxa"/>
          </w:tcMar>
        </w:tcPr>
        <w:p w:rsidR="00727E3E" w:rsidRPr="00971375" w:rsidRDefault="00727E3E" w:rsidP="00971375">
          <w:pPr>
            <w:pStyle w:val="adresstable"/>
            <w:framePr w:hSpace="0" w:wrap="auto" w:vAnchor="margin" w:hAnchor="text" w:xAlign="left" w:yAlign="inline"/>
            <w:rPr>
              <w:rStyle w:val="Bold"/>
            </w:rPr>
          </w:pPr>
          <w:r w:rsidRPr="00971375">
            <w:rPr>
              <w:rStyle w:val="Bold"/>
              <w:b/>
              <w:lang w:eastAsia="en-AU"/>
            </w:rPr>
            <w:t>sydney.edu.au</w:t>
          </w:r>
        </w:p>
        <w:p w:rsidR="00727E3E" w:rsidRPr="00971375" w:rsidRDefault="00727E3E" w:rsidP="00971375">
          <w:pPr>
            <w:pStyle w:val="adresstable"/>
            <w:framePr w:hSpace="0" w:wrap="auto" w:vAnchor="margin" w:hAnchor="text" w:xAlign="left" w:yAlign="inline"/>
            <w:spacing w:after="0" w:line="140" w:lineRule="atLeast"/>
            <w:rPr>
              <w:b/>
              <w:color w:val="auto"/>
              <w:sz w:val="11"/>
              <w:szCs w:val="11"/>
              <w:lang w:eastAsia="en-AU"/>
            </w:rPr>
          </w:pPr>
          <w:r w:rsidRPr="00971375">
            <w:rPr>
              <w:color w:val="auto"/>
              <w:sz w:val="11"/>
              <w:szCs w:val="11"/>
              <w:lang w:eastAsia="en-AU"/>
            </w:rPr>
            <w:t>ABN 15 211 513 464</w:t>
          </w:r>
          <w:r w:rsidRPr="00971375">
            <w:rPr>
              <w:color w:val="auto"/>
              <w:sz w:val="11"/>
              <w:szCs w:val="11"/>
              <w:lang w:eastAsia="en-AU"/>
            </w:rPr>
            <w:br/>
            <w:t>CRICOS 00026A</w:t>
          </w:r>
        </w:p>
      </w:tc>
    </w:tr>
    <w:tr w:rsidR="00727E3E" w:rsidRPr="00971375">
      <w:tblPrEx>
        <w:tblBorders>
          <w:top w:val="single" w:sz="12" w:space="0" w:color="008000"/>
          <w:bottom w:val="single" w:sz="12" w:space="0" w:color="008000"/>
        </w:tblBorders>
      </w:tblPrEx>
      <w:trPr>
        <w:cantSplit/>
      </w:trPr>
      <w:tc>
        <w:tcPr>
          <w:tcW w:w="3114" w:type="dxa"/>
          <w:shd w:val="clear" w:color="auto" w:fill="auto"/>
        </w:tcPr>
        <w:p w:rsidR="00727E3E" w:rsidRPr="00971375" w:rsidRDefault="00727E3E" w:rsidP="00971375">
          <w:pPr>
            <w:pStyle w:val="adresstable"/>
            <w:framePr w:hSpace="0" w:wrap="auto" w:vAnchor="margin" w:hAnchor="text" w:xAlign="left" w:yAlign="inline"/>
            <w:rPr>
              <w:b/>
              <w:lang w:eastAsia="en-AU"/>
            </w:rPr>
          </w:pPr>
          <w:r w:rsidRPr="00971375">
            <w:rPr>
              <w:b/>
              <w:lang w:eastAsia="en-AU"/>
            </w:rPr>
            <w:t>Department</w:t>
          </w:r>
          <w:r w:rsidRPr="00971375">
            <w:rPr>
              <w:b/>
              <w:lang w:eastAsia="en-AU"/>
            </w:rPr>
            <w:br/>
            <w:t>Division or Faculty</w:t>
          </w:r>
          <w:r w:rsidRPr="00971375">
            <w:rPr>
              <w:b/>
              <w:lang w:eastAsia="en-AU"/>
            </w:rPr>
            <w:br/>
            <w:t>Rm No, Building Name No</w:t>
          </w:r>
          <w:r w:rsidRPr="00971375">
            <w:rPr>
              <w:b/>
              <w:lang w:eastAsia="en-AU"/>
            </w:rPr>
            <w:br/>
            <w:t>Suburb</w:t>
          </w:r>
          <w:r w:rsidRPr="00971375">
            <w:rPr>
              <w:b/>
              <w:lang w:eastAsia="en-AU"/>
            </w:rPr>
            <w:br/>
            <w:t>NSW 0000 Australia</w:t>
          </w:r>
        </w:p>
        <w:p w:rsidR="00727E3E" w:rsidRPr="00971375" w:rsidRDefault="00727E3E" w:rsidP="00971375">
          <w:pPr>
            <w:pStyle w:val="adresstable"/>
            <w:framePr w:hSpace="0" w:wrap="auto" w:vAnchor="margin" w:hAnchor="text" w:xAlign="left" w:yAlign="inline"/>
            <w:rPr>
              <w:b/>
              <w:lang w:eastAsia="en-AU"/>
            </w:rPr>
          </w:pPr>
        </w:p>
        <w:p w:rsidR="00727E3E" w:rsidRPr="00971375" w:rsidRDefault="00727E3E" w:rsidP="00971375">
          <w:pPr>
            <w:pStyle w:val="adresstable"/>
            <w:framePr w:hSpace="0" w:wrap="auto" w:vAnchor="margin" w:hAnchor="text" w:xAlign="left" w:yAlign="inline"/>
            <w:rPr>
              <w:b/>
              <w:lang w:eastAsia="en-AU"/>
            </w:rPr>
          </w:pPr>
        </w:p>
      </w:tc>
      <w:tc>
        <w:tcPr>
          <w:tcW w:w="273" w:type="dxa"/>
          <w:shd w:val="clear" w:color="auto" w:fill="auto"/>
        </w:tcPr>
        <w:p w:rsidR="00727E3E" w:rsidRPr="00971375" w:rsidRDefault="00727E3E" w:rsidP="00971375">
          <w:pPr>
            <w:pStyle w:val="adresstable"/>
            <w:framePr w:hSpace="0" w:wrap="auto" w:vAnchor="margin" w:hAnchor="text" w:xAlign="left" w:yAlign="inline"/>
            <w:rPr>
              <w:b/>
              <w:lang w:eastAsia="en-AU"/>
            </w:rPr>
          </w:pPr>
        </w:p>
      </w:tc>
      <w:tc>
        <w:tcPr>
          <w:tcW w:w="3114" w:type="dxa"/>
          <w:shd w:val="clear" w:color="auto" w:fill="auto"/>
        </w:tcPr>
        <w:p w:rsidR="00727E3E" w:rsidRPr="00971375" w:rsidRDefault="00727E3E" w:rsidP="001E21C5">
          <w:pPr>
            <w:pStyle w:val="00TFE"/>
            <w:rPr>
              <w:b w:val="0"/>
              <w:spacing w:val="0"/>
              <w:lang w:val="en-GB" w:eastAsia="en-AU"/>
            </w:rPr>
          </w:pPr>
          <w:r w:rsidRPr="00971375">
            <w:rPr>
              <w:b w:val="0"/>
              <w:lang w:eastAsia="en-AU"/>
            </w:rPr>
            <w:t>t</w:t>
          </w:r>
          <w:r w:rsidRPr="00971375">
            <w:rPr>
              <w:lang w:eastAsia="en-AU"/>
            </w:rPr>
            <w:t xml:space="preserve"> +61 2 9000 0000 </w:t>
          </w:r>
          <w:r w:rsidRPr="00971375">
            <w:rPr>
              <w:lang w:eastAsia="en-AU"/>
            </w:rPr>
            <w:br/>
          </w:r>
          <w:r w:rsidRPr="00971375">
            <w:rPr>
              <w:b w:val="0"/>
              <w:lang w:eastAsia="en-AU"/>
            </w:rPr>
            <w:t>F</w:t>
          </w:r>
          <w:r w:rsidRPr="00971375">
            <w:rPr>
              <w:lang w:eastAsia="en-AU"/>
            </w:rPr>
            <w:t xml:space="preserve"> +61 2 9000 0000</w:t>
          </w:r>
          <w:r w:rsidRPr="00971375">
            <w:rPr>
              <w:spacing w:val="4"/>
              <w:lang w:eastAsia="en-AU"/>
            </w:rPr>
            <w:br/>
          </w:r>
          <w:r w:rsidRPr="00971375">
            <w:rPr>
              <w:b w:val="0"/>
              <w:lang w:eastAsia="en-AU"/>
            </w:rPr>
            <w:t>E</w:t>
          </w:r>
          <w:r w:rsidRPr="00971375">
            <w:rPr>
              <w:lang w:eastAsia="en-AU"/>
            </w:rPr>
            <w:t xml:space="preserve"> </w:t>
          </w:r>
          <w:r w:rsidRPr="00971375">
            <w:rPr>
              <w:caps w:val="0"/>
              <w:spacing w:val="0"/>
              <w:lang w:val="en-GB" w:eastAsia="en-AU"/>
            </w:rPr>
            <w:t>first.lastname@sydney.edu.au</w:t>
          </w:r>
        </w:p>
      </w:tc>
      <w:tc>
        <w:tcPr>
          <w:tcW w:w="273" w:type="dxa"/>
          <w:shd w:val="clear" w:color="auto" w:fill="auto"/>
        </w:tcPr>
        <w:p w:rsidR="00727E3E" w:rsidRPr="00971375" w:rsidRDefault="00727E3E" w:rsidP="00971375">
          <w:pPr>
            <w:pStyle w:val="adresstable"/>
            <w:framePr w:hSpace="0" w:wrap="auto" w:vAnchor="margin" w:hAnchor="text" w:xAlign="left" w:yAlign="inline"/>
            <w:rPr>
              <w:b/>
              <w:lang w:eastAsia="en-AU"/>
            </w:rPr>
          </w:pPr>
        </w:p>
      </w:tc>
      <w:tc>
        <w:tcPr>
          <w:tcW w:w="1164" w:type="dxa"/>
          <w:shd w:val="clear" w:color="auto" w:fill="auto"/>
        </w:tcPr>
        <w:p w:rsidR="00727E3E" w:rsidRPr="00971375" w:rsidRDefault="00727E3E" w:rsidP="00971375">
          <w:pPr>
            <w:pStyle w:val="adresstable"/>
            <w:framePr w:hSpace="0" w:wrap="auto" w:vAnchor="margin" w:hAnchor="text" w:xAlign="left" w:yAlign="inline"/>
            <w:rPr>
              <w:rStyle w:val="Bold"/>
            </w:rPr>
          </w:pPr>
          <w:r w:rsidRPr="00971375">
            <w:rPr>
              <w:rStyle w:val="Bold"/>
              <w:lang w:eastAsia="en-AU"/>
            </w:rPr>
            <w:t>sydney.edu.au</w:t>
          </w:r>
        </w:p>
        <w:p w:rsidR="00727E3E" w:rsidRPr="00971375" w:rsidRDefault="00727E3E" w:rsidP="00971375">
          <w:pPr>
            <w:pStyle w:val="adresstable"/>
            <w:framePr w:hSpace="0" w:wrap="auto" w:vAnchor="margin" w:hAnchor="text" w:xAlign="left" w:yAlign="inline"/>
            <w:spacing w:after="0" w:line="140" w:lineRule="atLeast"/>
            <w:rPr>
              <w:b/>
              <w:color w:val="auto"/>
              <w:sz w:val="11"/>
              <w:szCs w:val="11"/>
              <w:lang w:eastAsia="en-AU"/>
            </w:rPr>
          </w:pPr>
          <w:r w:rsidRPr="00971375">
            <w:rPr>
              <w:b/>
              <w:color w:val="auto"/>
              <w:sz w:val="11"/>
              <w:szCs w:val="11"/>
              <w:lang w:eastAsia="en-AU"/>
            </w:rPr>
            <w:t>ABN 15 211 513 464</w:t>
          </w:r>
          <w:r w:rsidRPr="00971375">
            <w:rPr>
              <w:b/>
              <w:color w:val="auto"/>
              <w:sz w:val="11"/>
              <w:szCs w:val="11"/>
              <w:lang w:eastAsia="en-AU"/>
            </w:rPr>
            <w:br/>
            <w:t>CRICOS 00026A</w:t>
          </w:r>
        </w:p>
      </w:tc>
    </w:tr>
  </w:tbl>
  <w:p w:rsidR="00727E3E" w:rsidRDefault="00727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E3E" w:rsidRPr="00BF2C1F" w:rsidRDefault="00A06B8B" w:rsidP="00BF2C1F">
    <w:pPr>
      <w:pStyle w:val="Header"/>
    </w:pPr>
    <w:r>
      <w:rPr>
        <w:noProof/>
        <w:lang w:val="en-US" w:eastAsia="en-US"/>
      </w:rPr>
      <w:drawing>
        <wp:anchor distT="0" distB="0" distL="114300" distR="114300" simplePos="0" relativeHeight="251657728" behindDoc="0" locked="0" layoutInCell="1" allowOverlap="0" wp14:anchorId="2081C0A6" wp14:editId="2CC85EF2">
          <wp:simplePos x="0" y="0"/>
          <wp:positionH relativeFrom="page">
            <wp:posOffset>832485</wp:posOffset>
          </wp:positionH>
          <wp:positionV relativeFrom="page">
            <wp:posOffset>443472</wp:posOffset>
          </wp:positionV>
          <wp:extent cx="1562100" cy="546100"/>
          <wp:effectExtent l="0" t="0" r="0" b="0"/>
          <wp:wrapNone/>
          <wp:docPr id="9" name="Picture 9" descr="USY_MB1_CMYK_Standard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Y_MB1_CMYK_Standard_Logo.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E3E" w:rsidRPr="00B15848" w:rsidRDefault="00A06B8B" w:rsidP="00ED01FE">
    <w:pPr>
      <w:pStyle w:val="Header"/>
      <w:rPr>
        <w:sz w:val="22"/>
        <w:szCs w:val="22"/>
      </w:rPr>
    </w:pPr>
    <w:r w:rsidRPr="00B15848">
      <w:rPr>
        <w:noProof/>
        <w:sz w:val="22"/>
        <w:szCs w:val="22"/>
        <w:lang w:val="en-US" w:eastAsia="en-US"/>
      </w:rPr>
      <w:drawing>
        <wp:anchor distT="0" distB="0" distL="114300" distR="114300" simplePos="0" relativeHeight="251658752" behindDoc="0" locked="0" layoutInCell="1" allowOverlap="1" wp14:anchorId="10CDCCB9" wp14:editId="42338709">
          <wp:simplePos x="0" y="0"/>
          <wp:positionH relativeFrom="page">
            <wp:posOffset>828040</wp:posOffset>
          </wp:positionH>
          <wp:positionV relativeFrom="page">
            <wp:posOffset>540385</wp:posOffset>
          </wp:positionV>
          <wp:extent cx="1567180" cy="546100"/>
          <wp:effectExtent l="0" t="0" r="0" b="6350"/>
          <wp:wrapNone/>
          <wp:docPr id="8" name="Picture 8" descr="USY_MB1_RGB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Y_MB1_RGB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180" cy="54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1123"/>
    <w:multiLevelType w:val="hybridMultilevel"/>
    <w:tmpl w:val="24205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55B17"/>
    <w:multiLevelType w:val="hybridMultilevel"/>
    <w:tmpl w:val="B2CCCF4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18C02621"/>
    <w:multiLevelType w:val="hybridMultilevel"/>
    <w:tmpl w:val="031C9880"/>
    <w:lvl w:ilvl="0" w:tplc="460487B8">
      <w:start w:val="1"/>
      <w:numFmt w:val="bullet"/>
      <w:lvlText w:val=""/>
      <w:lvlJc w:val="left"/>
      <w:pPr>
        <w:tabs>
          <w:tab w:val="num" w:pos="284"/>
        </w:tabs>
        <w:ind w:left="284" w:hanging="284"/>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3508F"/>
    <w:multiLevelType w:val="hybridMultilevel"/>
    <w:tmpl w:val="29CE4306"/>
    <w:lvl w:ilvl="0" w:tplc="4E9AF49E">
      <w:start w:val="1"/>
      <w:numFmt w:val="bullet"/>
      <w:lvlText w:val=""/>
      <w:lvlJc w:val="left"/>
      <w:pPr>
        <w:tabs>
          <w:tab w:val="num" w:pos="567"/>
        </w:tabs>
        <w:ind w:left="567" w:hanging="567"/>
      </w:pPr>
      <w:rPr>
        <w:rFonts w:ascii="Symbol" w:hAnsi="Symbol" w:hint="default"/>
        <w:sz w:val="18"/>
      </w:rPr>
    </w:lvl>
    <w:lvl w:ilvl="1" w:tplc="0C09000F">
      <w:start w:val="1"/>
      <w:numFmt w:val="decimal"/>
      <w:lvlText w:val="%2."/>
      <w:lvlJc w:val="left"/>
      <w:pPr>
        <w:tabs>
          <w:tab w:val="num" w:pos="1440"/>
        </w:tabs>
        <w:ind w:left="1440" w:hanging="360"/>
      </w:pPr>
      <w:rPr>
        <w:rFonts w:cs="Times New Roman" w:hint="default"/>
        <w:sz w:val="18"/>
        <w:szCs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9C5DE6"/>
    <w:multiLevelType w:val="hybridMultilevel"/>
    <w:tmpl w:val="30C43B2C"/>
    <w:lvl w:ilvl="0" w:tplc="9FE81954">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544FEF"/>
    <w:multiLevelType w:val="hybridMultilevel"/>
    <w:tmpl w:val="A2C27956"/>
    <w:lvl w:ilvl="0" w:tplc="4E9AF49E">
      <w:start w:val="1"/>
      <w:numFmt w:val="bullet"/>
      <w:lvlText w:val=""/>
      <w:lvlJc w:val="left"/>
      <w:pPr>
        <w:tabs>
          <w:tab w:val="num" w:pos="567"/>
        </w:tabs>
        <w:ind w:left="567" w:hanging="567"/>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740236"/>
    <w:multiLevelType w:val="hybridMultilevel"/>
    <w:tmpl w:val="FE549854"/>
    <w:lvl w:ilvl="0" w:tplc="B98A9BA0">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320"/>
        </w:tabs>
        <w:ind w:left="1320" w:hanging="360"/>
      </w:pPr>
      <w:rPr>
        <w:rFonts w:ascii="Courier New" w:hAnsi="Courier New" w:hint="default"/>
      </w:rPr>
    </w:lvl>
    <w:lvl w:ilvl="2" w:tplc="0C090005" w:tentative="1">
      <w:start w:val="1"/>
      <w:numFmt w:val="bullet"/>
      <w:lvlText w:val=""/>
      <w:lvlJc w:val="left"/>
      <w:pPr>
        <w:tabs>
          <w:tab w:val="num" w:pos="2040"/>
        </w:tabs>
        <w:ind w:left="2040" w:hanging="360"/>
      </w:pPr>
      <w:rPr>
        <w:rFonts w:ascii="Wingdings" w:hAnsi="Wingdings" w:hint="default"/>
      </w:rPr>
    </w:lvl>
    <w:lvl w:ilvl="3" w:tplc="0C090001" w:tentative="1">
      <w:start w:val="1"/>
      <w:numFmt w:val="bullet"/>
      <w:lvlText w:val=""/>
      <w:lvlJc w:val="left"/>
      <w:pPr>
        <w:tabs>
          <w:tab w:val="num" w:pos="2760"/>
        </w:tabs>
        <w:ind w:left="2760" w:hanging="360"/>
      </w:pPr>
      <w:rPr>
        <w:rFonts w:ascii="Symbol" w:hAnsi="Symbol" w:hint="default"/>
      </w:rPr>
    </w:lvl>
    <w:lvl w:ilvl="4" w:tplc="0C090003" w:tentative="1">
      <w:start w:val="1"/>
      <w:numFmt w:val="bullet"/>
      <w:lvlText w:val="o"/>
      <w:lvlJc w:val="left"/>
      <w:pPr>
        <w:tabs>
          <w:tab w:val="num" w:pos="3480"/>
        </w:tabs>
        <w:ind w:left="3480" w:hanging="360"/>
      </w:pPr>
      <w:rPr>
        <w:rFonts w:ascii="Courier New" w:hAnsi="Courier New" w:hint="default"/>
      </w:rPr>
    </w:lvl>
    <w:lvl w:ilvl="5" w:tplc="0C090005" w:tentative="1">
      <w:start w:val="1"/>
      <w:numFmt w:val="bullet"/>
      <w:lvlText w:val=""/>
      <w:lvlJc w:val="left"/>
      <w:pPr>
        <w:tabs>
          <w:tab w:val="num" w:pos="4200"/>
        </w:tabs>
        <w:ind w:left="4200" w:hanging="360"/>
      </w:pPr>
      <w:rPr>
        <w:rFonts w:ascii="Wingdings" w:hAnsi="Wingdings" w:hint="default"/>
      </w:rPr>
    </w:lvl>
    <w:lvl w:ilvl="6" w:tplc="0C090001" w:tentative="1">
      <w:start w:val="1"/>
      <w:numFmt w:val="bullet"/>
      <w:lvlText w:val=""/>
      <w:lvlJc w:val="left"/>
      <w:pPr>
        <w:tabs>
          <w:tab w:val="num" w:pos="4920"/>
        </w:tabs>
        <w:ind w:left="4920" w:hanging="360"/>
      </w:pPr>
      <w:rPr>
        <w:rFonts w:ascii="Symbol" w:hAnsi="Symbol" w:hint="default"/>
      </w:rPr>
    </w:lvl>
    <w:lvl w:ilvl="7" w:tplc="0C090003" w:tentative="1">
      <w:start w:val="1"/>
      <w:numFmt w:val="bullet"/>
      <w:lvlText w:val="o"/>
      <w:lvlJc w:val="left"/>
      <w:pPr>
        <w:tabs>
          <w:tab w:val="num" w:pos="5640"/>
        </w:tabs>
        <w:ind w:left="5640" w:hanging="360"/>
      </w:pPr>
      <w:rPr>
        <w:rFonts w:ascii="Courier New" w:hAnsi="Courier New" w:hint="default"/>
      </w:rPr>
    </w:lvl>
    <w:lvl w:ilvl="8" w:tplc="0C090005" w:tentative="1">
      <w:start w:val="1"/>
      <w:numFmt w:val="bullet"/>
      <w:lvlText w:val=""/>
      <w:lvlJc w:val="left"/>
      <w:pPr>
        <w:tabs>
          <w:tab w:val="num" w:pos="6360"/>
        </w:tabs>
        <w:ind w:left="6360" w:hanging="360"/>
      </w:pPr>
      <w:rPr>
        <w:rFonts w:ascii="Wingdings" w:hAnsi="Wingdings" w:hint="default"/>
      </w:rPr>
    </w:lvl>
  </w:abstractNum>
  <w:abstractNum w:abstractNumId="7" w15:restartNumberingAfterBreak="0">
    <w:nsid w:val="2F4A5D7F"/>
    <w:multiLevelType w:val="hybridMultilevel"/>
    <w:tmpl w:val="7994B22A"/>
    <w:lvl w:ilvl="0" w:tplc="8520B968">
      <w:start w:val="1"/>
      <w:numFmt w:val="lowerLetter"/>
      <w:lvlText w:val="(%1)"/>
      <w:lvlJc w:val="left"/>
      <w:pPr>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FCC65BE"/>
    <w:multiLevelType w:val="hybridMultilevel"/>
    <w:tmpl w:val="0B9A7AE4"/>
    <w:lvl w:ilvl="0" w:tplc="2C96E26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3C4A49"/>
    <w:multiLevelType w:val="hybridMultilevel"/>
    <w:tmpl w:val="26981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5A6524"/>
    <w:multiLevelType w:val="hybridMultilevel"/>
    <w:tmpl w:val="4D8E93F6"/>
    <w:lvl w:ilvl="0" w:tplc="8520B96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E33CD4"/>
    <w:multiLevelType w:val="hybridMultilevel"/>
    <w:tmpl w:val="90B6209C"/>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A8A5AEB"/>
    <w:multiLevelType w:val="hybridMultilevel"/>
    <w:tmpl w:val="7994B22A"/>
    <w:lvl w:ilvl="0" w:tplc="8520B968">
      <w:start w:val="1"/>
      <w:numFmt w:val="lowerLetter"/>
      <w:lvlText w:val="(%1)"/>
      <w:lvlJc w:val="left"/>
      <w:pPr>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51C954B0"/>
    <w:multiLevelType w:val="hybridMultilevel"/>
    <w:tmpl w:val="334C3614"/>
    <w:lvl w:ilvl="0" w:tplc="B98A9BA0">
      <w:start w:val="1"/>
      <w:numFmt w:val="bullet"/>
      <w:lvlText w:val=""/>
      <w:lvlJc w:val="left"/>
      <w:pPr>
        <w:tabs>
          <w:tab w:val="num" w:pos="567"/>
        </w:tabs>
        <w:ind w:left="567" w:hanging="567"/>
      </w:pPr>
      <w:rPr>
        <w:rFonts w:ascii="Symbol" w:hAnsi="Symbol" w:hint="default"/>
        <w:sz w:val="16"/>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54674652"/>
    <w:multiLevelType w:val="hybridMultilevel"/>
    <w:tmpl w:val="F774CF4E"/>
    <w:lvl w:ilvl="0" w:tplc="AF34E444">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B609AD"/>
    <w:multiLevelType w:val="hybridMultilevel"/>
    <w:tmpl w:val="743A7506"/>
    <w:lvl w:ilvl="0" w:tplc="460487B8">
      <w:start w:val="1"/>
      <w:numFmt w:val="bullet"/>
      <w:lvlText w:val=""/>
      <w:lvlJc w:val="left"/>
      <w:pPr>
        <w:tabs>
          <w:tab w:val="num" w:pos="284"/>
        </w:tabs>
        <w:ind w:left="284" w:hanging="284"/>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A95E38"/>
    <w:multiLevelType w:val="hybridMultilevel"/>
    <w:tmpl w:val="97B8E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0B680E"/>
    <w:multiLevelType w:val="hybridMultilevel"/>
    <w:tmpl w:val="5F24731A"/>
    <w:lvl w:ilvl="0" w:tplc="B98A9BA0">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306"/>
        </w:tabs>
        <w:ind w:left="306" w:hanging="360"/>
      </w:pPr>
      <w:rPr>
        <w:rFonts w:ascii="Courier New" w:hAnsi="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num w:numId="1">
    <w:abstractNumId w:val="14"/>
  </w:num>
  <w:num w:numId="2">
    <w:abstractNumId w:val="17"/>
  </w:num>
  <w:num w:numId="3">
    <w:abstractNumId w:val="11"/>
  </w:num>
  <w:num w:numId="4">
    <w:abstractNumId w:val="3"/>
  </w:num>
  <w:num w:numId="5">
    <w:abstractNumId w:val="4"/>
  </w:num>
  <w:num w:numId="6">
    <w:abstractNumId w:val="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0"/>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5"/>
  </w:num>
  <w:num w:numId="22">
    <w:abstractNumId w:val="2"/>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63"/>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뢀أ댴أ卆䵇愸ܚ팳 㿿팳 㿿팳 㿿딄أ卆䵇慔ܚ㿿㿿㿿떔أ卆䵇憀ܚ瓍㿿瓍㿿瓍㿿띄أ卆䵇憜ܚ햚Æ햚Æ햚Æ럔أ卆䵇憸ܚ瓍㿿瓍㿿뢄أ卆䵇懔ܚ瓍㿿瓍㿿"/>
    <w:docVar w:name="PublishingViewTables" w:val="橄ㄴ♨؝ࠔ찔㈇"/>
    <w:docVar w:name="ShowStaticGuides" w:val="ꠜۛ꠴ۛꡌۛꡤۛ꡼ۛꢔۛꢬ꣄ۛۛ꣜ۛꣴۛꤌۛꤤۛꤼۛ꥔ۛꥬۛꦄۛꦜۛꦴۛ꧌ۛꧤۛꧼۛꨔۛꨬۛꩄۛ꩜ۛꩴۛꪌۛꪤۛꪼۛ꫔ۛꫬۛꬄۛ꬜ۛꬴۛꭌۛꭤۛꭼۛꮔۛꮬۛꯄۛꯜۛ꯴ۛ갌ۛ갤ۛ갼ۛ걔ۛ"/>
  </w:docVars>
  <w:rsids>
    <w:rsidRoot w:val="00A06B8B"/>
    <w:rsid w:val="000027DB"/>
    <w:rsid w:val="00002AD8"/>
    <w:rsid w:val="0000385F"/>
    <w:rsid w:val="000141CB"/>
    <w:rsid w:val="0001793D"/>
    <w:rsid w:val="000179C8"/>
    <w:rsid w:val="00021B40"/>
    <w:rsid w:val="000248BB"/>
    <w:rsid w:val="00025AAA"/>
    <w:rsid w:val="00027C92"/>
    <w:rsid w:val="00030604"/>
    <w:rsid w:val="000334D5"/>
    <w:rsid w:val="0003733C"/>
    <w:rsid w:val="00054940"/>
    <w:rsid w:val="000658E0"/>
    <w:rsid w:val="00077935"/>
    <w:rsid w:val="000804BA"/>
    <w:rsid w:val="0008677C"/>
    <w:rsid w:val="00093086"/>
    <w:rsid w:val="000948F8"/>
    <w:rsid w:val="000A13DA"/>
    <w:rsid w:val="000D781F"/>
    <w:rsid w:val="000D7927"/>
    <w:rsid w:val="000E409A"/>
    <w:rsid w:val="000E744C"/>
    <w:rsid w:val="0010583A"/>
    <w:rsid w:val="00122309"/>
    <w:rsid w:val="00127AD8"/>
    <w:rsid w:val="0013775D"/>
    <w:rsid w:val="00155689"/>
    <w:rsid w:val="00197222"/>
    <w:rsid w:val="00197B30"/>
    <w:rsid w:val="001A1C10"/>
    <w:rsid w:val="001A42C1"/>
    <w:rsid w:val="001C5B9A"/>
    <w:rsid w:val="001D4B69"/>
    <w:rsid w:val="001D6AF5"/>
    <w:rsid w:val="001E21C5"/>
    <w:rsid w:val="001F5EC0"/>
    <w:rsid w:val="001F690F"/>
    <w:rsid w:val="00217F0C"/>
    <w:rsid w:val="002339F4"/>
    <w:rsid w:val="00236517"/>
    <w:rsid w:val="00252826"/>
    <w:rsid w:val="00254C20"/>
    <w:rsid w:val="002669BC"/>
    <w:rsid w:val="0027011E"/>
    <w:rsid w:val="00274D6D"/>
    <w:rsid w:val="00285823"/>
    <w:rsid w:val="002C7FAF"/>
    <w:rsid w:val="0030597A"/>
    <w:rsid w:val="00315870"/>
    <w:rsid w:val="00335260"/>
    <w:rsid w:val="00364256"/>
    <w:rsid w:val="00367D01"/>
    <w:rsid w:val="00375BD9"/>
    <w:rsid w:val="003910AB"/>
    <w:rsid w:val="003C6951"/>
    <w:rsid w:val="003C7048"/>
    <w:rsid w:val="003E3220"/>
    <w:rsid w:val="00411569"/>
    <w:rsid w:val="004536E6"/>
    <w:rsid w:val="00456116"/>
    <w:rsid w:val="004606E3"/>
    <w:rsid w:val="00476AB2"/>
    <w:rsid w:val="00480F6E"/>
    <w:rsid w:val="00481E59"/>
    <w:rsid w:val="0048400E"/>
    <w:rsid w:val="00492985"/>
    <w:rsid w:val="00493C38"/>
    <w:rsid w:val="004B1887"/>
    <w:rsid w:val="004B63FF"/>
    <w:rsid w:val="004C124A"/>
    <w:rsid w:val="004D1216"/>
    <w:rsid w:val="004D6B1B"/>
    <w:rsid w:val="004E7B86"/>
    <w:rsid w:val="004F2DA0"/>
    <w:rsid w:val="004F4F2F"/>
    <w:rsid w:val="00500D0B"/>
    <w:rsid w:val="005231CA"/>
    <w:rsid w:val="00537AA6"/>
    <w:rsid w:val="005701C5"/>
    <w:rsid w:val="00585993"/>
    <w:rsid w:val="005A2233"/>
    <w:rsid w:val="005A3AA6"/>
    <w:rsid w:val="005C78D2"/>
    <w:rsid w:val="005E03D3"/>
    <w:rsid w:val="005E2023"/>
    <w:rsid w:val="005E5750"/>
    <w:rsid w:val="00603828"/>
    <w:rsid w:val="006063F8"/>
    <w:rsid w:val="00621CC9"/>
    <w:rsid w:val="00623A56"/>
    <w:rsid w:val="00627480"/>
    <w:rsid w:val="00646F4B"/>
    <w:rsid w:val="006625AB"/>
    <w:rsid w:val="006729E0"/>
    <w:rsid w:val="00694CE3"/>
    <w:rsid w:val="006B19DE"/>
    <w:rsid w:val="006B7599"/>
    <w:rsid w:val="006C6394"/>
    <w:rsid w:val="006D6F87"/>
    <w:rsid w:val="006E4B9F"/>
    <w:rsid w:val="006E5F6A"/>
    <w:rsid w:val="006E6A3B"/>
    <w:rsid w:val="006E7E00"/>
    <w:rsid w:val="00700B3A"/>
    <w:rsid w:val="00705A18"/>
    <w:rsid w:val="00727E3E"/>
    <w:rsid w:val="00742EF4"/>
    <w:rsid w:val="00750CF0"/>
    <w:rsid w:val="00783943"/>
    <w:rsid w:val="007C0A04"/>
    <w:rsid w:val="007C6465"/>
    <w:rsid w:val="007D15B8"/>
    <w:rsid w:val="007D2D63"/>
    <w:rsid w:val="007D70B3"/>
    <w:rsid w:val="007E0BA8"/>
    <w:rsid w:val="007E7033"/>
    <w:rsid w:val="00803ACE"/>
    <w:rsid w:val="00821BB7"/>
    <w:rsid w:val="008248A3"/>
    <w:rsid w:val="008615CD"/>
    <w:rsid w:val="00874BB9"/>
    <w:rsid w:val="008835EE"/>
    <w:rsid w:val="008874A5"/>
    <w:rsid w:val="00892D69"/>
    <w:rsid w:val="008972E8"/>
    <w:rsid w:val="008B24C4"/>
    <w:rsid w:val="008E1C76"/>
    <w:rsid w:val="008E61D7"/>
    <w:rsid w:val="008F2367"/>
    <w:rsid w:val="00933027"/>
    <w:rsid w:val="00933A5E"/>
    <w:rsid w:val="00952236"/>
    <w:rsid w:val="00960A0C"/>
    <w:rsid w:val="0096162A"/>
    <w:rsid w:val="0096646E"/>
    <w:rsid w:val="00971375"/>
    <w:rsid w:val="00972A33"/>
    <w:rsid w:val="009774E9"/>
    <w:rsid w:val="00994D74"/>
    <w:rsid w:val="009A73C0"/>
    <w:rsid w:val="009C3580"/>
    <w:rsid w:val="00A02300"/>
    <w:rsid w:val="00A06B8B"/>
    <w:rsid w:val="00A07979"/>
    <w:rsid w:val="00A348D4"/>
    <w:rsid w:val="00A45F5D"/>
    <w:rsid w:val="00A57D79"/>
    <w:rsid w:val="00A90D3D"/>
    <w:rsid w:val="00A92118"/>
    <w:rsid w:val="00A92F67"/>
    <w:rsid w:val="00AA1357"/>
    <w:rsid w:val="00AA2BA9"/>
    <w:rsid w:val="00AA477C"/>
    <w:rsid w:val="00AA6DFC"/>
    <w:rsid w:val="00AB7892"/>
    <w:rsid w:val="00AC0109"/>
    <w:rsid w:val="00AC1B98"/>
    <w:rsid w:val="00AC3897"/>
    <w:rsid w:val="00AC6498"/>
    <w:rsid w:val="00AC65D1"/>
    <w:rsid w:val="00AE19CD"/>
    <w:rsid w:val="00AE3B4D"/>
    <w:rsid w:val="00B00194"/>
    <w:rsid w:val="00B05E87"/>
    <w:rsid w:val="00B11595"/>
    <w:rsid w:val="00B15848"/>
    <w:rsid w:val="00B254C5"/>
    <w:rsid w:val="00B2594A"/>
    <w:rsid w:val="00B31A42"/>
    <w:rsid w:val="00B33FE3"/>
    <w:rsid w:val="00B419F9"/>
    <w:rsid w:val="00B54BFC"/>
    <w:rsid w:val="00B64E8D"/>
    <w:rsid w:val="00B71AE2"/>
    <w:rsid w:val="00B87C0C"/>
    <w:rsid w:val="00BF2602"/>
    <w:rsid w:val="00BF2C1F"/>
    <w:rsid w:val="00BF3E5E"/>
    <w:rsid w:val="00C0207E"/>
    <w:rsid w:val="00C047B2"/>
    <w:rsid w:val="00C21823"/>
    <w:rsid w:val="00C65FE9"/>
    <w:rsid w:val="00C70540"/>
    <w:rsid w:val="00C7208E"/>
    <w:rsid w:val="00CB0309"/>
    <w:rsid w:val="00CB5E4D"/>
    <w:rsid w:val="00CD5C5A"/>
    <w:rsid w:val="00CF2788"/>
    <w:rsid w:val="00D01A03"/>
    <w:rsid w:val="00D11654"/>
    <w:rsid w:val="00D15B78"/>
    <w:rsid w:val="00D214AE"/>
    <w:rsid w:val="00D23E46"/>
    <w:rsid w:val="00D339C0"/>
    <w:rsid w:val="00D41172"/>
    <w:rsid w:val="00D55796"/>
    <w:rsid w:val="00D61D35"/>
    <w:rsid w:val="00D668B5"/>
    <w:rsid w:val="00D71CDB"/>
    <w:rsid w:val="00D72006"/>
    <w:rsid w:val="00D779D0"/>
    <w:rsid w:val="00D954ED"/>
    <w:rsid w:val="00DB0378"/>
    <w:rsid w:val="00DB6908"/>
    <w:rsid w:val="00DC689B"/>
    <w:rsid w:val="00DD2E72"/>
    <w:rsid w:val="00DD5B41"/>
    <w:rsid w:val="00DF23B0"/>
    <w:rsid w:val="00DF3E70"/>
    <w:rsid w:val="00DF5716"/>
    <w:rsid w:val="00E05959"/>
    <w:rsid w:val="00E061B2"/>
    <w:rsid w:val="00E20B7C"/>
    <w:rsid w:val="00E219F3"/>
    <w:rsid w:val="00E36320"/>
    <w:rsid w:val="00E36F01"/>
    <w:rsid w:val="00E41204"/>
    <w:rsid w:val="00E47A13"/>
    <w:rsid w:val="00E50D9C"/>
    <w:rsid w:val="00E5425C"/>
    <w:rsid w:val="00E54262"/>
    <w:rsid w:val="00E54CD0"/>
    <w:rsid w:val="00E66140"/>
    <w:rsid w:val="00E90FCD"/>
    <w:rsid w:val="00EB005C"/>
    <w:rsid w:val="00EB00ED"/>
    <w:rsid w:val="00EB2535"/>
    <w:rsid w:val="00EB7407"/>
    <w:rsid w:val="00EB7B35"/>
    <w:rsid w:val="00ED01FE"/>
    <w:rsid w:val="00EE0FEF"/>
    <w:rsid w:val="00EF46A4"/>
    <w:rsid w:val="00F006D3"/>
    <w:rsid w:val="00F1211B"/>
    <w:rsid w:val="00F2685D"/>
    <w:rsid w:val="00F3531E"/>
    <w:rsid w:val="00F40018"/>
    <w:rsid w:val="00F414B4"/>
    <w:rsid w:val="00F41B0E"/>
    <w:rsid w:val="00F86AB8"/>
    <w:rsid w:val="00FA2754"/>
    <w:rsid w:val="00FB48DA"/>
    <w:rsid w:val="00FD30A3"/>
    <w:rsid w:val="00FD6735"/>
    <w:rsid w:val="00FE1AE6"/>
    <w:rsid w:val="00FF0AB7"/>
    <w:rsid w:val="00FF241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CEA10D8"/>
  <w15:docId w15:val="{17EB6D8F-5EDC-4B58-8CC6-CA38F198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5">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733C"/>
    <w:rPr>
      <w:rFonts w:ascii="Arial" w:hAnsi="Arial"/>
      <w:szCs w:val="24"/>
      <w:lang w:eastAsia="en-US"/>
    </w:rPr>
  </w:style>
  <w:style w:type="paragraph" w:styleId="Heading3">
    <w:name w:val="heading 3"/>
    <w:basedOn w:val="Normal"/>
    <w:next w:val="Normal"/>
    <w:link w:val="Heading3Char"/>
    <w:qFormat/>
    <w:rsid w:val="009A73C0"/>
    <w:pPr>
      <w:keepNext/>
      <w:spacing w:before="240" w:after="60"/>
      <w:outlineLvl w:val="2"/>
    </w:pPr>
    <w:rPr>
      <w:rFonts w:eastAsia="Times New Roman"/>
      <w:b/>
      <w:bCs/>
      <w:sz w:val="26"/>
      <w:szCs w:val="26"/>
      <w:lang w:val="x-none" w:eastAsia="en-AU"/>
    </w:rPr>
  </w:style>
  <w:style w:type="paragraph" w:styleId="Heading4">
    <w:name w:val="heading 4"/>
    <w:basedOn w:val="Normal"/>
    <w:link w:val="Heading4Char"/>
    <w:qFormat/>
    <w:rsid w:val="009A73C0"/>
    <w:pPr>
      <w:spacing w:before="100" w:beforeAutospacing="1" w:after="100" w:afterAutospacing="1"/>
      <w:outlineLvl w:val="3"/>
    </w:pPr>
    <w:rPr>
      <w:rFonts w:ascii="Times New Roman" w:eastAsia="Times New Roman" w:hAnsi="Times New Roman"/>
      <w:b/>
      <w:bCs/>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1611"/>
    <w:rPr>
      <w:rFonts w:ascii="Lucida Grande" w:hAnsi="Lucida Grande"/>
      <w:sz w:val="18"/>
      <w:szCs w:val="18"/>
    </w:rPr>
  </w:style>
  <w:style w:type="paragraph" w:styleId="Header">
    <w:name w:val="header"/>
    <w:basedOn w:val="Normal"/>
    <w:link w:val="HeaderChar"/>
    <w:uiPriority w:val="99"/>
    <w:unhideWhenUsed/>
    <w:rsid w:val="00ED01FE"/>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rsid w:val="00ED01FE"/>
    <w:rPr>
      <w:sz w:val="24"/>
      <w:szCs w:val="24"/>
    </w:rPr>
  </w:style>
  <w:style w:type="paragraph" w:styleId="Footer">
    <w:name w:val="footer"/>
    <w:basedOn w:val="Normal"/>
    <w:link w:val="FooterChar"/>
    <w:uiPriority w:val="99"/>
    <w:unhideWhenUsed/>
    <w:rsid w:val="00ED01FE"/>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ED01FE"/>
    <w:rPr>
      <w:sz w:val="24"/>
      <w:szCs w:val="24"/>
    </w:rPr>
  </w:style>
  <w:style w:type="table" w:customStyle="1" w:styleId="TableFooter">
    <w:name w:val="Table Footer"/>
    <w:basedOn w:val="TableSimple1"/>
    <w:link w:val="TableFooterPara"/>
    <w:qFormat/>
    <w:rsid w:val="00ED01FE"/>
    <w:rPr>
      <w:rFonts w:ascii="Arial" w:hAnsi="Arial"/>
      <w:sz w:val="16"/>
      <w:lang w:val="en-US" w:eastAsia="en-US"/>
    </w:rPr>
    <w:tblPr/>
    <w:trPr>
      <w:cantSplit/>
    </w:trPr>
    <w:tcPr>
      <w:tcW w:w="170" w:type="dxa"/>
      <w:shd w:val="clear" w:color="auto" w:fill="auto"/>
    </w:tcPr>
    <w:tblStylePr w:type="firstRow">
      <w:rPr>
        <w:b/>
        <w:bCs/>
      </w:rPr>
      <w:tblPr/>
      <w:tcPr>
        <w:tcBorders>
          <w:bottom w:val="single" w:sz="6" w:space="0" w:color="008000"/>
          <w:tl2br w:val="none" w:sz="0" w:space="0" w:color="auto"/>
          <w:tr2bl w:val="none" w:sz="0" w:space="0" w:color="auto"/>
        </w:tcBorders>
      </w:tcPr>
    </w:tblStylePr>
    <w:tblStylePr w:type="lastRow">
      <w:rPr>
        <w:b/>
        <w:bCs/>
        <w:color w:val="000000"/>
      </w:rPr>
      <w:tblPr/>
      <w:tcPr>
        <w:tcBorders>
          <w:top w:val="single" w:sz="6" w:space="0" w:color="008000"/>
          <w:tl2br w:val="none" w:sz="0" w:space="0" w:color="auto"/>
          <w:tr2bl w:val="none" w:sz="0" w:space="0" w:color="auto"/>
        </w:tcBorders>
      </w:tcPr>
    </w:tblStylePr>
    <w:tblStylePr w:type="firstCol">
      <w:rPr>
        <w:color w:val="FFFFFF"/>
      </w:rPr>
    </w:tblStylePr>
    <w:tblStylePr w:type="lastCol">
      <w:rPr>
        <w:color w:val="FFFFFF"/>
      </w:rPr>
    </w:tblStylePr>
  </w:style>
  <w:style w:type="paragraph" w:customStyle="1" w:styleId="TableFooterPara">
    <w:name w:val="Table Footer Para"/>
    <w:basedOn w:val="Normal"/>
    <w:link w:val="TableFooter"/>
    <w:rsid w:val="00ED01FE"/>
    <w:pPr>
      <w:ind w:left="964"/>
    </w:pPr>
  </w:style>
  <w:style w:type="character" w:customStyle="1" w:styleId="Phone">
    <w:name w:val="Phone"/>
    <w:aliases w:val="Fax Bold &amp; Caps"/>
    <w:uiPriority w:val="99"/>
    <w:rsid w:val="00ED01FE"/>
    <w:rPr>
      <w:caps/>
    </w:rPr>
  </w:style>
  <w:style w:type="character" w:customStyle="1" w:styleId="Bold">
    <w:name w:val="Bold"/>
    <w:uiPriority w:val="99"/>
    <w:rsid w:val="00ED01FE"/>
  </w:style>
  <w:style w:type="paragraph" w:customStyle="1" w:styleId="adresstable">
    <w:name w:val="adress table"/>
    <w:basedOn w:val="Normal"/>
    <w:qFormat/>
    <w:rsid w:val="00ED01FE"/>
    <w:pPr>
      <w:framePr w:hSpace="180" w:wrap="around" w:vAnchor="text" w:hAnchor="page" w:x="2248" w:y="13416"/>
      <w:widowControl w:val="0"/>
      <w:autoSpaceDE w:val="0"/>
      <w:autoSpaceDN w:val="0"/>
      <w:adjustRightInd w:val="0"/>
      <w:spacing w:after="113" w:line="200" w:lineRule="atLeast"/>
      <w:textAlignment w:val="center"/>
    </w:pPr>
    <w:rPr>
      <w:rFonts w:cs="ReplicaStd-Light"/>
      <w:bCs/>
      <w:color w:val="000000"/>
      <w:spacing w:val="2"/>
      <w:sz w:val="16"/>
      <w:szCs w:val="16"/>
      <w:lang w:val="en-US"/>
    </w:rPr>
  </w:style>
  <w:style w:type="table" w:styleId="TableSimple1">
    <w:name w:val="Table Simple 1"/>
    <w:basedOn w:val="TableNormal"/>
    <w:uiPriority w:val="99"/>
    <w:semiHidden/>
    <w:unhideWhenUsed/>
    <w:rsid w:val="00ED01F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
    <w:name w:val="Table Grid"/>
    <w:basedOn w:val="TableNormal"/>
    <w:uiPriority w:val="59"/>
    <w:rsid w:val="00ED01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ersonalisedText">
    <w:name w:val="Personalised Text"/>
    <w:uiPriority w:val="99"/>
    <w:rsid w:val="00D01A03"/>
    <w:pPr>
      <w:widowControl w:val="0"/>
      <w:autoSpaceDE w:val="0"/>
      <w:autoSpaceDN w:val="0"/>
      <w:adjustRightInd w:val="0"/>
      <w:spacing w:after="91" w:line="230" w:lineRule="atLeast"/>
      <w:textAlignment w:val="center"/>
    </w:pPr>
    <w:rPr>
      <w:rFonts w:ascii="Arial" w:hAnsi="Arial" w:cs="ReplicaStd-Light"/>
      <w:color w:val="000000"/>
      <w:sz w:val="24"/>
      <w:szCs w:val="19"/>
      <w:lang w:val="en-GB" w:eastAsia="en-US"/>
    </w:rPr>
  </w:style>
  <w:style w:type="paragraph" w:customStyle="1" w:styleId="NoParagraphStyle">
    <w:name w:val="[No Paragraph Style]"/>
    <w:rsid w:val="00F2685D"/>
    <w:pPr>
      <w:widowControl w:val="0"/>
      <w:autoSpaceDE w:val="0"/>
      <w:autoSpaceDN w:val="0"/>
      <w:adjustRightInd w:val="0"/>
      <w:spacing w:line="288" w:lineRule="auto"/>
      <w:textAlignment w:val="center"/>
    </w:pPr>
    <w:rPr>
      <w:rFonts w:ascii="Arial" w:hAnsi="Arial" w:cs="Times-Roman"/>
      <w:color w:val="000000"/>
      <w:szCs w:val="24"/>
      <w:lang w:val="en-US" w:eastAsia="en-US"/>
    </w:rPr>
  </w:style>
  <w:style w:type="paragraph" w:customStyle="1" w:styleId="00TFE">
    <w:name w:val="00 TFE"/>
    <w:basedOn w:val="00Address"/>
    <w:qFormat/>
    <w:rsid w:val="00476AB2"/>
    <w:pPr>
      <w:spacing w:line="200" w:lineRule="atLeast"/>
    </w:pPr>
    <w:rPr>
      <w:b/>
      <w:bCs/>
      <w:caps/>
      <w:spacing w:val="2"/>
      <w:sz w:val="16"/>
      <w:szCs w:val="16"/>
      <w:lang w:val="en-US"/>
    </w:rPr>
  </w:style>
  <w:style w:type="paragraph" w:customStyle="1" w:styleId="00SenderName">
    <w:name w:val="00 Sender Name"/>
    <w:basedOn w:val="PersonalisedText"/>
    <w:qFormat/>
    <w:rsid w:val="001C5B9A"/>
    <w:pPr>
      <w:spacing w:after="0"/>
    </w:pPr>
    <w:rPr>
      <w:b/>
      <w:sz w:val="20"/>
    </w:rPr>
  </w:style>
  <w:style w:type="paragraph" w:customStyle="1" w:styleId="00Address">
    <w:name w:val="00 Address"/>
    <w:basedOn w:val="00SenderName"/>
    <w:qFormat/>
    <w:rsid w:val="001E21C5"/>
    <w:rPr>
      <w:b w:val="0"/>
    </w:rPr>
  </w:style>
  <w:style w:type="character" w:styleId="Hyperlink">
    <w:name w:val="Hyperlink"/>
    <w:uiPriority w:val="99"/>
    <w:rsid w:val="00F2685D"/>
    <w:rPr>
      <w:color w:val="0000FF"/>
      <w:u w:val="single"/>
    </w:rPr>
  </w:style>
  <w:style w:type="paragraph" w:customStyle="1" w:styleId="00Address1">
    <w:name w:val="00 Address1"/>
    <w:basedOn w:val="Normal"/>
    <w:qFormat/>
    <w:rsid w:val="00476AB2"/>
    <w:pPr>
      <w:spacing w:line="2400" w:lineRule="auto"/>
    </w:pPr>
    <w:rPr>
      <w:bCs/>
      <w:sz w:val="16"/>
      <w:szCs w:val="20"/>
    </w:rPr>
  </w:style>
  <w:style w:type="character" w:styleId="FollowedHyperlink">
    <w:name w:val="FollowedHyperlink"/>
    <w:rsid w:val="007E0BA8"/>
    <w:rPr>
      <w:color w:val="800080"/>
      <w:u w:val="single"/>
    </w:rPr>
  </w:style>
  <w:style w:type="paragraph" w:customStyle="1" w:styleId="11test">
    <w:name w:val="11 test"/>
    <w:qFormat/>
    <w:rsid w:val="007E0BA8"/>
    <w:pPr>
      <w:tabs>
        <w:tab w:val="left" w:pos="1220"/>
      </w:tabs>
    </w:pPr>
    <w:rPr>
      <w:rFonts w:ascii="Arial" w:hAnsi="Arial"/>
      <w:b/>
      <w:caps/>
      <w:noProof/>
      <w:sz w:val="16"/>
      <w:szCs w:val="24"/>
      <w:lang w:val="en-US" w:eastAsia="en-US"/>
    </w:rPr>
  </w:style>
  <w:style w:type="character" w:customStyle="1" w:styleId="11testcharacter">
    <w:name w:val="11 test character"/>
    <w:rsid w:val="00476AB2"/>
    <w:rPr>
      <w:rFonts w:ascii="Arial" w:hAnsi="Arial"/>
      <w:dstrike w:val="0"/>
      <w:color w:val="auto"/>
      <w:sz w:val="16"/>
      <w:vertAlign w:val="baseline"/>
    </w:rPr>
  </w:style>
  <w:style w:type="paragraph" w:customStyle="1" w:styleId="BasicParagraph">
    <w:name w:val="[Basic Paragraph]"/>
    <w:basedOn w:val="NoParagraphStyle"/>
    <w:uiPriority w:val="99"/>
    <w:rsid w:val="00F414B4"/>
    <w:pPr>
      <w:spacing w:line="240" w:lineRule="atLeast"/>
    </w:pPr>
    <w:rPr>
      <w:lang w:val="en-GB"/>
    </w:rPr>
  </w:style>
  <w:style w:type="paragraph" w:customStyle="1" w:styleId="OverprintText">
    <w:name w:val="Overprint Text"/>
    <w:basedOn w:val="NoParagraphStyle"/>
    <w:uiPriority w:val="99"/>
    <w:rsid w:val="00C0207E"/>
    <w:pPr>
      <w:suppressAutoHyphens/>
      <w:spacing w:line="250" w:lineRule="atLeast"/>
    </w:pPr>
    <w:rPr>
      <w:rFonts w:ascii="ArialMT" w:hAnsi="ArialMT" w:cs="ArialMT"/>
      <w:szCs w:val="20"/>
      <w:lang w:val="en-GB"/>
    </w:rPr>
  </w:style>
  <w:style w:type="character" w:customStyle="1" w:styleId="Heading3Char">
    <w:name w:val="Heading 3 Char"/>
    <w:link w:val="Heading3"/>
    <w:rsid w:val="009A73C0"/>
    <w:rPr>
      <w:rFonts w:ascii="Arial" w:eastAsia="Times New Roman" w:hAnsi="Arial" w:cs="Arial"/>
      <w:b/>
      <w:bCs/>
      <w:sz w:val="26"/>
      <w:szCs w:val="26"/>
      <w:lang w:eastAsia="en-AU"/>
    </w:rPr>
  </w:style>
  <w:style w:type="character" w:customStyle="1" w:styleId="Heading4Char">
    <w:name w:val="Heading 4 Char"/>
    <w:link w:val="Heading4"/>
    <w:rsid w:val="009A73C0"/>
    <w:rPr>
      <w:rFonts w:ascii="Times New Roman" w:eastAsia="Times New Roman" w:hAnsi="Times New Roman" w:cs="Times New Roman"/>
      <w:b/>
      <w:bCs/>
      <w:lang w:val="en-US"/>
    </w:rPr>
  </w:style>
  <w:style w:type="paragraph" w:styleId="NormalWeb">
    <w:name w:val="Normal (Web)"/>
    <w:basedOn w:val="Normal"/>
    <w:uiPriority w:val="99"/>
    <w:rsid w:val="009A73C0"/>
    <w:pPr>
      <w:spacing w:before="100" w:beforeAutospacing="1" w:after="100" w:afterAutospacing="1"/>
    </w:pPr>
    <w:rPr>
      <w:rFonts w:ascii="Times New Roman" w:eastAsia="Times New Roman" w:hAnsi="Times New Roman"/>
      <w:sz w:val="24"/>
      <w:lang w:val="en-US"/>
    </w:rPr>
  </w:style>
  <w:style w:type="paragraph" w:customStyle="1" w:styleId="TextBody">
    <w:name w:val="TextBody"/>
    <w:basedOn w:val="Normal"/>
    <w:uiPriority w:val="99"/>
    <w:rsid w:val="009A73C0"/>
    <w:pPr>
      <w:ind w:left="1240"/>
    </w:pPr>
    <w:rPr>
      <w:rFonts w:ascii="Palatino" w:eastAsia="Times New Roman" w:hAnsi="Palatino"/>
      <w:noProof/>
      <w:szCs w:val="20"/>
    </w:rPr>
  </w:style>
  <w:style w:type="paragraph" w:customStyle="1" w:styleId="agpsbold">
    <w:name w:val="agpsbold"/>
    <w:basedOn w:val="Normal"/>
    <w:rsid w:val="009A73C0"/>
    <w:rPr>
      <w:rFonts w:ascii="Courier New" w:eastAsia="SimSun" w:hAnsi="Courier New"/>
      <w:b/>
      <w:bCs/>
      <w:sz w:val="24"/>
      <w:lang w:eastAsia="zh-CN"/>
    </w:rPr>
  </w:style>
  <w:style w:type="paragraph" w:styleId="ListParagraph">
    <w:name w:val="List Paragraph"/>
    <w:aliases w:val="H1"/>
    <w:basedOn w:val="Normal"/>
    <w:link w:val="ListParagraphChar"/>
    <w:uiPriority w:val="34"/>
    <w:qFormat/>
    <w:rsid w:val="009A73C0"/>
    <w:pPr>
      <w:ind w:left="720"/>
      <w:contextualSpacing/>
    </w:pPr>
  </w:style>
  <w:style w:type="character" w:styleId="CommentReference">
    <w:name w:val="annotation reference"/>
    <w:rsid w:val="00AC0109"/>
    <w:rPr>
      <w:sz w:val="18"/>
      <w:szCs w:val="18"/>
    </w:rPr>
  </w:style>
  <w:style w:type="paragraph" w:styleId="CommentText">
    <w:name w:val="annotation text"/>
    <w:basedOn w:val="Normal"/>
    <w:link w:val="CommentTextChar"/>
    <w:rsid w:val="00AC0109"/>
    <w:rPr>
      <w:sz w:val="24"/>
      <w:lang w:val="x-none"/>
    </w:rPr>
  </w:style>
  <w:style w:type="character" w:customStyle="1" w:styleId="CommentTextChar">
    <w:name w:val="Comment Text Char"/>
    <w:link w:val="CommentText"/>
    <w:rsid w:val="00AC0109"/>
    <w:rPr>
      <w:rFonts w:ascii="Arial" w:hAnsi="Arial"/>
      <w:sz w:val="24"/>
      <w:szCs w:val="24"/>
      <w:lang w:eastAsia="en-US"/>
    </w:rPr>
  </w:style>
  <w:style w:type="paragraph" w:styleId="CommentSubject">
    <w:name w:val="annotation subject"/>
    <w:basedOn w:val="CommentText"/>
    <w:next w:val="CommentText"/>
    <w:link w:val="CommentSubjectChar"/>
    <w:rsid w:val="00AC0109"/>
    <w:rPr>
      <w:b/>
      <w:bCs/>
    </w:rPr>
  </w:style>
  <w:style w:type="character" w:customStyle="1" w:styleId="CommentSubjectChar">
    <w:name w:val="Comment Subject Char"/>
    <w:link w:val="CommentSubject"/>
    <w:rsid w:val="00AC0109"/>
    <w:rPr>
      <w:rFonts w:ascii="Arial" w:hAnsi="Arial"/>
      <w:b/>
      <w:bCs/>
      <w:sz w:val="24"/>
      <w:szCs w:val="24"/>
      <w:lang w:eastAsia="en-US"/>
    </w:rPr>
  </w:style>
  <w:style w:type="paragraph" w:styleId="BodyText3">
    <w:name w:val="Body Text 3"/>
    <w:basedOn w:val="Normal"/>
    <w:link w:val="BodyText3Char"/>
    <w:uiPriority w:val="99"/>
    <w:rsid w:val="00197222"/>
    <w:pPr>
      <w:spacing w:after="120"/>
    </w:pPr>
    <w:rPr>
      <w:rFonts w:ascii="Times New Roman" w:eastAsia="Times New Roman" w:hAnsi="Times New Roman"/>
      <w:sz w:val="16"/>
      <w:szCs w:val="16"/>
      <w:lang w:val="en-US" w:eastAsia="x-none"/>
    </w:rPr>
  </w:style>
  <w:style w:type="character" w:customStyle="1" w:styleId="BodyText3Char">
    <w:name w:val="Body Text 3 Char"/>
    <w:link w:val="BodyText3"/>
    <w:uiPriority w:val="99"/>
    <w:rsid w:val="00197222"/>
    <w:rPr>
      <w:rFonts w:ascii="Times New Roman" w:eastAsia="Times New Roman" w:hAnsi="Times New Roman"/>
      <w:sz w:val="16"/>
      <w:szCs w:val="16"/>
      <w:lang w:val="en-US"/>
    </w:rPr>
  </w:style>
  <w:style w:type="character" w:styleId="Strong">
    <w:name w:val="Strong"/>
    <w:uiPriority w:val="22"/>
    <w:qFormat/>
    <w:rsid w:val="00197222"/>
    <w:rPr>
      <w:rFonts w:cs="Times New Roman"/>
      <w:b/>
      <w:bCs/>
    </w:rPr>
  </w:style>
  <w:style w:type="paragraph" w:customStyle="1" w:styleId="p1">
    <w:name w:val="p1"/>
    <w:basedOn w:val="Normal"/>
    <w:rsid w:val="003910AB"/>
    <w:rPr>
      <w:rFonts w:ascii="Helvetica" w:eastAsiaTheme="minorHAnsi" w:hAnsi="Helvetica"/>
      <w:sz w:val="18"/>
      <w:szCs w:val="18"/>
      <w:lang w:val="en-GB" w:eastAsia="en-GB"/>
    </w:rPr>
  </w:style>
  <w:style w:type="paragraph" w:customStyle="1" w:styleId="Default">
    <w:name w:val="Default"/>
    <w:rsid w:val="00CB0309"/>
    <w:pPr>
      <w:widowControl w:val="0"/>
      <w:autoSpaceDE w:val="0"/>
      <w:autoSpaceDN w:val="0"/>
      <w:adjustRightInd w:val="0"/>
    </w:pPr>
    <w:rPr>
      <w:rFonts w:ascii="Calibri" w:eastAsia="Times New Roman" w:hAnsi="Calibri" w:cs="Calibri"/>
      <w:color w:val="000000"/>
      <w:sz w:val="24"/>
      <w:szCs w:val="24"/>
      <w:lang w:val="en-US"/>
    </w:rPr>
  </w:style>
  <w:style w:type="paragraph" w:styleId="NoSpacing">
    <w:name w:val="No Spacing"/>
    <w:uiPriority w:val="1"/>
    <w:qFormat/>
    <w:rsid w:val="00CB0309"/>
    <w:rPr>
      <w:rFonts w:ascii="Arial" w:eastAsia="Times New Roman" w:hAnsi="Arial"/>
      <w:szCs w:val="24"/>
    </w:rPr>
  </w:style>
  <w:style w:type="character" w:customStyle="1" w:styleId="ListParagraphChar">
    <w:name w:val="List Paragraph Char"/>
    <w:aliases w:val="H1 Char"/>
    <w:basedOn w:val="DefaultParagraphFont"/>
    <w:link w:val="ListParagraph"/>
    <w:uiPriority w:val="34"/>
    <w:rsid w:val="00CB030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43830">
      <w:bodyDiv w:val="1"/>
      <w:marLeft w:val="0"/>
      <w:marRight w:val="0"/>
      <w:marTop w:val="0"/>
      <w:marBottom w:val="0"/>
      <w:divBdr>
        <w:top w:val="none" w:sz="0" w:space="0" w:color="auto"/>
        <w:left w:val="none" w:sz="0" w:space="0" w:color="auto"/>
        <w:bottom w:val="none" w:sz="0" w:space="0" w:color="auto"/>
        <w:right w:val="none" w:sz="0" w:space="0" w:color="auto"/>
      </w:divBdr>
    </w:div>
    <w:div w:id="1024479395">
      <w:bodyDiv w:val="1"/>
      <w:marLeft w:val="0"/>
      <w:marRight w:val="0"/>
      <w:marTop w:val="0"/>
      <w:marBottom w:val="0"/>
      <w:divBdr>
        <w:top w:val="none" w:sz="0" w:space="0" w:color="auto"/>
        <w:left w:val="none" w:sz="0" w:space="0" w:color="auto"/>
        <w:bottom w:val="none" w:sz="0" w:space="0" w:color="auto"/>
        <w:right w:val="none" w:sz="0" w:space="0" w:color="auto"/>
      </w:divBdr>
    </w:div>
    <w:div w:id="1284115484">
      <w:bodyDiv w:val="1"/>
      <w:marLeft w:val="0"/>
      <w:marRight w:val="0"/>
      <w:marTop w:val="0"/>
      <w:marBottom w:val="0"/>
      <w:divBdr>
        <w:top w:val="none" w:sz="0" w:space="0" w:color="auto"/>
        <w:left w:val="none" w:sz="0" w:space="0" w:color="auto"/>
        <w:bottom w:val="none" w:sz="0" w:space="0" w:color="auto"/>
        <w:right w:val="none" w:sz="0" w:space="0" w:color="auto"/>
      </w:divBdr>
    </w:div>
    <w:div w:id="1512790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ernsydney.edu.au/?cid=%5bps%5d:%5b(B)_-_WSU_-_Exact&amp;gclid=CjwKCAiA24PVBRBvEiwAyBxf-RVE9lxZELzsINS7tp7FpdnXpcJMSdLugCTIDCLcGaskmvJVdX8ozhoCrJIQAvD_Bw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dney.edu.au/future-students/domestic/undergraduate/e1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4DCD-E214-1245-96BF-EE967FCE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Sydney</Company>
  <LinksUpToDate>false</LinksUpToDate>
  <CharactersWithSpaces>10032</CharactersWithSpaces>
  <SharedDoc>false</SharedDoc>
  <HyperlinkBase/>
  <HLinks>
    <vt:vector size="60" baseType="variant">
      <vt:variant>
        <vt:i4>4128873</vt:i4>
      </vt:variant>
      <vt:variant>
        <vt:i4>27</vt:i4>
      </vt:variant>
      <vt:variant>
        <vt:i4>0</vt:i4>
      </vt:variant>
      <vt:variant>
        <vt:i4>5</vt:i4>
      </vt:variant>
      <vt:variant>
        <vt:lpwstr>https://intranet.sydney.edu.au/employment/enterprise-agreement/2013-17-schedules/schedule-1/professional-casual-35.php</vt:lpwstr>
      </vt:variant>
      <vt:variant>
        <vt:lpwstr/>
      </vt:variant>
      <vt:variant>
        <vt:i4>3407915</vt:i4>
      </vt:variant>
      <vt:variant>
        <vt:i4>24</vt:i4>
      </vt:variant>
      <vt:variant>
        <vt:i4>0</vt:i4>
      </vt:variant>
      <vt:variant>
        <vt:i4>5</vt:i4>
      </vt:variant>
      <vt:variant>
        <vt:lpwstr>http://www.fairwork.gov.au/FWISdocs/Fair-Work-Information-Statement.pdf</vt:lpwstr>
      </vt:variant>
      <vt:variant>
        <vt:lpwstr/>
      </vt:variant>
      <vt:variant>
        <vt:i4>6422636</vt:i4>
      </vt:variant>
      <vt:variant>
        <vt:i4>21</vt:i4>
      </vt:variant>
      <vt:variant>
        <vt:i4>0</vt:i4>
      </vt:variant>
      <vt:variant>
        <vt:i4>5</vt:i4>
      </vt:variant>
      <vt:variant>
        <vt:lpwstr>http://sydney.edu.au/about/working-with-us/new-staff.shtml</vt:lpwstr>
      </vt:variant>
      <vt:variant>
        <vt:lpwstr/>
      </vt:variant>
      <vt:variant>
        <vt:i4>6488099</vt:i4>
      </vt:variant>
      <vt:variant>
        <vt:i4>18</vt:i4>
      </vt:variant>
      <vt:variant>
        <vt:i4>0</vt:i4>
      </vt:variant>
      <vt:variant>
        <vt:i4>5</vt:i4>
      </vt:variant>
      <vt:variant>
        <vt:lpwstr>http://www.kids.nsw.gov.au/</vt:lpwstr>
      </vt:variant>
      <vt:variant>
        <vt:lpwstr/>
      </vt:variant>
      <vt:variant>
        <vt:i4>3276898</vt:i4>
      </vt:variant>
      <vt:variant>
        <vt:i4>15</vt:i4>
      </vt:variant>
      <vt:variant>
        <vt:i4>0</vt:i4>
      </vt:variant>
      <vt:variant>
        <vt:i4>5</vt:i4>
      </vt:variant>
      <vt:variant>
        <vt:lpwstr>http://sydney.edu.au/arms/privacy/privacy_mgmt_plan.shtml</vt:lpwstr>
      </vt:variant>
      <vt:variant>
        <vt:lpwstr/>
      </vt:variant>
      <vt:variant>
        <vt:i4>1048680</vt:i4>
      </vt:variant>
      <vt:variant>
        <vt:i4>12</vt:i4>
      </vt:variant>
      <vt:variant>
        <vt:i4>0</vt:i4>
      </vt:variant>
      <vt:variant>
        <vt:i4>5</vt:i4>
      </vt:variant>
      <vt:variant>
        <vt:lpwstr>mailto:hrservicecentre@sydney.edu.au</vt:lpwstr>
      </vt:variant>
      <vt:variant>
        <vt:lpwstr/>
      </vt:variant>
      <vt:variant>
        <vt:i4>6422636</vt:i4>
      </vt:variant>
      <vt:variant>
        <vt:i4>9</vt:i4>
      </vt:variant>
      <vt:variant>
        <vt:i4>0</vt:i4>
      </vt:variant>
      <vt:variant>
        <vt:i4>5</vt:i4>
      </vt:variant>
      <vt:variant>
        <vt:lpwstr>http://sydney.edu.au/about/working-with-us/new-staff.shtml</vt:lpwstr>
      </vt:variant>
      <vt:variant>
        <vt:lpwstr/>
      </vt:variant>
      <vt:variant>
        <vt:i4>8192037</vt:i4>
      </vt:variant>
      <vt:variant>
        <vt:i4>6</vt:i4>
      </vt:variant>
      <vt:variant>
        <vt:i4>0</vt:i4>
      </vt:variant>
      <vt:variant>
        <vt:i4>5</vt:i4>
      </vt:variant>
      <vt:variant>
        <vt:lpwstr>http://sydney.edu.au/policies/</vt:lpwstr>
      </vt:variant>
      <vt:variant>
        <vt:lpwstr/>
      </vt:variant>
      <vt:variant>
        <vt:i4>6750314</vt:i4>
      </vt:variant>
      <vt:variant>
        <vt:i4>3</vt:i4>
      </vt:variant>
      <vt:variant>
        <vt:i4>0</vt:i4>
      </vt:variant>
      <vt:variant>
        <vt:i4>5</vt:i4>
      </vt:variant>
      <vt:variant>
        <vt:lpwstr>http://sydney.edu.au/recruitment/benefits/enterprise-agreement-2013-17.pdf</vt:lpwstr>
      </vt:variant>
      <vt:variant>
        <vt:lpwstr/>
      </vt:variant>
      <vt:variant>
        <vt:i4>3407915</vt:i4>
      </vt:variant>
      <vt:variant>
        <vt:i4>0</vt:i4>
      </vt:variant>
      <vt:variant>
        <vt:i4>0</vt:i4>
      </vt:variant>
      <vt:variant>
        <vt:i4>5</vt:i4>
      </vt:variant>
      <vt:variant>
        <vt:lpwstr>http://www.fairwork.gov.au/FWISdocs/Fair-Work-Information-Statement.pdf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University of Sydney</dc:creator>
  <cp:lastModifiedBy>Rafaela Pandolfini</cp:lastModifiedBy>
  <cp:revision>2</cp:revision>
  <cp:lastPrinted>2017-10-04T23:11:00Z</cp:lastPrinted>
  <dcterms:created xsi:type="dcterms:W3CDTF">2018-04-06T00:50:00Z</dcterms:created>
  <dcterms:modified xsi:type="dcterms:W3CDTF">2018-04-06T00:50:00Z</dcterms:modified>
</cp:coreProperties>
</file>