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2F7A7" w14:textId="7A9C751A" w:rsidR="00E75A27" w:rsidRDefault="00E75A27" w:rsidP="00E75A27">
      <w:pPr>
        <w:pStyle w:val="Heading1"/>
      </w:pPr>
      <w:r w:rsidRPr="00E75A27">
        <w:t>ACCESS AND PARTICIPATION PLAN 2018</w:t>
      </w:r>
    </w:p>
    <w:p w14:paraId="6C007826" w14:textId="747E2323" w:rsidR="00E75A27" w:rsidRPr="00E75A27" w:rsidRDefault="006F7976" w:rsidP="00E75A27">
      <w:pPr>
        <w:pStyle w:val="Heading2"/>
      </w:pPr>
      <w:r>
        <w:t>The Australian National University</w:t>
      </w:r>
      <w:r w:rsidR="007B7F38">
        <w:t xml:space="preserve"> – Activities, outcomes and strategies</w:t>
      </w:r>
    </w:p>
    <w:p w14:paraId="0FF64E22" w14:textId="11CC9698" w:rsidR="006F7976" w:rsidRPr="007B7F38" w:rsidRDefault="006F7976" w:rsidP="007B7F38">
      <w:pPr>
        <w:spacing w:after="0" w:line="240" w:lineRule="auto"/>
        <w:rPr>
          <w:rFonts w:cstheme="minorHAnsi"/>
        </w:rPr>
      </w:pPr>
    </w:p>
    <w:tbl>
      <w:tblPr>
        <w:tblStyle w:val="TableGrid"/>
        <w:tblW w:w="9776" w:type="dxa"/>
        <w:tblLook w:val="04A0" w:firstRow="1" w:lastRow="0" w:firstColumn="1" w:lastColumn="0" w:noHBand="0" w:noVBand="1"/>
      </w:tblPr>
      <w:tblGrid>
        <w:gridCol w:w="2088"/>
        <w:gridCol w:w="3719"/>
        <w:gridCol w:w="3969"/>
      </w:tblGrid>
      <w:tr w:rsidR="006F7976" w:rsidRPr="00F22109" w14:paraId="5908BFB0" w14:textId="77777777" w:rsidTr="00586E30">
        <w:tc>
          <w:tcPr>
            <w:tcW w:w="2088" w:type="dxa"/>
          </w:tcPr>
          <w:p w14:paraId="772037B4" w14:textId="77777777" w:rsidR="006F7976" w:rsidRPr="0054787F" w:rsidRDefault="006F7976" w:rsidP="00444ECF">
            <w:pPr>
              <w:pStyle w:val="Heading3"/>
              <w:spacing w:before="0"/>
              <w:outlineLvl w:val="2"/>
              <w:rPr>
                <w:rFonts w:asciiTheme="minorHAnsi" w:eastAsiaTheme="minorEastAsia" w:hAnsiTheme="minorHAnsi" w:cstheme="minorBidi"/>
                <w:bCs w:val="0"/>
                <w:color w:val="3C3C3C"/>
                <w:sz w:val="20"/>
                <w:szCs w:val="20"/>
              </w:rPr>
            </w:pPr>
            <w:r>
              <w:rPr>
                <w:rFonts w:asciiTheme="minorHAnsi" w:eastAsiaTheme="minorEastAsia" w:hAnsiTheme="minorHAnsi" w:cstheme="minorBidi"/>
                <w:bCs w:val="0"/>
                <w:color w:val="3C3C3C"/>
                <w:sz w:val="20"/>
                <w:szCs w:val="20"/>
              </w:rPr>
              <w:t>Initiative</w:t>
            </w:r>
          </w:p>
        </w:tc>
        <w:tc>
          <w:tcPr>
            <w:tcW w:w="3719" w:type="dxa"/>
          </w:tcPr>
          <w:p w14:paraId="2A05EDED" w14:textId="77777777" w:rsidR="006F7976" w:rsidRPr="0054787F" w:rsidRDefault="006F7976" w:rsidP="00444ECF">
            <w:pPr>
              <w:pStyle w:val="Heading3"/>
              <w:spacing w:before="0"/>
              <w:outlineLvl w:val="2"/>
              <w:rPr>
                <w:rFonts w:asciiTheme="minorHAnsi" w:eastAsiaTheme="minorEastAsia" w:hAnsiTheme="minorHAnsi" w:cstheme="minorBidi"/>
                <w:bCs w:val="0"/>
                <w:color w:val="3C3C3C"/>
                <w:sz w:val="20"/>
                <w:szCs w:val="20"/>
              </w:rPr>
            </w:pPr>
            <w:r>
              <w:rPr>
                <w:rFonts w:asciiTheme="minorHAnsi" w:eastAsiaTheme="minorEastAsia" w:hAnsiTheme="minorHAnsi" w:cstheme="minorBidi"/>
                <w:bCs w:val="0"/>
                <w:color w:val="3C3C3C"/>
                <w:sz w:val="20"/>
                <w:szCs w:val="20"/>
              </w:rPr>
              <w:t>Strategies</w:t>
            </w:r>
          </w:p>
        </w:tc>
        <w:tc>
          <w:tcPr>
            <w:tcW w:w="3969" w:type="dxa"/>
          </w:tcPr>
          <w:p w14:paraId="4085688D" w14:textId="77777777" w:rsidR="006F7976" w:rsidRPr="00F22109" w:rsidRDefault="006F7976" w:rsidP="00444ECF">
            <w:pPr>
              <w:pStyle w:val="Heading3"/>
              <w:spacing w:before="0"/>
              <w:outlineLvl w:val="2"/>
              <w:rPr>
                <w:rFonts w:asciiTheme="minorHAnsi" w:eastAsiaTheme="minorEastAsia" w:hAnsiTheme="minorHAnsi" w:cstheme="minorBidi"/>
                <w:bCs w:val="0"/>
                <w:i/>
                <w:color w:val="3C3C3C"/>
                <w:sz w:val="20"/>
                <w:szCs w:val="20"/>
              </w:rPr>
            </w:pPr>
            <w:r>
              <w:rPr>
                <w:rFonts w:asciiTheme="minorHAnsi" w:eastAsiaTheme="minorEastAsia" w:hAnsiTheme="minorHAnsi" w:cstheme="minorBidi"/>
                <w:bCs w:val="0"/>
                <w:i/>
                <w:color w:val="3C3C3C"/>
                <w:sz w:val="20"/>
                <w:szCs w:val="20"/>
              </w:rPr>
              <w:t>Outcomes</w:t>
            </w:r>
          </w:p>
        </w:tc>
      </w:tr>
      <w:tr w:rsidR="006F7976" w:rsidRPr="00234CF9" w14:paraId="4FCB2D6D" w14:textId="77777777" w:rsidTr="00586E30">
        <w:trPr>
          <w:trHeight w:val="440"/>
        </w:trPr>
        <w:tc>
          <w:tcPr>
            <w:tcW w:w="2088" w:type="dxa"/>
          </w:tcPr>
          <w:p w14:paraId="3FAEB44E" w14:textId="77777777" w:rsidR="006F7976" w:rsidRDefault="006F7976" w:rsidP="00444ECF">
            <w:pPr>
              <w:pStyle w:val="Heading3"/>
              <w:spacing w:before="0"/>
              <w:outlineLvl w:val="2"/>
              <w:rPr>
                <w:rFonts w:asciiTheme="minorHAnsi" w:eastAsiaTheme="minorEastAsia" w:hAnsiTheme="minorHAnsi" w:cstheme="minorBidi"/>
                <w:b w:val="0"/>
                <w:bCs w:val="0"/>
                <w:color w:val="3C3C3C"/>
                <w:sz w:val="20"/>
                <w:szCs w:val="20"/>
              </w:rPr>
            </w:pPr>
            <w:r>
              <w:rPr>
                <w:rFonts w:asciiTheme="minorHAnsi" w:eastAsiaTheme="minorEastAsia" w:hAnsiTheme="minorHAnsi" w:cstheme="minorBidi"/>
                <w:b w:val="0"/>
                <w:bCs w:val="0"/>
                <w:color w:val="3C3C3C"/>
                <w:sz w:val="20"/>
                <w:szCs w:val="20"/>
              </w:rPr>
              <w:t>ASA – Admissions, Scholarships and Accommodation Project</w:t>
            </w:r>
          </w:p>
        </w:tc>
        <w:tc>
          <w:tcPr>
            <w:tcW w:w="3719" w:type="dxa"/>
          </w:tcPr>
          <w:p w14:paraId="189AB8EE" w14:textId="6F2A057B" w:rsidR="001F1F2F" w:rsidRDefault="001F1F2F" w:rsidP="00444ECF">
            <w:pPr>
              <w:rPr>
                <w:color w:val="3C3C3C"/>
                <w:sz w:val="20"/>
                <w:szCs w:val="20"/>
              </w:rPr>
            </w:pPr>
            <w:r w:rsidRPr="001F1F2F">
              <w:rPr>
                <w:color w:val="3C3C3C"/>
                <w:sz w:val="20"/>
                <w:szCs w:val="20"/>
              </w:rPr>
              <w:t xml:space="preserve">The university will be </w:t>
            </w:r>
            <w:r>
              <w:rPr>
                <w:color w:val="3C3C3C"/>
                <w:sz w:val="20"/>
                <w:szCs w:val="20"/>
              </w:rPr>
              <w:t xml:space="preserve">launching a new admissions model, targeting a national outreach </w:t>
            </w:r>
            <w:r w:rsidR="00C51192">
              <w:rPr>
                <w:color w:val="3C3C3C"/>
                <w:sz w:val="20"/>
                <w:szCs w:val="20"/>
              </w:rPr>
              <w:t>for students from a diverse range of backgrounds. This will involve a national model, making a place available for the most academically capable students from each school in Australia, using their preferences and the university’s quality floor to determine the appropriate program for them.</w:t>
            </w:r>
          </w:p>
          <w:p w14:paraId="7A4734D6" w14:textId="77777777" w:rsidR="00C51192" w:rsidRDefault="00C51192" w:rsidP="00444ECF">
            <w:pPr>
              <w:rPr>
                <w:color w:val="3C3C3C"/>
                <w:sz w:val="20"/>
                <w:szCs w:val="20"/>
              </w:rPr>
            </w:pPr>
          </w:p>
          <w:p w14:paraId="06B0614A" w14:textId="01154ED9" w:rsidR="00C51192" w:rsidRDefault="00C51192" w:rsidP="00444ECF">
            <w:pPr>
              <w:rPr>
                <w:color w:val="3C3C3C"/>
                <w:sz w:val="20"/>
                <w:szCs w:val="20"/>
              </w:rPr>
            </w:pPr>
            <w:r>
              <w:rPr>
                <w:color w:val="3C3C3C"/>
                <w:sz w:val="20"/>
                <w:szCs w:val="20"/>
              </w:rPr>
              <w:t xml:space="preserve">Extensive modelling has been undertaken to ensure that the proportion of students taken captures low SES students. </w:t>
            </w:r>
          </w:p>
          <w:p w14:paraId="294E9687" w14:textId="77777777" w:rsidR="00C51192" w:rsidRDefault="00C51192" w:rsidP="00444ECF">
            <w:pPr>
              <w:rPr>
                <w:color w:val="3C3C3C"/>
                <w:sz w:val="20"/>
                <w:szCs w:val="20"/>
              </w:rPr>
            </w:pPr>
          </w:p>
          <w:p w14:paraId="46F18911" w14:textId="03F67282" w:rsidR="00C51192" w:rsidRPr="001F1F2F" w:rsidRDefault="00C51192" w:rsidP="00444ECF">
            <w:pPr>
              <w:rPr>
                <w:color w:val="3C3C3C"/>
                <w:sz w:val="20"/>
                <w:szCs w:val="20"/>
              </w:rPr>
            </w:pPr>
            <w:r>
              <w:rPr>
                <w:color w:val="3C3C3C"/>
                <w:sz w:val="20"/>
                <w:szCs w:val="20"/>
              </w:rPr>
              <w:t>In addition, subject to the quality floor, in the current capped funding environment the university has committed to making a place available for all students from schools with an ICSEA below 900. Whilst not directly low SES, ICSEA is being used as a trans</w:t>
            </w:r>
            <w:r w:rsidR="00586E30">
              <w:rPr>
                <w:color w:val="3C3C3C"/>
                <w:sz w:val="20"/>
                <w:szCs w:val="20"/>
              </w:rPr>
              <w:t xml:space="preserve">parent admissions signifier to </w:t>
            </w:r>
            <w:r>
              <w:rPr>
                <w:color w:val="3C3C3C"/>
                <w:sz w:val="20"/>
                <w:szCs w:val="20"/>
              </w:rPr>
              <w:t xml:space="preserve">attract increased low SES students. </w:t>
            </w:r>
          </w:p>
          <w:p w14:paraId="02B5460D" w14:textId="77777777" w:rsidR="001F1F2F" w:rsidRDefault="001F1F2F" w:rsidP="00444ECF">
            <w:pPr>
              <w:rPr>
                <w:color w:val="3C3C3C"/>
                <w:sz w:val="20"/>
                <w:szCs w:val="20"/>
                <w:highlight w:val="yellow"/>
              </w:rPr>
            </w:pPr>
          </w:p>
          <w:p w14:paraId="70D54DDB" w14:textId="4FD2F57B" w:rsidR="006F7976" w:rsidRPr="00586E30" w:rsidRDefault="006F7976" w:rsidP="00444ECF">
            <w:pPr>
              <w:rPr>
                <w:color w:val="3C3C3C"/>
                <w:sz w:val="20"/>
                <w:szCs w:val="20"/>
              </w:rPr>
            </w:pPr>
          </w:p>
        </w:tc>
        <w:tc>
          <w:tcPr>
            <w:tcW w:w="3969" w:type="dxa"/>
          </w:tcPr>
          <w:p w14:paraId="297E98A6" w14:textId="394C9CDC" w:rsidR="00C51192" w:rsidRDefault="00C51192" w:rsidP="00444ECF">
            <w:pPr>
              <w:rPr>
                <w:color w:val="3C3C3C"/>
                <w:sz w:val="20"/>
                <w:szCs w:val="20"/>
              </w:rPr>
            </w:pPr>
            <w:r w:rsidRPr="00C51192">
              <w:rPr>
                <w:color w:val="3C3C3C"/>
                <w:sz w:val="20"/>
                <w:szCs w:val="20"/>
              </w:rPr>
              <w:t xml:space="preserve">ANU </w:t>
            </w:r>
            <w:r>
              <w:rPr>
                <w:color w:val="3C3C3C"/>
                <w:sz w:val="20"/>
                <w:szCs w:val="20"/>
              </w:rPr>
              <w:t xml:space="preserve">currently trails the sector in attracting low-SES students. By providing these students with the message that there is a place for them at ANU, we hope to raise their aspirations to the point where they may come to ANU. When here, they will then be advantaged by one of the lowest attrition rates in the sector. </w:t>
            </w:r>
          </w:p>
          <w:p w14:paraId="766E8642" w14:textId="77777777" w:rsidR="00C51192" w:rsidRDefault="00C51192" w:rsidP="00444ECF">
            <w:pPr>
              <w:rPr>
                <w:color w:val="3C3C3C"/>
                <w:sz w:val="20"/>
                <w:szCs w:val="20"/>
              </w:rPr>
            </w:pPr>
          </w:p>
          <w:p w14:paraId="09218FB6" w14:textId="33F472E6" w:rsidR="00C51192" w:rsidRDefault="00C51192" w:rsidP="00444ECF">
            <w:pPr>
              <w:rPr>
                <w:color w:val="3C3C3C"/>
                <w:sz w:val="20"/>
                <w:szCs w:val="20"/>
              </w:rPr>
            </w:pPr>
            <w:r>
              <w:rPr>
                <w:color w:val="3C3C3C"/>
                <w:sz w:val="20"/>
                <w:szCs w:val="20"/>
              </w:rPr>
              <w:t xml:space="preserve">Modelling the increase in low-SES students has been challenging as a national approach to admissions has not been undertaken in Australia before. We do however expect to see a marked increase in participation. </w:t>
            </w:r>
          </w:p>
          <w:p w14:paraId="70C1E9FE" w14:textId="13DE28AF" w:rsidR="00586E30" w:rsidRDefault="00586E30" w:rsidP="00444ECF">
            <w:pPr>
              <w:rPr>
                <w:color w:val="3C3C3C"/>
                <w:sz w:val="20"/>
                <w:szCs w:val="20"/>
              </w:rPr>
            </w:pPr>
          </w:p>
          <w:p w14:paraId="5F0332A4" w14:textId="76895C59" w:rsidR="00586E30" w:rsidRDefault="00586E30" w:rsidP="00444ECF">
            <w:pPr>
              <w:rPr>
                <w:color w:val="3C3C3C"/>
                <w:sz w:val="20"/>
                <w:szCs w:val="20"/>
              </w:rPr>
            </w:pPr>
            <w:r>
              <w:rPr>
                <w:color w:val="3C3C3C"/>
                <w:sz w:val="20"/>
                <w:szCs w:val="20"/>
              </w:rPr>
              <w:t xml:space="preserve">Increased engagement with LSES schools and communities. Over 2018, a minimum of 8 engagements by a member of the ANU executive will take place within LSES communities. </w:t>
            </w:r>
          </w:p>
          <w:p w14:paraId="0EA8C9E1" w14:textId="61AA7311" w:rsidR="007B7F38" w:rsidRDefault="007B7F38" w:rsidP="00444ECF">
            <w:pPr>
              <w:rPr>
                <w:color w:val="3C3C3C"/>
                <w:sz w:val="20"/>
                <w:szCs w:val="20"/>
              </w:rPr>
            </w:pPr>
          </w:p>
          <w:p w14:paraId="630D339B" w14:textId="37AD54BD" w:rsidR="007B7F38" w:rsidRDefault="007B7F38" w:rsidP="00444ECF">
            <w:pPr>
              <w:rPr>
                <w:color w:val="3C3C3C"/>
                <w:sz w:val="20"/>
                <w:szCs w:val="20"/>
              </w:rPr>
            </w:pPr>
            <w:r>
              <w:rPr>
                <w:color w:val="3C3C3C"/>
                <w:sz w:val="20"/>
                <w:szCs w:val="20"/>
              </w:rPr>
              <w:t xml:space="preserve">Pathway programs will also be enhanced, noting that uncertainty of sub-Bachelor and enabling funding may limit our capacity to drive real outcomes in this space.  </w:t>
            </w:r>
          </w:p>
          <w:p w14:paraId="23D507BB" w14:textId="28907402" w:rsidR="00586E30" w:rsidRDefault="00586E30" w:rsidP="00444ECF">
            <w:pPr>
              <w:rPr>
                <w:color w:val="3C3C3C"/>
                <w:sz w:val="20"/>
                <w:szCs w:val="20"/>
              </w:rPr>
            </w:pPr>
          </w:p>
          <w:p w14:paraId="4081D4BD" w14:textId="6108247E" w:rsidR="006F7976" w:rsidRPr="00586E30" w:rsidRDefault="00586E30" w:rsidP="00586E30">
            <w:pPr>
              <w:rPr>
                <w:color w:val="3C3C3C"/>
                <w:sz w:val="20"/>
                <w:szCs w:val="20"/>
              </w:rPr>
            </w:pPr>
            <w:r>
              <w:rPr>
                <w:color w:val="3C3C3C"/>
                <w:sz w:val="20"/>
                <w:szCs w:val="20"/>
              </w:rPr>
              <w:t xml:space="preserve">This is a longer view project </w:t>
            </w:r>
            <w:r w:rsidR="007B7F38">
              <w:rPr>
                <w:color w:val="3C3C3C"/>
                <w:sz w:val="20"/>
                <w:szCs w:val="20"/>
              </w:rPr>
              <w:t xml:space="preserve">(not funded in any way by HEPPP) </w:t>
            </w:r>
            <w:r>
              <w:rPr>
                <w:color w:val="3C3C3C"/>
                <w:sz w:val="20"/>
                <w:szCs w:val="20"/>
              </w:rPr>
              <w:t xml:space="preserve">and is currently underway with implementation of the new model to be ready for the 2020 intake. </w:t>
            </w:r>
          </w:p>
        </w:tc>
      </w:tr>
      <w:tr w:rsidR="00083BF1" w:rsidRPr="001230AC" w14:paraId="32616D72" w14:textId="77777777" w:rsidTr="00586E30">
        <w:trPr>
          <w:trHeight w:val="709"/>
        </w:trPr>
        <w:tc>
          <w:tcPr>
            <w:tcW w:w="2088" w:type="dxa"/>
          </w:tcPr>
          <w:p w14:paraId="64DA50A5" w14:textId="4F78C53F" w:rsidR="00083BF1" w:rsidRDefault="00083BF1" w:rsidP="00444ECF">
            <w:pPr>
              <w:rPr>
                <w:color w:val="3C3C3C"/>
                <w:sz w:val="20"/>
                <w:szCs w:val="20"/>
              </w:rPr>
            </w:pPr>
            <w:r>
              <w:rPr>
                <w:color w:val="3C3C3C"/>
                <w:sz w:val="20"/>
                <w:szCs w:val="20"/>
              </w:rPr>
              <w:t>Outreach</w:t>
            </w:r>
          </w:p>
        </w:tc>
        <w:tc>
          <w:tcPr>
            <w:tcW w:w="3719" w:type="dxa"/>
          </w:tcPr>
          <w:p w14:paraId="2654B11F" w14:textId="0BD7083E" w:rsidR="00083BF1" w:rsidRDefault="00083BF1" w:rsidP="00083BF1">
            <w:pPr>
              <w:rPr>
                <w:color w:val="3C3C3C"/>
                <w:sz w:val="20"/>
                <w:szCs w:val="20"/>
              </w:rPr>
            </w:pPr>
            <w:r>
              <w:rPr>
                <w:color w:val="3C3C3C"/>
                <w:sz w:val="20"/>
                <w:szCs w:val="20"/>
              </w:rPr>
              <w:t>In partnerships with 4 ACT High schools and 2 Schools located in Goulburn, delivery of the ANU Homework Centres and the School to Tertiary Outreach Mentoring Program (STOMP)</w:t>
            </w:r>
          </w:p>
        </w:tc>
        <w:tc>
          <w:tcPr>
            <w:tcW w:w="3969" w:type="dxa"/>
          </w:tcPr>
          <w:p w14:paraId="1A1BAA50" w14:textId="646583C8" w:rsidR="00083BF1" w:rsidRDefault="00083BF1" w:rsidP="007B7F38">
            <w:pPr>
              <w:rPr>
                <w:color w:val="3C3C3C"/>
                <w:sz w:val="20"/>
                <w:szCs w:val="20"/>
              </w:rPr>
            </w:pPr>
            <w:r>
              <w:rPr>
                <w:color w:val="3C3C3C"/>
                <w:sz w:val="20"/>
                <w:szCs w:val="20"/>
              </w:rPr>
              <w:t xml:space="preserve">Raise awareness of and build aspiration for higher education as well as provide academic enrichment for </w:t>
            </w:r>
            <w:r w:rsidR="00586E30">
              <w:rPr>
                <w:color w:val="3C3C3C"/>
                <w:sz w:val="20"/>
                <w:szCs w:val="20"/>
              </w:rPr>
              <w:t>participants</w:t>
            </w:r>
            <w:r>
              <w:rPr>
                <w:color w:val="3C3C3C"/>
                <w:sz w:val="20"/>
                <w:szCs w:val="20"/>
              </w:rPr>
              <w:t>.</w:t>
            </w:r>
            <w:r w:rsidR="00586E30">
              <w:rPr>
                <w:color w:val="3C3C3C"/>
                <w:sz w:val="20"/>
                <w:szCs w:val="20"/>
              </w:rPr>
              <w:t xml:space="preserve">  These programs are also designed to provide valuable information and support to students who express an interest in higher education. </w:t>
            </w:r>
            <w:r w:rsidR="007B7F38">
              <w:rPr>
                <w:color w:val="3C3C3C"/>
                <w:sz w:val="20"/>
                <w:szCs w:val="20"/>
              </w:rPr>
              <w:t xml:space="preserve">Mentors provide information about how to navigate the admissions process when applying to any institution. </w:t>
            </w:r>
          </w:p>
        </w:tc>
      </w:tr>
      <w:tr w:rsidR="006F7976" w:rsidRPr="001230AC" w14:paraId="7ACA6E15" w14:textId="77777777" w:rsidTr="00586E30">
        <w:trPr>
          <w:trHeight w:val="709"/>
        </w:trPr>
        <w:tc>
          <w:tcPr>
            <w:tcW w:w="2088" w:type="dxa"/>
          </w:tcPr>
          <w:p w14:paraId="409A9579" w14:textId="77777777" w:rsidR="006F7976" w:rsidRPr="005E4A09" w:rsidRDefault="006F7976" w:rsidP="00444ECF">
            <w:pPr>
              <w:rPr>
                <w:color w:val="3C3C3C"/>
                <w:sz w:val="20"/>
                <w:szCs w:val="20"/>
              </w:rPr>
            </w:pPr>
            <w:r>
              <w:rPr>
                <w:color w:val="3C3C3C"/>
                <w:sz w:val="20"/>
                <w:szCs w:val="20"/>
              </w:rPr>
              <w:t>Financial support</w:t>
            </w:r>
          </w:p>
        </w:tc>
        <w:tc>
          <w:tcPr>
            <w:tcW w:w="3719" w:type="dxa"/>
          </w:tcPr>
          <w:p w14:paraId="155055CA" w14:textId="6F2E27F6" w:rsidR="006F7976" w:rsidRPr="005E4A09" w:rsidRDefault="00586E30" w:rsidP="00586E30">
            <w:pPr>
              <w:rPr>
                <w:color w:val="3C3C3C"/>
                <w:sz w:val="20"/>
                <w:szCs w:val="20"/>
              </w:rPr>
            </w:pPr>
            <w:r w:rsidRPr="00C51192">
              <w:rPr>
                <w:color w:val="3C3C3C"/>
                <w:sz w:val="20"/>
                <w:szCs w:val="20"/>
              </w:rPr>
              <w:t xml:space="preserve">ANU is also looking to almost double its currently available scholarships, in collaboration with donors, focusing these scholarships on socioeconomic disadvantage </w:t>
            </w:r>
            <w:r>
              <w:rPr>
                <w:color w:val="3C3C3C"/>
                <w:sz w:val="20"/>
                <w:szCs w:val="20"/>
              </w:rPr>
              <w:t xml:space="preserve">to realise our goal of educating students on the basis of their capacity to succeed. </w:t>
            </w:r>
          </w:p>
        </w:tc>
        <w:tc>
          <w:tcPr>
            <w:tcW w:w="3969" w:type="dxa"/>
          </w:tcPr>
          <w:p w14:paraId="45F7E912" w14:textId="77777777" w:rsidR="006F7976" w:rsidRDefault="006F7976" w:rsidP="00444ECF">
            <w:pPr>
              <w:rPr>
                <w:color w:val="3C3C3C"/>
                <w:sz w:val="20"/>
                <w:szCs w:val="20"/>
              </w:rPr>
            </w:pPr>
            <w:r>
              <w:rPr>
                <w:color w:val="3C3C3C"/>
                <w:sz w:val="20"/>
                <w:szCs w:val="20"/>
              </w:rPr>
              <w:t>Increases in:</w:t>
            </w:r>
          </w:p>
          <w:p w14:paraId="52B52457" w14:textId="351EF232" w:rsidR="006F7976" w:rsidRPr="00DC7EA1" w:rsidRDefault="006F7976" w:rsidP="006F7976">
            <w:pPr>
              <w:pStyle w:val="ListParagraph"/>
              <w:numPr>
                <w:ilvl w:val="0"/>
                <w:numId w:val="33"/>
              </w:numPr>
              <w:ind w:left="318" w:hanging="318"/>
              <w:rPr>
                <w:color w:val="3C3C3C"/>
                <w:sz w:val="20"/>
                <w:szCs w:val="20"/>
              </w:rPr>
            </w:pPr>
            <w:r w:rsidRPr="00DC7EA1">
              <w:rPr>
                <w:color w:val="3C3C3C"/>
                <w:sz w:val="20"/>
                <w:szCs w:val="20"/>
              </w:rPr>
              <w:t xml:space="preserve">The number of </w:t>
            </w:r>
            <w:r>
              <w:rPr>
                <w:color w:val="3C3C3C"/>
                <w:sz w:val="20"/>
                <w:szCs w:val="20"/>
              </w:rPr>
              <w:t xml:space="preserve">scholarships available for </w:t>
            </w:r>
            <w:r w:rsidRPr="00DC7EA1">
              <w:rPr>
                <w:color w:val="3C3C3C"/>
                <w:sz w:val="20"/>
                <w:szCs w:val="20"/>
              </w:rPr>
              <w:t xml:space="preserve">undergraduate students </w:t>
            </w:r>
            <w:r>
              <w:rPr>
                <w:color w:val="3C3C3C"/>
                <w:sz w:val="20"/>
                <w:szCs w:val="20"/>
              </w:rPr>
              <w:t>from LSES backgrounds.</w:t>
            </w:r>
          </w:p>
          <w:p w14:paraId="0A3FFE6B" w14:textId="19E23118" w:rsidR="006F7976" w:rsidRPr="00DC7EA1" w:rsidRDefault="006F7976" w:rsidP="006F7976">
            <w:pPr>
              <w:pStyle w:val="ListParagraph"/>
              <w:numPr>
                <w:ilvl w:val="0"/>
                <w:numId w:val="33"/>
              </w:numPr>
              <w:ind w:left="318" w:hanging="318"/>
              <w:rPr>
                <w:color w:val="3C3C3C"/>
                <w:sz w:val="20"/>
                <w:szCs w:val="20"/>
              </w:rPr>
            </w:pPr>
            <w:r>
              <w:rPr>
                <w:color w:val="3C3C3C"/>
                <w:sz w:val="20"/>
                <w:szCs w:val="20"/>
              </w:rPr>
              <w:t>R</w:t>
            </w:r>
            <w:r w:rsidRPr="00DC7EA1">
              <w:rPr>
                <w:color w:val="3C3C3C"/>
                <w:sz w:val="20"/>
                <w:szCs w:val="20"/>
              </w:rPr>
              <w:t xml:space="preserve">etention and success rates of students from </w:t>
            </w:r>
            <w:r>
              <w:rPr>
                <w:color w:val="3C3C3C"/>
                <w:sz w:val="20"/>
                <w:szCs w:val="20"/>
              </w:rPr>
              <w:t>LSES backgrounds.</w:t>
            </w:r>
          </w:p>
          <w:p w14:paraId="540FF60F" w14:textId="7F26D596" w:rsidR="006F7976" w:rsidRDefault="006F7976" w:rsidP="006F7976">
            <w:pPr>
              <w:pStyle w:val="ListParagraph"/>
              <w:numPr>
                <w:ilvl w:val="0"/>
                <w:numId w:val="33"/>
              </w:numPr>
              <w:ind w:left="318" w:hanging="318"/>
              <w:rPr>
                <w:color w:val="3C3C3C"/>
                <w:sz w:val="20"/>
                <w:szCs w:val="20"/>
              </w:rPr>
            </w:pPr>
            <w:r>
              <w:rPr>
                <w:color w:val="3C3C3C"/>
                <w:sz w:val="20"/>
                <w:szCs w:val="20"/>
              </w:rPr>
              <w:t>C</w:t>
            </w:r>
            <w:r w:rsidR="007B7F38">
              <w:rPr>
                <w:color w:val="3C3C3C"/>
                <w:sz w:val="20"/>
                <w:szCs w:val="20"/>
              </w:rPr>
              <w:t>ompletion</w:t>
            </w:r>
            <w:r w:rsidRPr="00DC7EA1">
              <w:rPr>
                <w:color w:val="3C3C3C"/>
                <w:sz w:val="20"/>
                <w:szCs w:val="20"/>
              </w:rPr>
              <w:t xml:space="preserve"> of students from </w:t>
            </w:r>
            <w:r>
              <w:rPr>
                <w:color w:val="3C3C3C"/>
                <w:sz w:val="20"/>
                <w:szCs w:val="20"/>
              </w:rPr>
              <w:t>LSES backgrounds.</w:t>
            </w:r>
          </w:p>
          <w:p w14:paraId="035F7738" w14:textId="77777777" w:rsidR="006F7976" w:rsidRDefault="006F7976" w:rsidP="00444ECF">
            <w:pPr>
              <w:pStyle w:val="Heading3"/>
              <w:spacing w:before="0"/>
              <w:outlineLvl w:val="2"/>
              <w:rPr>
                <w:rFonts w:asciiTheme="minorHAnsi" w:eastAsiaTheme="minorEastAsia" w:hAnsiTheme="minorHAnsi" w:cstheme="minorBidi"/>
                <w:b w:val="0"/>
                <w:bCs w:val="0"/>
                <w:color w:val="3C3C3C"/>
                <w:sz w:val="20"/>
                <w:szCs w:val="20"/>
              </w:rPr>
            </w:pPr>
          </w:p>
          <w:p w14:paraId="006D43B0" w14:textId="216CD428" w:rsidR="006F7976" w:rsidRPr="000B099E" w:rsidRDefault="006F7976" w:rsidP="006F7976">
            <w:pPr>
              <w:pStyle w:val="Heading3"/>
              <w:spacing w:before="0"/>
              <w:outlineLvl w:val="2"/>
              <w:rPr>
                <w:rFonts w:asciiTheme="minorHAnsi" w:eastAsiaTheme="minorEastAsia" w:hAnsiTheme="minorHAnsi" w:cstheme="minorBidi"/>
                <w:b w:val="0"/>
                <w:bCs w:val="0"/>
                <w:color w:val="3C3C3C"/>
                <w:sz w:val="20"/>
                <w:szCs w:val="20"/>
              </w:rPr>
            </w:pPr>
          </w:p>
        </w:tc>
      </w:tr>
      <w:tr w:rsidR="006F7976" w:rsidRPr="00820794" w14:paraId="3C7B3D1B" w14:textId="77777777" w:rsidTr="00586E30">
        <w:tc>
          <w:tcPr>
            <w:tcW w:w="2088" w:type="dxa"/>
          </w:tcPr>
          <w:p w14:paraId="42EE0FD8" w14:textId="77777777" w:rsidR="006F7976" w:rsidRDefault="006F7976" w:rsidP="00444ECF">
            <w:pPr>
              <w:rPr>
                <w:color w:val="3C3C3C"/>
                <w:sz w:val="20"/>
                <w:szCs w:val="20"/>
              </w:rPr>
            </w:pPr>
            <w:r>
              <w:rPr>
                <w:color w:val="3C3C3C"/>
                <w:sz w:val="20"/>
                <w:szCs w:val="20"/>
              </w:rPr>
              <w:lastRenderedPageBreak/>
              <w:t>Transition and Support</w:t>
            </w:r>
          </w:p>
          <w:p w14:paraId="41E2AC5B" w14:textId="77777777" w:rsidR="006F7976" w:rsidRDefault="006F7976" w:rsidP="00444ECF">
            <w:pPr>
              <w:rPr>
                <w:color w:val="3C3C3C"/>
                <w:sz w:val="20"/>
                <w:szCs w:val="20"/>
              </w:rPr>
            </w:pPr>
            <w:r>
              <w:rPr>
                <w:color w:val="3C3C3C"/>
                <w:sz w:val="20"/>
                <w:szCs w:val="20"/>
              </w:rPr>
              <w:t>Set4ANU</w:t>
            </w:r>
          </w:p>
          <w:p w14:paraId="397C4737" w14:textId="77777777" w:rsidR="006F7976" w:rsidRDefault="006F7976" w:rsidP="00444ECF">
            <w:pPr>
              <w:rPr>
                <w:color w:val="3C3C3C"/>
                <w:sz w:val="20"/>
                <w:szCs w:val="20"/>
              </w:rPr>
            </w:pPr>
            <w:r>
              <w:rPr>
                <w:color w:val="3C3C3C"/>
                <w:sz w:val="20"/>
                <w:szCs w:val="20"/>
              </w:rPr>
              <w:t>Strengths4Success</w:t>
            </w:r>
          </w:p>
          <w:p w14:paraId="4154C9F5" w14:textId="77777777" w:rsidR="006F7976" w:rsidRDefault="006F7976" w:rsidP="00444ECF">
            <w:pPr>
              <w:rPr>
                <w:color w:val="3C3C3C"/>
                <w:sz w:val="20"/>
                <w:szCs w:val="20"/>
              </w:rPr>
            </w:pPr>
            <w:r>
              <w:rPr>
                <w:color w:val="3C3C3C"/>
                <w:sz w:val="20"/>
                <w:szCs w:val="20"/>
              </w:rPr>
              <w:t>ANU RRR Mentoring Program</w:t>
            </w:r>
          </w:p>
          <w:p w14:paraId="2FFB0590" w14:textId="2AC57B10" w:rsidR="00083BF1" w:rsidRDefault="00083BF1" w:rsidP="00444ECF">
            <w:pPr>
              <w:rPr>
                <w:color w:val="3C3C3C"/>
                <w:sz w:val="20"/>
                <w:szCs w:val="20"/>
              </w:rPr>
            </w:pPr>
            <w:r>
              <w:rPr>
                <w:color w:val="3C3C3C"/>
                <w:sz w:val="20"/>
                <w:szCs w:val="20"/>
              </w:rPr>
              <w:t>Student Leadership Programs</w:t>
            </w:r>
          </w:p>
        </w:tc>
        <w:tc>
          <w:tcPr>
            <w:tcW w:w="3719" w:type="dxa"/>
          </w:tcPr>
          <w:p w14:paraId="4C112B5F" w14:textId="77777777" w:rsidR="006F7976" w:rsidRPr="00DC7EA1" w:rsidRDefault="006F7976" w:rsidP="00444ECF">
            <w:pPr>
              <w:pStyle w:val="Heading3"/>
              <w:spacing w:before="0"/>
              <w:outlineLvl w:val="2"/>
              <w:rPr>
                <w:rFonts w:asciiTheme="minorHAnsi" w:eastAsiaTheme="minorHAnsi" w:hAnsiTheme="minorHAnsi" w:cstheme="minorBidi"/>
                <w:b w:val="0"/>
                <w:bCs w:val="0"/>
                <w:color w:val="3C3C3C"/>
                <w:sz w:val="20"/>
                <w:szCs w:val="20"/>
              </w:rPr>
            </w:pPr>
            <w:r w:rsidRPr="00DC7EA1">
              <w:rPr>
                <w:rFonts w:asciiTheme="minorHAnsi" w:eastAsiaTheme="minorHAnsi" w:hAnsiTheme="minorHAnsi" w:cstheme="minorBidi"/>
                <w:b w:val="0"/>
                <w:bCs w:val="0"/>
                <w:color w:val="3C3C3C"/>
                <w:sz w:val="20"/>
                <w:szCs w:val="20"/>
              </w:rPr>
              <w:t xml:space="preserve">Promote student engagement through the development of needs based programs and services. </w:t>
            </w:r>
          </w:p>
          <w:p w14:paraId="49B9AEFB" w14:textId="77777777" w:rsidR="006F7976" w:rsidRPr="00DC7EA1" w:rsidRDefault="006F7976" w:rsidP="00444ECF">
            <w:pPr>
              <w:pStyle w:val="Heading3"/>
              <w:spacing w:before="0"/>
              <w:outlineLvl w:val="2"/>
              <w:rPr>
                <w:rFonts w:asciiTheme="minorHAnsi" w:eastAsiaTheme="minorHAnsi" w:hAnsiTheme="minorHAnsi" w:cstheme="minorBidi"/>
                <w:b w:val="0"/>
                <w:bCs w:val="0"/>
                <w:color w:val="3C3C3C"/>
                <w:sz w:val="20"/>
                <w:szCs w:val="20"/>
              </w:rPr>
            </w:pPr>
          </w:p>
          <w:p w14:paraId="737ABA5B" w14:textId="77777777" w:rsidR="006F7976" w:rsidRPr="00DC7EA1" w:rsidRDefault="006F7976" w:rsidP="00444ECF">
            <w:pPr>
              <w:pStyle w:val="Heading3"/>
              <w:spacing w:before="0"/>
              <w:outlineLvl w:val="2"/>
              <w:rPr>
                <w:rFonts w:asciiTheme="minorHAnsi" w:eastAsiaTheme="minorHAnsi" w:hAnsiTheme="minorHAnsi" w:cstheme="minorBidi"/>
                <w:b w:val="0"/>
                <w:bCs w:val="0"/>
                <w:color w:val="3C3C3C"/>
                <w:sz w:val="20"/>
                <w:szCs w:val="20"/>
              </w:rPr>
            </w:pPr>
            <w:r w:rsidRPr="00DC7EA1">
              <w:rPr>
                <w:rFonts w:asciiTheme="minorHAnsi" w:eastAsiaTheme="minorHAnsi" w:hAnsiTheme="minorHAnsi" w:cstheme="minorBidi"/>
                <w:b w:val="0"/>
                <w:bCs w:val="0"/>
                <w:color w:val="3C3C3C"/>
                <w:sz w:val="20"/>
                <w:szCs w:val="20"/>
              </w:rPr>
              <w:t xml:space="preserve">Develop and strengthen mentoring and student support programs and expand student involvement in co-curricular programs and activities for students entering via alternative admission and/or pathway programs. </w:t>
            </w:r>
          </w:p>
          <w:p w14:paraId="464C39D5" w14:textId="77777777" w:rsidR="006F7976" w:rsidRPr="00DC7EA1" w:rsidRDefault="006F7976" w:rsidP="00444ECF">
            <w:pPr>
              <w:pStyle w:val="Heading3"/>
              <w:spacing w:before="0"/>
              <w:outlineLvl w:val="2"/>
              <w:rPr>
                <w:rFonts w:asciiTheme="minorHAnsi" w:eastAsiaTheme="minorHAnsi" w:hAnsiTheme="minorHAnsi" w:cstheme="minorBidi"/>
                <w:b w:val="0"/>
                <w:bCs w:val="0"/>
                <w:color w:val="3C3C3C"/>
                <w:sz w:val="20"/>
                <w:szCs w:val="20"/>
              </w:rPr>
            </w:pPr>
          </w:p>
        </w:tc>
        <w:tc>
          <w:tcPr>
            <w:tcW w:w="3969" w:type="dxa"/>
          </w:tcPr>
          <w:p w14:paraId="7553751F" w14:textId="52C89F88" w:rsidR="006F7976" w:rsidRDefault="006F7976" w:rsidP="006F7976">
            <w:pPr>
              <w:pStyle w:val="ListParagraph"/>
              <w:numPr>
                <w:ilvl w:val="0"/>
                <w:numId w:val="34"/>
              </w:numPr>
              <w:ind w:left="318"/>
              <w:rPr>
                <w:color w:val="3C3C3C"/>
                <w:sz w:val="20"/>
                <w:szCs w:val="20"/>
              </w:rPr>
            </w:pPr>
            <w:r>
              <w:rPr>
                <w:color w:val="3C3C3C"/>
                <w:sz w:val="20"/>
                <w:szCs w:val="20"/>
              </w:rPr>
              <w:t>Increase in the n</w:t>
            </w:r>
            <w:r w:rsidRPr="00DC7EA1">
              <w:rPr>
                <w:color w:val="3C3C3C"/>
                <w:sz w:val="20"/>
                <w:szCs w:val="20"/>
              </w:rPr>
              <w:t>umber of students</w:t>
            </w:r>
            <w:r>
              <w:rPr>
                <w:color w:val="3C3C3C"/>
                <w:sz w:val="20"/>
                <w:szCs w:val="20"/>
              </w:rPr>
              <w:t xml:space="preserve"> from LSES backgrounds</w:t>
            </w:r>
            <w:r w:rsidRPr="00DC7EA1">
              <w:rPr>
                <w:color w:val="3C3C3C"/>
                <w:sz w:val="20"/>
                <w:szCs w:val="20"/>
              </w:rPr>
              <w:t xml:space="preserve"> involved in mentoring and career development activities</w:t>
            </w:r>
            <w:r>
              <w:rPr>
                <w:color w:val="3C3C3C"/>
                <w:sz w:val="20"/>
                <w:szCs w:val="20"/>
              </w:rPr>
              <w:t>.</w:t>
            </w:r>
          </w:p>
          <w:p w14:paraId="1DC110D0" w14:textId="19E64C96" w:rsidR="006F7976" w:rsidRDefault="006F7976" w:rsidP="006F7976">
            <w:pPr>
              <w:pStyle w:val="ListParagraph"/>
              <w:numPr>
                <w:ilvl w:val="0"/>
                <w:numId w:val="34"/>
              </w:numPr>
              <w:ind w:left="318"/>
              <w:rPr>
                <w:color w:val="3C3C3C"/>
                <w:sz w:val="20"/>
                <w:szCs w:val="20"/>
              </w:rPr>
            </w:pPr>
            <w:r>
              <w:rPr>
                <w:color w:val="3C3C3C"/>
                <w:sz w:val="20"/>
                <w:szCs w:val="20"/>
              </w:rPr>
              <w:t>Increase the n</w:t>
            </w:r>
            <w:r w:rsidRPr="00DC7EA1">
              <w:rPr>
                <w:color w:val="3C3C3C"/>
                <w:sz w:val="20"/>
                <w:szCs w:val="20"/>
              </w:rPr>
              <w:t xml:space="preserve">umber of </w:t>
            </w:r>
            <w:r>
              <w:rPr>
                <w:color w:val="3C3C3C"/>
                <w:sz w:val="20"/>
                <w:szCs w:val="20"/>
              </w:rPr>
              <w:t>ANU</w:t>
            </w:r>
            <w:r w:rsidRPr="00DC7EA1">
              <w:rPr>
                <w:color w:val="3C3C3C"/>
                <w:sz w:val="20"/>
                <w:szCs w:val="20"/>
              </w:rPr>
              <w:t xml:space="preserve"> student mentors from </w:t>
            </w:r>
            <w:r>
              <w:rPr>
                <w:color w:val="3C3C3C"/>
                <w:sz w:val="20"/>
                <w:szCs w:val="20"/>
              </w:rPr>
              <w:t>the LSES backgrounds involved in participating and delivering support.</w:t>
            </w:r>
          </w:p>
          <w:p w14:paraId="12AEBA6E" w14:textId="77777777" w:rsidR="006F7976" w:rsidRPr="00DC7EA1" w:rsidRDefault="006F7976" w:rsidP="006F7976">
            <w:pPr>
              <w:pStyle w:val="ListParagraph"/>
              <w:numPr>
                <w:ilvl w:val="0"/>
                <w:numId w:val="34"/>
              </w:numPr>
              <w:ind w:left="318"/>
              <w:rPr>
                <w:color w:val="3C3C3C"/>
                <w:sz w:val="20"/>
                <w:szCs w:val="20"/>
              </w:rPr>
            </w:pPr>
            <w:r>
              <w:rPr>
                <w:color w:val="3C3C3C"/>
                <w:sz w:val="20"/>
                <w:szCs w:val="20"/>
              </w:rPr>
              <w:t>E</w:t>
            </w:r>
            <w:r w:rsidRPr="00DC7EA1">
              <w:rPr>
                <w:color w:val="3C3C3C"/>
                <w:sz w:val="20"/>
                <w:szCs w:val="20"/>
              </w:rPr>
              <w:t>nrolment, retention</w:t>
            </w:r>
            <w:r>
              <w:rPr>
                <w:color w:val="3C3C3C"/>
                <w:sz w:val="20"/>
                <w:szCs w:val="20"/>
              </w:rPr>
              <w:t>, success</w:t>
            </w:r>
            <w:r w:rsidRPr="00DC7EA1">
              <w:rPr>
                <w:color w:val="3C3C3C"/>
                <w:sz w:val="20"/>
                <w:szCs w:val="20"/>
              </w:rPr>
              <w:t xml:space="preserve"> and completion </w:t>
            </w:r>
            <w:r>
              <w:rPr>
                <w:color w:val="3C3C3C"/>
                <w:sz w:val="20"/>
                <w:szCs w:val="20"/>
              </w:rPr>
              <w:t xml:space="preserve">rates </w:t>
            </w:r>
            <w:r w:rsidRPr="00DC7EA1">
              <w:rPr>
                <w:color w:val="3C3C3C"/>
                <w:sz w:val="20"/>
                <w:szCs w:val="20"/>
              </w:rPr>
              <w:t>monitored and reported</w:t>
            </w:r>
            <w:r>
              <w:rPr>
                <w:color w:val="3C3C3C"/>
                <w:sz w:val="20"/>
                <w:szCs w:val="20"/>
              </w:rPr>
              <w:t>.</w:t>
            </w:r>
            <w:r w:rsidRPr="00DC7EA1">
              <w:rPr>
                <w:color w:val="3C3C3C"/>
                <w:sz w:val="20"/>
                <w:szCs w:val="20"/>
              </w:rPr>
              <w:t xml:space="preserve">  </w:t>
            </w:r>
          </w:p>
          <w:p w14:paraId="5432D0A5" w14:textId="77777777" w:rsidR="006F7976" w:rsidRPr="00DC7EA1" w:rsidRDefault="006F7976" w:rsidP="00444ECF">
            <w:pPr>
              <w:rPr>
                <w:color w:val="3C3C3C"/>
                <w:sz w:val="20"/>
                <w:szCs w:val="20"/>
              </w:rPr>
            </w:pPr>
          </w:p>
        </w:tc>
      </w:tr>
      <w:tr w:rsidR="006F7976" w:rsidRPr="00D05F59" w14:paraId="4BA62F44" w14:textId="77777777" w:rsidTr="00586E30">
        <w:tc>
          <w:tcPr>
            <w:tcW w:w="2088" w:type="dxa"/>
          </w:tcPr>
          <w:p w14:paraId="6F1E1BF2" w14:textId="77777777" w:rsidR="006F7976" w:rsidRPr="005E4A09" w:rsidRDefault="006F7976" w:rsidP="00444ECF">
            <w:pPr>
              <w:rPr>
                <w:color w:val="3C3C3C"/>
                <w:sz w:val="20"/>
                <w:szCs w:val="20"/>
              </w:rPr>
            </w:pPr>
            <w:r>
              <w:rPr>
                <w:color w:val="3C3C3C"/>
                <w:sz w:val="20"/>
                <w:szCs w:val="20"/>
              </w:rPr>
              <w:t>Progress and Attainment Participation and Success</w:t>
            </w:r>
          </w:p>
          <w:p w14:paraId="7123130A" w14:textId="77777777" w:rsidR="006F7976" w:rsidRPr="002B78EB" w:rsidRDefault="006F7976" w:rsidP="00444ECF">
            <w:pPr>
              <w:pStyle w:val="Heading3"/>
              <w:spacing w:before="0"/>
              <w:outlineLvl w:val="2"/>
              <w:rPr>
                <w:rFonts w:asciiTheme="minorHAnsi" w:eastAsiaTheme="minorEastAsia" w:hAnsiTheme="minorHAnsi" w:cstheme="minorBidi"/>
                <w:b w:val="0"/>
                <w:bCs w:val="0"/>
                <w:color w:val="3C3C3C"/>
                <w:sz w:val="20"/>
                <w:szCs w:val="20"/>
              </w:rPr>
            </w:pPr>
          </w:p>
        </w:tc>
        <w:tc>
          <w:tcPr>
            <w:tcW w:w="3719" w:type="dxa"/>
          </w:tcPr>
          <w:p w14:paraId="699E57D9" w14:textId="77777777" w:rsidR="006F7976" w:rsidRDefault="006F7976" w:rsidP="00444ECF">
            <w:pPr>
              <w:rPr>
                <w:color w:val="3C3C3C"/>
                <w:sz w:val="20"/>
                <w:szCs w:val="20"/>
              </w:rPr>
            </w:pPr>
            <w:r w:rsidRPr="005D464E">
              <w:rPr>
                <w:color w:val="3C3C3C"/>
                <w:sz w:val="20"/>
                <w:szCs w:val="20"/>
              </w:rPr>
              <w:t>Through virtual hall</w:t>
            </w:r>
            <w:r>
              <w:rPr>
                <w:color w:val="3C3C3C"/>
                <w:sz w:val="20"/>
                <w:szCs w:val="20"/>
              </w:rPr>
              <w:t>s</w:t>
            </w:r>
            <w:r w:rsidRPr="005D464E">
              <w:rPr>
                <w:color w:val="3C3C3C"/>
                <w:sz w:val="20"/>
                <w:szCs w:val="20"/>
              </w:rPr>
              <w:t xml:space="preserve"> </w:t>
            </w:r>
            <w:r>
              <w:rPr>
                <w:color w:val="3C3C3C"/>
                <w:sz w:val="20"/>
                <w:szCs w:val="20"/>
              </w:rPr>
              <w:t xml:space="preserve">and learning communities, develop high quality peer support </w:t>
            </w:r>
            <w:r w:rsidRPr="005D464E">
              <w:rPr>
                <w:color w:val="3C3C3C"/>
                <w:sz w:val="20"/>
                <w:szCs w:val="20"/>
              </w:rPr>
              <w:t>structures</w:t>
            </w:r>
            <w:r>
              <w:rPr>
                <w:color w:val="3C3C3C"/>
                <w:sz w:val="20"/>
                <w:szCs w:val="20"/>
              </w:rPr>
              <w:t xml:space="preserve"> and programs that provide support for transitioning into the university’s academic and social culture.</w:t>
            </w:r>
          </w:p>
          <w:p w14:paraId="7A9D0B5A" w14:textId="77777777" w:rsidR="006F7976" w:rsidRPr="002B78EB" w:rsidRDefault="006F7976" w:rsidP="00444ECF"/>
        </w:tc>
        <w:tc>
          <w:tcPr>
            <w:tcW w:w="3969" w:type="dxa"/>
          </w:tcPr>
          <w:p w14:paraId="75C96EA2" w14:textId="7E073E65" w:rsidR="006F7976" w:rsidRPr="00D05F59" w:rsidRDefault="006F7976" w:rsidP="006F7976">
            <w:pPr>
              <w:rPr>
                <w:color w:val="3C3C3C"/>
                <w:sz w:val="20"/>
                <w:szCs w:val="20"/>
              </w:rPr>
            </w:pPr>
            <w:r>
              <w:rPr>
                <w:color w:val="3C3C3C"/>
                <w:sz w:val="20"/>
                <w:szCs w:val="20"/>
              </w:rPr>
              <w:t xml:space="preserve">Increase engagement of students from the LSES backgrounds through the availability of </w:t>
            </w:r>
            <w:r w:rsidRPr="002B78EB">
              <w:rPr>
                <w:color w:val="3C3C3C"/>
                <w:sz w:val="20"/>
                <w:szCs w:val="20"/>
              </w:rPr>
              <w:t>leadership</w:t>
            </w:r>
            <w:r>
              <w:rPr>
                <w:color w:val="3C3C3C"/>
                <w:sz w:val="20"/>
                <w:szCs w:val="20"/>
              </w:rPr>
              <w:t xml:space="preserve"> </w:t>
            </w:r>
            <w:r w:rsidRPr="002B78EB">
              <w:rPr>
                <w:color w:val="3C3C3C"/>
                <w:sz w:val="20"/>
                <w:szCs w:val="20"/>
              </w:rPr>
              <w:t>opportunities for students</w:t>
            </w:r>
            <w:r>
              <w:rPr>
                <w:color w:val="3C3C3C"/>
                <w:sz w:val="20"/>
                <w:szCs w:val="20"/>
              </w:rPr>
              <w:t xml:space="preserve"> </w:t>
            </w:r>
            <w:r w:rsidRPr="002B78EB">
              <w:rPr>
                <w:color w:val="3C3C3C"/>
                <w:sz w:val="20"/>
                <w:szCs w:val="20"/>
              </w:rPr>
              <w:t>and recognition through internships, volunteering and extracurricular activities</w:t>
            </w:r>
            <w:r>
              <w:rPr>
                <w:color w:val="3C3C3C"/>
                <w:sz w:val="20"/>
                <w:szCs w:val="20"/>
              </w:rPr>
              <w:t>.</w:t>
            </w:r>
          </w:p>
        </w:tc>
      </w:tr>
      <w:tr w:rsidR="006F7976" w14:paraId="283DD7BB" w14:textId="77777777" w:rsidTr="00586E30">
        <w:trPr>
          <w:trHeight w:val="440"/>
        </w:trPr>
        <w:tc>
          <w:tcPr>
            <w:tcW w:w="2088" w:type="dxa"/>
          </w:tcPr>
          <w:p w14:paraId="41702BA1" w14:textId="77777777" w:rsidR="006F7976" w:rsidRDefault="006F7976" w:rsidP="00444ECF">
            <w:pPr>
              <w:pStyle w:val="Heading3"/>
              <w:spacing w:before="0"/>
              <w:outlineLvl w:val="2"/>
              <w:rPr>
                <w:rFonts w:asciiTheme="minorHAnsi" w:eastAsiaTheme="minorEastAsia" w:hAnsiTheme="minorHAnsi" w:cstheme="minorBidi"/>
                <w:b w:val="0"/>
                <w:bCs w:val="0"/>
                <w:color w:val="3C3C3C"/>
                <w:sz w:val="20"/>
                <w:szCs w:val="20"/>
              </w:rPr>
            </w:pPr>
            <w:r>
              <w:rPr>
                <w:rFonts w:asciiTheme="minorHAnsi" w:eastAsiaTheme="minorEastAsia" w:hAnsiTheme="minorHAnsi" w:cstheme="minorBidi"/>
                <w:b w:val="0"/>
                <w:bCs w:val="0"/>
                <w:color w:val="3C3C3C"/>
                <w:sz w:val="20"/>
                <w:szCs w:val="20"/>
              </w:rPr>
              <w:t>Reporting</w:t>
            </w:r>
          </w:p>
        </w:tc>
        <w:tc>
          <w:tcPr>
            <w:tcW w:w="3719" w:type="dxa"/>
          </w:tcPr>
          <w:p w14:paraId="074696DC" w14:textId="77777777" w:rsidR="006F7976" w:rsidRDefault="006F7976" w:rsidP="00444ECF">
            <w:pPr>
              <w:rPr>
                <w:color w:val="3C3C3C"/>
                <w:sz w:val="20"/>
                <w:szCs w:val="20"/>
              </w:rPr>
            </w:pPr>
            <w:r>
              <w:rPr>
                <w:color w:val="3C3C3C"/>
                <w:sz w:val="20"/>
                <w:szCs w:val="20"/>
              </w:rPr>
              <w:t xml:space="preserve">Further refine and develop strategies and actions that promote a culture of inclusion.  </w:t>
            </w:r>
          </w:p>
          <w:p w14:paraId="3A162175" w14:textId="77777777" w:rsidR="006F7976" w:rsidRDefault="006F7976" w:rsidP="00444ECF">
            <w:pPr>
              <w:rPr>
                <w:color w:val="3C3C3C"/>
                <w:sz w:val="20"/>
                <w:szCs w:val="20"/>
              </w:rPr>
            </w:pPr>
          </w:p>
        </w:tc>
        <w:tc>
          <w:tcPr>
            <w:tcW w:w="3969" w:type="dxa"/>
          </w:tcPr>
          <w:p w14:paraId="7E0E4D6E" w14:textId="77777777" w:rsidR="006F7976" w:rsidRDefault="006F7976" w:rsidP="00444ECF">
            <w:pPr>
              <w:rPr>
                <w:color w:val="3C3C3C"/>
                <w:sz w:val="20"/>
                <w:szCs w:val="20"/>
              </w:rPr>
            </w:pPr>
            <w:r>
              <w:rPr>
                <w:color w:val="3C3C3C"/>
                <w:sz w:val="20"/>
                <w:szCs w:val="20"/>
              </w:rPr>
              <w:t>Through data analysis, research and consultation, develop a reporting framework to inform an annual review of progress.</w:t>
            </w:r>
          </w:p>
          <w:p w14:paraId="05BD838E" w14:textId="77777777" w:rsidR="006F7976" w:rsidRDefault="006F7976" w:rsidP="00444ECF">
            <w:pPr>
              <w:rPr>
                <w:color w:val="3C3C3C"/>
                <w:sz w:val="20"/>
                <w:szCs w:val="20"/>
              </w:rPr>
            </w:pPr>
          </w:p>
          <w:p w14:paraId="526C852C" w14:textId="77777777" w:rsidR="006F7976" w:rsidRDefault="006F7976" w:rsidP="00444ECF">
            <w:pPr>
              <w:rPr>
                <w:color w:val="3C3C3C"/>
                <w:sz w:val="20"/>
                <w:szCs w:val="20"/>
              </w:rPr>
            </w:pPr>
            <w:r>
              <w:rPr>
                <w:color w:val="3C3C3C"/>
                <w:sz w:val="20"/>
                <w:szCs w:val="20"/>
              </w:rPr>
              <w:t>Review and report progress at the part of the planning cycle.</w:t>
            </w:r>
          </w:p>
        </w:tc>
      </w:tr>
    </w:tbl>
    <w:p w14:paraId="6789E63D" w14:textId="77777777" w:rsidR="006F7976" w:rsidRDefault="006F7976" w:rsidP="006F7976">
      <w:pPr>
        <w:rPr>
          <w:rFonts w:cstheme="minorHAnsi"/>
        </w:rPr>
      </w:pPr>
    </w:p>
    <w:p w14:paraId="3052B30A" w14:textId="77777777" w:rsidR="006F7976" w:rsidRPr="00C458FD" w:rsidRDefault="006F7976" w:rsidP="007B7F38">
      <w:pPr>
        <w:tabs>
          <w:tab w:val="left" w:pos="426"/>
        </w:tabs>
        <w:spacing w:after="0" w:line="240" w:lineRule="auto"/>
        <w:rPr>
          <w:rFonts w:cstheme="minorHAnsi"/>
          <w:b/>
          <w:sz w:val="24"/>
          <w:szCs w:val="24"/>
        </w:rPr>
      </w:pPr>
      <w:r w:rsidRPr="00C458FD">
        <w:rPr>
          <w:rFonts w:cstheme="minorHAnsi"/>
          <w:b/>
          <w:sz w:val="24"/>
          <w:szCs w:val="24"/>
        </w:rPr>
        <w:t>2.</w:t>
      </w:r>
      <w:r w:rsidRPr="00C458FD">
        <w:rPr>
          <w:rFonts w:cstheme="minorHAnsi"/>
          <w:b/>
          <w:sz w:val="24"/>
          <w:szCs w:val="24"/>
        </w:rPr>
        <w:tab/>
        <w:t xml:space="preserve">Evaluation Plan </w:t>
      </w:r>
    </w:p>
    <w:p w14:paraId="6FAB4A4A" w14:textId="77777777" w:rsidR="006F7976" w:rsidRDefault="006F7976" w:rsidP="007B7F38">
      <w:pPr>
        <w:spacing w:line="240" w:lineRule="auto"/>
        <w:rPr>
          <w:rFonts w:cstheme="minorHAnsi"/>
        </w:rPr>
      </w:pPr>
      <w:r>
        <w:rPr>
          <w:rFonts w:cstheme="minorHAnsi"/>
        </w:rPr>
        <w:t>Reporting will compare data each year and describe the annual impact for each of the equity groups. Quantitative data relating to current enrolments, commencing enrolments, retention rates and completions will be tracked and analysed.  Additional relevant quantitative and qualitative data will be provided where appropriate.</w:t>
      </w:r>
    </w:p>
    <w:p w14:paraId="194DF9E9" w14:textId="77777777" w:rsidR="006F7976" w:rsidRDefault="006F7976" w:rsidP="007B7F38">
      <w:pPr>
        <w:tabs>
          <w:tab w:val="left" w:pos="426"/>
        </w:tabs>
        <w:spacing w:after="0" w:line="240" w:lineRule="auto"/>
        <w:rPr>
          <w:rFonts w:cstheme="minorHAnsi"/>
          <w:b/>
          <w:sz w:val="24"/>
          <w:szCs w:val="24"/>
        </w:rPr>
      </w:pPr>
      <w:r w:rsidRPr="00C458FD">
        <w:rPr>
          <w:rFonts w:cstheme="minorHAnsi"/>
          <w:b/>
          <w:sz w:val="24"/>
          <w:szCs w:val="24"/>
        </w:rPr>
        <w:t>3.</w:t>
      </w:r>
      <w:r w:rsidRPr="00C458FD">
        <w:rPr>
          <w:rFonts w:cstheme="minorHAnsi"/>
          <w:b/>
          <w:sz w:val="24"/>
          <w:szCs w:val="24"/>
        </w:rPr>
        <w:tab/>
        <w:t xml:space="preserve">Partnerships and collaboration </w:t>
      </w:r>
    </w:p>
    <w:p w14:paraId="1BEE5E03" w14:textId="77777777" w:rsidR="007B7F38" w:rsidRDefault="007B7F38" w:rsidP="007B7F38">
      <w:pPr>
        <w:pStyle w:val="ListParagraph"/>
        <w:spacing w:line="240" w:lineRule="auto"/>
        <w:ind w:left="0"/>
        <w:rPr>
          <w:rFonts w:cstheme="minorHAnsi"/>
        </w:rPr>
      </w:pPr>
    </w:p>
    <w:p w14:paraId="5F793164" w14:textId="59AB4E79" w:rsidR="006F7976" w:rsidRDefault="006F7976" w:rsidP="007B7F38">
      <w:pPr>
        <w:pStyle w:val="ListParagraph"/>
        <w:spacing w:line="240" w:lineRule="auto"/>
        <w:ind w:left="0"/>
        <w:rPr>
          <w:rFonts w:cstheme="minorHAnsi"/>
        </w:rPr>
      </w:pPr>
      <w:r w:rsidRPr="001D26B2">
        <w:rPr>
          <w:rFonts w:cstheme="minorHAnsi"/>
        </w:rPr>
        <w:t>The university will collaborate with</w:t>
      </w:r>
      <w:r>
        <w:rPr>
          <w:rFonts w:cstheme="minorHAnsi"/>
        </w:rPr>
        <w:t>:</w:t>
      </w:r>
    </w:p>
    <w:p w14:paraId="4768A9B0" w14:textId="77777777" w:rsidR="006F7976" w:rsidRDefault="006F7976" w:rsidP="007B7F38">
      <w:pPr>
        <w:pStyle w:val="ListParagraph"/>
        <w:numPr>
          <w:ilvl w:val="0"/>
          <w:numId w:val="35"/>
        </w:numPr>
        <w:spacing w:line="240" w:lineRule="auto"/>
        <w:rPr>
          <w:rFonts w:cstheme="minorHAnsi"/>
        </w:rPr>
      </w:pPr>
      <w:r>
        <w:rPr>
          <w:rFonts w:cstheme="minorHAnsi"/>
        </w:rPr>
        <w:t>Schools</w:t>
      </w:r>
    </w:p>
    <w:p w14:paraId="15428F0B" w14:textId="77777777" w:rsidR="006F7976" w:rsidRDefault="006F7976" w:rsidP="007B7F38">
      <w:pPr>
        <w:pStyle w:val="ListParagraph"/>
        <w:numPr>
          <w:ilvl w:val="0"/>
          <w:numId w:val="35"/>
        </w:numPr>
        <w:spacing w:line="240" w:lineRule="auto"/>
        <w:rPr>
          <w:rFonts w:cstheme="minorHAnsi"/>
        </w:rPr>
      </w:pPr>
      <w:r>
        <w:rPr>
          <w:rFonts w:cstheme="minorHAnsi"/>
        </w:rPr>
        <w:t>The University of Canberra</w:t>
      </w:r>
    </w:p>
    <w:p w14:paraId="3A0C9412" w14:textId="07ADB248" w:rsidR="006F7976" w:rsidRDefault="006F7976" w:rsidP="007B7F38">
      <w:pPr>
        <w:pStyle w:val="ListParagraph"/>
        <w:numPr>
          <w:ilvl w:val="0"/>
          <w:numId w:val="35"/>
        </w:numPr>
        <w:spacing w:line="240" w:lineRule="auto"/>
        <w:rPr>
          <w:rFonts w:cstheme="minorHAnsi"/>
        </w:rPr>
      </w:pPr>
      <w:r w:rsidRPr="001D26B2">
        <w:rPr>
          <w:rFonts w:cstheme="minorHAnsi"/>
        </w:rPr>
        <w:t>The Smith Family</w:t>
      </w:r>
    </w:p>
    <w:p w14:paraId="763B665B" w14:textId="614955CB" w:rsidR="009C0EA3" w:rsidRPr="00C72A48" w:rsidRDefault="006F7976" w:rsidP="00075A65">
      <w:pPr>
        <w:pStyle w:val="ListParagraph"/>
        <w:numPr>
          <w:ilvl w:val="0"/>
          <w:numId w:val="35"/>
        </w:numPr>
        <w:spacing w:after="120" w:line="240" w:lineRule="auto"/>
        <w:rPr>
          <w:rFonts w:ascii="Calibri" w:eastAsiaTheme="majorEastAsia" w:hAnsi="Calibri" w:cstheme="majorBidi"/>
        </w:rPr>
      </w:pPr>
      <w:r w:rsidRPr="00C72A48">
        <w:rPr>
          <w:rFonts w:cstheme="minorHAnsi"/>
        </w:rPr>
        <w:t>Country Education Fund Association (CEFA)</w:t>
      </w:r>
      <w:bookmarkStart w:id="0" w:name="_GoBack"/>
      <w:bookmarkEnd w:id="0"/>
    </w:p>
    <w:sectPr w:rsidR="009C0EA3" w:rsidRPr="00C72A48" w:rsidSect="00C72A48">
      <w:headerReference w:type="default" r:id="rId11"/>
      <w:footerReference w:type="default" r:id="rId12"/>
      <w:pgSz w:w="11906" w:h="16838"/>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04810" w14:textId="77777777" w:rsidR="003D67D1" w:rsidRDefault="003D67D1" w:rsidP="00130923">
      <w:pPr>
        <w:spacing w:after="0" w:line="240" w:lineRule="auto"/>
      </w:pPr>
      <w:r>
        <w:separator/>
      </w:r>
    </w:p>
  </w:endnote>
  <w:endnote w:type="continuationSeparator" w:id="0">
    <w:p w14:paraId="438B88B7" w14:textId="77777777" w:rsidR="003D67D1" w:rsidRDefault="003D67D1"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27E0406C" w:rsidR="00152D18" w:rsidRDefault="00C72A48" w:rsidP="00A73406">
    <w:pPr>
      <w:pStyle w:val="Footer"/>
      <w:tabs>
        <w:tab w:val="clear" w:pos="9026"/>
        <w:tab w:val="right" w:pos="8647"/>
      </w:tabs>
      <w:ind w:firstLine="720"/>
      <w:jc w:val="right"/>
    </w:pPr>
    <w:sdt>
      <w:sdtPr>
        <w:id w:val="-1397895338"/>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Pr>
            <w:noProof/>
          </w:rPr>
          <w:t>2</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3EFA6" w14:textId="77777777" w:rsidR="003D67D1" w:rsidRDefault="003D67D1" w:rsidP="00130923">
      <w:pPr>
        <w:spacing w:after="0" w:line="240" w:lineRule="auto"/>
      </w:pPr>
      <w:r>
        <w:separator/>
      </w:r>
    </w:p>
  </w:footnote>
  <w:footnote w:type="continuationSeparator" w:id="0">
    <w:p w14:paraId="065FADCD" w14:textId="77777777" w:rsidR="003D67D1" w:rsidRDefault="003D67D1"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62EF79BB" w:rsidR="00152D18" w:rsidRDefault="00152D18" w:rsidP="00A66052">
    <w:pPr>
      <w:pStyle w:val="Header"/>
      <w:spacing w:after="480"/>
      <w:jc w:val="right"/>
    </w:pPr>
    <w:r>
      <w:t>Access and Participation Plan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7"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08A310A"/>
    <w:multiLevelType w:val="hybridMultilevel"/>
    <w:tmpl w:val="F404C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0826D4"/>
    <w:multiLevelType w:val="hybridMultilevel"/>
    <w:tmpl w:val="A4DC2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666034C4"/>
    <w:multiLevelType w:val="hybridMultilevel"/>
    <w:tmpl w:val="0F081D3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6E087980"/>
    <w:multiLevelType w:val="hybridMultilevel"/>
    <w:tmpl w:val="70FE5A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4"/>
  </w:num>
  <w:num w:numId="15">
    <w:abstractNumId w:val="11"/>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17"/>
  </w:num>
  <w:num w:numId="22">
    <w:abstractNumId w:val="20"/>
  </w:num>
  <w:num w:numId="23">
    <w:abstractNumId w:val="14"/>
  </w:num>
  <w:num w:numId="24">
    <w:abstractNumId w:val="16"/>
  </w:num>
  <w:num w:numId="25">
    <w:abstractNumId w:val="14"/>
  </w:num>
  <w:num w:numId="26">
    <w:abstractNumId w:val="1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2"/>
  </w:num>
  <w:num w:numId="31">
    <w:abstractNumId w:val="26"/>
  </w:num>
  <w:num w:numId="32">
    <w:abstractNumId w:val="19"/>
  </w:num>
  <w:num w:numId="33">
    <w:abstractNumId w:val="18"/>
  </w:num>
  <w:num w:numId="34">
    <w:abstractNumId w:val="23"/>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3BF1"/>
    <w:rsid w:val="000861A6"/>
    <w:rsid w:val="000D7FD3"/>
    <w:rsid w:val="000E7E7B"/>
    <w:rsid w:val="000F3BA2"/>
    <w:rsid w:val="00103F8C"/>
    <w:rsid w:val="001175BF"/>
    <w:rsid w:val="00130923"/>
    <w:rsid w:val="00132B66"/>
    <w:rsid w:val="001414F3"/>
    <w:rsid w:val="00143FCD"/>
    <w:rsid w:val="00152D18"/>
    <w:rsid w:val="00177642"/>
    <w:rsid w:val="0019211B"/>
    <w:rsid w:val="001A495D"/>
    <w:rsid w:val="001B6467"/>
    <w:rsid w:val="001C48A7"/>
    <w:rsid w:val="001F1F2F"/>
    <w:rsid w:val="002076E6"/>
    <w:rsid w:val="00222463"/>
    <w:rsid w:val="00223EB1"/>
    <w:rsid w:val="00236917"/>
    <w:rsid w:val="00241465"/>
    <w:rsid w:val="00243D6B"/>
    <w:rsid w:val="0026793C"/>
    <w:rsid w:val="002758D7"/>
    <w:rsid w:val="00276954"/>
    <w:rsid w:val="002822BD"/>
    <w:rsid w:val="002A11FB"/>
    <w:rsid w:val="002B06E6"/>
    <w:rsid w:val="002C3AA1"/>
    <w:rsid w:val="002D271F"/>
    <w:rsid w:val="002D6386"/>
    <w:rsid w:val="002D7D13"/>
    <w:rsid w:val="002F1999"/>
    <w:rsid w:val="00303892"/>
    <w:rsid w:val="00305B35"/>
    <w:rsid w:val="003155A7"/>
    <w:rsid w:val="003155A8"/>
    <w:rsid w:val="003166C5"/>
    <w:rsid w:val="003242B9"/>
    <w:rsid w:val="0034671D"/>
    <w:rsid w:val="003753C7"/>
    <w:rsid w:val="00376582"/>
    <w:rsid w:val="0038467B"/>
    <w:rsid w:val="00395311"/>
    <w:rsid w:val="003979FC"/>
    <w:rsid w:val="003D67D1"/>
    <w:rsid w:val="003D67FC"/>
    <w:rsid w:val="00406E5A"/>
    <w:rsid w:val="0041715E"/>
    <w:rsid w:val="0042619D"/>
    <w:rsid w:val="00443110"/>
    <w:rsid w:val="00455B34"/>
    <w:rsid w:val="00481F02"/>
    <w:rsid w:val="0048762C"/>
    <w:rsid w:val="004B256F"/>
    <w:rsid w:val="004F15A7"/>
    <w:rsid w:val="005113B6"/>
    <w:rsid w:val="00531817"/>
    <w:rsid w:val="00560CA0"/>
    <w:rsid w:val="005624F3"/>
    <w:rsid w:val="0056664D"/>
    <w:rsid w:val="005811EF"/>
    <w:rsid w:val="00585156"/>
    <w:rsid w:val="00586E30"/>
    <w:rsid w:val="005B0878"/>
    <w:rsid w:val="005B66CA"/>
    <w:rsid w:val="005C15C0"/>
    <w:rsid w:val="00610654"/>
    <w:rsid w:val="0062410D"/>
    <w:rsid w:val="006318B9"/>
    <w:rsid w:val="00651A1F"/>
    <w:rsid w:val="0067026C"/>
    <w:rsid w:val="006833F7"/>
    <w:rsid w:val="006E2D49"/>
    <w:rsid w:val="006F7976"/>
    <w:rsid w:val="00712BE3"/>
    <w:rsid w:val="007468FC"/>
    <w:rsid w:val="00782F1B"/>
    <w:rsid w:val="00792CA3"/>
    <w:rsid w:val="00796021"/>
    <w:rsid w:val="007B2FDD"/>
    <w:rsid w:val="007B7F38"/>
    <w:rsid w:val="007D58FB"/>
    <w:rsid w:val="007E0574"/>
    <w:rsid w:val="008163BB"/>
    <w:rsid w:val="00832FB2"/>
    <w:rsid w:val="0083468A"/>
    <w:rsid w:val="00842D43"/>
    <w:rsid w:val="008440B2"/>
    <w:rsid w:val="00845040"/>
    <w:rsid w:val="00856D1C"/>
    <w:rsid w:val="00876AC0"/>
    <w:rsid w:val="00890F13"/>
    <w:rsid w:val="008E773B"/>
    <w:rsid w:val="00903408"/>
    <w:rsid w:val="00905AD9"/>
    <w:rsid w:val="009116EA"/>
    <w:rsid w:val="00931E30"/>
    <w:rsid w:val="00933671"/>
    <w:rsid w:val="00971D09"/>
    <w:rsid w:val="00972BF7"/>
    <w:rsid w:val="00972DD5"/>
    <w:rsid w:val="00984879"/>
    <w:rsid w:val="00985632"/>
    <w:rsid w:val="00991B63"/>
    <w:rsid w:val="009B2428"/>
    <w:rsid w:val="009B5CB7"/>
    <w:rsid w:val="009C0EA3"/>
    <w:rsid w:val="009D3C4D"/>
    <w:rsid w:val="009F3E64"/>
    <w:rsid w:val="00A02AF0"/>
    <w:rsid w:val="00A0490D"/>
    <w:rsid w:val="00A1074C"/>
    <w:rsid w:val="00A145A2"/>
    <w:rsid w:val="00A31242"/>
    <w:rsid w:val="00A40A2D"/>
    <w:rsid w:val="00A475CB"/>
    <w:rsid w:val="00A50604"/>
    <w:rsid w:val="00A52530"/>
    <w:rsid w:val="00A551BF"/>
    <w:rsid w:val="00A571DC"/>
    <w:rsid w:val="00A66052"/>
    <w:rsid w:val="00A70524"/>
    <w:rsid w:val="00A73406"/>
    <w:rsid w:val="00AA464D"/>
    <w:rsid w:val="00AB2766"/>
    <w:rsid w:val="00AC65DA"/>
    <w:rsid w:val="00AD09E4"/>
    <w:rsid w:val="00AD5D0A"/>
    <w:rsid w:val="00AF1737"/>
    <w:rsid w:val="00B00D12"/>
    <w:rsid w:val="00B2722A"/>
    <w:rsid w:val="00B4243F"/>
    <w:rsid w:val="00B4447B"/>
    <w:rsid w:val="00B60E3A"/>
    <w:rsid w:val="00B618BA"/>
    <w:rsid w:val="00B82137"/>
    <w:rsid w:val="00B95503"/>
    <w:rsid w:val="00BA282D"/>
    <w:rsid w:val="00BA4D57"/>
    <w:rsid w:val="00BB6260"/>
    <w:rsid w:val="00BE4F09"/>
    <w:rsid w:val="00BF6463"/>
    <w:rsid w:val="00C03C81"/>
    <w:rsid w:val="00C05E74"/>
    <w:rsid w:val="00C10C19"/>
    <w:rsid w:val="00C143B8"/>
    <w:rsid w:val="00C17D02"/>
    <w:rsid w:val="00C33682"/>
    <w:rsid w:val="00C51192"/>
    <w:rsid w:val="00C5649C"/>
    <w:rsid w:val="00C66021"/>
    <w:rsid w:val="00C72A48"/>
    <w:rsid w:val="00C75486"/>
    <w:rsid w:val="00C8202C"/>
    <w:rsid w:val="00C91576"/>
    <w:rsid w:val="00C92A5B"/>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A2428"/>
    <w:rsid w:val="00DC3052"/>
    <w:rsid w:val="00DD022D"/>
    <w:rsid w:val="00DE5F75"/>
    <w:rsid w:val="00DF46C4"/>
    <w:rsid w:val="00DF4CA3"/>
    <w:rsid w:val="00E02515"/>
    <w:rsid w:val="00E12873"/>
    <w:rsid w:val="00E15C96"/>
    <w:rsid w:val="00E1604B"/>
    <w:rsid w:val="00E2102F"/>
    <w:rsid w:val="00E75A27"/>
    <w:rsid w:val="00E763A6"/>
    <w:rsid w:val="00EC78E7"/>
    <w:rsid w:val="00ED43D2"/>
    <w:rsid w:val="00EE3B8C"/>
    <w:rsid w:val="00EF25D6"/>
    <w:rsid w:val="00EF4A38"/>
    <w:rsid w:val="00EF5845"/>
    <w:rsid w:val="00F11B8F"/>
    <w:rsid w:val="00F21BBD"/>
    <w:rsid w:val="00F332ED"/>
    <w:rsid w:val="00F379D0"/>
    <w:rsid w:val="00F47193"/>
    <w:rsid w:val="00F501B4"/>
    <w:rsid w:val="00F74011"/>
    <w:rsid w:val="00F76175"/>
    <w:rsid w:val="00F80CFC"/>
    <w:rsid w:val="00F80DCB"/>
    <w:rsid w:val="00F958AE"/>
    <w:rsid w:val="00F97875"/>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CF"/>
    <w:rsid w:val="001761D8"/>
    <w:rsid w:val="00443432"/>
    <w:rsid w:val="004703CF"/>
    <w:rsid w:val="005909C7"/>
    <w:rsid w:val="00606B84"/>
    <w:rsid w:val="006F08A1"/>
    <w:rsid w:val="008E4BD0"/>
    <w:rsid w:val="00914652"/>
    <w:rsid w:val="00AB44BC"/>
    <w:rsid w:val="00E71A53"/>
    <w:rsid w:val="00EF5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40A0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A1"/>
    <w:rPr>
      <w:color w:val="808080"/>
    </w:rPr>
  </w:style>
  <w:style w:type="paragraph" w:customStyle="1" w:styleId="E97063BFE63042688913321C39A0E181">
    <w:name w:val="E97063BFE63042688913321C39A0E181"/>
  </w:style>
  <w:style w:type="paragraph" w:customStyle="1" w:styleId="5A7A11FF4F8B4861A544D611DDF89F3D">
    <w:name w:val="5A7A11FF4F8B4861A544D611DDF89F3D"/>
    <w:rsid w:val="00E71A53"/>
  </w:style>
  <w:style w:type="paragraph" w:customStyle="1" w:styleId="A94813BB1AB84FCAB352BC73E323D0CC">
    <w:name w:val="A94813BB1AB84FCAB352BC73E323D0CC"/>
    <w:rsid w:val="00EF5EF6"/>
  </w:style>
  <w:style w:type="paragraph" w:customStyle="1" w:styleId="B0D9A7B99A4645DDBE88E9001C7550CE">
    <w:name w:val="B0D9A7B99A4645DDBE88E9001C7550CE"/>
    <w:rsid w:val="005909C7"/>
  </w:style>
  <w:style w:type="paragraph" w:customStyle="1" w:styleId="215A3FE8A78F4EAA9673D707E9484C36">
    <w:name w:val="215A3FE8A78F4EAA9673D707E9484C36"/>
    <w:rsid w:val="006F08A1"/>
    <w:pPr>
      <w:spacing w:after="160" w:line="259" w:lineRule="auto"/>
    </w:pPr>
  </w:style>
  <w:style w:type="paragraph" w:customStyle="1" w:styleId="D59AED73930E4A8C84CEFA5209B5F2BF">
    <w:name w:val="D59AED73930E4A8C84CEFA5209B5F2BF"/>
    <w:rsid w:val="006F08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2.xml><?xml version="1.0" encoding="utf-8"?>
<ds:datastoreItem xmlns:ds="http://schemas.openxmlformats.org/officeDocument/2006/customXml" ds:itemID="{F0FAAB01-E58C-4841-B922-14ADCC30097F}">
  <ds:schemaRefs>
    <ds:schemaRef ds:uri="http://purl.org/dc/dcmitype/"/>
    <ds:schemaRef ds:uri="http://schemas.microsoft.com/office/infopath/2007/PartnerControls"/>
    <ds:schemaRef ds:uri="c5a0bbd5-585e-4472-9791-5df67fe41a90"/>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B7D46-549F-4708-B8E1-ABC75D7D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1F8FFF99.dotm</Template>
  <TotalTime>1</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CAMPBELL,Lauren</cp:lastModifiedBy>
  <cp:revision>3</cp:revision>
  <cp:lastPrinted>2018-02-27T21:46:00Z</cp:lastPrinted>
  <dcterms:created xsi:type="dcterms:W3CDTF">2018-03-27T02:49:00Z</dcterms:created>
  <dcterms:modified xsi:type="dcterms:W3CDTF">2018-03-27T02:50:00Z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