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2F7A7" w14:textId="7ABEADE4" w:rsidR="00E75A27" w:rsidRDefault="00E75A27" w:rsidP="00FB4EF9">
      <w:pPr>
        <w:pStyle w:val="Subtitle"/>
        <w:tabs>
          <w:tab w:val="left" w:pos="1725"/>
        </w:tabs>
        <w:ind w:right="-22"/>
      </w:pPr>
      <w:r w:rsidRPr="00E75A27">
        <w:t>ACCESS AND PARTICIPATION PLAN 2018</w:t>
      </w:r>
    </w:p>
    <w:p w14:paraId="6C007826" w14:textId="4CE81C17" w:rsidR="00E75A27" w:rsidRPr="00E75A27" w:rsidRDefault="00986D84" w:rsidP="00E75A27">
      <w:pPr>
        <w:pStyle w:val="Heading2"/>
      </w:pPr>
      <w:r>
        <w:t>Charles Darwin University</w:t>
      </w:r>
    </w:p>
    <w:p w14:paraId="690E4489" w14:textId="77777777" w:rsidR="00E75A27" w:rsidRPr="005F20C2" w:rsidRDefault="00E75A27" w:rsidP="00E75A27">
      <w:pPr>
        <w:spacing w:after="0" w:line="240" w:lineRule="auto"/>
        <w:rPr>
          <w:rFonts w:ascii="Calibri" w:hAnsi="Calibri" w:cstheme="minorHAnsi"/>
        </w:rPr>
      </w:pPr>
    </w:p>
    <w:p w14:paraId="28EC4B57" w14:textId="77777777" w:rsidR="00C10DE6" w:rsidRDefault="00E75A27" w:rsidP="00E12873">
      <w:pPr>
        <w:pStyle w:val="ListNumber"/>
        <w:numPr>
          <w:ilvl w:val="0"/>
          <w:numId w:val="27"/>
        </w:numPr>
        <w:spacing w:after="240" w:line="240" w:lineRule="auto"/>
        <w:ind w:left="357" w:hanging="357"/>
        <w:rPr>
          <w:sz w:val="24"/>
          <w:szCs w:val="24"/>
        </w:rPr>
      </w:pPr>
      <w:r w:rsidRPr="00712BE3">
        <w:rPr>
          <w:b/>
          <w:sz w:val="24"/>
          <w:szCs w:val="24"/>
        </w:rPr>
        <w:t>Equity outcomes</w:t>
      </w:r>
      <w:r w:rsidR="00BE4F09" w:rsidRPr="00712BE3">
        <w:rPr>
          <w:b/>
          <w:sz w:val="24"/>
          <w:szCs w:val="24"/>
        </w:rPr>
        <w:t xml:space="preserve"> and strategies</w:t>
      </w:r>
      <w:r w:rsidRPr="00712BE3">
        <w:rPr>
          <w:sz w:val="24"/>
          <w:szCs w:val="24"/>
        </w:rPr>
        <w:t xml:space="preserve">: </w:t>
      </w:r>
      <w:r w:rsidR="00BE4F09" w:rsidRPr="00712BE3">
        <w:rPr>
          <w:sz w:val="24"/>
          <w:szCs w:val="24"/>
        </w:rPr>
        <w:t>for improving outcomes for people from a low SES background</w:t>
      </w:r>
      <w:r w:rsidRPr="00712BE3">
        <w:rPr>
          <w:sz w:val="24"/>
          <w:szCs w:val="24"/>
        </w:rPr>
        <w:t>.</w:t>
      </w:r>
    </w:p>
    <w:p w14:paraId="11C5D25A" w14:textId="57C56ECA" w:rsidR="00263488" w:rsidRPr="00263488" w:rsidRDefault="00263488" w:rsidP="00263488">
      <w:pPr>
        <w:pStyle w:val="ListNumber2"/>
        <w:numPr>
          <w:ilvl w:val="1"/>
          <w:numId w:val="27"/>
        </w:numPr>
        <w:rPr>
          <w:sz w:val="24"/>
          <w:szCs w:val="24"/>
        </w:rPr>
      </w:pPr>
      <w:r w:rsidRPr="00263488">
        <w:rPr>
          <w:sz w:val="24"/>
          <w:szCs w:val="24"/>
        </w:rPr>
        <w:lastRenderedPageBreak/>
        <w:t>An increase in the number of Indigenous students commencing HE programs to 15% of CDU students by 2025</w:t>
      </w:r>
      <w:r>
        <w:rPr>
          <w:sz w:val="24"/>
          <w:szCs w:val="24"/>
        </w:rPr>
        <w:t>.</w:t>
      </w:r>
    </w:p>
    <w:p w14:paraId="55F10541" w14:textId="23C68415" w:rsidR="00C10DE6" w:rsidRPr="00263488" w:rsidRDefault="0079030E" w:rsidP="00263488">
      <w:pPr>
        <w:pStyle w:val="ListNumber2"/>
        <w:numPr>
          <w:ilvl w:val="1"/>
          <w:numId w:val="27"/>
        </w:numPr>
        <w:rPr>
          <w:sz w:val="24"/>
          <w:szCs w:val="24"/>
        </w:rPr>
      </w:pPr>
      <w:r w:rsidRPr="00263488">
        <w:rPr>
          <w:sz w:val="24"/>
          <w:szCs w:val="24"/>
        </w:rPr>
        <w:t>A</w:t>
      </w:r>
      <w:r w:rsidR="00C10DE6" w:rsidRPr="00263488">
        <w:rPr>
          <w:sz w:val="24"/>
          <w:szCs w:val="24"/>
        </w:rPr>
        <w:t xml:space="preserve"> first-year Indigenous student retention rate</w:t>
      </w:r>
      <w:r w:rsidRPr="00263488">
        <w:rPr>
          <w:sz w:val="24"/>
          <w:szCs w:val="24"/>
        </w:rPr>
        <w:t xml:space="preserve"> (post census)</w:t>
      </w:r>
      <w:r w:rsidR="00C10DE6" w:rsidRPr="00263488">
        <w:rPr>
          <w:sz w:val="24"/>
          <w:szCs w:val="24"/>
        </w:rPr>
        <w:t xml:space="preserve"> </w:t>
      </w:r>
      <w:r w:rsidRPr="00263488">
        <w:rPr>
          <w:sz w:val="24"/>
          <w:szCs w:val="24"/>
        </w:rPr>
        <w:t>of 60% by 2025 with the long term aim to achieve parity.</w:t>
      </w:r>
    </w:p>
    <w:p w14:paraId="1E970C7B" w14:textId="211CA027" w:rsidR="00263488" w:rsidRDefault="00263488" w:rsidP="00263488">
      <w:pPr>
        <w:pStyle w:val="ListNumber2"/>
        <w:numPr>
          <w:ilvl w:val="1"/>
          <w:numId w:val="27"/>
        </w:numPr>
        <w:rPr>
          <w:sz w:val="24"/>
          <w:szCs w:val="24"/>
        </w:rPr>
      </w:pPr>
      <w:r w:rsidRPr="00263488">
        <w:rPr>
          <w:sz w:val="24"/>
          <w:szCs w:val="24"/>
        </w:rPr>
        <w:t xml:space="preserve">A rise in the HE Indigenous student retention rate to 60% by 2025, with a long-term aspiration to reach parity between Indigenous and non-Indigenous student retention. </w:t>
      </w:r>
    </w:p>
    <w:p w14:paraId="1972E5AA" w14:textId="5E091C7F" w:rsidR="0079030E" w:rsidRPr="00263488" w:rsidRDefault="0079030E" w:rsidP="00263488">
      <w:pPr>
        <w:pStyle w:val="ListNumber2"/>
        <w:numPr>
          <w:ilvl w:val="1"/>
          <w:numId w:val="27"/>
        </w:numPr>
        <w:rPr>
          <w:sz w:val="24"/>
          <w:szCs w:val="24"/>
        </w:rPr>
      </w:pPr>
      <w:r w:rsidRPr="00263488">
        <w:rPr>
          <w:sz w:val="24"/>
          <w:szCs w:val="24"/>
        </w:rPr>
        <w:t>A first-year all-undergraduate student retention rate (post census) of 75% by 2025;</w:t>
      </w:r>
    </w:p>
    <w:p w14:paraId="2D36270A" w14:textId="77777777" w:rsidR="00395311" w:rsidRPr="00712BE3" w:rsidRDefault="00395311" w:rsidP="00395311">
      <w:pPr>
        <w:pStyle w:val="ListNumber"/>
        <w:numPr>
          <w:ilvl w:val="0"/>
          <w:numId w:val="0"/>
        </w:numPr>
        <w:spacing w:after="240" w:line="240" w:lineRule="auto"/>
        <w:ind w:left="357"/>
        <w:rPr>
          <w:sz w:val="24"/>
          <w:szCs w:val="24"/>
        </w:rPr>
      </w:pPr>
    </w:p>
    <w:p w14:paraId="186F897B" w14:textId="05D7CDFF" w:rsidR="00395311" w:rsidRDefault="00E75A27" w:rsidP="00395311">
      <w:pPr>
        <w:pStyle w:val="ListNumber"/>
        <w:numPr>
          <w:ilvl w:val="0"/>
          <w:numId w:val="27"/>
        </w:numPr>
        <w:spacing w:after="240" w:line="240" w:lineRule="auto"/>
        <w:rPr>
          <w:sz w:val="24"/>
          <w:szCs w:val="24"/>
        </w:rPr>
      </w:pPr>
      <w:r w:rsidRPr="00712BE3">
        <w:rPr>
          <w:b/>
          <w:sz w:val="24"/>
          <w:szCs w:val="24"/>
        </w:rPr>
        <w:t>Key activities</w:t>
      </w:r>
      <w:r w:rsidRPr="00712BE3">
        <w:rPr>
          <w:sz w:val="24"/>
          <w:szCs w:val="24"/>
        </w:rPr>
        <w:t xml:space="preserve">: </w:t>
      </w:r>
      <w:r w:rsidRPr="00B60E3A">
        <w:rPr>
          <w:sz w:val="24"/>
          <w:szCs w:val="24"/>
        </w:rPr>
        <w:t>which will deliver an increase in the access, participation and success of people from a low SES background.</w:t>
      </w:r>
    </w:p>
    <w:p w14:paraId="179C3588" w14:textId="6157BEF7" w:rsidR="00C10DE6" w:rsidRPr="00C10DE6" w:rsidRDefault="00C10DE6" w:rsidP="00C10DE6">
      <w:pPr>
        <w:pStyle w:val="ListNumber2"/>
        <w:numPr>
          <w:ilvl w:val="1"/>
          <w:numId w:val="27"/>
        </w:numPr>
        <w:spacing w:after="240" w:line="240" w:lineRule="auto"/>
        <w:rPr>
          <w:sz w:val="24"/>
          <w:szCs w:val="24"/>
        </w:rPr>
      </w:pPr>
      <w:r>
        <w:rPr>
          <w:sz w:val="24"/>
          <w:szCs w:val="24"/>
        </w:rPr>
        <w:t xml:space="preserve">Connect, Discover, Grow, </w:t>
      </w:r>
      <w:r w:rsidRPr="00C10DE6">
        <w:rPr>
          <w:sz w:val="24"/>
          <w:szCs w:val="24"/>
        </w:rPr>
        <w:t>the University’s new Strategic Plan</w:t>
      </w:r>
    </w:p>
    <w:p w14:paraId="5EBE6983" w14:textId="7FD6AF8B" w:rsidR="00C10DE6" w:rsidRPr="006D0F97" w:rsidRDefault="00C10DE6" w:rsidP="00C10DE6">
      <w:pPr>
        <w:pStyle w:val="ListNumber2"/>
        <w:numPr>
          <w:ilvl w:val="1"/>
          <w:numId w:val="27"/>
        </w:numPr>
        <w:rPr>
          <w:sz w:val="24"/>
          <w:szCs w:val="24"/>
        </w:rPr>
      </w:pPr>
      <w:r w:rsidRPr="006D0F97">
        <w:rPr>
          <w:sz w:val="24"/>
          <w:szCs w:val="24"/>
        </w:rPr>
        <w:t>Reconciliation Action Plan</w:t>
      </w:r>
    </w:p>
    <w:p w14:paraId="49E2AEE4" w14:textId="505838B6" w:rsidR="00C10DE6" w:rsidRPr="006D0F97" w:rsidRDefault="00C10DE6" w:rsidP="00C10DE6">
      <w:pPr>
        <w:pStyle w:val="ListNumber2"/>
        <w:numPr>
          <w:ilvl w:val="1"/>
          <w:numId w:val="27"/>
        </w:numPr>
        <w:rPr>
          <w:sz w:val="24"/>
          <w:szCs w:val="24"/>
        </w:rPr>
      </w:pPr>
      <w:r w:rsidRPr="006D0F97">
        <w:rPr>
          <w:sz w:val="24"/>
          <w:szCs w:val="24"/>
        </w:rPr>
        <w:t>Indigenous Tertiary Education Plan</w:t>
      </w:r>
    </w:p>
    <w:p w14:paraId="185C34AD" w14:textId="7A33CBBD" w:rsidR="00C10DE6" w:rsidRPr="006D0F97" w:rsidRDefault="00C10DE6" w:rsidP="00C10DE6">
      <w:pPr>
        <w:pStyle w:val="ListNumber2"/>
        <w:numPr>
          <w:ilvl w:val="1"/>
          <w:numId w:val="27"/>
        </w:numPr>
        <w:rPr>
          <w:sz w:val="24"/>
          <w:szCs w:val="24"/>
        </w:rPr>
      </w:pPr>
      <w:r w:rsidRPr="006D0F97">
        <w:rPr>
          <w:sz w:val="24"/>
          <w:szCs w:val="24"/>
        </w:rPr>
        <w:t>Indigenous Learning &amp; Teaching Plan</w:t>
      </w:r>
    </w:p>
    <w:p w14:paraId="245D8E24" w14:textId="32D0099D" w:rsidR="00C10DE6" w:rsidRPr="006D0F97" w:rsidRDefault="00C10DE6" w:rsidP="00C10DE6">
      <w:pPr>
        <w:pStyle w:val="ListNumber2"/>
        <w:numPr>
          <w:ilvl w:val="1"/>
          <w:numId w:val="27"/>
        </w:numPr>
        <w:rPr>
          <w:sz w:val="24"/>
          <w:szCs w:val="24"/>
        </w:rPr>
      </w:pPr>
      <w:r w:rsidRPr="006D0F97">
        <w:rPr>
          <w:sz w:val="24"/>
          <w:szCs w:val="24"/>
        </w:rPr>
        <w:t>Indigenous Recruitment and Retention Strategy</w:t>
      </w:r>
    </w:p>
    <w:p w14:paraId="3422C4E2" w14:textId="12F7D645" w:rsidR="00C10DE6" w:rsidRPr="006D0F97" w:rsidRDefault="00C10DE6" w:rsidP="00C10DE6">
      <w:pPr>
        <w:pStyle w:val="ListNumber2"/>
        <w:numPr>
          <w:ilvl w:val="1"/>
          <w:numId w:val="27"/>
        </w:numPr>
        <w:rPr>
          <w:sz w:val="24"/>
          <w:szCs w:val="24"/>
        </w:rPr>
      </w:pPr>
      <w:r w:rsidRPr="006D0F97">
        <w:rPr>
          <w:sz w:val="24"/>
          <w:szCs w:val="24"/>
        </w:rPr>
        <w:t>Learning &amp; Teaching Plan</w:t>
      </w:r>
      <w:r w:rsidR="006D0F97">
        <w:rPr>
          <w:sz w:val="24"/>
          <w:szCs w:val="24"/>
        </w:rPr>
        <w:t xml:space="preserve"> (2018)</w:t>
      </w:r>
    </w:p>
    <w:p w14:paraId="34E7E8B8" w14:textId="69E20EA6" w:rsidR="00C10DE6" w:rsidRPr="006D0F97" w:rsidRDefault="00C10DE6" w:rsidP="00C10DE6">
      <w:pPr>
        <w:pStyle w:val="ListNumber2"/>
        <w:numPr>
          <w:ilvl w:val="1"/>
          <w:numId w:val="27"/>
        </w:numPr>
        <w:rPr>
          <w:sz w:val="24"/>
          <w:szCs w:val="24"/>
        </w:rPr>
      </w:pPr>
      <w:r w:rsidRPr="006D0F97">
        <w:rPr>
          <w:sz w:val="24"/>
          <w:szCs w:val="24"/>
        </w:rPr>
        <w:t>University Equity Plan (draft under revision)</w:t>
      </w:r>
    </w:p>
    <w:p w14:paraId="43066882" w14:textId="0E5551D1" w:rsidR="00C10DE6" w:rsidRPr="006D0F97" w:rsidRDefault="00C10DE6" w:rsidP="00C10DE6">
      <w:pPr>
        <w:pStyle w:val="ListNumber2"/>
        <w:numPr>
          <w:ilvl w:val="1"/>
          <w:numId w:val="27"/>
        </w:numPr>
        <w:rPr>
          <w:sz w:val="24"/>
          <w:szCs w:val="24"/>
        </w:rPr>
      </w:pPr>
      <w:r w:rsidRPr="006D0F97">
        <w:rPr>
          <w:sz w:val="24"/>
          <w:szCs w:val="24"/>
        </w:rPr>
        <w:t>Disability Action Plan (draft under revision)</w:t>
      </w:r>
    </w:p>
    <w:p w14:paraId="38D7D6DD" w14:textId="77777777" w:rsidR="00C10DE6" w:rsidRPr="00C10DE6" w:rsidRDefault="00C10DE6" w:rsidP="00C10DE6">
      <w:pPr>
        <w:autoSpaceDE w:val="0"/>
        <w:autoSpaceDN w:val="0"/>
        <w:adjustRightInd w:val="0"/>
        <w:spacing w:after="0" w:line="240" w:lineRule="auto"/>
        <w:rPr>
          <w:rFonts w:ascii="Calibri" w:hAnsi="Calibri" w:cs="Calibri"/>
          <w:color w:val="000000"/>
          <w:sz w:val="24"/>
          <w:szCs w:val="24"/>
        </w:rPr>
      </w:pPr>
    </w:p>
    <w:p w14:paraId="4B5ABFB7" w14:textId="7CDAE72C" w:rsidR="00C10DE6" w:rsidRDefault="00C10DE6" w:rsidP="00C10DE6">
      <w:pPr>
        <w:autoSpaceDE w:val="0"/>
        <w:autoSpaceDN w:val="0"/>
        <w:adjustRightInd w:val="0"/>
        <w:spacing w:after="0" w:line="240" w:lineRule="auto"/>
        <w:rPr>
          <w:rFonts w:ascii="Calibri" w:hAnsi="Calibri" w:cs="Calibri"/>
          <w:iCs/>
          <w:color w:val="000000"/>
          <w:sz w:val="24"/>
          <w:szCs w:val="24"/>
        </w:rPr>
      </w:pPr>
      <w:r w:rsidRPr="00C10DE6">
        <w:rPr>
          <w:rFonts w:ascii="Calibri" w:hAnsi="Calibri" w:cs="Calibri"/>
          <w:iCs/>
          <w:color w:val="000000"/>
          <w:sz w:val="24"/>
          <w:szCs w:val="24"/>
        </w:rPr>
        <w:t xml:space="preserve">Some specific strategies for improving Access and Participation include, but are not limited to, the following: </w:t>
      </w:r>
    </w:p>
    <w:p w14:paraId="74E39099" w14:textId="592F231C" w:rsidR="00C10DE6" w:rsidRDefault="00C10DE6" w:rsidP="00C10DE6">
      <w:pPr>
        <w:autoSpaceDE w:val="0"/>
        <w:autoSpaceDN w:val="0"/>
        <w:adjustRightInd w:val="0"/>
        <w:spacing w:after="0" w:line="240" w:lineRule="auto"/>
        <w:rPr>
          <w:rFonts w:ascii="Calibri" w:hAnsi="Calibri" w:cs="Calibri"/>
          <w:iCs/>
          <w:color w:val="000000"/>
          <w:sz w:val="24"/>
          <w:szCs w:val="24"/>
        </w:rPr>
      </w:pPr>
    </w:p>
    <w:p w14:paraId="0062C7CF" w14:textId="6F7E6E9C" w:rsidR="00C10DE6" w:rsidRPr="0014000C" w:rsidRDefault="00D476F3" w:rsidP="00C10DE6">
      <w:pPr>
        <w:autoSpaceDE w:val="0"/>
        <w:autoSpaceDN w:val="0"/>
        <w:adjustRightInd w:val="0"/>
        <w:spacing w:after="0" w:line="240" w:lineRule="auto"/>
        <w:rPr>
          <w:rFonts w:ascii="Calibri" w:hAnsi="Calibri" w:cs="Calibri"/>
          <w:b/>
          <w:iCs/>
          <w:sz w:val="24"/>
          <w:szCs w:val="24"/>
        </w:rPr>
      </w:pPr>
      <w:r w:rsidRPr="0014000C">
        <w:rPr>
          <w:rFonts w:ascii="Calibri" w:hAnsi="Calibri" w:cs="Calibri"/>
          <w:b/>
          <w:iCs/>
          <w:sz w:val="24"/>
          <w:szCs w:val="24"/>
        </w:rPr>
        <w:t>2018 10-</w:t>
      </w:r>
      <w:r w:rsidR="00C10DE6" w:rsidRPr="0014000C">
        <w:rPr>
          <w:rFonts w:ascii="Calibri" w:hAnsi="Calibri" w:cs="Calibri"/>
          <w:b/>
          <w:iCs/>
          <w:sz w:val="24"/>
          <w:szCs w:val="24"/>
        </w:rPr>
        <w:t>Point Action Plan</w:t>
      </w:r>
    </w:p>
    <w:p w14:paraId="392F52C2" w14:textId="25B59089" w:rsidR="009E53C4" w:rsidRPr="0014000C" w:rsidRDefault="00C10DE6" w:rsidP="00C10DE6">
      <w:pPr>
        <w:autoSpaceDE w:val="0"/>
        <w:autoSpaceDN w:val="0"/>
        <w:adjustRightInd w:val="0"/>
        <w:spacing w:after="0" w:line="240" w:lineRule="auto"/>
        <w:rPr>
          <w:rFonts w:ascii="Calibri" w:hAnsi="Calibri" w:cs="Calibri"/>
          <w:iCs/>
          <w:sz w:val="24"/>
          <w:szCs w:val="24"/>
        </w:rPr>
      </w:pPr>
      <w:r w:rsidRPr="0014000C">
        <w:rPr>
          <w:rFonts w:ascii="Calibri" w:hAnsi="Calibri" w:cs="Calibri"/>
          <w:iCs/>
          <w:sz w:val="24"/>
          <w:szCs w:val="24"/>
        </w:rPr>
        <w:t>The University has engaged a consultant to conduct a seri</w:t>
      </w:r>
      <w:r w:rsidR="00263488" w:rsidRPr="0014000C">
        <w:rPr>
          <w:rFonts w:ascii="Calibri" w:hAnsi="Calibri" w:cs="Calibri"/>
          <w:iCs/>
          <w:sz w:val="24"/>
          <w:szCs w:val="24"/>
        </w:rPr>
        <w:t>es of</w:t>
      </w:r>
      <w:r w:rsidRPr="0014000C">
        <w:rPr>
          <w:rFonts w:ascii="Calibri" w:hAnsi="Calibri" w:cs="Calibri"/>
          <w:iCs/>
          <w:sz w:val="24"/>
          <w:szCs w:val="24"/>
        </w:rPr>
        <w:t xml:space="preserve"> workshops with staff in 2018 combined with an analysis of </w:t>
      </w:r>
      <w:r w:rsidR="009E53C4" w:rsidRPr="0014000C">
        <w:rPr>
          <w:rFonts w:ascii="Calibri" w:hAnsi="Calibri" w:cs="Calibri"/>
          <w:iCs/>
          <w:sz w:val="24"/>
          <w:szCs w:val="24"/>
        </w:rPr>
        <w:t>relevant internal and external research into student retention and success. This project will:</w:t>
      </w:r>
    </w:p>
    <w:p w14:paraId="7B470D46" w14:textId="71BD879E" w:rsidR="00C10DE6" w:rsidRPr="0014000C" w:rsidRDefault="009E53C4" w:rsidP="009E53C4">
      <w:pPr>
        <w:pStyle w:val="ListParagraph"/>
        <w:numPr>
          <w:ilvl w:val="0"/>
          <w:numId w:val="32"/>
        </w:numPr>
        <w:autoSpaceDE w:val="0"/>
        <w:autoSpaceDN w:val="0"/>
        <w:adjustRightInd w:val="0"/>
        <w:spacing w:after="0" w:line="240" w:lineRule="auto"/>
        <w:rPr>
          <w:rFonts w:ascii="Calibri" w:hAnsi="Calibri" w:cs="Calibri"/>
          <w:iCs/>
          <w:sz w:val="24"/>
          <w:szCs w:val="24"/>
        </w:rPr>
      </w:pPr>
      <w:r w:rsidRPr="0014000C">
        <w:rPr>
          <w:rFonts w:ascii="Calibri" w:hAnsi="Calibri" w:cs="Calibri"/>
          <w:iCs/>
          <w:sz w:val="24"/>
          <w:szCs w:val="24"/>
        </w:rPr>
        <w:t xml:space="preserve">Recommend a </w:t>
      </w:r>
      <w:r w:rsidR="00D476F3" w:rsidRPr="0014000C">
        <w:rPr>
          <w:rFonts w:ascii="Calibri" w:hAnsi="Calibri" w:cs="Calibri"/>
          <w:iCs/>
          <w:sz w:val="24"/>
          <w:szCs w:val="24"/>
        </w:rPr>
        <w:t>10-point</w:t>
      </w:r>
      <w:r w:rsidRPr="0014000C">
        <w:rPr>
          <w:rFonts w:ascii="Calibri" w:hAnsi="Calibri" w:cs="Calibri"/>
          <w:iCs/>
          <w:sz w:val="24"/>
          <w:szCs w:val="24"/>
        </w:rPr>
        <w:t xml:space="preserve"> action plan that will identify short (2018) to medium term actions to improve retention and success for target student demographics including low SES.</w:t>
      </w:r>
    </w:p>
    <w:p w14:paraId="63498E07" w14:textId="7899A6E0" w:rsidR="009E53C4" w:rsidRPr="0014000C" w:rsidRDefault="009E53C4" w:rsidP="009E53C4">
      <w:pPr>
        <w:pStyle w:val="ListParagraph"/>
        <w:numPr>
          <w:ilvl w:val="0"/>
          <w:numId w:val="32"/>
        </w:numPr>
        <w:autoSpaceDE w:val="0"/>
        <w:autoSpaceDN w:val="0"/>
        <w:adjustRightInd w:val="0"/>
        <w:spacing w:after="0" w:line="240" w:lineRule="auto"/>
        <w:rPr>
          <w:rFonts w:ascii="Calibri" w:hAnsi="Calibri" w:cs="Calibri"/>
          <w:iCs/>
          <w:sz w:val="24"/>
          <w:szCs w:val="24"/>
        </w:rPr>
      </w:pPr>
      <w:r w:rsidRPr="0014000C">
        <w:rPr>
          <w:rFonts w:ascii="Calibri" w:hAnsi="Calibri" w:cs="Calibri"/>
          <w:iCs/>
          <w:sz w:val="24"/>
          <w:szCs w:val="24"/>
        </w:rPr>
        <w:t xml:space="preserve">Provide data and analysis to support the development of a university wide </w:t>
      </w:r>
      <w:r w:rsidR="005B53E7" w:rsidRPr="0014000C">
        <w:rPr>
          <w:rFonts w:ascii="Calibri" w:hAnsi="Calibri" w:cs="Calibri"/>
          <w:iCs/>
          <w:sz w:val="24"/>
          <w:szCs w:val="24"/>
        </w:rPr>
        <w:t xml:space="preserve">Student Success </w:t>
      </w:r>
      <w:r w:rsidR="00263488" w:rsidRPr="0014000C">
        <w:rPr>
          <w:rFonts w:ascii="Calibri" w:hAnsi="Calibri" w:cs="Calibri"/>
          <w:iCs/>
          <w:sz w:val="24"/>
          <w:szCs w:val="24"/>
        </w:rPr>
        <w:t xml:space="preserve">and Retention </w:t>
      </w:r>
      <w:r w:rsidR="005B53E7" w:rsidRPr="0014000C">
        <w:rPr>
          <w:rFonts w:ascii="Calibri" w:hAnsi="Calibri" w:cs="Calibri"/>
          <w:iCs/>
          <w:sz w:val="24"/>
          <w:szCs w:val="24"/>
        </w:rPr>
        <w:t>P</w:t>
      </w:r>
      <w:r w:rsidR="005F2A0F">
        <w:rPr>
          <w:rFonts w:ascii="Calibri" w:hAnsi="Calibri" w:cs="Calibri"/>
          <w:iCs/>
          <w:sz w:val="24"/>
          <w:szCs w:val="24"/>
        </w:rPr>
        <w:t>lan in 2018 to meet student needs at all points of the student lifecycle.</w:t>
      </w:r>
    </w:p>
    <w:p w14:paraId="24C11F37" w14:textId="52155FB9" w:rsidR="005F2A0F" w:rsidRPr="005F2A0F" w:rsidRDefault="005B53E7" w:rsidP="005F2A0F">
      <w:pPr>
        <w:pStyle w:val="ListParagraph"/>
        <w:numPr>
          <w:ilvl w:val="0"/>
          <w:numId w:val="32"/>
        </w:numPr>
        <w:autoSpaceDE w:val="0"/>
        <w:autoSpaceDN w:val="0"/>
        <w:adjustRightInd w:val="0"/>
        <w:spacing w:after="0" w:line="240" w:lineRule="auto"/>
        <w:rPr>
          <w:rFonts w:ascii="Calibri" w:hAnsi="Calibri" w:cs="Calibri"/>
          <w:iCs/>
          <w:sz w:val="24"/>
          <w:szCs w:val="24"/>
        </w:rPr>
      </w:pPr>
      <w:r w:rsidRPr="0014000C">
        <w:rPr>
          <w:rFonts w:ascii="Calibri" w:hAnsi="Calibri" w:cs="Calibri"/>
          <w:iCs/>
          <w:sz w:val="24"/>
          <w:szCs w:val="24"/>
        </w:rPr>
        <w:t>Provide data and analysis to support the development of the universi</w:t>
      </w:r>
      <w:r w:rsidR="00D476F3" w:rsidRPr="0014000C">
        <w:rPr>
          <w:rFonts w:ascii="Calibri" w:hAnsi="Calibri" w:cs="Calibri"/>
          <w:iCs/>
          <w:sz w:val="24"/>
          <w:szCs w:val="24"/>
        </w:rPr>
        <w:t>ty Learning</w:t>
      </w:r>
      <w:r w:rsidR="006D0F97" w:rsidRPr="0014000C">
        <w:rPr>
          <w:rFonts w:ascii="Calibri" w:hAnsi="Calibri" w:cs="Calibri"/>
          <w:iCs/>
          <w:sz w:val="24"/>
          <w:szCs w:val="24"/>
        </w:rPr>
        <w:t xml:space="preserve"> and Teaching</w:t>
      </w:r>
      <w:r w:rsidR="00D476F3" w:rsidRPr="0014000C">
        <w:rPr>
          <w:rFonts w:ascii="Calibri" w:hAnsi="Calibri" w:cs="Calibri"/>
          <w:iCs/>
          <w:sz w:val="24"/>
          <w:szCs w:val="24"/>
        </w:rPr>
        <w:t xml:space="preserve"> Plan in 2018.</w:t>
      </w:r>
    </w:p>
    <w:p w14:paraId="257B0E28" w14:textId="580B5DBC" w:rsidR="00C10DE6" w:rsidRPr="005B53E7" w:rsidRDefault="00C10DE6" w:rsidP="00C10DE6">
      <w:pPr>
        <w:autoSpaceDE w:val="0"/>
        <w:autoSpaceDN w:val="0"/>
        <w:adjustRightInd w:val="0"/>
        <w:spacing w:after="0" w:line="240" w:lineRule="auto"/>
        <w:rPr>
          <w:rFonts w:ascii="Calibri" w:hAnsi="Calibri" w:cs="Calibri"/>
          <w:iCs/>
          <w:color w:val="00B050"/>
          <w:sz w:val="24"/>
          <w:szCs w:val="24"/>
        </w:rPr>
      </w:pPr>
      <w:bookmarkStart w:id="0" w:name="_GoBack"/>
      <w:bookmarkEnd w:id="0"/>
    </w:p>
    <w:p w14:paraId="4717CB04" w14:textId="4255817F" w:rsidR="009E53C4" w:rsidRPr="0014000C" w:rsidRDefault="009E53C4" w:rsidP="00C10DE6">
      <w:pPr>
        <w:autoSpaceDE w:val="0"/>
        <w:autoSpaceDN w:val="0"/>
        <w:adjustRightInd w:val="0"/>
        <w:spacing w:after="0" w:line="240" w:lineRule="auto"/>
        <w:rPr>
          <w:rFonts w:ascii="Calibri" w:hAnsi="Calibri" w:cs="Calibri"/>
          <w:b/>
          <w:iCs/>
          <w:sz w:val="24"/>
          <w:szCs w:val="24"/>
        </w:rPr>
      </w:pPr>
      <w:r w:rsidRPr="0014000C">
        <w:rPr>
          <w:rFonts w:ascii="Calibri" w:hAnsi="Calibri" w:cs="Calibri"/>
          <w:b/>
          <w:iCs/>
          <w:sz w:val="24"/>
          <w:szCs w:val="24"/>
        </w:rPr>
        <w:t>Academic restructure</w:t>
      </w:r>
    </w:p>
    <w:p w14:paraId="6555C3D8" w14:textId="028CF4F4" w:rsidR="009E53C4" w:rsidRPr="0014000C" w:rsidRDefault="009E53C4" w:rsidP="00C10DE6">
      <w:pPr>
        <w:autoSpaceDE w:val="0"/>
        <w:autoSpaceDN w:val="0"/>
        <w:adjustRightInd w:val="0"/>
        <w:spacing w:after="0" w:line="240" w:lineRule="auto"/>
        <w:rPr>
          <w:rFonts w:ascii="Calibri" w:hAnsi="Calibri" w:cs="Calibri"/>
          <w:iCs/>
          <w:sz w:val="24"/>
          <w:szCs w:val="24"/>
        </w:rPr>
      </w:pPr>
      <w:r w:rsidRPr="0014000C">
        <w:rPr>
          <w:rFonts w:ascii="Calibri" w:hAnsi="Calibri" w:cs="Calibri"/>
          <w:iCs/>
          <w:sz w:val="24"/>
          <w:szCs w:val="24"/>
        </w:rPr>
        <w:t>The University has comp</w:t>
      </w:r>
      <w:r w:rsidR="0014000C" w:rsidRPr="0014000C">
        <w:rPr>
          <w:rFonts w:ascii="Calibri" w:hAnsi="Calibri" w:cs="Calibri"/>
          <w:iCs/>
          <w:sz w:val="24"/>
          <w:szCs w:val="24"/>
        </w:rPr>
        <w:t>leted an academic restructure across</w:t>
      </w:r>
      <w:r w:rsidRPr="0014000C">
        <w:rPr>
          <w:rFonts w:ascii="Calibri" w:hAnsi="Calibri" w:cs="Calibri"/>
          <w:iCs/>
          <w:sz w:val="24"/>
          <w:szCs w:val="24"/>
        </w:rPr>
        <w:t xml:space="preserve"> 20</w:t>
      </w:r>
      <w:r w:rsidR="00AE7729">
        <w:rPr>
          <w:rFonts w:ascii="Calibri" w:hAnsi="Calibri" w:cs="Calibri"/>
          <w:iCs/>
          <w:sz w:val="24"/>
          <w:szCs w:val="24"/>
        </w:rPr>
        <w:t>17/2018. This restructure split</w:t>
      </w:r>
      <w:r w:rsidRPr="0014000C">
        <w:rPr>
          <w:rFonts w:ascii="Calibri" w:hAnsi="Calibri" w:cs="Calibri"/>
          <w:iCs/>
          <w:sz w:val="24"/>
          <w:szCs w:val="24"/>
        </w:rPr>
        <w:t xml:space="preserve"> the office of the Pro Vice-Chancellor Education and Stud</w:t>
      </w:r>
      <w:r w:rsidR="0045065A" w:rsidRPr="0014000C">
        <w:rPr>
          <w:rFonts w:ascii="Calibri" w:hAnsi="Calibri" w:cs="Calibri"/>
          <w:iCs/>
          <w:sz w:val="24"/>
          <w:szCs w:val="24"/>
        </w:rPr>
        <w:t xml:space="preserve">ent Success into two portfolios and commenced a </w:t>
      </w:r>
      <w:r w:rsidR="0014000C" w:rsidRPr="0014000C">
        <w:rPr>
          <w:rFonts w:ascii="Calibri" w:hAnsi="Calibri" w:cs="Calibri"/>
          <w:iCs/>
          <w:sz w:val="24"/>
          <w:szCs w:val="24"/>
        </w:rPr>
        <w:t>global search for the incoming P</w:t>
      </w:r>
      <w:r w:rsidR="0045065A" w:rsidRPr="0014000C">
        <w:rPr>
          <w:rFonts w:ascii="Calibri" w:hAnsi="Calibri" w:cs="Calibri"/>
          <w:iCs/>
          <w:sz w:val="24"/>
          <w:szCs w:val="24"/>
        </w:rPr>
        <w:t>ro Vice-Chancellor roles.</w:t>
      </w:r>
      <w:r w:rsidR="00AE7729">
        <w:rPr>
          <w:rFonts w:ascii="Calibri" w:hAnsi="Calibri" w:cs="Calibri"/>
          <w:iCs/>
          <w:sz w:val="24"/>
          <w:szCs w:val="24"/>
        </w:rPr>
        <w:t xml:space="preserve"> The two new portfolios are:</w:t>
      </w:r>
    </w:p>
    <w:p w14:paraId="3781A422" w14:textId="21FA1498" w:rsidR="009E53C4" w:rsidRPr="0014000C" w:rsidRDefault="009E53C4" w:rsidP="009E53C4">
      <w:pPr>
        <w:pStyle w:val="ListParagraph"/>
        <w:numPr>
          <w:ilvl w:val="0"/>
          <w:numId w:val="33"/>
        </w:numPr>
        <w:autoSpaceDE w:val="0"/>
        <w:autoSpaceDN w:val="0"/>
        <w:adjustRightInd w:val="0"/>
        <w:spacing w:after="0" w:line="240" w:lineRule="auto"/>
        <w:rPr>
          <w:rFonts w:ascii="Calibri" w:hAnsi="Calibri" w:cs="Calibri"/>
          <w:iCs/>
          <w:sz w:val="24"/>
          <w:szCs w:val="24"/>
        </w:rPr>
      </w:pPr>
      <w:r w:rsidRPr="0014000C">
        <w:rPr>
          <w:rFonts w:ascii="Calibri" w:hAnsi="Calibri" w:cs="Calibri"/>
          <w:iCs/>
          <w:sz w:val="24"/>
          <w:szCs w:val="24"/>
        </w:rPr>
        <w:t>The office of Student Engagement and</w:t>
      </w:r>
      <w:r w:rsidR="0014000C" w:rsidRPr="0014000C">
        <w:rPr>
          <w:rFonts w:ascii="Calibri" w:hAnsi="Calibri" w:cs="Calibri"/>
          <w:iCs/>
          <w:sz w:val="24"/>
          <w:szCs w:val="24"/>
        </w:rPr>
        <w:t xml:space="preserve"> Success lead by the new P</w:t>
      </w:r>
      <w:r w:rsidRPr="0014000C">
        <w:rPr>
          <w:rFonts w:ascii="Calibri" w:hAnsi="Calibri" w:cs="Calibri"/>
          <w:iCs/>
          <w:sz w:val="24"/>
          <w:szCs w:val="24"/>
        </w:rPr>
        <w:t>ro Vice-Chancellor Education and Student Success.</w:t>
      </w:r>
    </w:p>
    <w:p w14:paraId="5B4C48D6" w14:textId="19A32B60" w:rsidR="009E53C4" w:rsidRPr="0014000C" w:rsidRDefault="009E53C4" w:rsidP="009E53C4">
      <w:pPr>
        <w:pStyle w:val="ListParagraph"/>
        <w:numPr>
          <w:ilvl w:val="0"/>
          <w:numId w:val="33"/>
        </w:numPr>
        <w:autoSpaceDE w:val="0"/>
        <w:autoSpaceDN w:val="0"/>
        <w:adjustRightInd w:val="0"/>
        <w:spacing w:after="0" w:line="240" w:lineRule="auto"/>
        <w:rPr>
          <w:rFonts w:ascii="Calibri" w:hAnsi="Calibri" w:cs="Calibri"/>
          <w:iCs/>
          <w:sz w:val="24"/>
          <w:szCs w:val="24"/>
        </w:rPr>
      </w:pPr>
      <w:r w:rsidRPr="0014000C">
        <w:rPr>
          <w:rFonts w:ascii="Calibri" w:hAnsi="Calibri" w:cs="Calibri"/>
          <w:iCs/>
          <w:sz w:val="24"/>
          <w:szCs w:val="24"/>
        </w:rPr>
        <w:lastRenderedPageBreak/>
        <w:t xml:space="preserve">The office of Education Strategy, led by the </w:t>
      </w:r>
      <w:r w:rsidR="0045065A" w:rsidRPr="0014000C">
        <w:rPr>
          <w:rFonts w:ascii="Calibri" w:hAnsi="Calibri" w:cs="Calibri"/>
          <w:iCs/>
          <w:sz w:val="24"/>
          <w:szCs w:val="24"/>
        </w:rPr>
        <w:t xml:space="preserve">new </w:t>
      </w:r>
      <w:r w:rsidRPr="0014000C">
        <w:rPr>
          <w:rFonts w:ascii="Calibri" w:hAnsi="Calibri" w:cs="Calibri"/>
          <w:iCs/>
          <w:sz w:val="24"/>
          <w:szCs w:val="24"/>
        </w:rPr>
        <w:t>Pro Vice-Chancellor Education Strategy.</w:t>
      </w:r>
    </w:p>
    <w:p w14:paraId="08A81D73" w14:textId="3D530403" w:rsidR="009E53C4" w:rsidRPr="0014000C" w:rsidRDefault="009E53C4" w:rsidP="009E53C4">
      <w:pPr>
        <w:autoSpaceDE w:val="0"/>
        <w:autoSpaceDN w:val="0"/>
        <w:adjustRightInd w:val="0"/>
        <w:spacing w:after="0" w:line="240" w:lineRule="auto"/>
        <w:rPr>
          <w:rFonts w:ascii="Calibri" w:hAnsi="Calibri" w:cs="Calibri"/>
          <w:iCs/>
          <w:sz w:val="24"/>
          <w:szCs w:val="24"/>
        </w:rPr>
      </w:pPr>
      <w:r w:rsidRPr="0014000C">
        <w:rPr>
          <w:rFonts w:ascii="Calibri" w:hAnsi="Calibri" w:cs="Calibri"/>
          <w:iCs/>
          <w:sz w:val="24"/>
          <w:szCs w:val="24"/>
        </w:rPr>
        <w:t xml:space="preserve">This move recognises the need to </w:t>
      </w:r>
      <w:r w:rsidR="0014000C" w:rsidRPr="0014000C">
        <w:rPr>
          <w:rFonts w:ascii="Calibri" w:hAnsi="Calibri" w:cs="Calibri"/>
          <w:iCs/>
          <w:sz w:val="24"/>
          <w:szCs w:val="24"/>
        </w:rPr>
        <w:t xml:space="preserve">build on </w:t>
      </w:r>
      <w:r w:rsidRPr="0014000C">
        <w:rPr>
          <w:rFonts w:ascii="Calibri" w:hAnsi="Calibri" w:cs="Calibri"/>
          <w:iCs/>
          <w:sz w:val="24"/>
          <w:szCs w:val="24"/>
        </w:rPr>
        <w:t>university capacity in both areas</w:t>
      </w:r>
      <w:r w:rsidR="00263488" w:rsidRPr="0014000C">
        <w:rPr>
          <w:rFonts w:ascii="Calibri" w:hAnsi="Calibri" w:cs="Calibri"/>
          <w:iCs/>
          <w:sz w:val="24"/>
          <w:szCs w:val="24"/>
        </w:rPr>
        <w:t xml:space="preserve">, </w:t>
      </w:r>
      <w:r w:rsidR="00986D84">
        <w:rPr>
          <w:rFonts w:ascii="Calibri" w:hAnsi="Calibri" w:cs="Calibri"/>
          <w:iCs/>
          <w:sz w:val="24"/>
          <w:szCs w:val="24"/>
        </w:rPr>
        <w:t xml:space="preserve">will </w:t>
      </w:r>
      <w:r w:rsidR="00263488" w:rsidRPr="0014000C">
        <w:rPr>
          <w:rFonts w:ascii="Calibri" w:hAnsi="Calibri" w:cs="Calibri"/>
          <w:iCs/>
          <w:sz w:val="24"/>
          <w:szCs w:val="24"/>
        </w:rPr>
        <w:t>consolidate and streamline internal operations,</w:t>
      </w:r>
      <w:r w:rsidRPr="0014000C">
        <w:rPr>
          <w:rFonts w:ascii="Calibri" w:hAnsi="Calibri" w:cs="Calibri"/>
          <w:iCs/>
          <w:sz w:val="24"/>
          <w:szCs w:val="24"/>
        </w:rPr>
        <w:t xml:space="preserve"> and will provide an increased ability to target and support spec</w:t>
      </w:r>
      <w:r w:rsidR="0014000C" w:rsidRPr="0014000C">
        <w:rPr>
          <w:rFonts w:ascii="Calibri" w:hAnsi="Calibri" w:cs="Calibri"/>
          <w:iCs/>
          <w:sz w:val="24"/>
          <w:szCs w:val="24"/>
        </w:rPr>
        <w:t>ific demographics. In 2018 development of</w:t>
      </w:r>
      <w:r w:rsidRPr="0014000C">
        <w:rPr>
          <w:rFonts w:ascii="Calibri" w:hAnsi="Calibri" w:cs="Calibri"/>
          <w:iCs/>
          <w:sz w:val="24"/>
          <w:szCs w:val="24"/>
        </w:rPr>
        <w:t xml:space="preserve"> new </w:t>
      </w:r>
      <w:r w:rsidR="00D476F3" w:rsidRPr="0014000C">
        <w:rPr>
          <w:rFonts w:ascii="Calibri" w:hAnsi="Calibri" w:cs="Calibri"/>
          <w:iCs/>
          <w:sz w:val="24"/>
          <w:szCs w:val="24"/>
        </w:rPr>
        <w:t>Learning</w:t>
      </w:r>
      <w:r w:rsidR="0014000C" w:rsidRPr="0014000C">
        <w:rPr>
          <w:rFonts w:ascii="Calibri" w:hAnsi="Calibri" w:cs="Calibri"/>
          <w:iCs/>
          <w:sz w:val="24"/>
          <w:szCs w:val="24"/>
        </w:rPr>
        <w:t xml:space="preserve"> and Teaching,</w:t>
      </w:r>
      <w:r w:rsidR="00D476F3" w:rsidRPr="0014000C">
        <w:rPr>
          <w:rFonts w:ascii="Calibri" w:hAnsi="Calibri" w:cs="Calibri"/>
          <w:iCs/>
          <w:sz w:val="24"/>
          <w:szCs w:val="24"/>
        </w:rPr>
        <w:t xml:space="preserve"> and</w:t>
      </w:r>
      <w:r w:rsidR="0014000C" w:rsidRPr="0014000C">
        <w:rPr>
          <w:rFonts w:ascii="Calibri" w:hAnsi="Calibri" w:cs="Calibri"/>
          <w:iCs/>
          <w:sz w:val="24"/>
          <w:szCs w:val="24"/>
        </w:rPr>
        <w:t>,</w:t>
      </w:r>
      <w:r w:rsidR="00D476F3" w:rsidRPr="0014000C">
        <w:rPr>
          <w:rFonts w:ascii="Calibri" w:hAnsi="Calibri" w:cs="Calibri"/>
          <w:iCs/>
          <w:sz w:val="24"/>
          <w:szCs w:val="24"/>
        </w:rPr>
        <w:t xml:space="preserve"> </w:t>
      </w:r>
      <w:r w:rsidRPr="0014000C">
        <w:rPr>
          <w:rFonts w:ascii="Calibri" w:hAnsi="Calibri" w:cs="Calibri"/>
          <w:iCs/>
          <w:sz w:val="24"/>
          <w:szCs w:val="24"/>
        </w:rPr>
        <w:t>Studen</w:t>
      </w:r>
      <w:r w:rsidR="00D476F3" w:rsidRPr="0014000C">
        <w:rPr>
          <w:rFonts w:ascii="Calibri" w:hAnsi="Calibri" w:cs="Calibri"/>
          <w:iCs/>
          <w:sz w:val="24"/>
          <w:szCs w:val="24"/>
        </w:rPr>
        <w:t>t Success and Retention plans</w:t>
      </w:r>
      <w:r w:rsidRPr="0014000C">
        <w:rPr>
          <w:rFonts w:ascii="Calibri" w:hAnsi="Calibri" w:cs="Calibri"/>
          <w:iCs/>
          <w:sz w:val="24"/>
          <w:szCs w:val="24"/>
        </w:rPr>
        <w:t xml:space="preserve"> will be </w:t>
      </w:r>
      <w:r w:rsidR="0014000C" w:rsidRPr="0014000C">
        <w:rPr>
          <w:rFonts w:ascii="Calibri" w:hAnsi="Calibri" w:cs="Calibri"/>
          <w:iCs/>
          <w:sz w:val="24"/>
          <w:szCs w:val="24"/>
        </w:rPr>
        <w:t>commenced.</w:t>
      </w:r>
      <w:r w:rsidR="0014000C" w:rsidRPr="0014000C">
        <w:rPr>
          <w:rFonts w:ascii="Calibri" w:hAnsi="Calibri" w:cs="Calibri"/>
          <w:iCs/>
          <w:sz w:val="24"/>
          <w:szCs w:val="24"/>
        </w:rPr>
        <w:br/>
      </w:r>
      <w:r w:rsidR="00D476F3" w:rsidRPr="0014000C">
        <w:rPr>
          <w:rFonts w:ascii="Calibri" w:hAnsi="Calibri" w:cs="Calibri"/>
          <w:iCs/>
          <w:sz w:val="24"/>
          <w:szCs w:val="24"/>
        </w:rPr>
        <w:br/>
      </w:r>
      <w:r w:rsidR="00D476F3" w:rsidRPr="0014000C">
        <w:rPr>
          <w:rFonts w:ascii="Calibri" w:hAnsi="Calibri" w:cs="Calibri"/>
          <w:b/>
          <w:iCs/>
          <w:sz w:val="24"/>
          <w:szCs w:val="24"/>
        </w:rPr>
        <w:t>Business Intelligence and Data Analytics</w:t>
      </w:r>
    </w:p>
    <w:p w14:paraId="17D423BE" w14:textId="77777777" w:rsidR="00D476F3" w:rsidRPr="0014000C" w:rsidRDefault="00D476F3" w:rsidP="009E53C4">
      <w:pPr>
        <w:autoSpaceDE w:val="0"/>
        <w:autoSpaceDN w:val="0"/>
        <w:adjustRightInd w:val="0"/>
        <w:spacing w:after="0" w:line="240" w:lineRule="auto"/>
        <w:rPr>
          <w:rFonts w:ascii="Calibri" w:hAnsi="Calibri" w:cs="Calibri"/>
          <w:iCs/>
          <w:sz w:val="24"/>
          <w:szCs w:val="24"/>
        </w:rPr>
      </w:pPr>
      <w:r w:rsidRPr="0014000C">
        <w:rPr>
          <w:rFonts w:ascii="Calibri" w:hAnsi="Calibri" w:cs="Calibri"/>
          <w:iCs/>
          <w:sz w:val="24"/>
          <w:szCs w:val="24"/>
        </w:rPr>
        <w:t>The University has committed to a multi-year expansion of our business intelligence capability to:</w:t>
      </w:r>
    </w:p>
    <w:p w14:paraId="6CF8A487" w14:textId="50BFEC64" w:rsidR="00D476F3" w:rsidRPr="0014000C" w:rsidRDefault="00D476F3" w:rsidP="00D476F3">
      <w:pPr>
        <w:pStyle w:val="ListParagraph"/>
        <w:numPr>
          <w:ilvl w:val="0"/>
          <w:numId w:val="36"/>
        </w:numPr>
        <w:autoSpaceDE w:val="0"/>
        <w:autoSpaceDN w:val="0"/>
        <w:adjustRightInd w:val="0"/>
        <w:spacing w:after="0" w:line="240" w:lineRule="auto"/>
        <w:rPr>
          <w:rFonts w:ascii="Calibri" w:hAnsi="Calibri" w:cs="Calibri"/>
          <w:iCs/>
          <w:sz w:val="24"/>
          <w:szCs w:val="24"/>
        </w:rPr>
      </w:pPr>
      <w:r w:rsidRPr="0014000C">
        <w:rPr>
          <w:rFonts w:ascii="Calibri" w:hAnsi="Calibri" w:cs="Calibri"/>
          <w:iCs/>
          <w:sz w:val="24"/>
          <w:szCs w:val="24"/>
        </w:rPr>
        <w:t xml:space="preserve">Expand the capability to identify students </w:t>
      </w:r>
      <w:r w:rsidR="0045065A" w:rsidRPr="0014000C">
        <w:rPr>
          <w:rFonts w:ascii="Calibri" w:hAnsi="Calibri" w:cs="Calibri"/>
          <w:iCs/>
          <w:sz w:val="24"/>
          <w:szCs w:val="24"/>
        </w:rPr>
        <w:t xml:space="preserve">from target demographics as well as </w:t>
      </w:r>
      <w:r w:rsidRPr="0014000C">
        <w:rPr>
          <w:rFonts w:ascii="Calibri" w:hAnsi="Calibri" w:cs="Calibri"/>
          <w:iCs/>
          <w:sz w:val="24"/>
          <w:szCs w:val="24"/>
        </w:rPr>
        <w:t xml:space="preserve">at </w:t>
      </w:r>
      <w:r w:rsidR="0014000C" w:rsidRPr="0014000C">
        <w:rPr>
          <w:rFonts w:ascii="Calibri" w:hAnsi="Calibri" w:cs="Calibri"/>
          <w:iCs/>
          <w:sz w:val="24"/>
          <w:szCs w:val="24"/>
        </w:rPr>
        <w:t xml:space="preserve">those who could be at </w:t>
      </w:r>
      <w:r w:rsidRPr="0014000C">
        <w:rPr>
          <w:rFonts w:ascii="Calibri" w:hAnsi="Calibri" w:cs="Calibri"/>
          <w:iCs/>
          <w:sz w:val="24"/>
          <w:szCs w:val="24"/>
        </w:rPr>
        <w:t>risk and pro-actively provide support at point of need.</w:t>
      </w:r>
    </w:p>
    <w:p w14:paraId="7948FC50" w14:textId="5A3BD2F2" w:rsidR="00D476F3" w:rsidRPr="0014000C" w:rsidRDefault="00D476F3" w:rsidP="00D476F3">
      <w:pPr>
        <w:pStyle w:val="ListParagraph"/>
        <w:numPr>
          <w:ilvl w:val="0"/>
          <w:numId w:val="36"/>
        </w:numPr>
        <w:autoSpaceDE w:val="0"/>
        <w:autoSpaceDN w:val="0"/>
        <w:adjustRightInd w:val="0"/>
        <w:spacing w:after="0" w:line="240" w:lineRule="auto"/>
        <w:rPr>
          <w:rFonts w:ascii="Calibri" w:hAnsi="Calibri" w:cs="Calibri"/>
          <w:iCs/>
          <w:sz w:val="24"/>
          <w:szCs w:val="24"/>
        </w:rPr>
      </w:pPr>
      <w:r w:rsidRPr="0014000C">
        <w:rPr>
          <w:rFonts w:ascii="Calibri" w:hAnsi="Calibri" w:cs="Calibri"/>
          <w:iCs/>
          <w:sz w:val="24"/>
          <w:szCs w:val="24"/>
        </w:rPr>
        <w:t>Provide greater capability for evidence-based decision to support student cohorts.</w:t>
      </w:r>
    </w:p>
    <w:p w14:paraId="441869A0" w14:textId="1D70ABD1" w:rsidR="00D476F3" w:rsidRPr="0014000C" w:rsidRDefault="00D476F3" w:rsidP="00D476F3">
      <w:pPr>
        <w:pStyle w:val="ListParagraph"/>
        <w:numPr>
          <w:ilvl w:val="0"/>
          <w:numId w:val="36"/>
        </w:numPr>
        <w:autoSpaceDE w:val="0"/>
        <w:autoSpaceDN w:val="0"/>
        <w:adjustRightInd w:val="0"/>
        <w:spacing w:after="0" w:line="240" w:lineRule="auto"/>
        <w:rPr>
          <w:rFonts w:ascii="Calibri" w:hAnsi="Calibri" w:cs="Calibri"/>
          <w:iCs/>
          <w:sz w:val="24"/>
          <w:szCs w:val="24"/>
        </w:rPr>
      </w:pPr>
      <w:r w:rsidRPr="0014000C">
        <w:rPr>
          <w:rFonts w:ascii="Calibri" w:hAnsi="Calibri" w:cs="Calibri"/>
          <w:iCs/>
          <w:sz w:val="24"/>
          <w:szCs w:val="24"/>
        </w:rPr>
        <w:t>Develop student facing data dashboards to ensure students have the right information to make informed decisions about their study.</w:t>
      </w:r>
    </w:p>
    <w:p w14:paraId="2D8EBD92" w14:textId="067C2B73" w:rsidR="009E53C4" w:rsidRPr="00C10DE6" w:rsidRDefault="009E53C4" w:rsidP="00C10DE6">
      <w:pPr>
        <w:autoSpaceDE w:val="0"/>
        <w:autoSpaceDN w:val="0"/>
        <w:adjustRightInd w:val="0"/>
        <w:spacing w:after="0" w:line="240" w:lineRule="auto"/>
        <w:rPr>
          <w:rFonts w:ascii="Calibri" w:hAnsi="Calibri" w:cs="Calibri"/>
          <w:color w:val="000000"/>
          <w:sz w:val="24"/>
          <w:szCs w:val="24"/>
        </w:rPr>
      </w:pPr>
    </w:p>
    <w:p w14:paraId="7379AABE" w14:textId="77777777" w:rsidR="00C10DE6" w:rsidRPr="00C10DE6" w:rsidRDefault="00C10DE6" w:rsidP="00C10DE6">
      <w:pPr>
        <w:autoSpaceDE w:val="0"/>
        <w:autoSpaceDN w:val="0"/>
        <w:adjustRightInd w:val="0"/>
        <w:spacing w:after="0" w:line="240" w:lineRule="auto"/>
        <w:rPr>
          <w:rFonts w:ascii="Calibri" w:hAnsi="Calibri" w:cs="Calibri"/>
          <w:color w:val="000000" w:themeColor="text1"/>
          <w:sz w:val="24"/>
          <w:szCs w:val="24"/>
        </w:rPr>
      </w:pPr>
      <w:r w:rsidRPr="00C10DE6">
        <w:rPr>
          <w:rFonts w:ascii="Calibri" w:hAnsi="Calibri" w:cs="Calibri"/>
          <w:b/>
          <w:bCs/>
          <w:iCs/>
          <w:color w:val="000000" w:themeColor="text1"/>
          <w:sz w:val="24"/>
          <w:szCs w:val="24"/>
        </w:rPr>
        <w:t xml:space="preserve">Articulations and Pathways Project </w:t>
      </w:r>
    </w:p>
    <w:p w14:paraId="31677209" w14:textId="6DEE0BBC" w:rsidR="00DF2EE4" w:rsidRPr="00A85302" w:rsidRDefault="00C10DE6" w:rsidP="00C10DE6">
      <w:pPr>
        <w:autoSpaceDE w:val="0"/>
        <w:autoSpaceDN w:val="0"/>
        <w:adjustRightInd w:val="0"/>
        <w:spacing w:after="0" w:line="240" w:lineRule="auto"/>
        <w:rPr>
          <w:rFonts w:ascii="Calibri" w:hAnsi="Calibri" w:cs="Calibri"/>
          <w:iCs/>
          <w:color w:val="000000" w:themeColor="text1"/>
          <w:sz w:val="24"/>
          <w:szCs w:val="24"/>
        </w:rPr>
      </w:pPr>
      <w:r w:rsidRPr="00C10DE6">
        <w:rPr>
          <w:rFonts w:ascii="Calibri" w:hAnsi="Calibri" w:cs="Calibri"/>
          <w:iCs/>
          <w:color w:val="000000" w:themeColor="text1"/>
          <w:sz w:val="24"/>
          <w:szCs w:val="24"/>
        </w:rPr>
        <w:t xml:space="preserve">This project provides dedicated staff resources to develop a range of supported HE entry pathways for students, particularly Indigenous students and those from remote regions. </w:t>
      </w:r>
      <w:r w:rsidR="00DF2EE4" w:rsidRPr="0014000C">
        <w:rPr>
          <w:rFonts w:ascii="Calibri" w:hAnsi="Calibri" w:cs="Calibri"/>
          <w:iCs/>
          <w:sz w:val="24"/>
          <w:szCs w:val="24"/>
        </w:rPr>
        <w:t xml:space="preserve">New for 2018 is the indigenous pre-law program, a collaboration between the University and the Bilata Legal Pathways Program </w:t>
      </w:r>
      <w:hyperlink r:id="rId11" w:history="1">
        <w:r w:rsidR="00DF2EE4" w:rsidRPr="0014000C">
          <w:rPr>
            <w:rStyle w:val="Hyperlink"/>
            <w:rFonts w:ascii="Calibri" w:hAnsi="Calibri" w:cs="Calibri"/>
            <w:color w:val="auto"/>
            <w:sz w:val="24"/>
            <w:szCs w:val="24"/>
          </w:rPr>
          <w:t>http://lawsocietynt.asn.au/indigenous-legal-pathways.html</w:t>
        </w:r>
      </w:hyperlink>
      <w:r w:rsidR="00DF2EE4" w:rsidRPr="0014000C">
        <w:rPr>
          <w:rFonts w:ascii="Calibri" w:hAnsi="Calibri" w:cs="Calibri"/>
          <w:iCs/>
          <w:sz w:val="24"/>
          <w:szCs w:val="24"/>
        </w:rPr>
        <w:t xml:space="preserve"> </w:t>
      </w:r>
      <w:r w:rsidR="0045065A" w:rsidRPr="0014000C">
        <w:rPr>
          <w:rFonts w:ascii="Calibri" w:hAnsi="Calibri" w:cs="Calibri"/>
          <w:iCs/>
          <w:sz w:val="24"/>
          <w:szCs w:val="24"/>
        </w:rPr>
        <w:t>.</w:t>
      </w:r>
    </w:p>
    <w:p w14:paraId="04B0BDF8" w14:textId="77777777" w:rsidR="00C10DE6" w:rsidRDefault="00C10DE6" w:rsidP="00C10DE6">
      <w:pPr>
        <w:autoSpaceDE w:val="0"/>
        <w:autoSpaceDN w:val="0"/>
        <w:adjustRightInd w:val="0"/>
        <w:spacing w:after="0" w:line="240" w:lineRule="auto"/>
        <w:rPr>
          <w:rFonts w:ascii="Calibri" w:hAnsi="Calibri" w:cs="Calibri"/>
          <w:b/>
          <w:bCs/>
          <w:iCs/>
          <w:color w:val="000000"/>
          <w:sz w:val="24"/>
          <w:szCs w:val="24"/>
        </w:rPr>
      </w:pPr>
    </w:p>
    <w:p w14:paraId="6FC3E440" w14:textId="4E96A7D0" w:rsidR="00C10DE6" w:rsidRPr="00C10DE6" w:rsidRDefault="00C10DE6" w:rsidP="00C10DE6">
      <w:pPr>
        <w:autoSpaceDE w:val="0"/>
        <w:autoSpaceDN w:val="0"/>
        <w:adjustRightInd w:val="0"/>
        <w:spacing w:after="0" w:line="240" w:lineRule="auto"/>
        <w:rPr>
          <w:rFonts w:ascii="Calibri" w:hAnsi="Calibri" w:cs="Calibri"/>
          <w:color w:val="000000"/>
          <w:sz w:val="24"/>
          <w:szCs w:val="24"/>
        </w:rPr>
      </w:pPr>
      <w:r w:rsidRPr="00C10DE6">
        <w:rPr>
          <w:rFonts w:ascii="Calibri" w:hAnsi="Calibri" w:cs="Calibri"/>
          <w:b/>
          <w:bCs/>
          <w:iCs/>
          <w:color w:val="000000"/>
          <w:sz w:val="24"/>
          <w:szCs w:val="24"/>
        </w:rPr>
        <w:t xml:space="preserve">ASPIRE Project </w:t>
      </w:r>
    </w:p>
    <w:p w14:paraId="49186DED" w14:textId="77777777" w:rsidR="00C10DE6" w:rsidRPr="00C10DE6" w:rsidRDefault="00C10DE6" w:rsidP="00C10DE6">
      <w:pPr>
        <w:autoSpaceDE w:val="0"/>
        <w:autoSpaceDN w:val="0"/>
        <w:adjustRightInd w:val="0"/>
        <w:spacing w:after="0" w:line="240" w:lineRule="auto"/>
        <w:rPr>
          <w:rFonts w:ascii="Calibri" w:hAnsi="Calibri" w:cs="Calibri"/>
          <w:color w:val="000000"/>
          <w:sz w:val="24"/>
          <w:szCs w:val="24"/>
        </w:rPr>
      </w:pPr>
      <w:r w:rsidRPr="00C10DE6">
        <w:rPr>
          <w:rFonts w:ascii="Calibri" w:hAnsi="Calibri" w:cs="Calibri"/>
          <w:iCs/>
          <w:color w:val="000000"/>
          <w:sz w:val="24"/>
          <w:szCs w:val="24"/>
        </w:rPr>
        <w:t xml:space="preserve">ASPIRE is CDU’s flagship equity scholarships programme. It selects eligible students in Year 9 and supports them financially and through tailored engagement activities in Years 10-12 and, should they progress to CDU, first year of HE studies. </w:t>
      </w:r>
    </w:p>
    <w:p w14:paraId="0449C217" w14:textId="5C3B17CA" w:rsidR="00C10DE6" w:rsidRDefault="00C10DE6" w:rsidP="00C10DE6">
      <w:pPr>
        <w:autoSpaceDE w:val="0"/>
        <w:autoSpaceDN w:val="0"/>
        <w:adjustRightInd w:val="0"/>
        <w:spacing w:after="0" w:line="240" w:lineRule="auto"/>
        <w:rPr>
          <w:rFonts w:ascii="Calibri" w:hAnsi="Calibri" w:cs="Calibri"/>
          <w:b/>
          <w:bCs/>
          <w:iCs/>
          <w:color w:val="000000"/>
          <w:sz w:val="24"/>
          <w:szCs w:val="24"/>
        </w:rPr>
      </w:pPr>
    </w:p>
    <w:p w14:paraId="450C4B8F" w14:textId="054ADA51" w:rsidR="00C10DE6" w:rsidRPr="00C10DE6" w:rsidRDefault="00C10DE6" w:rsidP="00C10DE6">
      <w:pPr>
        <w:autoSpaceDE w:val="0"/>
        <w:autoSpaceDN w:val="0"/>
        <w:adjustRightInd w:val="0"/>
        <w:spacing w:after="0" w:line="240" w:lineRule="auto"/>
        <w:rPr>
          <w:rFonts w:ascii="Calibri" w:hAnsi="Calibri" w:cs="Calibri"/>
          <w:color w:val="000000"/>
          <w:sz w:val="24"/>
          <w:szCs w:val="24"/>
        </w:rPr>
      </w:pPr>
      <w:r w:rsidRPr="00C10DE6">
        <w:rPr>
          <w:rFonts w:ascii="Calibri" w:hAnsi="Calibri" w:cs="Calibri"/>
          <w:b/>
          <w:bCs/>
          <w:iCs/>
          <w:color w:val="000000"/>
          <w:sz w:val="24"/>
          <w:szCs w:val="24"/>
        </w:rPr>
        <w:t xml:space="preserve">Children’s University </w:t>
      </w:r>
    </w:p>
    <w:p w14:paraId="03BB7795" w14:textId="77777777" w:rsidR="00C10DE6" w:rsidRPr="00C10DE6" w:rsidRDefault="00C10DE6" w:rsidP="00C10DE6">
      <w:pPr>
        <w:autoSpaceDE w:val="0"/>
        <w:autoSpaceDN w:val="0"/>
        <w:adjustRightInd w:val="0"/>
        <w:spacing w:after="0" w:line="240" w:lineRule="auto"/>
        <w:rPr>
          <w:rFonts w:ascii="Calibri" w:hAnsi="Calibri" w:cs="Calibri"/>
          <w:color w:val="000000"/>
          <w:sz w:val="24"/>
          <w:szCs w:val="24"/>
        </w:rPr>
      </w:pPr>
      <w:r w:rsidRPr="00C10DE6">
        <w:rPr>
          <w:rFonts w:ascii="Calibri" w:hAnsi="Calibri" w:cs="Calibri"/>
          <w:iCs/>
          <w:color w:val="000000"/>
          <w:sz w:val="24"/>
          <w:szCs w:val="24"/>
        </w:rPr>
        <w:t xml:space="preserve">The University is currently exploring a proposal to open a branch of the Children’s University of Australia. This would be an opportunity to effectively coordinate and promote a range of extra-curricular learning activities for school children, thereby enhancing their overall learning and also encouraging the idea of University as a normal possibility. </w:t>
      </w:r>
    </w:p>
    <w:p w14:paraId="765E2E1A" w14:textId="77777777" w:rsidR="00C10DE6" w:rsidRDefault="00C10DE6" w:rsidP="00C10DE6">
      <w:pPr>
        <w:autoSpaceDE w:val="0"/>
        <w:autoSpaceDN w:val="0"/>
        <w:adjustRightInd w:val="0"/>
        <w:spacing w:after="0" w:line="240" w:lineRule="auto"/>
        <w:rPr>
          <w:rFonts w:ascii="Calibri" w:hAnsi="Calibri" w:cs="Calibri"/>
          <w:b/>
          <w:bCs/>
          <w:iCs/>
          <w:color w:val="000000"/>
          <w:sz w:val="24"/>
          <w:szCs w:val="24"/>
        </w:rPr>
      </w:pPr>
    </w:p>
    <w:p w14:paraId="49E73F4F" w14:textId="7DEFDF80" w:rsidR="00C10DE6" w:rsidRPr="00C10DE6" w:rsidRDefault="00C10DE6" w:rsidP="00C10DE6">
      <w:pPr>
        <w:autoSpaceDE w:val="0"/>
        <w:autoSpaceDN w:val="0"/>
        <w:adjustRightInd w:val="0"/>
        <w:spacing w:after="0" w:line="240" w:lineRule="auto"/>
        <w:rPr>
          <w:rFonts w:ascii="Calibri" w:hAnsi="Calibri" w:cs="Calibri"/>
          <w:color w:val="000000"/>
          <w:sz w:val="24"/>
          <w:szCs w:val="24"/>
        </w:rPr>
      </w:pPr>
      <w:r w:rsidRPr="00C10DE6">
        <w:rPr>
          <w:rFonts w:ascii="Calibri" w:hAnsi="Calibri" w:cs="Calibri"/>
          <w:b/>
          <w:bCs/>
          <w:iCs/>
          <w:color w:val="000000"/>
          <w:sz w:val="24"/>
          <w:szCs w:val="24"/>
        </w:rPr>
        <w:t xml:space="preserve">Cultural Competency Framework </w:t>
      </w:r>
    </w:p>
    <w:p w14:paraId="47748BAC" w14:textId="47AD3856" w:rsidR="00C10DE6" w:rsidRPr="00C10DE6" w:rsidRDefault="00C10DE6" w:rsidP="00C10DE6">
      <w:pPr>
        <w:autoSpaceDE w:val="0"/>
        <w:autoSpaceDN w:val="0"/>
        <w:adjustRightInd w:val="0"/>
        <w:spacing w:after="0" w:line="240" w:lineRule="auto"/>
        <w:rPr>
          <w:rFonts w:ascii="Calibri" w:hAnsi="Calibri" w:cs="Calibri"/>
          <w:color w:val="000000"/>
          <w:sz w:val="24"/>
          <w:szCs w:val="24"/>
        </w:rPr>
      </w:pPr>
      <w:r w:rsidRPr="00C10DE6">
        <w:rPr>
          <w:rFonts w:ascii="Calibri" w:hAnsi="Calibri" w:cs="Calibri"/>
          <w:iCs/>
          <w:color w:val="000000"/>
          <w:sz w:val="24"/>
          <w:szCs w:val="24"/>
        </w:rPr>
        <w:t xml:space="preserve">In addition to existing cultural awareness training being delivered to all staff, CDU will commence a program of targeted professional development activities to enhance inter-cultural understanding, knowledge and skills. Training will be tailored to the professional needs of all academic and general staff, and will include a program for the University’s senior executive. </w:t>
      </w:r>
    </w:p>
    <w:p w14:paraId="3C967C65" w14:textId="77777777" w:rsidR="00C10DE6" w:rsidRDefault="00C10DE6" w:rsidP="00C10DE6">
      <w:pPr>
        <w:autoSpaceDE w:val="0"/>
        <w:autoSpaceDN w:val="0"/>
        <w:adjustRightInd w:val="0"/>
        <w:spacing w:after="0" w:line="240" w:lineRule="auto"/>
        <w:rPr>
          <w:rFonts w:ascii="Calibri" w:hAnsi="Calibri" w:cs="Calibri"/>
          <w:b/>
          <w:bCs/>
          <w:iCs/>
          <w:color w:val="000000"/>
          <w:sz w:val="24"/>
          <w:szCs w:val="24"/>
        </w:rPr>
      </w:pPr>
    </w:p>
    <w:p w14:paraId="5D1F1462" w14:textId="161B9E59" w:rsidR="00C10DE6" w:rsidRPr="00A85302" w:rsidRDefault="00C10DE6" w:rsidP="00C10DE6">
      <w:pPr>
        <w:autoSpaceDE w:val="0"/>
        <w:autoSpaceDN w:val="0"/>
        <w:adjustRightInd w:val="0"/>
        <w:spacing w:after="0" w:line="240" w:lineRule="auto"/>
        <w:rPr>
          <w:rFonts w:ascii="Calibri" w:hAnsi="Calibri" w:cs="Calibri"/>
          <w:sz w:val="24"/>
          <w:szCs w:val="24"/>
        </w:rPr>
      </w:pPr>
      <w:r w:rsidRPr="00A85302">
        <w:rPr>
          <w:rFonts w:ascii="Calibri" w:hAnsi="Calibri" w:cs="Calibri"/>
          <w:b/>
          <w:bCs/>
          <w:iCs/>
          <w:sz w:val="24"/>
          <w:szCs w:val="24"/>
        </w:rPr>
        <w:t xml:space="preserve">Delivering Success </w:t>
      </w:r>
    </w:p>
    <w:p w14:paraId="0C5DD7B6" w14:textId="77777777" w:rsidR="00C10DE6" w:rsidRPr="00A85302" w:rsidRDefault="00C10DE6" w:rsidP="00C10DE6">
      <w:pPr>
        <w:autoSpaceDE w:val="0"/>
        <w:autoSpaceDN w:val="0"/>
        <w:adjustRightInd w:val="0"/>
        <w:spacing w:after="0" w:line="240" w:lineRule="auto"/>
        <w:rPr>
          <w:rFonts w:ascii="Calibri" w:hAnsi="Calibri" w:cs="Calibri"/>
          <w:sz w:val="24"/>
          <w:szCs w:val="24"/>
        </w:rPr>
      </w:pPr>
      <w:r w:rsidRPr="00A85302">
        <w:rPr>
          <w:rFonts w:ascii="Calibri" w:hAnsi="Calibri" w:cs="Calibri"/>
          <w:iCs/>
          <w:sz w:val="24"/>
          <w:szCs w:val="24"/>
        </w:rPr>
        <w:t xml:space="preserve">This longitudinal research project monitors the impact of changes to learner engagement strategies, particularly in first year units with traditionally high attrition, and makes consequential recommendations for good practice. </w:t>
      </w:r>
    </w:p>
    <w:p w14:paraId="4D24A708" w14:textId="77777777" w:rsidR="00C10DE6" w:rsidRDefault="00C10DE6" w:rsidP="00C10DE6">
      <w:pPr>
        <w:autoSpaceDE w:val="0"/>
        <w:autoSpaceDN w:val="0"/>
        <w:adjustRightInd w:val="0"/>
        <w:spacing w:after="0" w:line="240" w:lineRule="auto"/>
        <w:rPr>
          <w:rFonts w:ascii="Calibri" w:hAnsi="Calibri" w:cs="Calibri"/>
          <w:b/>
          <w:bCs/>
          <w:iCs/>
          <w:color w:val="000000"/>
          <w:sz w:val="24"/>
          <w:szCs w:val="24"/>
        </w:rPr>
      </w:pPr>
    </w:p>
    <w:p w14:paraId="07290802" w14:textId="742F1424" w:rsidR="00C10DE6" w:rsidRPr="00C10DE6" w:rsidRDefault="00C10DE6" w:rsidP="00C10DE6">
      <w:pPr>
        <w:autoSpaceDE w:val="0"/>
        <w:autoSpaceDN w:val="0"/>
        <w:adjustRightInd w:val="0"/>
        <w:spacing w:after="0" w:line="240" w:lineRule="auto"/>
        <w:rPr>
          <w:rFonts w:ascii="Calibri" w:hAnsi="Calibri" w:cs="Calibri"/>
          <w:color w:val="000000"/>
          <w:sz w:val="24"/>
          <w:szCs w:val="24"/>
        </w:rPr>
      </w:pPr>
      <w:r w:rsidRPr="00C10DE6">
        <w:rPr>
          <w:rFonts w:ascii="Calibri" w:hAnsi="Calibri" w:cs="Calibri"/>
          <w:b/>
          <w:bCs/>
          <w:iCs/>
          <w:color w:val="000000"/>
          <w:sz w:val="24"/>
          <w:szCs w:val="24"/>
        </w:rPr>
        <w:t xml:space="preserve">Enabling Programmes </w:t>
      </w:r>
    </w:p>
    <w:p w14:paraId="4C24F29E" w14:textId="77777777" w:rsidR="00C10DE6" w:rsidRPr="00C10DE6" w:rsidRDefault="00C10DE6" w:rsidP="00C10DE6">
      <w:pPr>
        <w:autoSpaceDE w:val="0"/>
        <w:autoSpaceDN w:val="0"/>
        <w:adjustRightInd w:val="0"/>
        <w:spacing w:after="0" w:line="240" w:lineRule="auto"/>
        <w:rPr>
          <w:rFonts w:ascii="Calibri" w:hAnsi="Calibri" w:cs="Calibri"/>
          <w:color w:val="000000"/>
          <w:sz w:val="24"/>
          <w:szCs w:val="24"/>
        </w:rPr>
      </w:pPr>
      <w:r w:rsidRPr="00C10DE6">
        <w:rPr>
          <w:rFonts w:ascii="Calibri" w:hAnsi="Calibri" w:cs="Calibri"/>
          <w:iCs/>
          <w:color w:val="000000"/>
          <w:sz w:val="24"/>
          <w:szCs w:val="24"/>
        </w:rPr>
        <w:lastRenderedPageBreak/>
        <w:t xml:space="preserve">CDU will review and revise its suite of enabling and preparatory courses, with a view to improving rates of completion and progression to HE. </w:t>
      </w:r>
    </w:p>
    <w:p w14:paraId="4112158E" w14:textId="77777777" w:rsidR="00C10DE6" w:rsidRDefault="00C10DE6" w:rsidP="00C10DE6">
      <w:pPr>
        <w:autoSpaceDE w:val="0"/>
        <w:autoSpaceDN w:val="0"/>
        <w:adjustRightInd w:val="0"/>
        <w:spacing w:after="0" w:line="240" w:lineRule="auto"/>
        <w:rPr>
          <w:rFonts w:ascii="Calibri" w:hAnsi="Calibri" w:cs="Calibri"/>
          <w:b/>
          <w:bCs/>
          <w:iCs/>
          <w:color w:val="000000"/>
          <w:sz w:val="24"/>
          <w:szCs w:val="24"/>
        </w:rPr>
      </w:pPr>
    </w:p>
    <w:p w14:paraId="407C7296" w14:textId="1228C4C9" w:rsidR="00C10DE6" w:rsidRPr="00A85302" w:rsidRDefault="00C10DE6" w:rsidP="00C10DE6">
      <w:pPr>
        <w:autoSpaceDE w:val="0"/>
        <w:autoSpaceDN w:val="0"/>
        <w:adjustRightInd w:val="0"/>
        <w:spacing w:after="0" w:line="240" w:lineRule="auto"/>
        <w:rPr>
          <w:rFonts w:ascii="Calibri" w:hAnsi="Calibri" w:cs="Calibri"/>
          <w:sz w:val="24"/>
          <w:szCs w:val="24"/>
        </w:rPr>
      </w:pPr>
      <w:r w:rsidRPr="00A85302">
        <w:rPr>
          <w:rFonts w:ascii="Calibri" w:hAnsi="Calibri" w:cs="Calibri"/>
          <w:b/>
          <w:bCs/>
          <w:iCs/>
          <w:sz w:val="24"/>
          <w:szCs w:val="24"/>
        </w:rPr>
        <w:t xml:space="preserve">English Proficiency Project </w:t>
      </w:r>
    </w:p>
    <w:p w14:paraId="0144C082" w14:textId="05F89A14" w:rsidR="00C10DE6" w:rsidRPr="00C10DE6" w:rsidRDefault="00C10DE6" w:rsidP="00C10DE6">
      <w:pPr>
        <w:autoSpaceDE w:val="0"/>
        <w:autoSpaceDN w:val="0"/>
        <w:adjustRightInd w:val="0"/>
        <w:spacing w:after="0" w:line="240" w:lineRule="auto"/>
        <w:rPr>
          <w:rFonts w:ascii="Calibri" w:hAnsi="Calibri" w:cs="Calibri"/>
          <w:color w:val="FF0000"/>
          <w:sz w:val="24"/>
          <w:szCs w:val="24"/>
        </w:rPr>
      </w:pPr>
      <w:r w:rsidRPr="00A85302">
        <w:rPr>
          <w:rFonts w:ascii="Calibri" w:hAnsi="Calibri" w:cs="Calibri"/>
          <w:iCs/>
          <w:sz w:val="24"/>
          <w:szCs w:val="24"/>
        </w:rPr>
        <w:t xml:space="preserve">CDU </w:t>
      </w:r>
      <w:r w:rsidR="00A85302">
        <w:rPr>
          <w:rFonts w:ascii="Calibri" w:hAnsi="Calibri" w:cs="Calibri"/>
          <w:iCs/>
          <w:sz w:val="24"/>
          <w:szCs w:val="24"/>
        </w:rPr>
        <w:t>is exploring how to embed</w:t>
      </w:r>
      <w:r w:rsidRPr="00A85302">
        <w:rPr>
          <w:rFonts w:ascii="Calibri" w:hAnsi="Calibri" w:cs="Calibri"/>
          <w:iCs/>
          <w:sz w:val="24"/>
          <w:szCs w:val="24"/>
        </w:rPr>
        <w:t xml:space="preserve"> English language proficiency development more explicitly into its core curriculum. </w:t>
      </w:r>
    </w:p>
    <w:p w14:paraId="24D18D9D" w14:textId="77777777" w:rsidR="00C10DE6" w:rsidRDefault="00C10DE6" w:rsidP="00C10DE6">
      <w:pPr>
        <w:autoSpaceDE w:val="0"/>
        <w:autoSpaceDN w:val="0"/>
        <w:adjustRightInd w:val="0"/>
        <w:spacing w:after="0" w:line="240" w:lineRule="auto"/>
        <w:rPr>
          <w:rFonts w:ascii="Calibri" w:hAnsi="Calibri" w:cs="Calibri"/>
          <w:b/>
          <w:bCs/>
          <w:iCs/>
          <w:color w:val="000000"/>
          <w:sz w:val="24"/>
          <w:szCs w:val="24"/>
        </w:rPr>
      </w:pPr>
    </w:p>
    <w:p w14:paraId="4599F0CD" w14:textId="6DD1CDD0" w:rsidR="00C10DE6" w:rsidRPr="00C10DE6" w:rsidRDefault="00C10DE6" w:rsidP="00C10DE6">
      <w:pPr>
        <w:autoSpaceDE w:val="0"/>
        <w:autoSpaceDN w:val="0"/>
        <w:adjustRightInd w:val="0"/>
        <w:spacing w:after="0" w:line="240" w:lineRule="auto"/>
        <w:rPr>
          <w:rFonts w:ascii="Calibri" w:hAnsi="Calibri" w:cs="Calibri"/>
          <w:color w:val="000000"/>
          <w:sz w:val="24"/>
          <w:szCs w:val="24"/>
        </w:rPr>
      </w:pPr>
      <w:r w:rsidRPr="00C10DE6">
        <w:rPr>
          <w:rFonts w:ascii="Calibri" w:hAnsi="Calibri" w:cs="Calibri"/>
          <w:b/>
          <w:bCs/>
          <w:iCs/>
          <w:color w:val="000000"/>
          <w:sz w:val="24"/>
          <w:szCs w:val="24"/>
        </w:rPr>
        <w:t xml:space="preserve">HE Student Learning Support </w:t>
      </w:r>
    </w:p>
    <w:p w14:paraId="3DB7BD71" w14:textId="09E164EB" w:rsidR="00C10DE6" w:rsidRPr="00C10DE6" w:rsidRDefault="00C10DE6" w:rsidP="00C10DE6">
      <w:pPr>
        <w:autoSpaceDE w:val="0"/>
        <w:autoSpaceDN w:val="0"/>
        <w:adjustRightInd w:val="0"/>
        <w:spacing w:after="0" w:line="240" w:lineRule="auto"/>
        <w:rPr>
          <w:rFonts w:ascii="Calibri" w:hAnsi="Calibri" w:cs="Calibri"/>
          <w:color w:val="000000"/>
          <w:sz w:val="24"/>
          <w:szCs w:val="24"/>
        </w:rPr>
      </w:pPr>
      <w:r w:rsidRPr="00C10DE6">
        <w:rPr>
          <w:rFonts w:ascii="Calibri" w:hAnsi="Calibri" w:cs="Calibri"/>
          <w:iCs/>
          <w:color w:val="000000"/>
          <w:sz w:val="24"/>
          <w:szCs w:val="24"/>
        </w:rPr>
        <w:t xml:space="preserve">Given the diversity of CDU’s student cohort, the university uses a range of methods for supporting student learning beyond the formal course engagement. CDU was a leader in making the Peer Assisted Study Scheme (PASS) available to students studying online, and this will be continued and expanded. CDU </w:t>
      </w:r>
      <w:r w:rsidR="00A85302">
        <w:rPr>
          <w:rFonts w:ascii="Calibri" w:hAnsi="Calibri" w:cs="Calibri"/>
          <w:iCs/>
          <w:color w:val="000000"/>
          <w:sz w:val="24"/>
          <w:szCs w:val="24"/>
        </w:rPr>
        <w:t>has extended</w:t>
      </w:r>
      <w:r w:rsidRPr="00C10DE6">
        <w:rPr>
          <w:rFonts w:ascii="Calibri" w:hAnsi="Calibri" w:cs="Calibri"/>
          <w:iCs/>
          <w:color w:val="000000"/>
          <w:sz w:val="24"/>
          <w:szCs w:val="24"/>
        </w:rPr>
        <w:t xml:space="preserve"> online</w:t>
      </w:r>
      <w:r w:rsidR="00A85302">
        <w:rPr>
          <w:rFonts w:ascii="Calibri" w:hAnsi="Calibri" w:cs="Calibri"/>
          <w:iCs/>
          <w:color w:val="000000"/>
          <w:sz w:val="24"/>
          <w:szCs w:val="24"/>
        </w:rPr>
        <w:t xml:space="preserve"> tutoring (such as via Studiosity</w:t>
      </w:r>
      <w:r w:rsidRPr="00C10DE6">
        <w:rPr>
          <w:rFonts w:ascii="Calibri" w:hAnsi="Calibri" w:cs="Calibri"/>
          <w:iCs/>
          <w:color w:val="000000"/>
          <w:sz w:val="24"/>
          <w:szCs w:val="24"/>
        </w:rPr>
        <w:t xml:space="preserve">) to </w:t>
      </w:r>
      <w:r w:rsidR="00A85302">
        <w:rPr>
          <w:rFonts w:ascii="Calibri" w:hAnsi="Calibri" w:cs="Calibri"/>
          <w:iCs/>
          <w:color w:val="000000"/>
          <w:sz w:val="24"/>
          <w:szCs w:val="24"/>
        </w:rPr>
        <w:t>a broader cohort of</w:t>
      </w:r>
      <w:r w:rsidRPr="00C10DE6">
        <w:rPr>
          <w:rFonts w:ascii="Calibri" w:hAnsi="Calibri" w:cs="Calibri"/>
          <w:iCs/>
          <w:color w:val="000000"/>
          <w:sz w:val="24"/>
          <w:szCs w:val="24"/>
        </w:rPr>
        <w:t xml:space="preserve"> students </w:t>
      </w:r>
      <w:r w:rsidR="00A85302">
        <w:rPr>
          <w:rFonts w:ascii="Calibri" w:hAnsi="Calibri" w:cs="Calibri"/>
          <w:iCs/>
          <w:color w:val="000000"/>
          <w:sz w:val="24"/>
          <w:szCs w:val="24"/>
        </w:rPr>
        <w:t>and is aligning general tutoring support with</w:t>
      </w:r>
      <w:r w:rsidRPr="00C10DE6">
        <w:rPr>
          <w:rFonts w:ascii="Calibri" w:hAnsi="Calibri" w:cs="Calibri"/>
          <w:iCs/>
          <w:color w:val="000000"/>
          <w:sz w:val="24"/>
          <w:szCs w:val="24"/>
        </w:rPr>
        <w:t xml:space="preserve"> discipline-specific </w:t>
      </w:r>
      <w:r w:rsidR="00A85302">
        <w:rPr>
          <w:rFonts w:ascii="Calibri" w:hAnsi="Calibri" w:cs="Calibri"/>
          <w:iCs/>
          <w:color w:val="000000"/>
          <w:sz w:val="24"/>
          <w:szCs w:val="24"/>
        </w:rPr>
        <w:t>and targeted services</w:t>
      </w:r>
      <w:r w:rsidRPr="00C10DE6">
        <w:rPr>
          <w:rFonts w:ascii="Calibri" w:hAnsi="Calibri" w:cs="Calibri"/>
          <w:iCs/>
          <w:color w:val="000000"/>
          <w:sz w:val="24"/>
          <w:szCs w:val="24"/>
        </w:rPr>
        <w:t xml:space="preserve">. </w:t>
      </w:r>
    </w:p>
    <w:p w14:paraId="2C578E4B" w14:textId="77777777" w:rsidR="00C10DE6" w:rsidRDefault="00C10DE6" w:rsidP="00C10DE6">
      <w:pPr>
        <w:autoSpaceDE w:val="0"/>
        <w:autoSpaceDN w:val="0"/>
        <w:adjustRightInd w:val="0"/>
        <w:spacing w:after="0" w:line="240" w:lineRule="auto"/>
        <w:rPr>
          <w:rFonts w:ascii="Calibri" w:hAnsi="Calibri" w:cs="Calibri"/>
          <w:b/>
          <w:bCs/>
          <w:iCs/>
          <w:color w:val="000000"/>
          <w:sz w:val="24"/>
          <w:szCs w:val="24"/>
        </w:rPr>
      </w:pPr>
    </w:p>
    <w:p w14:paraId="01181703" w14:textId="16328CFD" w:rsidR="00C10DE6" w:rsidRPr="00C10DE6" w:rsidRDefault="00C10DE6" w:rsidP="00C10DE6">
      <w:pPr>
        <w:autoSpaceDE w:val="0"/>
        <w:autoSpaceDN w:val="0"/>
        <w:adjustRightInd w:val="0"/>
        <w:spacing w:after="0" w:line="240" w:lineRule="auto"/>
        <w:rPr>
          <w:rFonts w:ascii="Calibri" w:hAnsi="Calibri" w:cs="Calibri"/>
          <w:color w:val="000000"/>
          <w:sz w:val="24"/>
          <w:szCs w:val="24"/>
        </w:rPr>
      </w:pPr>
      <w:r w:rsidRPr="00C10DE6">
        <w:rPr>
          <w:rFonts w:ascii="Calibri" w:hAnsi="Calibri" w:cs="Calibri"/>
          <w:b/>
          <w:bCs/>
          <w:iCs/>
          <w:color w:val="000000"/>
          <w:sz w:val="24"/>
          <w:szCs w:val="24"/>
        </w:rPr>
        <w:t xml:space="preserve">Indigenous Curriculum Reform </w:t>
      </w:r>
    </w:p>
    <w:p w14:paraId="14377342" w14:textId="55B2E7B0" w:rsidR="00C10DE6" w:rsidRPr="00C10DE6" w:rsidRDefault="00C10DE6" w:rsidP="00C10DE6">
      <w:pPr>
        <w:autoSpaceDE w:val="0"/>
        <w:autoSpaceDN w:val="0"/>
        <w:adjustRightInd w:val="0"/>
        <w:spacing w:after="0" w:line="240" w:lineRule="auto"/>
        <w:rPr>
          <w:rFonts w:ascii="Calibri" w:hAnsi="Calibri" w:cs="Calibri"/>
          <w:color w:val="000000"/>
          <w:sz w:val="24"/>
          <w:szCs w:val="24"/>
        </w:rPr>
      </w:pPr>
      <w:r w:rsidRPr="00C10DE6">
        <w:rPr>
          <w:rFonts w:ascii="Calibri" w:hAnsi="Calibri" w:cs="Calibri"/>
          <w:iCs/>
          <w:color w:val="000000"/>
          <w:sz w:val="24"/>
          <w:szCs w:val="24"/>
        </w:rPr>
        <w:t xml:space="preserve">CDU will </w:t>
      </w:r>
      <w:r w:rsidR="00A85302">
        <w:rPr>
          <w:rFonts w:ascii="Calibri" w:hAnsi="Calibri" w:cs="Calibri"/>
          <w:iCs/>
          <w:color w:val="000000"/>
          <w:sz w:val="24"/>
          <w:szCs w:val="24"/>
        </w:rPr>
        <w:t>continue to</w:t>
      </w:r>
      <w:r w:rsidRPr="00C10DE6">
        <w:rPr>
          <w:rFonts w:ascii="Calibri" w:hAnsi="Calibri" w:cs="Calibri"/>
          <w:iCs/>
          <w:color w:val="000000"/>
          <w:sz w:val="24"/>
          <w:szCs w:val="24"/>
        </w:rPr>
        <w:t xml:space="preserve"> develop and implement curriculum reform designed to make University more relevant and engaging for Indigenous people, as well as inculcating amongst all students a deeper appreciation of the importance and value of Indigenous Australia. </w:t>
      </w:r>
    </w:p>
    <w:p w14:paraId="69BB5A19" w14:textId="77777777" w:rsidR="00C10DE6" w:rsidRDefault="00C10DE6" w:rsidP="00C10DE6">
      <w:pPr>
        <w:autoSpaceDE w:val="0"/>
        <w:autoSpaceDN w:val="0"/>
        <w:adjustRightInd w:val="0"/>
        <w:spacing w:after="0" w:line="240" w:lineRule="auto"/>
        <w:rPr>
          <w:rFonts w:ascii="Calibri" w:hAnsi="Calibri" w:cs="Calibri"/>
          <w:b/>
          <w:bCs/>
          <w:iCs/>
          <w:color w:val="000000"/>
          <w:sz w:val="24"/>
          <w:szCs w:val="24"/>
        </w:rPr>
      </w:pPr>
    </w:p>
    <w:p w14:paraId="5862A04C" w14:textId="77777777" w:rsidR="00E230FE" w:rsidRPr="00E230FE" w:rsidRDefault="00E230FE" w:rsidP="00E230FE">
      <w:pPr>
        <w:autoSpaceDE w:val="0"/>
        <w:autoSpaceDN w:val="0"/>
        <w:adjustRightInd w:val="0"/>
        <w:spacing w:after="0" w:line="240" w:lineRule="auto"/>
        <w:rPr>
          <w:rFonts w:ascii="Calibri" w:hAnsi="Calibri" w:cs="Calibri"/>
          <w:b/>
          <w:bCs/>
          <w:iCs/>
          <w:color w:val="000000"/>
          <w:sz w:val="24"/>
          <w:szCs w:val="24"/>
        </w:rPr>
      </w:pPr>
      <w:r w:rsidRPr="00E230FE">
        <w:rPr>
          <w:rFonts w:ascii="Calibri" w:hAnsi="Calibri" w:cs="Calibri"/>
          <w:b/>
          <w:bCs/>
          <w:iCs/>
          <w:color w:val="000000"/>
          <w:sz w:val="24"/>
          <w:szCs w:val="24"/>
        </w:rPr>
        <w:t xml:space="preserve">National Disability Coordination Officer (NDCO) Program </w:t>
      </w:r>
    </w:p>
    <w:p w14:paraId="5AAC79EB" w14:textId="77777777" w:rsidR="00E230FE" w:rsidRPr="00E230FE" w:rsidRDefault="00E230FE" w:rsidP="00E230FE">
      <w:pPr>
        <w:autoSpaceDE w:val="0"/>
        <w:autoSpaceDN w:val="0"/>
        <w:adjustRightInd w:val="0"/>
        <w:spacing w:after="0" w:line="240" w:lineRule="auto"/>
        <w:rPr>
          <w:rFonts w:ascii="Calibri" w:hAnsi="Calibri" w:cs="Calibri"/>
          <w:bCs/>
          <w:iCs/>
          <w:color w:val="000000"/>
          <w:sz w:val="24"/>
          <w:szCs w:val="24"/>
        </w:rPr>
      </w:pPr>
      <w:r w:rsidRPr="00E230FE">
        <w:rPr>
          <w:rFonts w:ascii="Calibri" w:hAnsi="Calibri" w:cs="Calibri"/>
          <w:bCs/>
          <w:iCs/>
          <w:color w:val="000000"/>
          <w:sz w:val="24"/>
          <w:szCs w:val="24"/>
        </w:rPr>
        <w:t xml:space="preserve">The National Disability Coordination Officer Program in the Northern Territory is hosted by CDU (Casuarina and Alice Springs Campuses). The aim of the NDCO Program is to work strategically to inspire people with disability to participate in tertiary education. The NDCO Program is dedicated to ensuring that people with disability can successfully participate in tertiary education and subsequent employment. There is a high prevalence of Indigenous people with disability in the Northern Territory. There are several initiatives underway to promote the NDCO Program, embedding the importance of literacy and numeracy to this cohort of people in schools in remote locations. </w:t>
      </w:r>
    </w:p>
    <w:p w14:paraId="64BFF578" w14:textId="77777777" w:rsidR="00C10DE6" w:rsidRDefault="00C10DE6" w:rsidP="00C10DE6">
      <w:pPr>
        <w:autoSpaceDE w:val="0"/>
        <w:autoSpaceDN w:val="0"/>
        <w:adjustRightInd w:val="0"/>
        <w:spacing w:after="0" w:line="240" w:lineRule="auto"/>
        <w:rPr>
          <w:rFonts w:ascii="Calibri" w:hAnsi="Calibri" w:cs="Calibri"/>
          <w:b/>
          <w:bCs/>
          <w:iCs/>
          <w:color w:val="000000"/>
          <w:sz w:val="24"/>
          <w:szCs w:val="24"/>
        </w:rPr>
      </w:pPr>
    </w:p>
    <w:p w14:paraId="3AC870DA" w14:textId="537C5B1B" w:rsidR="00C10DE6" w:rsidRPr="00C10DE6" w:rsidRDefault="00C10DE6" w:rsidP="00C10DE6">
      <w:pPr>
        <w:autoSpaceDE w:val="0"/>
        <w:autoSpaceDN w:val="0"/>
        <w:adjustRightInd w:val="0"/>
        <w:spacing w:after="0" w:line="240" w:lineRule="auto"/>
        <w:rPr>
          <w:rFonts w:ascii="Calibri" w:hAnsi="Calibri" w:cs="Calibri"/>
          <w:color w:val="000000"/>
          <w:sz w:val="24"/>
          <w:szCs w:val="24"/>
        </w:rPr>
      </w:pPr>
      <w:r w:rsidRPr="00C10DE6">
        <w:rPr>
          <w:rFonts w:ascii="Calibri" w:hAnsi="Calibri" w:cs="Calibri"/>
          <w:b/>
          <w:bCs/>
          <w:iCs/>
          <w:color w:val="000000"/>
          <w:sz w:val="24"/>
          <w:szCs w:val="24"/>
        </w:rPr>
        <w:t xml:space="preserve">Office of Indigenous Student Services </w:t>
      </w:r>
    </w:p>
    <w:p w14:paraId="369E3BDB" w14:textId="77777777" w:rsidR="00C10DE6" w:rsidRPr="00C10DE6" w:rsidRDefault="00C10DE6" w:rsidP="00C10DE6">
      <w:pPr>
        <w:autoSpaceDE w:val="0"/>
        <w:autoSpaceDN w:val="0"/>
        <w:adjustRightInd w:val="0"/>
        <w:spacing w:after="0" w:line="240" w:lineRule="auto"/>
        <w:rPr>
          <w:rFonts w:ascii="Calibri" w:hAnsi="Calibri" w:cs="Calibri"/>
          <w:color w:val="000000"/>
          <w:sz w:val="24"/>
          <w:szCs w:val="24"/>
        </w:rPr>
      </w:pPr>
      <w:r w:rsidRPr="00C10DE6">
        <w:rPr>
          <w:rFonts w:ascii="Calibri" w:hAnsi="Calibri" w:cs="Calibri"/>
          <w:iCs/>
          <w:color w:val="000000"/>
          <w:sz w:val="24"/>
          <w:szCs w:val="24"/>
        </w:rPr>
        <w:t xml:space="preserve">CDU’s Office of Indigenous Student Services (OISS) provides a wide range of supplementary programs and services targeted at Indigenous VET and HE students including access to: </w:t>
      </w:r>
    </w:p>
    <w:p w14:paraId="6F6B002C" w14:textId="77777777" w:rsidR="00C10DE6" w:rsidRPr="00C10DE6" w:rsidRDefault="00C10DE6" w:rsidP="00C10DE6">
      <w:pPr>
        <w:autoSpaceDE w:val="0"/>
        <w:autoSpaceDN w:val="0"/>
        <w:adjustRightInd w:val="0"/>
        <w:spacing w:after="0" w:line="240" w:lineRule="auto"/>
        <w:rPr>
          <w:rFonts w:ascii="Calibri" w:hAnsi="Calibri" w:cs="Calibri"/>
          <w:color w:val="000000"/>
          <w:sz w:val="24"/>
          <w:szCs w:val="24"/>
        </w:rPr>
      </w:pPr>
      <w:r w:rsidRPr="00C10DE6">
        <w:rPr>
          <w:rFonts w:ascii="Calibri" w:hAnsi="Calibri" w:cs="Calibri"/>
          <w:color w:val="000000"/>
          <w:sz w:val="24"/>
          <w:szCs w:val="24"/>
        </w:rPr>
        <w:t xml:space="preserve">• </w:t>
      </w:r>
      <w:r w:rsidRPr="00C10DE6">
        <w:rPr>
          <w:rFonts w:ascii="Calibri" w:hAnsi="Calibri" w:cs="Calibri"/>
          <w:iCs/>
          <w:color w:val="000000"/>
          <w:sz w:val="24"/>
          <w:szCs w:val="24"/>
        </w:rPr>
        <w:t xml:space="preserve">dedicated Indigenous Academic Support staff, facilities and infrastructure across three Campuses (i.e. Casuarina Campus ‘Gurinbey Centre’; Katherine Rural Campus ‘Yangan-garr Centre’; and Alice Springs ‘Akaltye Centre’); </w:t>
      </w:r>
    </w:p>
    <w:p w14:paraId="76F279FD" w14:textId="77777777" w:rsidR="00C10DE6" w:rsidRPr="00C10DE6" w:rsidRDefault="00C10DE6" w:rsidP="00C10DE6">
      <w:pPr>
        <w:autoSpaceDE w:val="0"/>
        <w:autoSpaceDN w:val="0"/>
        <w:adjustRightInd w:val="0"/>
        <w:spacing w:after="0" w:line="240" w:lineRule="auto"/>
        <w:rPr>
          <w:rFonts w:ascii="Calibri" w:hAnsi="Calibri" w:cs="Calibri"/>
          <w:color w:val="000000"/>
          <w:sz w:val="24"/>
          <w:szCs w:val="24"/>
        </w:rPr>
      </w:pPr>
      <w:r w:rsidRPr="00C10DE6">
        <w:rPr>
          <w:rFonts w:ascii="Calibri" w:hAnsi="Calibri" w:cs="Calibri"/>
          <w:color w:val="000000"/>
          <w:sz w:val="24"/>
          <w:szCs w:val="24"/>
        </w:rPr>
        <w:t xml:space="preserve">• </w:t>
      </w:r>
      <w:r w:rsidRPr="00C10DE6">
        <w:rPr>
          <w:rFonts w:ascii="Calibri" w:hAnsi="Calibri" w:cs="Calibri"/>
          <w:iCs/>
          <w:color w:val="000000"/>
          <w:sz w:val="24"/>
          <w:szCs w:val="24"/>
        </w:rPr>
        <w:t xml:space="preserve">Tutorial Support (OISS-TS) to eligible VET and HE students requiring content specific advice and support to ensure success; </w:t>
      </w:r>
    </w:p>
    <w:p w14:paraId="37A0C8B3" w14:textId="5ECFA86B" w:rsidR="00C10DE6" w:rsidRPr="00C10DE6" w:rsidRDefault="00C10DE6" w:rsidP="00C10DE6">
      <w:pPr>
        <w:autoSpaceDE w:val="0"/>
        <w:autoSpaceDN w:val="0"/>
        <w:adjustRightInd w:val="0"/>
        <w:spacing w:after="0" w:line="240" w:lineRule="auto"/>
        <w:rPr>
          <w:rFonts w:ascii="Calibri" w:hAnsi="Calibri" w:cs="Calibri"/>
          <w:color w:val="000000"/>
          <w:sz w:val="24"/>
          <w:szCs w:val="24"/>
        </w:rPr>
      </w:pPr>
      <w:r w:rsidRPr="00C10DE6">
        <w:rPr>
          <w:rFonts w:ascii="Calibri" w:hAnsi="Calibri" w:cs="Calibri"/>
          <w:color w:val="000000"/>
          <w:sz w:val="24"/>
          <w:szCs w:val="24"/>
        </w:rPr>
        <w:t xml:space="preserve">• </w:t>
      </w:r>
      <w:r w:rsidRPr="00C10DE6">
        <w:rPr>
          <w:rFonts w:ascii="Calibri" w:hAnsi="Calibri" w:cs="Calibri"/>
          <w:iCs/>
          <w:color w:val="000000"/>
          <w:sz w:val="24"/>
          <w:szCs w:val="24"/>
        </w:rPr>
        <w:t xml:space="preserve">Away From Base (OISS-AFB) services and support for all meals, travel and accommodation to ABSTUDY approved VET/HE mixed-mode/external Indigenous students; and ongoing rural, regional, remote and very remote Indigenous Academic Support outreach and engagement with new, continuing and prospective students. </w:t>
      </w:r>
    </w:p>
    <w:p w14:paraId="2E4052B2" w14:textId="77777777" w:rsidR="00C10DE6" w:rsidRPr="00C10DE6" w:rsidRDefault="00C10DE6" w:rsidP="00C10DE6">
      <w:pPr>
        <w:autoSpaceDE w:val="0"/>
        <w:autoSpaceDN w:val="0"/>
        <w:adjustRightInd w:val="0"/>
        <w:spacing w:after="0" w:line="240" w:lineRule="auto"/>
        <w:rPr>
          <w:rFonts w:ascii="Calibri" w:hAnsi="Calibri" w:cs="Calibri"/>
          <w:color w:val="000000"/>
          <w:sz w:val="24"/>
          <w:szCs w:val="24"/>
        </w:rPr>
      </w:pPr>
    </w:p>
    <w:p w14:paraId="74B13E11" w14:textId="77777777" w:rsidR="00C10DE6" w:rsidRPr="00E230FE" w:rsidRDefault="00C10DE6" w:rsidP="00C10DE6">
      <w:pPr>
        <w:autoSpaceDE w:val="0"/>
        <w:autoSpaceDN w:val="0"/>
        <w:adjustRightInd w:val="0"/>
        <w:spacing w:after="0" w:line="240" w:lineRule="auto"/>
        <w:rPr>
          <w:rFonts w:ascii="Calibri" w:hAnsi="Calibri" w:cs="Calibri"/>
          <w:sz w:val="24"/>
          <w:szCs w:val="24"/>
        </w:rPr>
      </w:pPr>
      <w:r w:rsidRPr="00E230FE">
        <w:rPr>
          <w:rFonts w:ascii="Calibri" w:hAnsi="Calibri" w:cs="Calibri"/>
          <w:b/>
          <w:bCs/>
          <w:iCs/>
          <w:sz w:val="24"/>
          <w:szCs w:val="24"/>
        </w:rPr>
        <w:t xml:space="preserve">Online Plus </w:t>
      </w:r>
    </w:p>
    <w:p w14:paraId="4EA71659" w14:textId="3C6733BD" w:rsidR="00C10DE6" w:rsidRPr="00E230FE" w:rsidRDefault="00C10DE6" w:rsidP="00C10DE6">
      <w:pPr>
        <w:autoSpaceDE w:val="0"/>
        <w:autoSpaceDN w:val="0"/>
        <w:adjustRightInd w:val="0"/>
        <w:spacing w:after="0" w:line="240" w:lineRule="auto"/>
        <w:rPr>
          <w:rFonts w:ascii="Calibri" w:hAnsi="Calibri" w:cs="Calibri"/>
          <w:sz w:val="24"/>
          <w:szCs w:val="24"/>
        </w:rPr>
      </w:pPr>
      <w:r w:rsidRPr="00E230FE">
        <w:rPr>
          <w:rFonts w:ascii="Calibri" w:hAnsi="Calibri" w:cs="Calibri"/>
          <w:iCs/>
          <w:sz w:val="24"/>
          <w:szCs w:val="24"/>
        </w:rPr>
        <w:t xml:space="preserve">In partnership with community organisations, state governments and other educational providers, CDU will identify areas in regional and remote Australia with potential for participating in online education augmented with face to face academic learner support. </w:t>
      </w:r>
    </w:p>
    <w:p w14:paraId="2B0ABE02" w14:textId="77777777" w:rsidR="00C10DE6" w:rsidRDefault="00C10DE6" w:rsidP="00C10DE6">
      <w:pPr>
        <w:autoSpaceDE w:val="0"/>
        <w:autoSpaceDN w:val="0"/>
        <w:adjustRightInd w:val="0"/>
        <w:spacing w:after="0" w:line="240" w:lineRule="auto"/>
        <w:rPr>
          <w:rFonts w:ascii="Calibri" w:hAnsi="Calibri" w:cs="Calibri"/>
          <w:b/>
          <w:bCs/>
          <w:iCs/>
          <w:color w:val="000000"/>
          <w:sz w:val="24"/>
          <w:szCs w:val="24"/>
        </w:rPr>
      </w:pPr>
    </w:p>
    <w:p w14:paraId="7B113E0D" w14:textId="3338F48E" w:rsidR="00C10DE6" w:rsidRPr="00C10DE6" w:rsidRDefault="00C10DE6" w:rsidP="00C10DE6">
      <w:pPr>
        <w:autoSpaceDE w:val="0"/>
        <w:autoSpaceDN w:val="0"/>
        <w:adjustRightInd w:val="0"/>
        <w:spacing w:after="0" w:line="240" w:lineRule="auto"/>
        <w:rPr>
          <w:rFonts w:ascii="Calibri" w:hAnsi="Calibri" w:cs="Calibri"/>
          <w:color w:val="000000"/>
          <w:sz w:val="24"/>
          <w:szCs w:val="24"/>
        </w:rPr>
      </w:pPr>
      <w:r w:rsidRPr="00C10DE6">
        <w:rPr>
          <w:rFonts w:ascii="Calibri" w:hAnsi="Calibri" w:cs="Calibri"/>
          <w:b/>
          <w:bCs/>
          <w:iCs/>
          <w:color w:val="000000"/>
          <w:sz w:val="24"/>
          <w:szCs w:val="24"/>
        </w:rPr>
        <w:t xml:space="preserve">Student Support Services </w:t>
      </w:r>
    </w:p>
    <w:p w14:paraId="5F86843D" w14:textId="77777777" w:rsidR="00C10DE6" w:rsidRPr="00C10DE6" w:rsidRDefault="00C10DE6" w:rsidP="00C10DE6">
      <w:pPr>
        <w:autoSpaceDE w:val="0"/>
        <w:autoSpaceDN w:val="0"/>
        <w:adjustRightInd w:val="0"/>
        <w:spacing w:after="0" w:line="240" w:lineRule="auto"/>
        <w:rPr>
          <w:rFonts w:ascii="Calibri" w:hAnsi="Calibri" w:cs="Calibri"/>
          <w:color w:val="000000"/>
          <w:sz w:val="24"/>
          <w:szCs w:val="24"/>
        </w:rPr>
      </w:pPr>
      <w:r w:rsidRPr="00C10DE6">
        <w:rPr>
          <w:rFonts w:ascii="Calibri" w:hAnsi="Calibri" w:cs="Calibri"/>
          <w:iCs/>
          <w:color w:val="000000"/>
          <w:sz w:val="24"/>
          <w:szCs w:val="24"/>
        </w:rPr>
        <w:t xml:space="preserve">CDU will continue to provide specialist support for students with disabilities through the Disability Service. Additionally, students from various equity groups are able to access support services and programs in the areas of: Careers &amp; Employment, Counselling and Off-campus Accommodation. </w:t>
      </w:r>
    </w:p>
    <w:p w14:paraId="5D231547" w14:textId="77777777" w:rsidR="00C10DE6" w:rsidRDefault="00C10DE6" w:rsidP="00C10DE6">
      <w:pPr>
        <w:autoSpaceDE w:val="0"/>
        <w:autoSpaceDN w:val="0"/>
        <w:adjustRightInd w:val="0"/>
        <w:spacing w:after="0" w:line="240" w:lineRule="auto"/>
        <w:rPr>
          <w:rFonts w:ascii="Calibri" w:hAnsi="Calibri" w:cs="Calibri"/>
          <w:b/>
          <w:bCs/>
          <w:iCs/>
          <w:color w:val="000000"/>
          <w:sz w:val="24"/>
          <w:szCs w:val="24"/>
        </w:rPr>
      </w:pPr>
    </w:p>
    <w:p w14:paraId="42A40E7E" w14:textId="751DCA29" w:rsidR="00E75A27" w:rsidRDefault="00E75A27" w:rsidP="00E12873">
      <w:pPr>
        <w:pStyle w:val="ListNumber"/>
        <w:numPr>
          <w:ilvl w:val="0"/>
          <w:numId w:val="27"/>
        </w:numPr>
        <w:spacing w:after="240" w:line="240" w:lineRule="auto"/>
        <w:rPr>
          <w:sz w:val="24"/>
        </w:rPr>
      </w:pPr>
      <w:r w:rsidRPr="00CB6EC3">
        <w:rPr>
          <w:b/>
          <w:sz w:val="24"/>
        </w:rPr>
        <w:t>Evaluation</w:t>
      </w:r>
      <w:r w:rsidRPr="00CB6EC3">
        <w:rPr>
          <w:sz w:val="24"/>
        </w:rPr>
        <w:t>: how the university plans to evaluate the effectiveness of the equity strategies.</w:t>
      </w:r>
    </w:p>
    <w:p w14:paraId="762A8FCF" w14:textId="76BB8D42" w:rsidR="00DF2EE4" w:rsidRPr="00AE7729" w:rsidRDefault="00DF2EE4" w:rsidP="00AE7729">
      <w:pPr>
        <w:autoSpaceDE w:val="0"/>
        <w:autoSpaceDN w:val="0"/>
        <w:adjustRightInd w:val="0"/>
        <w:spacing w:after="0" w:line="240" w:lineRule="auto"/>
        <w:ind w:left="360"/>
        <w:rPr>
          <w:rFonts w:ascii="Calibri" w:hAnsi="Calibri" w:cs="Calibri"/>
          <w:iCs/>
          <w:color w:val="000000"/>
          <w:sz w:val="24"/>
          <w:szCs w:val="24"/>
        </w:rPr>
      </w:pPr>
      <w:r w:rsidRPr="00AE7729">
        <w:rPr>
          <w:rFonts w:ascii="Calibri" w:hAnsi="Calibri" w:cs="Calibri"/>
          <w:iCs/>
          <w:color w:val="000000"/>
          <w:sz w:val="24"/>
          <w:szCs w:val="24"/>
        </w:rPr>
        <w:t xml:space="preserve">Each of the strategies have clearly defined objectives and KPI, along with a designated evaluation process. Where the strategies involve partnerships, a steering group or similar is in place to review progress on a regular basis. </w:t>
      </w:r>
    </w:p>
    <w:p w14:paraId="2F6D54CA" w14:textId="35B9386F" w:rsidR="00DF2EE4" w:rsidRPr="00AE7729" w:rsidRDefault="00DF2EE4" w:rsidP="00AE7729">
      <w:pPr>
        <w:autoSpaceDE w:val="0"/>
        <w:autoSpaceDN w:val="0"/>
        <w:adjustRightInd w:val="0"/>
        <w:spacing w:after="0" w:line="240" w:lineRule="auto"/>
        <w:ind w:left="360"/>
        <w:rPr>
          <w:rFonts w:ascii="Calibri" w:hAnsi="Calibri" w:cs="Calibri"/>
          <w:iCs/>
          <w:color w:val="000000"/>
          <w:sz w:val="24"/>
          <w:szCs w:val="24"/>
        </w:rPr>
      </w:pPr>
      <w:r w:rsidRPr="00AE7729">
        <w:rPr>
          <w:rFonts w:ascii="Calibri" w:hAnsi="Calibri" w:cs="Calibri"/>
          <w:iCs/>
          <w:color w:val="000000"/>
          <w:sz w:val="24"/>
          <w:szCs w:val="24"/>
        </w:rPr>
        <w:t>The University Equity Committee monitors and reports on progress in relation to the relevant equity initiatives.</w:t>
      </w:r>
    </w:p>
    <w:p w14:paraId="2142A186" w14:textId="19A9EEFE" w:rsidR="00395311" w:rsidRPr="00CB6EC3" w:rsidRDefault="00395311" w:rsidP="0045065A">
      <w:pPr>
        <w:pStyle w:val="ListNumber2"/>
        <w:numPr>
          <w:ilvl w:val="0"/>
          <w:numId w:val="0"/>
        </w:numPr>
        <w:ind w:left="936" w:hanging="567"/>
        <w:rPr>
          <w:sz w:val="24"/>
        </w:rPr>
      </w:pPr>
    </w:p>
    <w:p w14:paraId="0EAC248C" w14:textId="6BFEBD94" w:rsidR="00E75A27" w:rsidRPr="00DF2EE4" w:rsidRDefault="00E75A27" w:rsidP="00DF2EE4">
      <w:pPr>
        <w:pStyle w:val="ListNumber"/>
        <w:numPr>
          <w:ilvl w:val="0"/>
          <w:numId w:val="27"/>
        </w:numPr>
        <w:spacing w:after="240" w:line="240" w:lineRule="auto"/>
        <w:rPr>
          <w:sz w:val="24"/>
        </w:rPr>
      </w:pPr>
      <w:r w:rsidRPr="00DF2EE4">
        <w:rPr>
          <w:b/>
          <w:sz w:val="24"/>
        </w:rPr>
        <w:t>Partnerships and collaboration</w:t>
      </w:r>
      <w:r w:rsidRPr="00DF2EE4">
        <w:rPr>
          <w:sz w:val="24"/>
        </w:rPr>
        <w:t>: who the university will partner and collaborate with and how this will improve equity performance</w:t>
      </w:r>
      <w:r w:rsidR="00B00D12" w:rsidRPr="00DF2EE4">
        <w:rPr>
          <w:sz w:val="24"/>
        </w:rPr>
        <w:t>.</w:t>
      </w:r>
      <w:r w:rsidR="00DF2EE4" w:rsidRPr="00DF2EE4">
        <w:rPr>
          <w:sz w:val="24"/>
        </w:rPr>
        <w:br/>
        <w:t>CDU will continue to partner with a range of educational and community organisations in the fulfilment of the strategies listed</w:t>
      </w:r>
      <w:r w:rsidR="00DF2EE4">
        <w:rPr>
          <w:sz w:val="24"/>
        </w:rPr>
        <w:t xml:space="preserve"> </w:t>
      </w:r>
      <w:r w:rsidR="00DF2EE4" w:rsidRPr="00DF2EE4">
        <w:rPr>
          <w:sz w:val="24"/>
        </w:rPr>
        <w:t>above. These include (but are not limited to):</w:t>
      </w:r>
      <w:r w:rsidR="00DF2EE4">
        <w:rPr>
          <w:sz w:val="24"/>
        </w:rPr>
        <w:br/>
      </w:r>
    </w:p>
    <w:p w14:paraId="45B74DF6" w14:textId="77777777" w:rsidR="00DF2EE4" w:rsidRPr="00AE7729" w:rsidRDefault="00DF2EE4" w:rsidP="00DF2EE4">
      <w:pPr>
        <w:pStyle w:val="ListNumber"/>
        <w:numPr>
          <w:ilvl w:val="0"/>
          <w:numId w:val="35"/>
        </w:numPr>
        <w:spacing w:after="240" w:line="240" w:lineRule="auto"/>
        <w:jc w:val="both"/>
        <w:rPr>
          <w:sz w:val="24"/>
        </w:rPr>
      </w:pPr>
      <w:r w:rsidRPr="00AE7729">
        <w:rPr>
          <w:sz w:val="24"/>
        </w:rPr>
        <w:t>Batchelor Institute of Indigenous Tertiary Education (through ACKE)</w:t>
      </w:r>
    </w:p>
    <w:p w14:paraId="78D7CF65" w14:textId="1D399935" w:rsidR="00DF2EE4" w:rsidRPr="00AE7729" w:rsidRDefault="00DF2EE4" w:rsidP="00DF2EE4">
      <w:pPr>
        <w:pStyle w:val="ListNumber"/>
        <w:numPr>
          <w:ilvl w:val="0"/>
          <w:numId w:val="35"/>
        </w:numPr>
        <w:spacing w:after="240" w:line="240" w:lineRule="auto"/>
        <w:jc w:val="both"/>
        <w:rPr>
          <w:sz w:val="24"/>
        </w:rPr>
      </w:pPr>
      <w:r w:rsidRPr="00AE7729">
        <w:rPr>
          <w:sz w:val="24"/>
        </w:rPr>
        <w:t>Blackboard</w:t>
      </w:r>
    </w:p>
    <w:p w14:paraId="07BD8405" w14:textId="77777777" w:rsidR="00DF2EE4" w:rsidRPr="00AE7729" w:rsidRDefault="00DF2EE4" w:rsidP="00DF2EE4">
      <w:pPr>
        <w:pStyle w:val="ListNumber"/>
        <w:numPr>
          <w:ilvl w:val="0"/>
          <w:numId w:val="35"/>
        </w:numPr>
        <w:spacing w:after="240" w:line="240" w:lineRule="auto"/>
        <w:jc w:val="both"/>
        <w:rPr>
          <w:sz w:val="24"/>
        </w:rPr>
      </w:pPr>
      <w:r w:rsidRPr="00AE7729">
        <w:rPr>
          <w:sz w:val="24"/>
        </w:rPr>
        <w:t>Children’s University of Australia and associated NT community partners</w:t>
      </w:r>
    </w:p>
    <w:p w14:paraId="0A3C5705" w14:textId="16D4E21A" w:rsidR="00DF2EE4" w:rsidRPr="00AE7729" w:rsidRDefault="00DF2EE4" w:rsidP="00DF2EE4">
      <w:pPr>
        <w:pStyle w:val="ListNumber"/>
        <w:numPr>
          <w:ilvl w:val="0"/>
          <w:numId w:val="35"/>
        </w:numPr>
        <w:spacing w:after="240" w:line="240" w:lineRule="auto"/>
        <w:jc w:val="both"/>
        <w:rPr>
          <w:sz w:val="24"/>
        </w:rPr>
      </w:pPr>
      <w:r w:rsidRPr="00AE7729">
        <w:rPr>
          <w:sz w:val="24"/>
        </w:rPr>
        <w:t>Studiosity (formerly YourTutor)</w:t>
      </w:r>
    </w:p>
    <w:p w14:paraId="65BF6E77" w14:textId="73ADE634" w:rsidR="00DF2EE4" w:rsidRPr="00AE7729" w:rsidRDefault="00AE7729" w:rsidP="00DF2EE4">
      <w:pPr>
        <w:pStyle w:val="ListNumber"/>
        <w:numPr>
          <w:ilvl w:val="0"/>
          <w:numId w:val="35"/>
        </w:numPr>
        <w:spacing w:after="240" w:line="240" w:lineRule="auto"/>
        <w:jc w:val="both"/>
        <w:rPr>
          <w:sz w:val="24"/>
        </w:rPr>
      </w:pPr>
      <w:r>
        <w:rPr>
          <w:sz w:val="24"/>
        </w:rPr>
        <w:t>Innovative Research University member organisations</w:t>
      </w:r>
    </w:p>
    <w:p w14:paraId="47E32213" w14:textId="13DB790C" w:rsidR="00DF2EE4" w:rsidRPr="00AE7729" w:rsidRDefault="00DF2EE4" w:rsidP="00DF2EE4">
      <w:pPr>
        <w:pStyle w:val="ListNumber"/>
        <w:numPr>
          <w:ilvl w:val="0"/>
          <w:numId w:val="35"/>
        </w:numPr>
        <w:spacing w:after="240" w:line="240" w:lineRule="auto"/>
        <w:jc w:val="both"/>
        <w:rPr>
          <w:sz w:val="24"/>
        </w:rPr>
      </w:pPr>
      <w:r w:rsidRPr="00AE7729">
        <w:rPr>
          <w:sz w:val="24"/>
        </w:rPr>
        <w:t>Larrakia Nation (Darwin)</w:t>
      </w:r>
    </w:p>
    <w:p w14:paraId="1E63D7AC" w14:textId="77777777" w:rsidR="00DF2EE4" w:rsidRPr="00AE7729" w:rsidRDefault="00DF2EE4" w:rsidP="00DF2EE4">
      <w:pPr>
        <w:pStyle w:val="ListNumber"/>
        <w:numPr>
          <w:ilvl w:val="0"/>
          <w:numId w:val="35"/>
        </w:numPr>
        <w:spacing w:after="240" w:line="240" w:lineRule="auto"/>
        <w:jc w:val="both"/>
        <w:rPr>
          <w:sz w:val="24"/>
        </w:rPr>
      </w:pPr>
      <w:r w:rsidRPr="00AE7729">
        <w:rPr>
          <w:sz w:val="24"/>
        </w:rPr>
        <w:t>NT Secondary Schools (Government, Independent and Catholic)</w:t>
      </w:r>
    </w:p>
    <w:p w14:paraId="6F9F02C6" w14:textId="11AFBFF5" w:rsidR="00DF2EE4" w:rsidRPr="00AE7729" w:rsidRDefault="00DF2EE4" w:rsidP="00DF2EE4">
      <w:pPr>
        <w:pStyle w:val="ListNumber"/>
        <w:numPr>
          <w:ilvl w:val="0"/>
          <w:numId w:val="35"/>
        </w:numPr>
        <w:spacing w:after="240" w:line="240" w:lineRule="auto"/>
        <w:jc w:val="both"/>
        <w:rPr>
          <w:sz w:val="24"/>
        </w:rPr>
      </w:pPr>
      <w:r w:rsidRPr="00AE7729">
        <w:rPr>
          <w:sz w:val="24"/>
        </w:rPr>
        <w:t>Career Trackers</w:t>
      </w:r>
    </w:p>
    <w:p w14:paraId="6DFAA293" w14:textId="77777777" w:rsidR="00DF2EE4" w:rsidRDefault="00DF2EE4" w:rsidP="00DF2EE4">
      <w:pPr>
        <w:pStyle w:val="ListNumber"/>
        <w:numPr>
          <w:ilvl w:val="0"/>
          <w:numId w:val="35"/>
        </w:numPr>
        <w:spacing w:after="240" w:line="240" w:lineRule="auto"/>
        <w:jc w:val="both"/>
        <w:rPr>
          <w:sz w:val="24"/>
        </w:rPr>
      </w:pPr>
      <w:r>
        <w:rPr>
          <w:sz w:val="24"/>
        </w:rPr>
        <w:t>N</w:t>
      </w:r>
      <w:r w:rsidRPr="00DF2EE4">
        <w:rPr>
          <w:sz w:val="24"/>
        </w:rPr>
        <w:t>orth Australia Indigenous Lan</w:t>
      </w:r>
      <w:r>
        <w:rPr>
          <w:sz w:val="24"/>
        </w:rPr>
        <w:t>d and Sea Management Alliance</w:t>
      </w:r>
    </w:p>
    <w:p w14:paraId="423A57E5" w14:textId="428E73BB" w:rsidR="00DF2EE4" w:rsidRPr="00DF2EE4" w:rsidRDefault="00DF2EE4" w:rsidP="00DF2EE4">
      <w:pPr>
        <w:pStyle w:val="ListNumber"/>
        <w:numPr>
          <w:ilvl w:val="0"/>
          <w:numId w:val="35"/>
        </w:numPr>
        <w:spacing w:after="240" w:line="240" w:lineRule="auto"/>
        <w:jc w:val="both"/>
        <w:rPr>
          <w:sz w:val="24"/>
        </w:rPr>
      </w:pPr>
      <w:r w:rsidRPr="00DF2EE4">
        <w:rPr>
          <w:sz w:val="24"/>
        </w:rPr>
        <w:t>Foundation for Young Australians (FYA)</w:t>
      </w:r>
    </w:p>
    <w:p w14:paraId="40F8751F" w14:textId="77777777" w:rsidR="00DF2EE4" w:rsidRDefault="00DF2EE4" w:rsidP="00DF2EE4">
      <w:pPr>
        <w:pStyle w:val="ListNumber"/>
        <w:numPr>
          <w:ilvl w:val="0"/>
          <w:numId w:val="35"/>
        </w:numPr>
        <w:spacing w:after="240" w:line="240" w:lineRule="auto"/>
        <w:jc w:val="both"/>
        <w:rPr>
          <w:sz w:val="24"/>
        </w:rPr>
      </w:pPr>
      <w:r w:rsidRPr="00DF2EE4">
        <w:rPr>
          <w:sz w:val="24"/>
        </w:rPr>
        <w:t xml:space="preserve">Australian Government Office </w:t>
      </w:r>
      <w:r>
        <w:rPr>
          <w:sz w:val="24"/>
        </w:rPr>
        <w:t>of Prime Minister and Cabinet</w:t>
      </w:r>
    </w:p>
    <w:p w14:paraId="534AD0AB" w14:textId="304778F7" w:rsidR="00DF2EE4" w:rsidRPr="00DF2EE4" w:rsidRDefault="00DF2EE4" w:rsidP="00DF2EE4">
      <w:pPr>
        <w:pStyle w:val="ListNumber"/>
        <w:numPr>
          <w:ilvl w:val="0"/>
          <w:numId w:val="35"/>
        </w:numPr>
        <w:spacing w:after="240" w:line="240" w:lineRule="auto"/>
        <w:jc w:val="both"/>
        <w:rPr>
          <w:sz w:val="24"/>
        </w:rPr>
      </w:pPr>
      <w:r w:rsidRPr="00DF2EE4">
        <w:rPr>
          <w:sz w:val="24"/>
        </w:rPr>
        <w:t>Michael Long Learning and Leadership Centre</w:t>
      </w:r>
    </w:p>
    <w:p w14:paraId="7C387FF1" w14:textId="77777777" w:rsidR="00DF2EE4" w:rsidRDefault="00DF2EE4" w:rsidP="00DF2EE4">
      <w:pPr>
        <w:pStyle w:val="ListNumber"/>
        <w:numPr>
          <w:ilvl w:val="0"/>
          <w:numId w:val="35"/>
        </w:numPr>
        <w:spacing w:after="240" w:line="240" w:lineRule="auto"/>
        <w:jc w:val="both"/>
        <w:rPr>
          <w:sz w:val="24"/>
        </w:rPr>
      </w:pPr>
      <w:r w:rsidRPr="00DF2EE4">
        <w:rPr>
          <w:sz w:val="24"/>
        </w:rPr>
        <w:t>Northern Territory Government Depar</w:t>
      </w:r>
      <w:r>
        <w:rPr>
          <w:sz w:val="24"/>
        </w:rPr>
        <w:t>tment of Education</w:t>
      </w:r>
    </w:p>
    <w:p w14:paraId="78342036" w14:textId="05D10C8E" w:rsidR="00DF2EE4" w:rsidRDefault="00DF2EE4" w:rsidP="00DF2EE4">
      <w:pPr>
        <w:pStyle w:val="ListNumber"/>
        <w:numPr>
          <w:ilvl w:val="0"/>
          <w:numId w:val="35"/>
        </w:numPr>
        <w:spacing w:after="240" w:line="240" w:lineRule="auto"/>
        <w:jc w:val="both"/>
        <w:rPr>
          <w:sz w:val="24"/>
        </w:rPr>
      </w:pPr>
      <w:r w:rsidRPr="00DF2EE4">
        <w:rPr>
          <w:sz w:val="24"/>
        </w:rPr>
        <w:t>Australian Government Department of Education</w:t>
      </w:r>
    </w:p>
    <w:p w14:paraId="3FDB4B73" w14:textId="57BDF089" w:rsidR="005B53E7" w:rsidRPr="00AE7729" w:rsidRDefault="005B53E7" w:rsidP="00DF2EE4">
      <w:pPr>
        <w:pStyle w:val="ListNumber"/>
        <w:numPr>
          <w:ilvl w:val="0"/>
          <w:numId w:val="35"/>
        </w:numPr>
        <w:spacing w:after="240" w:line="240" w:lineRule="auto"/>
        <w:jc w:val="both"/>
        <w:rPr>
          <w:sz w:val="24"/>
        </w:rPr>
      </w:pPr>
      <w:r w:rsidRPr="00AE7729">
        <w:rPr>
          <w:sz w:val="24"/>
        </w:rPr>
        <w:t>Law Society NT</w:t>
      </w:r>
    </w:p>
    <w:p w14:paraId="2CC1AB89" w14:textId="145E8491" w:rsidR="005B53E7" w:rsidRPr="00AE7729" w:rsidRDefault="005B53E7" w:rsidP="005B53E7">
      <w:pPr>
        <w:pStyle w:val="ListNumber"/>
        <w:numPr>
          <w:ilvl w:val="0"/>
          <w:numId w:val="35"/>
        </w:numPr>
        <w:spacing w:after="240" w:line="240" w:lineRule="auto"/>
        <w:jc w:val="both"/>
        <w:rPr>
          <w:sz w:val="24"/>
        </w:rPr>
      </w:pPr>
      <w:r w:rsidRPr="00AE7729">
        <w:rPr>
          <w:sz w:val="24"/>
        </w:rPr>
        <w:t>The North Australian Aboriginal Justice Agency (NAAJA)</w:t>
      </w:r>
    </w:p>
    <w:p w14:paraId="031017CA" w14:textId="7A54F4E3" w:rsidR="009C0EA3" w:rsidRPr="00FB4EF9" w:rsidRDefault="00DF2EE4" w:rsidP="005C44E6">
      <w:pPr>
        <w:pStyle w:val="ListNumber"/>
        <w:numPr>
          <w:ilvl w:val="0"/>
          <w:numId w:val="35"/>
        </w:numPr>
        <w:spacing w:line="240" w:lineRule="auto"/>
        <w:jc w:val="both"/>
        <w:rPr>
          <w:rFonts w:ascii="Calibri" w:eastAsiaTheme="majorEastAsia" w:hAnsi="Calibri" w:cstheme="majorBidi"/>
        </w:rPr>
      </w:pPr>
      <w:r w:rsidRPr="00FB4EF9">
        <w:rPr>
          <w:sz w:val="24"/>
        </w:rPr>
        <w:t>NT Office of the Commissioner for Public Employment (Indigenous</w:t>
      </w:r>
      <w:r w:rsidR="005B53E7" w:rsidRPr="00FB4EF9">
        <w:rPr>
          <w:sz w:val="24"/>
        </w:rPr>
        <w:t xml:space="preserve"> </w:t>
      </w:r>
      <w:r w:rsidRPr="00FB4EF9">
        <w:rPr>
          <w:sz w:val="24"/>
        </w:rPr>
        <w:t>Employment Branch).</w:t>
      </w:r>
    </w:p>
    <w:sectPr w:rsidR="009C0EA3" w:rsidRPr="00FB4EF9" w:rsidSect="00FB4EF9">
      <w:footerReference w:type="default" r:id="rId12"/>
      <w:footerReference w:type="first" r:id="rId13"/>
      <w:pgSz w:w="11906" w:h="16838"/>
      <w:pgMar w:top="1134"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89EE0" w14:textId="77777777" w:rsidR="00A2209F" w:rsidRDefault="00A2209F" w:rsidP="00130923">
      <w:pPr>
        <w:spacing w:after="0" w:line="240" w:lineRule="auto"/>
      </w:pPr>
      <w:r>
        <w:separator/>
      </w:r>
    </w:p>
  </w:endnote>
  <w:endnote w:type="continuationSeparator" w:id="0">
    <w:p w14:paraId="017BF496" w14:textId="77777777" w:rsidR="00A2209F" w:rsidRDefault="00A2209F" w:rsidP="00130923">
      <w:pPr>
        <w:spacing w:after="0" w:line="240" w:lineRule="auto"/>
      </w:pPr>
      <w:r>
        <w:continuationSeparator/>
      </w:r>
    </w:p>
  </w:endnote>
  <w:endnote w:type="continuationNotice" w:id="1">
    <w:p w14:paraId="729EA7CD" w14:textId="77777777" w:rsidR="005C6110" w:rsidRDefault="005C61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8" w14:textId="0487FD6B" w:rsidR="00A2209F" w:rsidRDefault="00154670"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A2209F">
          <w:fldChar w:fldCharType="begin"/>
        </w:r>
        <w:r w:rsidR="00A2209F">
          <w:instrText xml:space="preserve"> PAGE   \* MERGEFORMAT </w:instrText>
        </w:r>
        <w:r w:rsidR="00A2209F">
          <w:fldChar w:fldCharType="separate"/>
        </w:r>
        <w:r>
          <w:rPr>
            <w:noProof/>
          </w:rPr>
          <w:t>4</w:t>
        </w:r>
        <w:r w:rsidR="00A2209F">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872B4" w14:textId="7FD8AB97" w:rsidR="00154670" w:rsidRDefault="00154670" w:rsidP="00154670">
    <w:pPr>
      <w:pStyle w:val="Footer"/>
      <w:tabs>
        <w:tab w:val="clear" w:pos="9026"/>
        <w:tab w:val="right" w:pos="8647"/>
      </w:tabs>
      <w:ind w:firstLine="720"/>
      <w:jc w:val="right"/>
    </w:pPr>
    <w:sdt>
      <w:sdtPr>
        <w:id w:val="-2373250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BC1D4" w14:textId="77777777" w:rsidR="00A2209F" w:rsidRDefault="00A2209F" w:rsidP="00130923">
      <w:pPr>
        <w:spacing w:after="0" w:line="240" w:lineRule="auto"/>
      </w:pPr>
      <w:r>
        <w:separator/>
      </w:r>
    </w:p>
  </w:footnote>
  <w:footnote w:type="continuationSeparator" w:id="0">
    <w:p w14:paraId="7702124A" w14:textId="77777777" w:rsidR="00A2209F" w:rsidRDefault="00A2209F" w:rsidP="00130923">
      <w:pPr>
        <w:spacing w:after="0" w:line="240" w:lineRule="auto"/>
      </w:pPr>
      <w:r>
        <w:continuationSeparator/>
      </w:r>
    </w:p>
  </w:footnote>
  <w:footnote w:type="continuationNotice" w:id="1">
    <w:p w14:paraId="72DBC561" w14:textId="77777777" w:rsidR="005C6110" w:rsidRDefault="005C61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BB0BE5"/>
    <w:multiLevelType w:val="hybridMultilevel"/>
    <w:tmpl w:val="066495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8"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06B085F"/>
    <w:multiLevelType w:val="hybridMultilevel"/>
    <w:tmpl w:val="8784323C"/>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20"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678534CA"/>
    <w:multiLevelType w:val="hybridMultilevel"/>
    <w:tmpl w:val="DFA6733A"/>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23" w15:restartNumberingAfterBreak="0">
    <w:nsid w:val="68461B72"/>
    <w:multiLevelType w:val="hybridMultilevel"/>
    <w:tmpl w:val="3AE0E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DF5E7F"/>
    <w:multiLevelType w:val="hybridMultilevel"/>
    <w:tmpl w:val="FD3C6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4"/>
  </w:num>
  <w:num w:numId="15">
    <w:abstractNumId w:val="11"/>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0"/>
  </w:num>
  <w:num w:numId="21">
    <w:abstractNumId w:val="18"/>
  </w:num>
  <w:num w:numId="22">
    <w:abstractNumId w:val="20"/>
  </w:num>
  <w:num w:numId="23">
    <w:abstractNumId w:val="14"/>
  </w:num>
  <w:num w:numId="24">
    <w:abstractNumId w:val="17"/>
  </w:num>
  <w:num w:numId="25">
    <w:abstractNumId w:val="14"/>
  </w:num>
  <w:num w:numId="26">
    <w:abstractNumId w:val="1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2"/>
  </w:num>
  <w:num w:numId="31">
    <w:abstractNumId w:val="26"/>
  </w:num>
  <w:num w:numId="32">
    <w:abstractNumId w:val="22"/>
  </w:num>
  <w:num w:numId="33">
    <w:abstractNumId w:val="27"/>
  </w:num>
  <w:num w:numId="34">
    <w:abstractNumId w:val="23"/>
  </w:num>
  <w:num w:numId="35">
    <w:abstractNumId w:val="16"/>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24E24"/>
    <w:rsid w:val="00034EAA"/>
    <w:rsid w:val="000861A6"/>
    <w:rsid w:val="000D7FD3"/>
    <w:rsid w:val="000E7E7B"/>
    <w:rsid w:val="000F3BA2"/>
    <w:rsid w:val="00103F8C"/>
    <w:rsid w:val="001175BF"/>
    <w:rsid w:val="00130923"/>
    <w:rsid w:val="00132B66"/>
    <w:rsid w:val="0014000C"/>
    <w:rsid w:val="001414F3"/>
    <w:rsid w:val="00143FCD"/>
    <w:rsid w:val="00152D18"/>
    <w:rsid w:val="00154670"/>
    <w:rsid w:val="001A495D"/>
    <w:rsid w:val="001B6467"/>
    <w:rsid w:val="001C48A7"/>
    <w:rsid w:val="002076E6"/>
    <w:rsid w:val="00222463"/>
    <w:rsid w:val="00223EB1"/>
    <w:rsid w:val="00236917"/>
    <w:rsid w:val="00241465"/>
    <w:rsid w:val="00243D6B"/>
    <w:rsid w:val="00263488"/>
    <w:rsid w:val="0026793C"/>
    <w:rsid w:val="002758D7"/>
    <w:rsid w:val="00276954"/>
    <w:rsid w:val="002822BD"/>
    <w:rsid w:val="002A11FB"/>
    <w:rsid w:val="002B06E6"/>
    <w:rsid w:val="002C3AA1"/>
    <w:rsid w:val="002D271F"/>
    <w:rsid w:val="002D6386"/>
    <w:rsid w:val="002D7D13"/>
    <w:rsid w:val="002F1999"/>
    <w:rsid w:val="00303892"/>
    <w:rsid w:val="00305B35"/>
    <w:rsid w:val="003155A7"/>
    <w:rsid w:val="003155A8"/>
    <w:rsid w:val="003166C5"/>
    <w:rsid w:val="003242B9"/>
    <w:rsid w:val="0034671D"/>
    <w:rsid w:val="003753C7"/>
    <w:rsid w:val="00376582"/>
    <w:rsid w:val="0038467B"/>
    <w:rsid w:val="00395311"/>
    <w:rsid w:val="003979FC"/>
    <w:rsid w:val="003B13EB"/>
    <w:rsid w:val="003D67FC"/>
    <w:rsid w:val="00406E5A"/>
    <w:rsid w:val="0041715E"/>
    <w:rsid w:val="0042619D"/>
    <w:rsid w:val="00443110"/>
    <w:rsid w:val="0045065A"/>
    <w:rsid w:val="00455B34"/>
    <w:rsid w:val="00481F02"/>
    <w:rsid w:val="0048762C"/>
    <w:rsid w:val="004B256F"/>
    <w:rsid w:val="004C44C0"/>
    <w:rsid w:val="004F15A7"/>
    <w:rsid w:val="005113B6"/>
    <w:rsid w:val="00531817"/>
    <w:rsid w:val="00560CA0"/>
    <w:rsid w:val="005624F3"/>
    <w:rsid w:val="005811EF"/>
    <w:rsid w:val="00585156"/>
    <w:rsid w:val="005B0878"/>
    <w:rsid w:val="005B53E7"/>
    <w:rsid w:val="005B66CA"/>
    <w:rsid w:val="005C15C0"/>
    <w:rsid w:val="005C6110"/>
    <w:rsid w:val="005F2A0F"/>
    <w:rsid w:val="00610654"/>
    <w:rsid w:val="0062410D"/>
    <w:rsid w:val="006318B9"/>
    <w:rsid w:val="0067026C"/>
    <w:rsid w:val="006D0F97"/>
    <w:rsid w:val="006E2D49"/>
    <w:rsid w:val="00712BE3"/>
    <w:rsid w:val="007468FC"/>
    <w:rsid w:val="00782F1B"/>
    <w:rsid w:val="0079030E"/>
    <w:rsid w:val="00792CA3"/>
    <w:rsid w:val="007B2FDD"/>
    <w:rsid w:val="007D58FB"/>
    <w:rsid w:val="007E0574"/>
    <w:rsid w:val="008163BB"/>
    <w:rsid w:val="00832FB2"/>
    <w:rsid w:val="0083468A"/>
    <w:rsid w:val="00842D43"/>
    <w:rsid w:val="00845040"/>
    <w:rsid w:val="00856D1C"/>
    <w:rsid w:val="00876AC0"/>
    <w:rsid w:val="008E773B"/>
    <w:rsid w:val="00903408"/>
    <w:rsid w:val="00905AD9"/>
    <w:rsid w:val="009116EA"/>
    <w:rsid w:val="00931E30"/>
    <w:rsid w:val="00933671"/>
    <w:rsid w:val="00971D09"/>
    <w:rsid w:val="00972BF7"/>
    <w:rsid w:val="00972DD5"/>
    <w:rsid w:val="00984879"/>
    <w:rsid w:val="00985632"/>
    <w:rsid w:val="00986D84"/>
    <w:rsid w:val="00991B63"/>
    <w:rsid w:val="009B2428"/>
    <w:rsid w:val="009B5CB7"/>
    <w:rsid w:val="009C0EA3"/>
    <w:rsid w:val="009D3C4D"/>
    <w:rsid w:val="009E53C4"/>
    <w:rsid w:val="009F3E64"/>
    <w:rsid w:val="00A0490D"/>
    <w:rsid w:val="00A1074C"/>
    <w:rsid w:val="00A145A2"/>
    <w:rsid w:val="00A2209F"/>
    <w:rsid w:val="00A31242"/>
    <w:rsid w:val="00A40A2D"/>
    <w:rsid w:val="00A475CB"/>
    <w:rsid w:val="00A50604"/>
    <w:rsid w:val="00A52530"/>
    <w:rsid w:val="00A551BF"/>
    <w:rsid w:val="00A571DC"/>
    <w:rsid w:val="00A66052"/>
    <w:rsid w:val="00A70524"/>
    <w:rsid w:val="00A73406"/>
    <w:rsid w:val="00A85302"/>
    <w:rsid w:val="00AA464D"/>
    <w:rsid w:val="00AB2766"/>
    <w:rsid w:val="00AC65DA"/>
    <w:rsid w:val="00AD09E4"/>
    <w:rsid w:val="00AD5D0A"/>
    <w:rsid w:val="00AE7729"/>
    <w:rsid w:val="00AF1737"/>
    <w:rsid w:val="00B00D12"/>
    <w:rsid w:val="00B2722A"/>
    <w:rsid w:val="00B4243F"/>
    <w:rsid w:val="00B4447B"/>
    <w:rsid w:val="00B60E3A"/>
    <w:rsid w:val="00B618BA"/>
    <w:rsid w:val="00B82137"/>
    <w:rsid w:val="00B95503"/>
    <w:rsid w:val="00BA282D"/>
    <w:rsid w:val="00BA4D57"/>
    <w:rsid w:val="00BB6260"/>
    <w:rsid w:val="00BE4F09"/>
    <w:rsid w:val="00BF6463"/>
    <w:rsid w:val="00C03C81"/>
    <w:rsid w:val="00C05E74"/>
    <w:rsid w:val="00C10C19"/>
    <w:rsid w:val="00C10DE6"/>
    <w:rsid w:val="00C143B8"/>
    <w:rsid w:val="00C17D02"/>
    <w:rsid w:val="00C33682"/>
    <w:rsid w:val="00C5649C"/>
    <w:rsid w:val="00C61F5D"/>
    <w:rsid w:val="00C66021"/>
    <w:rsid w:val="00C720F1"/>
    <w:rsid w:val="00C75486"/>
    <w:rsid w:val="00C8202C"/>
    <w:rsid w:val="00C91576"/>
    <w:rsid w:val="00C92A5B"/>
    <w:rsid w:val="00CA46EC"/>
    <w:rsid w:val="00CA7C7F"/>
    <w:rsid w:val="00CB6EC3"/>
    <w:rsid w:val="00CE2AA2"/>
    <w:rsid w:val="00D05B29"/>
    <w:rsid w:val="00D12BEB"/>
    <w:rsid w:val="00D1394D"/>
    <w:rsid w:val="00D27C2D"/>
    <w:rsid w:val="00D476F3"/>
    <w:rsid w:val="00D47740"/>
    <w:rsid w:val="00D51B3A"/>
    <w:rsid w:val="00D812B9"/>
    <w:rsid w:val="00D903FD"/>
    <w:rsid w:val="00D94BC5"/>
    <w:rsid w:val="00D96C08"/>
    <w:rsid w:val="00DC3052"/>
    <w:rsid w:val="00DD022D"/>
    <w:rsid w:val="00DE5F75"/>
    <w:rsid w:val="00DF2EE4"/>
    <w:rsid w:val="00DF46C4"/>
    <w:rsid w:val="00DF4CA3"/>
    <w:rsid w:val="00E02515"/>
    <w:rsid w:val="00E12873"/>
    <w:rsid w:val="00E15C96"/>
    <w:rsid w:val="00E1604B"/>
    <w:rsid w:val="00E2102F"/>
    <w:rsid w:val="00E230FE"/>
    <w:rsid w:val="00E714EF"/>
    <w:rsid w:val="00E75A27"/>
    <w:rsid w:val="00E763A6"/>
    <w:rsid w:val="00EC0504"/>
    <w:rsid w:val="00EC78E7"/>
    <w:rsid w:val="00ED43D2"/>
    <w:rsid w:val="00EE3B8C"/>
    <w:rsid w:val="00EF25D6"/>
    <w:rsid w:val="00EF4A38"/>
    <w:rsid w:val="00EF5845"/>
    <w:rsid w:val="00F11B8F"/>
    <w:rsid w:val="00F21BBD"/>
    <w:rsid w:val="00F379D0"/>
    <w:rsid w:val="00F47193"/>
    <w:rsid w:val="00F501B4"/>
    <w:rsid w:val="00F74011"/>
    <w:rsid w:val="00F76175"/>
    <w:rsid w:val="00F80CFC"/>
    <w:rsid w:val="00F80DCB"/>
    <w:rsid w:val="00F958AE"/>
    <w:rsid w:val="00F97875"/>
    <w:rsid w:val="00FB10CB"/>
    <w:rsid w:val="00FB365C"/>
    <w:rsid w:val="00FB4EF9"/>
    <w:rsid w:val="00FC5F71"/>
    <w:rsid w:val="00FE31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 w:type="character" w:customStyle="1" w:styleId="UnresolvedMention">
    <w:name w:val="Unresolved Mention"/>
    <w:basedOn w:val="DefaultParagraphFont"/>
    <w:uiPriority w:val="99"/>
    <w:semiHidden/>
    <w:unhideWhenUsed/>
    <w:rsid w:val="00DF2EE4"/>
    <w:rPr>
      <w:color w:val="808080"/>
      <w:shd w:val="clear" w:color="auto" w:fill="E6E6E6"/>
    </w:rPr>
  </w:style>
  <w:style w:type="character" w:styleId="FollowedHyperlink">
    <w:name w:val="FollowedHyperlink"/>
    <w:basedOn w:val="DefaultParagraphFont"/>
    <w:uiPriority w:val="99"/>
    <w:semiHidden/>
    <w:unhideWhenUsed/>
    <w:rsid w:val="00DF2EE4"/>
    <w:rPr>
      <w:color w:val="52276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342779297">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wsocietynt.asn.au/indigenous-legal-pathways.htm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CF"/>
    <w:rsid w:val="004703CF"/>
    <w:rsid w:val="005909C7"/>
    <w:rsid w:val="00624B4A"/>
    <w:rsid w:val="006F08A1"/>
    <w:rsid w:val="008E4BD0"/>
    <w:rsid w:val="00AB44BC"/>
    <w:rsid w:val="00E71A53"/>
    <w:rsid w:val="00EF5EF6"/>
    <w:rsid w:val="00EF69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F40A00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8A1"/>
    <w:rPr>
      <w:color w:val="808080"/>
    </w:rPr>
  </w:style>
  <w:style w:type="paragraph" w:customStyle="1" w:styleId="E97063BFE63042688913321C39A0E181">
    <w:name w:val="E97063BFE63042688913321C39A0E181"/>
  </w:style>
  <w:style w:type="paragraph" w:customStyle="1" w:styleId="5A7A11FF4F8B4861A544D611DDF89F3D">
    <w:name w:val="5A7A11FF4F8B4861A544D611DDF89F3D"/>
    <w:rsid w:val="00E71A53"/>
  </w:style>
  <w:style w:type="paragraph" w:customStyle="1" w:styleId="A94813BB1AB84FCAB352BC73E323D0CC">
    <w:name w:val="A94813BB1AB84FCAB352BC73E323D0CC"/>
    <w:rsid w:val="00EF5EF6"/>
  </w:style>
  <w:style w:type="paragraph" w:customStyle="1" w:styleId="B0D9A7B99A4645DDBE88E9001C7550CE">
    <w:name w:val="B0D9A7B99A4645DDBE88E9001C7550CE"/>
    <w:rsid w:val="005909C7"/>
  </w:style>
  <w:style w:type="paragraph" w:customStyle="1" w:styleId="215A3FE8A78F4EAA9673D707E9484C36">
    <w:name w:val="215A3FE8A78F4EAA9673D707E9484C36"/>
    <w:rsid w:val="006F08A1"/>
    <w:pPr>
      <w:spacing w:after="160" w:line="259" w:lineRule="auto"/>
    </w:pPr>
  </w:style>
  <w:style w:type="paragraph" w:customStyle="1" w:styleId="D59AED73930E4A8C84CEFA5209B5F2BF">
    <w:name w:val="D59AED73930E4A8C84CEFA5209B5F2BF"/>
    <w:rsid w:val="006F08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AAB01-E58C-4841-B922-14ADCC30097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c5a0bbd5-585e-4472-9791-5df67fe41a90"/>
    <ds:schemaRef ds:uri="http://www.w3.org/XML/1998/namespace"/>
  </ds:schemaRefs>
</ds:datastoreItem>
</file>

<file path=customXml/itemProps2.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4.xml><?xml version="1.0" encoding="utf-8"?>
<ds:datastoreItem xmlns:ds="http://schemas.openxmlformats.org/officeDocument/2006/customXml" ds:itemID="{B53DADEF-4794-44FF-A538-73518B22E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38752E7D.dotm</Template>
  <TotalTime>4</TotalTime>
  <Pages>4</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CAMPBELL,Lauren</cp:lastModifiedBy>
  <cp:revision>4</cp:revision>
  <cp:lastPrinted>2018-01-12T00:12:00Z</cp:lastPrinted>
  <dcterms:created xsi:type="dcterms:W3CDTF">2018-03-25T22:09:00Z</dcterms:created>
  <dcterms:modified xsi:type="dcterms:W3CDTF">2018-03-25T22:13:00Z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