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4A" w:rsidRPr="00084758" w:rsidRDefault="00341EA2" w:rsidP="00084758">
      <w:pPr>
        <w:pStyle w:val="Title"/>
        <w:rPr>
          <w:sz w:val="28"/>
          <w:szCs w:val="28"/>
        </w:rPr>
      </w:pPr>
      <w:bookmarkStart w:id="0" w:name="_Toc460235161"/>
      <w:r w:rsidRPr="00084758">
        <w:rPr>
          <w:sz w:val="28"/>
          <w:szCs w:val="28"/>
        </w:rPr>
        <w:t>Key Findings from the ‘Completion Rates of Higher Education Students – Cohort Analysis, 2005-2015’ Report</w:t>
      </w:r>
    </w:p>
    <w:p w:rsidR="002C79EA" w:rsidRDefault="002C79EA" w:rsidP="00BD53A6">
      <w:pPr>
        <w:rPr>
          <w:sz w:val="28"/>
        </w:rPr>
      </w:pPr>
      <w:bookmarkStart w:id="1" w:name="_GoBack"/>
      <w:bookmarkEnd w:id="1"/>
    </w:p>
    <w:p w:rsidR="00084758" w:rsidRPr="00966A8E" w:rsidRDefault="00084758" w:rsidP="00084758">
      <w:pPr>
        <w:pStyle w:val="Heading1"/>
        <w:spacing w:after="240"/>
        <w:ind w:firstLine="142"/>
        <w:rPr>
          <w:sz w:val="28"/>
        </w:rPr>
      </w:pPr>
      <w:r w:rsidRPr="00966A8E">
        <w:rPr>
          <w:sz w:val="28"/>
        </w:rPr>
        <w:t>Key messages</w:t>
      </w:r>
    </w:p>
    <w:p w:rsidR="00084758" w:rsidRPr="00640428" w:rsidRDefault="00084758" w:rsidP="00084758">
      <w:pPr>
        <w:pStyle w:val="ListParagraph"/>
        <w:numPr>
          <w:ilvl w:val="0"/>
          <w:numId w:val="22"/>
        </w:numPr>
        <w:ind w:left="567" w:right="521"/>
        <w:rPr>
          <w:sz w:val="20"/>
          <w:szCs w:val="20"/>
        </w:rPr>
      </w:pPr>
      <w:r w:rsidRPr="00640428">
        <w:rPr>
          <w:sz w:val="20"/>
          <w:szCs w:val="20"/>
        </w:rPr>
        <w:t xml:space="preserve">Nine year completion outcomes for the 2007 cohort of domestic bachelor students commencing at Table A and Table B institutions were very similar to nine year outcomes for the 2005 and 2006 cohorts. Nine years after the 2007 cohort commenced, </w:t>
      </w:r>
      <w:r w:rsidRPr="00F3211D">
        <w:rPr>
          <w:sz w:val="20"/>
          <w:szCs w:val="20"/>
        </w:rPr>
        <w:t>73.6</w:t>
      </w:r>
      <w:r>
        <w:rPr>
          <w:sz w:val="20"/>
          <w:szCs w:val="20"/>
        </w:rPr>
        <w:t xml:space="preserve"> per cent</w:t>
      </w:r>
      <w:r w:rsidRPr="00640428">
        <w:rPr>
          <w:sz w:val="20"/>
          <w:szCs w:val="20"/>
        </w:rPr>
        <w:t xml:space="preserve"> of students had completed a course, compared with 73.6</w:t>
      </w:r>
      <w:r>
        <w:rPr>
          <w:sz w:val="20"/>
          <w:szCs w:val="20"/>
        </w:rPr>
        <w:t xml:space="preserve"> per cent</w:t>
      </w:r>
      <w:r w:rsidRPr="00640428">
        <w:rPr>
          <w:sz w:val="20"/>
          <w:szCs w:val="20"/>
        </w:rPr>
        <w:t xml:space="preserve"> for the 2005 cohort and 73.5</w:t>
      </w:r>
      <w:r>
        <w:rPr>
          <w:sz w:val="20"/>
          <w:szCs w:val="20"/>
        </w:rPr>
        <w:t xml:space="preserve"> per cent</w:t>
      </w:r>
      <w:r w:rsidRPr="00640428">
        <w:rPr>
          <w:sz w:val="20"/>
          <w:szCs w:val="20"/>
        </w:rPr>
        <w:t xml:space="preserve"> for the 2006 cohort.</w:t>
      </w:r>
    </w:p>
    <w:p w:rsidR="00084758" w:rsidRPr="00640428" w:rsidRDefault="00084758" w:rsidP="00084758">
      <w:pPr>
        <w:pStyle w:val="ListParagraph"/>
        <w:numPr>
          <w:ilvl w:val="0"/>
          <w:numId w:val="22"/>
        </w:numPr>
        <w:ind w:left="567" w:right="521"/>
        <w:rPr>
          <w:sz w:val="20"/>
          <w:szCs w:val="20"/>
        </w:rPr>
      </w:pPr>
      <w:r w:rsidRPr="00640428">
        <w:rPr>
          <w:sz w:val="20"/>
          <w:szCs w:val="20"/>
        </w:rPr>
        <w:t>For the 2010 cohort, 66.0</w:t>
      </w:r>
      <w:r>
        <w:rPr>
          <w:sz w:val="20"/>
          <w:szCs w:val="20"/>
        </w:rPr>
        <w:t xml:space="preserve"> per cent</w:t>
      </w:r>
      <w:r w:rsidRPr="00640428">
        <w:rPr>
          <w:sz w:val="20"/>
          <w:szCs w:val="20"/>
        </w:rPr>
        <w:t xml:space="preserve"> of students had completed a course after six years, the lowest completion rate since the time series began in 2005. This r</w:t>
      </w:r>
      <w:r>
        <w:rPr>
          <w:sz w:val="20"/>
          <w:szCs w:val="20"/>
        </w:rPr>
        <w:t>ate is 0.9 per cent lower than</w:t>
      </w:r>
      <w:r w:rsidRPr="00640428">
        <w:rPr>
          <w:sz w:val="20"/>
          <w:szCs w:val="20"/>
        </w:rPr>
        <w:t xml:space="preserve"> the average completion rate of all other cohorts (66.9</w:t>
      </w:r>
      <w:r>
        <w:rPr>
          <w:sz w:val="20"/>
          <w:szCs w:val="20"/>
        </w:rPr>
        <w:t xml:space="preserve"> per cent</w:t>
      </w:r>
      <w:r w:rsidRPr="00640428">
        <w:rPr>
          <w:sz w:val="20"/>
          <w:szCs w:val="20"/>
        </w:rPr>
        <w:t>).</w:t>
      </w:r>
      <w:r>
        <w:rPr>
          <w:sz w:val="20"/>
          <w:szCs w:val="20"/>
        </w:rPr>
        <w:t xml:space="preserve"> Six year completion rates varied by institution with some institutions experiencing their highest six year completion rate for the 2010 cohort.</w:t>
      </w:r>
    </w:p>
    <w:p w:rsidR="00084758" w:rsidRPr="00640428" w:rsidRDefault="00084758" w:rsidP="00084758">
      <w:pPr>
        <w:pStyle w:val="ListParagraph"/>
        <w:numPr>
          <w:ilvl w:val="0"/>
          <w:numId w:val="22"/>
        </w:numPr>
        <w:ind w:left="567" w:right="521"/>
        <w:rPr>
          <w:sz w:val="18"/>
          <w:szCs w:val="20"/>
        </w:rPr>
      </w:pPr>
      <w:r w:rsidRPr="00640428">
        <w:rPr>
          <w:sz w:val="20"/>
        </w:rPr>
        <w:t>New data shows that the four year completion rate for the cohort of 2012 commencing domestic bachelor students at Tab</w:t>
      </w:r>
      <w:r>
        <w:rPr>
          <w:sz w:val="20"/>
        </w:rPr>
        <w:t>le A and Table B institutions was</w:t>
      </w:r>
      <w:r w:rsidRPr="00640428">
        <w:rPr>
          <w:sz w:val="20"/>
        </w:rPr>
        <w:t xml:space="preserve"> 44.2</w:t>
      </w:r>
      <w:r>
        <w:rPr>
          <w:sz w:val="20"/>
        </w:rPr>
        <w:t xml:space="preserve"> per cent</w:t>
      </w:r>
      <w:r w:rsidRPr="00640428">
        <w:rPr>
          <w:sz w:val="20"/>
        </w:rPr>
        <w:t>. This rep</w:t>
      </w:r>
      <w:r>
        <w:rPr>
          <w:sz w:val="20"/>
        </w:rPr>
        <w:t xml:space="preserve">resents a 0.9 per cent drop </w:t>
      </w:r>
      <w:r w:rsidRPr="00640428">
        <w:rPr>
          <w:sz w:val="20"/>
        </w:rPr>
        <w:t>compared with the 2011 cohort.</w:t>
      </w:r>
    </w:p>
    <w:p w:rsidR="00084758" w:rsidRDefault="00084758" w:rsidP="00BD53A6">
      <w:pPr>
        <w:rPr>
          <w:sz w:val="28"/>
        </w:rPr>
      </w:pPr>
    </w:p>
    <w:p w:rsidR="0086662B" w:rsidRPr="008F62C6" w:rsidRDefault="008241C6" w:rsidP="003829FA">
      <w:pPr>
        <w:pStyle w:val="Heading1"/>
        <w:rPr>
          <w:sz w:val="28"/>
        </w:rPr>
      </w:pPr>
      <w:bookmarkStart w:id="2" w:name="_Toc493851089"/>
      <w:r w:rsidRPr="008F62C6">
        <w:rPr>
          <w:sz w:val="28"/>
        </w:rPr>
        <w:t>Background</w:t>
      </w:r>
      <w:bookmarkEnd w:id="0"/>
      <w:bookmarkEnd w:id="2"/>
    </w:p>
    <w:p w:rsidR="009B5134" w:rsidRDefault="009B5134" w:rsidP="009B5134">
      <w:r>
        <w:t xml:space="preserve">The Department of Education and Training’s </w:t>
      </w:r>
      <w:r w:rsidR="00640428">
        <w:t>c</w:t>
      </w:r>
      <w:r>
        <w:t xml:space="preserve">ohort </w:t>
      </w:r>
      <w:r w:rsidR="00640428">
        <w:t>a</w:t>
      </w:r>
      <w:r>
        <w:t>nalysis methodology analyses outcomes for cohorts of higher education students</w:t>
      </w:r>
      <w:r w:rsidR="002C79EA">
        <w:t xml:space="preserve"> using data from the </w:t>
      </w:r>
      <w:r w:rsidR="002C79EA" w:rsidRPr="00C21C9F">
        <w:rPr>
          <w:i/>
          <w:noProof/>
        </w:rPr>
        <w:t>Higher Education St</w:t>
      </w:r>
      <w:r w:rsidR="00640428">
        <w:rPr>
          <w:i/>
          <w:noProof/>
        </w:rPr>
        <w:t>atistics</w:t>
      </w:r>
      <w:r w:rsidR="002C79EA" w:rsidRPr="00C21C9F">
        <w:rPr>
          <w:i/>
          <w:noProof/>
        </w:rPr>
        <w:t xml:space="preserve"> Collection</w:t>
      </w:r>
      <w:r>
        <w:t xml:space="preserve">. Commencing student cohorts are tracked using </w:t>
      </w:r>
      <w:r w:rsidRPr="002B0354">
        <w:t>student I</w:t>
      </w:r>
      <w:r>
        <w:t>D (within institution) and</w:t>
      </w:r>
      <w:r w:rsidRPr="002B0354">
        <w:t xml:space="preserve"> Commonwealth Higher Education Student Support Number, CHESSN</w:t>
      </w:r>
      <w:r>
        <w:rPr>
          <w:rStyle w:val="FootnoteReference"/>
        </w:rPr>
        <w:footnoteReference w:id="1"/>
      </w:r>
      <w:r w:rsidRPr="002B0354">
        <w:t xml:space="preserve"> (across ins</w:t>
      </w:r>
      <w:r>
        <w:t>titutions) which provides an overview of student outcomes</w:t>
      </w:r>
      <w:r w:rsidR="00100D77">
        <w:t xml:space="preserve"> four, six and nine years after</w:t>
      </w:r>
      <w:r>
        <w:t xml:space="preserve"> students commenced a course. That is, how many students had completed their studies</w:t>
      </w:r>
      <w:r>
        <w:rPr>
          <w:rStyle w:val="FootnoteReference"/>
        </w:rPr>
        <w:footnoteReference w:id="2"/>
      </w:r>
      <w:r>
        <w:t>,</w:t>
      </w:r>
      <w:r w:rsidRPr="00E330DF">
        <w:rPr>
          <w:rStyle w:val="FootnoteReference"/>
        </w:rPr>
        <w:t xml:space="preserve"> </w:t>
      </w:r>
      <w:r w:rsidRPr="002B0354">
        <w:t xml:space="preserve">how many were still studying, and how many were neither studying nor had completed </w:t>
      </w:r>
      <w:r>
        <w:t xml:space="preserve">an award </w:t>
      </w:r>
      <w:r w:rsidRPr="002B0354">
        <w:t>and therefore were no longer at the original inst</w:t>
      </w:r>
      <w:r>
        <w:t xml:space="preserve">itution or the institution to which they had </w:t>
      </w:r>
      <w:r w:rsidRPr="002B0354">
        <w:t>transferred.</w:t>
      </w:r>
      <w:r>
        <w:t xml:space="preserve"> </w:t>
      </w:r>
    </w:p>
    <w:p w:rsidR="00993B97" w:rsidRDefault="00993B97" w:rsidP="00640428">
      <w:r>
        <w:t xml:space="preserve">The tracking of cohorts over time enables a better understanding of the progression of students through the higher education system. Tracking outcomes also assists in understanding student performance and is a useful tool for identifying students with specific characteristics who are more </w:t>
      </w:r>
      <w:r>
        <w:lastRenderedPageBreak/>
        <w:t xml:space="preserve">likely to drop out and may benefit most from early assistance. </w:t>
      </w:r>
      <w:r w:rsidR="00640428">
        <w:t>Three reports</w:t>
      </w:r>
      <w:r w:rsidR="00100D77">
        <w:t xml:space="preserve"> </w:t>
      </w:r>
      <w:r w:rsidR="00640428">
        <w:t>including a detailed account of cohort analysis results have previously been published, the latest in January 2017</w:t>
      </w:r>
      <w:r w:rsidR="00100D77">
        <w:rPr>
          <w:rStyle w:val="FootnoteReference"/>
        </w:rPr>
        <w:footnoteReference w:id="3"/>
      </w:r>
      <w:r w:rsidR="00640428">
        <w:t xml:space="preserve">. </w:t>
      </w:r>
    </w:p>
    <w:p w:rsidR="003826DE" w:rsidRDefault="003826DE" w:rsidP="003826DE">
      <w:r>
        <w:t>Reports published previously by the Department have shown that</w:t>
      </w:r>
      <w:r w:rsidR="00100D77">
        <w:t xml:space="preserve"> in general</w:t>
      </w:r>
      <w:r>
        <w:t xml:space="preserve"> lower completion rates are seen for those students who study </w:t>
      </w:r>
      <w:r w:rsidRPr="00E02173">
        <w:t>external</w:t>
      </w:r>
      <w:r>
        <w:t>ly;</w:t>
      </w:r>
      <w:r w:rsidRPr="00E02173">
        <w:t xml:space="preserve"> </w:t>
      </w:r>
      <w:r>
        <w:t xml:space="preserve">are </w:t>
      </w:r>
      <w:r w:rsidRPr="00E02173">
        <w:t>part-time</w:t>
      </w:r>
      <w:r>
        <w:t xml:space="preserve">; are older; are </w:t>
      </w:r>
      <w:r w:rsidRPr="00E02173">
        <w:t xml:space="preserve">admitted </w:t>
      </w:r>
      <w:r>
        <w:t xml:space="preserve">to higher education </w:t>
      </w:r>
      <w:r w:rsidRPr="00E02173">
        <w:t>on a basis other than secondary education</w:t>
      </w:r>
      <w:r>
        <w:t>; have lower Australian Tertiary Admission Rank (ATAR) scores</w:t>
      </w:r>
      <w:r>
        <w:rPr>
          <w:rStyle w:val="FootnoteReference"/>
        </w:rPr>
        <w:footnoteReference w:id="4"/>
      </w:r>
      <w:r w:rsidR="00CF6D5F">
        <w:t>; are I</w:t>
      </w:r>
      <w:r>
        <w:t>ndigenous; have a lower socio-economic status or come from a regional area of Australia. Completion rates also vary across different fields of education.</w:t>
      </w:r>
    </w:p>
    <w:p w:rsidR="00993B97" w:rsidRPr="008F62C6" w:rsidRDefault="00993B97" w:rsidP="00993B97">
      <w:pPr>
        <w:pStyle w:val="Heading1"/>
        <w:rPr>
          <w:sz w:val="28"/>
        </w:rPr>
      </w:pPr>
      <w:bookmarkStart w:id="3" w:name="_Toc493851090"/>
      <w:r w:rsidRPr="008F62C6">
        <w:rPr>
          <w:sz w:val="28"/>
        </w:rPr>
        <w:t>Incorporating 2015 data</w:t>
      </w:r>
      <w:bookmarkEnd w:id="3"/>
    </w:p>
    <w:p w:rsidR="004E5A31" w:rsidRDefault="00993B97" w:rsidP="00993B97">
      <w:r>
        <w:t>The</w:t>
      </w:r>
      <w:r w:rsidR="00E15AF0">
        <w:t xml:space="preserve"> new </w:t>
      </w:r>
      <w:r w:rsidR="00640428">
        <w:t>c</w:t>
      </w:r>
      <w:r w:rsidR="00E15AF0">
        <w:t xml:space="preserve">ohort </w:t>
      </w:r>
      <w:r w:rsidR="00640428">
        <w:t>a</w:t>
      </w:r>
      <w:r w:rsidR="00E15AF0">
        <w:t>nalysis</w:t>
      </w:r>
      <w:r>
        <w:t xml:space="preserve"> includes data from the 2015 </w:t>
      </w:r>
      <w:r w:rsidRPr="0025742F">
        <w:rPr>
          <w:i/>
        </w:rPr>
        <w:t>Higher Education Statistics Collection</w:t>
      </w:r>
      <w:r>
        <w:rPr>
          <w:i/>
        </w:rPr>
        <w:t xml:space="preserve">, </w:t>
      </w:r>
      <w:r w:rsidR="004E5A31">
        <w:t xml:space="preserve">allowing for the assessment of additional </w:t>
      </w:r>
      <w:r w:rsidR="008A1ED1">
        <w:t xml:space="preserve">student </w:t>
      </w:r>
      <w:r w:rsidR="004E5A31">
        <w:t xml:space="preserve">cohorts (2007 cohort for nine year outcomes, 2010 cohort for six year outcomes and 2012 cohort for four year outcomes). </w:t>
      </w:r>
      <w:r w:rsidR="00E15AF0">
        <w:t>The results presented in this paper are for commencing domestic bachelor Table A and Table B</w:t>
      </w:r>
      <w:r w:rsidR="00A15CD2">
        <w:rPr>
          <w:rStyle w:val="FootnoteReference"/>
        </w:rPr>
        <w:footnoteReference w:id="5"/>
      </w:r>
      <w:r w:rsidR="00E15AF0">
        <w:t xml:space="preserve"> institution students</w:t>
      </w:r>
      <w:r w:rsidR="00A15CD2">
        <w:t>.  This expands on previous publications which, for universities, have focused on Table A institutions</w:t>
      </w:r>
      <w:r w:rsidR="008A1ED1">
        <w:t xml:space="preserve"> only</w:t>
      </w:r>
      <w:r w:rsidR="00A15CD2">
        <w:rPr>
          <w:rStyle w:val="FootnoteReference"/>
        </w:rPr>
        <w:footnoteReference w:id="6"/>
      </w:r>
      <w:r w:rsidR="00A15CD2">
        <w:t>.</w:t>
      </w:r>
    </w:p>
    <w:p w:rsidR="00BA4106" w:rsidRDefault="00BA4106" w:rsidP="00993B97">
      <w:r>
        <w:t>In addition to incorporating 2015 data, the new analysis includes outcomes by study area, a</w:t>
      </w:r>
      <w:r w:rsidR="00640428">
        <w:t xml:space="preserve"> more detailed breakdown of broad field</w:t>
      </w:r>
      <w:r>
        <w:t xml:space="preserve"> of education. The 21 study area categories align with those used </w:t>
      </w:r>
      <w:r w:rsidR="00100D77">
        <w:t>for</w:t>
      </w:r>
      <w:r>
        <w:t xml:space="preserve"> the </w:t>
      </w:r>
      <w:r w:rsidR="00640428">
        <w:t>Quality Indicators for Learning and Teaching (</w:t>
      </w:r>
      <w:r>
        <w:t>QILT</w:t>
      </w:r>
      <w:r w:rsidR="00640428">
        <w:t>)</w:t>
      </w:r>
      <w:r>
        <w:t xml:space="preserve"> website</w:t>
      </w:r>
      <w:r w:rsidR="00640428">
        <w:rPr>
          <w:rStyle w:val="FootnoteReference"/>
        </w:rPr>
        <w:footnoteReference w:id="7"/>
      </w:r>
      <w:r>
        <w:t xml:space="preserve">. </w:t>
      </w:r>
    </w:p>
    <w:p w:rsidR="00A15CD2" w:rsidRPr="000A65A4" w:rsidRDefault="00A15CD2" w:rsidP="000A65A4">
      <w:pPr>
        <w:pStyle w:val="Heading1"/>
        <w:rPr>
          <w:sz w:val="28"/>
        </w:rPr>
      </w:pPr>
      <w:bookmarkStart w:id="4" w:name="_Toc460235164"/>
      <w:bookmarkStart w:id="5" w:name="_Toc493851091"/>
      <w:r w:rsidRPr="000A65A4">
        <w:rPr>
          <w:sz w:val="28"/>
        </w:rPr>
        <w:t>Nine year outcomes for the 2007 cohort</w:t>
      </w:r>
      <w:bookmarkEnd w:id="4"/>
      <w:bookmarkEnd w:id="5"/>
    </w:p>
    <w:p w:rsidR="008A1ED1" w:rsidRDefault="008A1ED1" w:rsidP="008A1ED1">
      <w:pPr>
        <w:pStyle w:val="ListParagraph"/>
        <w:numPr>
          <w:ilvl w:val="0"/>
          <w:numId w:val="38"/>
        </w:numPr>
      </w:pPr>
      <w:r w:rsidRPr="008A1ED1">
        <w:t xml:space="preserve">Nine year </w:t>
      </w:r>
      <w:r>
        <w:t xml:space="preserve">completion outcomes for the 2007 </w:t>
      </w:r>
      <w:r w:rsidRPr="008A1ED1">
        <w:t>cohort of domestic bachelor students commencing at Table A</w:t>
      </w:r>
      <w:r>
        <w:t xml:space="preserve"> and Table B</w:t>
      </w:r>
      <w:r w:rsidRPr="008A1ED1">
        <w:t xml:space="preserve"> institutions were very similar to nine year outcomes for the 2005</w:t>
      </w:r>
      <w:r>
        <w:t xml:space="preserve"> and 2006 cohorts</w:t>
      </w:r>
      <w:r w:rsidRPr="008A1ED1">
        <w:t>. Nine years af</w:t>
      </w:r>
      <w:r>
        <w:t>ter the 2007 cohort commenced, 73.6</w:t>
      </w:r>
      <w:r w:rsidR="00614635">
        <w:t xml:space="preserve"> per cent</w:t>
      </w:r>
      <w:r w:rsidRPr="008A1ED1">
        <w:t xml:space="preserve"> of students had comple</w:t>
      </w:r>
      <w:r>
        <w:t>ted a course, compared with 73.6</w:t>
      </w:r>
      <w:r w:rsidR="00614635">
        <w:t xml:space="preserve"> per cent</w:t>
      </w:r>
      <w:r w:rsidRPr="008A1ED1">
        <w:t xml:space="preserve"> for the 2005 cohort</w:t>
      </w:r>
      <w:r>
        <w:t xml:space="preserve"> and 73.5</w:t>
      </w:r>
      <w:r w:rsidR="00614635">
        <w:t xml:space="preserve"> per cent</w:t>
      </w:r>
      <w:r>
        <w:t xml:space="preserve"> for the 2006 cohort</w:t>
      </w:r>
      <w:r w:rsidRPr="008A1ED1">
        <w:t>.</w:t>
      </w:r>
    </w:p>
    <w:p w:rsidR="008A1ED1" w:rsidRDefault="00A15CD2" w:rsidP="008A1ED1">
      <w:pPr>
        <w:pStyle w:val="ListParagraph"/>
        <w:numPr>
          <w:ilvl w:val="0"/>
          <w:numId w:val="38"/>
        </w:numPr>
      </w:pPr>
      <w:r w:rsidRPr="00DA1B6C">
        <w:t>The proportion of students who were still enrolled; re-enrolled, but dropped out before nine years</w:t>
      </w:r>
      <w:r>
        <w:t>;</w:t>
      </w:r>
      <w:r w:rsidRPr="00DA1B6C">
        <w:t xml:space="preserve"> or </w:t>
      </w:r>
      <w:r>
        <w:t xml:space="preserve">never returned, was </w:t>
      </w:r>
      <w:r w:rsidR="008A1ED1">
        <w:t xml:space="preserve">also similar across the 2005, </w:t>
      </w:r>
      <w:r>
        <w:t>2006</w:t>
      </w:r>
      <w:r w:rsidR="008A1ED1">
        <w:t xml:space="preserve"> and 2007</w:t>
      </w:r>
      <w:r>
        <w:t xml:space="preserve"> student groups.</w:t>
      </w:r>
    </w:p>
    <w:p w:rsidR="00C22080" w:rsidRDefault="00A15CD2" w:rsidP="008A1ED1">
      <w:pPr>
        <w:pStyle w:val="ListParagraph"/>
        <w:numPr>
          <w:ilvl w:val="0"/>
          <w:numId w:val="38"/>
        </w:numPr>
      </w:pPr>
      <w:r>
        <w:t>In addition, t</w:t>
      </w:r>
      <w:r w:rsidRPr="00DA1B6C">
        <w:t xml:space="preserve">he pattern of completion information by various student characteristics was </w:t>
      </w:r>
      <w:r>
        <w:t>comparable</w:t>
      </w:r>
      <w:r w:rsidRPr="00DA1B6C">
        <w:t xml:space="preserve"> between </w:t>
      </w:r>
      <w:r w:rsidR="008F62C6">
        <w:t>all</w:t>
      </w:r>
      <w:r w:rsidRPr="00DA1B6C">
        <w:t xml:space="preserve"> </w:t>
      </w:r>
      <w:r w:rsidR="008A1ED1">
        <w:t>three</w:t>
      </w:r>
      <w:r w:rsidR="00C22080">
        <w:t xml:space="preserve"> cohorts. The differences to note </w:t>
      </w:r>
      <w:r w:rsidR="00A829B3">
        <w:t>are</w:t>
      </w:r>
      <w:r w:rsidR="003826DE">
        <w:t>:</w:t>
      </w:r>
    </w:p>
    <w:p w:rsidR="00C22080" w:rsidRDefault="00C22080" w:rsidP="00C22080">
      <w:pPr>
        <w:pStyle w:val="ListParagraph"/>
        <w:numPr>
          <w:ilvl w:val="1"/>
          <w:numId w:val="38"/>
        </w:numPr>
      </w:pPr>
      <w:r>
        <w:t>for students with ATARs between 30 and 49, the proportion of students who had completed a course after nine years was 58.2</w:t>
      </w:r>
      <w:r w:rsidR="0089375B">
        <w:t xml:space="preserve"> per cent</w:t>
      </w:r>
      <w:r>
        <w:t xml:space="preserve"> for the 2007 cohort, compared with 51.4 </w:t>
      </w:r>
      <w:r w:rsidR="00B0049B">
        <w:t xml:space="preserve">per cent </w:t>
      </w:r>
      <w:r>
        <w:t xml:space="preserve">for the 2005 cohort and 50.6 </w:t>
      </w:r>
      <w:r w:rsidR="00B0049B">
        <w:t xml:space="preserve">per cent </w:t>
      </w:r>
      <w:r>
        <w:t xml:space="preserve">for the 2006 </w:t>
      </w:r>
      <w:r>
        <w:lastRenderedPageBreak/>
        <w:t>cohort. This variation in completion rates</w:t>
      </w:r>
      <w:r w:rsidR="008F62C6">
        <w:t xml:space="preserve"> is in part influenced by the</w:t>
      </w:r>
      <w:r>
        <w:t xml:space="preserve"> small numbe</w:t>
      </w:r>
      <w:r w:rsidR="00A829B3">
        <w:t xml:space="preserve">r of students in this category. </w:t>
      </w:r>
      <w:r w:rsidR="00B0049B">
        <w:t>V</w:t>
      </w:r>
      <w:r w:rsidR="00A829B3">
        <w:t xml:space="preserve">ariation </w:t>
      </w:r>
      <w:r w:rsidR="00B0049B">
        <w:t xml:space="preserve"> within</w:t>
      </w:r>
      <w:r w:rsidR="00A829B3">
        <w:t xml:space="preserve"> </w:t>
      </w:r>
      <w:r>
        <w:t>cohorts is more apparent in the six and fo</w:t>
      </w:r>
      <w:r w:rsidR="000957BC">
        <w:t>ur year outcome data, where</w:t>
      </w:r>
      <w:r w:rsidR="004B229D">
        <w:t xml:space="preserve"> </w:t>
      </w:r>
      <w:r w:rsidR="00A829B3">
        <w:t xml:space="preserve">a longer time series </w:t>
      </w:r>
      <w:r w:rsidR="004B229D">
        <w:t>is available;</w:t>
      </w:r>
    </w:p>
    <w:p w:rsidR="004B229D" w:rsidRDefault="00AF135C" w:rsidP="00C22080">
      <w:pPr>
        <w:pStyle w:val="ListParagraph"/>
        <w:numPr>
          <w:ilvl w:val="1"/>
          <w:numId w:val="38"/>
        </w:numPr>
      </w:pPr>
      <w:r>
        <w:t>s</w:t>
      </w:r>
      <w:r w:rsidR="008F62C6">
        <w:t>tudy areas</w:t>
      </w:r>
      <w:r w:rsidR="000957BC">
        <w:t xml:space="preserve"> </w:t>
      </w:r>
      <w:r w:rsidR="00B0049B">
        <w:t xml:space="preserve">reporting changes in </w:t>
      </w:r>
      <w:r w:rsidR="004B229D">
        <w:t>completion rate</w:t>
      </w:r>
      <w:r w:rsidR="00B0049B">
        <w:t xml:space="preserve"> were</w:t>
      </w:r>
      <w:r w:rsidR="004B229D">
        <w:t>:</w:t>
      </w:r>
    </w:p>
    <w:p w:rsidR="008F62C6" w:rsidRDefault="00B0049B" w:rsidP="004B229D">
      <w:pPr>
        <w:pStyle w:val="ListParagraph"/>
        <w:numPr>
          <w:ilvl w:val="2"/>
          <w:numId w:val="38"/>
        </w:numPr>
      </w:pPr>
      <w:r>
        <w:t xml:space="preserve">Nursing with </w:t>
      </w:r>
      <w:r w:rsidR="008F62C6">
        <w:t xml:space="preserve">a </w:t>
      </w:r>
      <w:r>
        <w:t xml:space="preserve">74.5 per cent completion rate for the 2007 cohort , </w:t>
      </w:r>
      <w:r w:rsidR="0030488A">
        <w:t xml:space="preserve">declining </w:t>
      </w:r>
      <w:r>
        <w:t xml:space="preserve">from </w:t>
      </w:r>
      <w:r w:rsidR="0065100C">
        <w:t>76.2</w:t>
      </w:r>
      <w:r>
        <w:t xml:space="preserve"> per cent</w:t>
      </w:r>
      <w:r w:rsidR="0065100C">
        <w:t xml:space="preserve"> for the</w:t>
      </w:r>
      <w:r w:rsidR="008F62C6">
        <w:t xml:space="preserve"> 2006</w:t>
      </w:r>
      <w:r w:rsidR="0065100C">
        <w:t xml:space="preserve"> cohort</w:t>
      </w:r>
      <w:r w:rsidR="008F62C6">
        <w:t xml:space="preserve"> and</w:t>
      </w:r>
      <w:r w:rsidR="0030488A">
        <w:t xml:space="preserve"> </w:t>
      </w:r>
      <w:r>
        <w:t>77</w:t>
      </w:r>
      <w:r w:rsidR="0030488A">
        <w:t>.3 per cent for the 2005 cohort</w:t>
      </w:r>
      <w:r w:rsidR="008F62C6">
        <w:t>;</w:t>
      </w:r>
    </w:p>
    <w:p w:rsidR="00C22080" w:rsidRDefault="008F62C6" w:rsidP="008F62C6">
      <w:pPr>
        <w:pStyle w:val="ListParagraph"/>
        <w:numPr>
          <w:ilvl w:val="2"/>
          <w:numId w:val="38"/>
        </w:numPr>
      </w:pPr>
      <w:r>
        <w:t xml:space="preserve">a </w:t>
      </w:r>
      <w:r w:rsidR="00067407">
        <w:t>72.3</w:t>
      </w:r>
      <w:r w:rsidR="00614635">
        <w:t xml:space="preserve"> per cent </w:t>
      </w:r>
      <w:r>
        <w:t xml:space="preserve">completion rate for </w:t>
      </w:r>
      <w:r w:rsidR="00067407">
        <w:t>T</w:t>
      </w:r>
      <w:r>
        <w:t xml:space="preserve">eaching </w:t>
      </w:r>
      <w:r w:rsidR="00067407">
        <w:t>E</w:t>
      </w:r>
      <w:r>
        <w:t xml:space="preserve">ducation </w:t>
      </w:r>
      <w:r w:rsidR="0058414C">
        <w:t>in</w:t>
      </w:r>
      <w:r>
        <w:t xml:space="preserve"> the 2</w:t>
      </w:r>
      <w:r w:rsidR="00502064">
        <w:t>00</w:t>
      </w:r>
      <w:r w:rsidR="00067407">
        <w:t>7</w:t>
      </w:r>
      <w:r w:rsidR="00502064">
        <w:t xml:space="preserve"> cohort</w:t>
      </w:r>
      <w:r w:rsidR="00067407">
        <w:t xml:space="preserve">, </w:t>
      </w:r>
      <w:r w:rsidR="00A147AE">
        <w:t>d</w:t>
      </w:r>
      <w:r w:rsidR="00067407">
        <w:t>ecreased from</w:t>
      </w:r>
      <w:r w:rsidR="0065100C">
        <w:t xml:space="preserve"> to 73.3</w:t>
      </w:r>
      <w:r w:rsidR="00614635">
        <w:t xml:space="preserve"> per cent</w:t>
      </w:r>
      <w:r w:rsidR="0065100C">
        <w:t xml:space="preserve"> for the</w:t>
      </w:r>
      <w:r>
        <w:t xml:space="preserve"> 2006</w:t>
      </w:r>
      <w:r w:rsidR="0065100C">
        <w:t xml:space="preserve"> cohort and  </w:t>
      </w:r>
      <w:r w:rsidR="00067407">
        <w:t>74.8</w:t>
      </w:r>
      <w:r w:rsidR="00614635">
        <w:t xml:space="preserve"> per cent</w:t>
      </w:r>
      <w:r w:rsidR="00067407">
        <w:t xml:space="preserve"> </w:t>
      </w:r>
      <w:r w:rsidR="0065100C">
        <w:t>for the</w:t>
      </w:r>
      <w:r>
        <w:t xml:space="preserve"> 200</w:t>
      </w:r>
      <w:r w:rsidR="00067407">
        <w:t>5</w:t>
      </w:r>
      <w:r w:rsidR="0065100C">
        <w:t xml:space="preserve"> cohort</w:t>
      </w:r>
      <w:r w:rsidR="00502064">
        <w:t>;</w:t>
      </w:r>
    </w:p>
    <w:p w:rsidR="003826DE" w:rsidRPr="000A65A4" w:rsidRDefault="003826DE" w:rsidP="000A65A4">
      <w:pPr>
        <w:pStyle w:val="Heading1"/>
        <w:rPr>
          <w:sz w:val="28"/>
        </w:rPr>
      </w:pPr>
      <w:bookmarkStart w:id="6" w:name="_Toc493851092"/>
      <w:r w:rsidRPr="000A65A4">
        <w:rPr>
          <w:sz w:val="28"/>
        </w:rPr>
        <w:t>Six year outcomes for the 2010 cohort</w:t>
      </w:r>
      <w:bookmarkEnd w:id="6"/>
    </w:p>
    <w:p w:rsidR="0011240B" w:rsidRDefault="00EC2B94" w:rsidP="00F73A27">
      <w:pPr>
        <w:rPr>
          <w:rFonts w:cstheme="minorHAnsi"/>
        </w:rPr>
      </w:pPr>
      <w:r w:rsidRPr="00D16F72">
        <w:rPr>
          <w:rFonts w:ascii="Calibri" w:hAnsi="Calibri"/>
        </w:rPr>
        <w:t xml:space="preserve">From </w:t>
      </w:r>
      <w:r>
        <w:rPr>
          <w:rFonts w:ascii="Calibri" w:hAnsi="Calibri"/>
        </w:rPr>
        <w:t>1 January 2012, the Australian G</w:t>
      </w:r>
      <w:r w:rsidRPr="00D16F72">
        <w:rPr>
          <w:rFonts w:ascii="Calibri" w:hAnsi="Calibri"/>
        </w:rPr>
        <w:t xml:space="preserve">overnment </w:t>
      </w:r>
      <w:r w:rsidR="00AF135C">
        <w:rPr>
          <w:rFonts w:ascii="Calibri" w:hAnsi="Calibri"/>
        </w:rPr>
        <w:t>removed</w:t>
      </w:r>
      <w:r w:rsidR="00AF135C" w:rsidRPr="00D16F72">
        <w:rPr>
          <w:rFonts w:ascii="Calibri" w:hAnsi="Calibri"/>
        </w:rPr>
        <w:t xml:space="preserve"> </w:t>
      </w:r>
      <w:r w:rsidRPr="00D16F72">
        <w:rPr>
          <w:rFonts w:ascii="Calibri" w:hAnsi="Calibri"/>
        </w:rPr>
        <w:t xml:space="preserve">limits on the number of Commonwealth </w:t>
      </w:r>
      <w:r>
        <w:rPr>
          <w:rFonts w:ascii="Calibri" w:hAnsi="Calibri"/>
        </w:rPr>
        <w:t>Supported P</w:t>
      </w:r>
      <w:r w:rsidRPr="00D16F72">
        <w:rPr>
          <w:rFonts w:ascii="Calibri" w:hAnsi="Calibri"/>
        </w:rPr>
        <w:t xml:space="preserve">laces for domestic </w:t>
      </w:r>
      <w:r>
        <w:rPr>
          <w:rFonts w:ascii="Calibri" w:hAnsi="Calibri"/>
        </w:rPr>
        <w:t>b</w:t>
      </w:r>
      <w:r w:rsidRPr="00D16F72">
        <w:rPr>
          <w:rFonts w:ascii="Calibri" w:hAnsi="Calibri"/>
        </w:rPr>
        <w:t>achelor degree students at public universities</w:t>
      </w:r>
      <w:r w:rsidR="0065100C">
        <w:rPr>
          <w:rFonts w:ascii="Calibri" w:hAnsi="Calibri"/>
        </w:rPr>
        <w:t xml:space="preserve"> (Table </w:t>
      </w:r>
      <w:proofErr w:type="gramStart"/>
      <w:r w:rsidR="0065100C">
        <w:rPr>
          <w:rFonts w:ascii="Calibri" w:hAnsi="Calibri"/>
        </w:rPr>
        <w:t>A</w:t>
      </w:r>
      <w:proofErr w:type="gramEnd"/>
      <w:r w:rsidR="0065100C">
        <w:rPr>
          <w:rFonts w:ascii="Calibri" w:hAnsi="Calibri"/>
        </w:rPr>
        <w:t xml:space="preserve"> institutions)</w:t>
      </w:r>
      <w:r w:rsidRPr="00D16F72">
        <w:rPr>
          <w:rFonts w:ascii="Calibri" w:hAnsi="Calibri"/>
        </w:rPr>
        <w:t xml:space="preserve"> (</w:t>
      </w:r>
      <w:r>
        <w:rPr>
          <w:rFonts w:ascii="Calibri" w:hAnsi="Calibri"/>
        </w:rPr>
        <w:t>excluding</w:t>
      </w:r>
      <w:r w:rsidRPr="00D16F72">
        <w:rPr>
          <w:rFonts w:ascii="Calibri" w:hAnsi="Calibri"/>
        </w:rPr>
        <w:t xml:space="preserve"> medical places) u</w:t>
      </w:r>
      <w:r>
        <w:rPr>
          <w:rFonts w:ascii="Calibri" w:hAnsi="Calibri"/>
        </w:rPr>
        <w:t xml:space="preserve">nder the ‘demand driven system’. </w:t>
      </w:r>
      <w:r>
        <w:rPr>
          <w:rFonts w:ascii="Calibri" w:hAnsi="Calibri"/>
          <w:sz w:val="18"/>
          <w:szCs w:val="18"/>
        </w:rPr>
        <w:t xml:space="preserve"> </w:t>
      </w:r>
      <w:r w:rsidR="00F0141D" w:rsidRPr="00D16F72">
        <w:rPr>
          <w:rFonts w:cstheme="minorHAnsi"/>
        </w:rPr>
        <w:t>Although the demand driven funding system was fully implemented i</w:t>
      </w:r>
      <w:r w:rsidR="00F0141D">
        <w:rPr>
          <w:rFonts w:cstheme="minorHAnsi"/>
        </w:rPr>
        <w:t>n 2012, it was preceded by a transition period whereby the previous 5</w:t>
      </w:r>
      <w:r w:rsidR="00614635">
        <w:rPr>
          <w:rFonts w:cstheme="minorHAnsi"/>
        </w:rPr>
        <w:t>.0 per cent</w:t>
      </w:r>
      <w:r w:rsidR="00F0141D">
        <w:rPr>
          <w:rFonts w:cstheme="minorHAnsi"/>
        </w:rPr>
        <w:t xml:space="preserve"> over-</w:t>
      </w:r>
      <w:r w:rsidR="00F0141D" w:rsidRPr="00D16F72">
        <w:rPr>
          <w:rFonts w:cstheme="minorHAnsi"/>
        </w:rPr>
        <w:t>enrolment cap</w:t>
      </w:r>
      <w:r w:rsidR="00F0141D">
        <w:rPr>
          <w:rFonts w:cstheme="minorHAnsi"/>
        </w:rPr>
        <w:t xml:space="preserve"> for </w:t>
      </w:r>
      <w:r w:rsidR="00F0141D" w:rsidRPr="00D16F72">
        <w:rPr>
          <w:rFonts w:ascii="Calibri" w:hAnsi="Calibri"/>
        </w:rPr>
        <w:t xml:space="preserve">Commonwealth </w:t>
      </w:r>
      <w:r w:rsidR="00F0141D">
        <w:rPr>
          <w:rFonts w:ascii="Calibri" w:hAnsi="Calibri"/>
        </w:rPr>
        <w:t>Supported P</w:t>
      </w:r>
      <w:r w:rsidR="00F0141D" w:rsidRPr="00D16F72">
        <w:rPr>
          <w:rFonts w:ascii="Calibri" w:hAnsi="Calibri"/>
        </w:rPr>
        <w:t xml:space="preserve">laces for domestic </w:t>
      </w:r>
      <w:r w:rsidR="00F0141D">
        <w:rPr>
          <w:rFonts w:ascii="Calibri" w:hAnsi="Calibri"/>
        </w:rPr>
        <w:t>b</w:t>
      </w:r>
      <w:r w:rsidR="00F0141D" w:rsidRPr="00D16F72">
        <w:rPr>
          <w:rFonts w:ascii="Calibri" w:hAnsi="Calibri"/>
        </w:rPr>
        <w:t>achelor degree students at public universities</w:t>
      </w:r>
      <w:r w:rsidR="00F0141D" w:rsidRPr="00D16F72">
        <w:rPr>
          <w:rFonts w:cstheme="minorHAnsi"/>
        </w:rPr>
        <w:t xml:space="preserve"> increased to 10</w:t>
      </w:r>
      <w:r w:rsidR="00614635">
        <w:rPr>
          <w:rFonts w:cstheme="minorHAnsi"/>
        </w:rPr>
        <w:t xml:space="preserve"> per cent</w:t>
      </w:r>
      <w:r w:rsidR="00F0141D" w:rsidRPr="00D16F72">
        <w:rPr>
          <w:rFonts w:cstheme="minorHAnsi"/>
        </w:rPr>
        <w:t xml:space="preserve"> for 2010 and 2011.</w:t>
      </w:r>
      <w:r>
        <w:rPr>
          <w:rFonts w:cstheme="minorHAnsi"/>
        </w:rPr>
        <w:t xml:space="preserve"> </w:t>
      </w:r>
    </w:p>
    <w:p w:rsidR="00B26B1D" w:rsidRDefault="00AF135C" w:rsidP="00F73A27">
      <w:r>
        <w:t>T</w:t>
      </w:r>
      <w:r w:rsidR="00EC2B94">
        <w:t xml:space="preserve">he </w:t>
      </w:r>
      <w:r w:rsidR="00495886">
        <w:t xml:space="preserve">2015 </w:t>
      </w:r>
      <w:r w:rsidR="00EC2B94">
        <w:t>publication</w:t>
      </w:r>
      <w:r>
        <w:t xml:space="preserve"> provides</w:t>
      </w:r>
      <w:r w:rsidR="00EC2B94">
        <w:t xml:space="preserve"> the first six year outcome</w:t>
      </w:r>
      <w:r>
        <w:t>s</w:t>
      </w:r>
      <w:r w:rsidR="00EC2B94">
        <w:t xml:space="preserve"> for a cohort of students </w:t>
      </w:r>
      <w:r w:rsidR="0065100C">
        <w:t>impacted</w:t>
      </w:r>
      <w:r w:rsidR="00EC2B94">
        <w:t xml:space="preserve"> by the demand driven system </w:t>
      </w:r>
      <w:r w:rsidR="00EC2B94" w:rsidRPr="00EC2B94">
        <w:t>(2010 cohort)</w:t>
      </w:r>
      <w:r w:rsidR="00EC2B94">
        <w:t xml:space="preserve">. Results for </w:t>
      </w:r>
      <w:r w:rsidR="00EC2B94">
        <w:rPr>
          <w:rFonts w:cstheme="minorHAnsi"/>
        </w:rPr>
        <w:t>the 2010 cohort provide</w:t>
      </w:r>
      <w:r w:rsidR="00B26B1D">
        <w:rPr>
          <w:rFonts w:cstheme="minorHAnsi"/>
        </w:rPr>
        <w:t xml:space="preserve"> </w:t>
      </w:r>
      <w:r w:rsidR="00F0141D">
        <w:rPr>
          <w:rFonts w:cstheme="minorHAnsi"/>
        </w:rPr>
        <w:t>an early indication of how commencing domestic bachelor</w:t>
      </w:r>
      <w:r w:rsidR="00F0141D">
        <w:t xml:space="preserve"> student</w:t>
      </w:r>
      <w:r w:rsidR="00E532E3">
        <w:rPr>
          <w:rStyle w:val="FootnoteReference"/>
          <w:rFonts w:cstheme="minorHAnsi"/>
        </w:rPr>
        <w:footnoteReference w:id="8"/>
      </w:r>
      <w:r w:rsidR="00F0141D">
        <w:t xml:space="preserve"> </w:t>
      </w:r>
      <w:r w:rsidR="00F0141D">
        <w:rPr>
          <w:rFonts w:cstheme="minorHAnsi"/>
        </w:rPr>
        <w:t>outcomes under the demand driven system compare with outcomes for commencing students prior to the demand driven system.</w:t>
      </w:r>
      <w:r w:rsidR="00B26B1D">
        <w:rPr>
          <w:rFonts w:cstheme="minorHAnsi"/>
        </w:rPr>
        <w:t xml:space="preserve"> </w:t>
      </w:r>
      <w:r w:rsidR="0011240B">
        <w:rPr>
          <w:rFonts w:cstheme="minorHAnsi"/>
        </w:rPr>
        <w:t>The</w:t>
      </w:r>
      <w:r w:rsidR="00B26B1D">
        <w:t xml:space="preserve"> data presented here includes Table B institutions as well as Table A institutions</w:t>
      </w:r>
      <w:r>
        <w:t>.</w:t>
      </w:r>
      <w:r w:rsidR="00B26B1D">
        <w:t xml:space="preserve"> </w:t>
      </w:r>
      <w:r>
        <w:t>T</w:t>
      </w:r>
      <w:r w:rsidR="0011240B">
        <w:t>he impact of this</w:t>
      </w:r>
      <w:r w:rsidR="00BA5CDF">
        <w:t xml:space="preserve"> inclusion</w:t>
      </w:r>
      <w:r w:rsidR="0011240B">
        <w:t xml:space="preserve"> is minor</w:t>
      </w:r>
      <w:r w:rsidR="00BA5CDF">
        <w:t xml:space="preserve"> due to the relatively small number of students at Table B institutions. </w:t>
      </w:r>
    </w:p>
    <w:p w:rsidR="000D3299" w:rsidRDefault="000D3299" w:rsidP="000D3299">
      <w:pPr>
        <w:pStyle w:val="ListParagraph"/>
        <w:numPr>
          <w:ilvl w:val="0"/>
          <w:numId w:val="39"/>
        </w:numPr>
      </w:pPr>
      <w:r w:rsidRPr="000D3299">
        <w:t>For the 2010 cohort, 66.0</w:t>
      </w:r>
      <w:r w:rsidR="00AF135C">
        <w:t xml:space="preserve"> per cent</w:t>
      </w:r>
      <w:r w:rsidRPr="000D3299">
        <w:t xml:space="preserve"> of students completed a course after six years, the lowest </w:t>
      </w:r>
      <w:r>
        <w:t>completion rate since the time series began in 2005. This</w:t>
      </w:r>
      <w:r w:rsidR="002977B0">
        <w:t xml:space="preserve"> represents a</w:t>
      </w:r>
      <w:r w:rsidR="00C43AE7">
        <w:t xml:space="preserve"> </w:t>
      </w:r>
      <w:r w:rsidR="00AF135C">
        <w:t xml:space="preserve">0.9 </w:t>
      </w:r>
      <w:r w:rsidR="002977B0">
        <w:t>per</w:t>
      </w:r>
      <w:r w:rsidR="00AF135C">
        <w:t xml:space="preserve"> </w:t>
      </w:r>
      <w:r w:rsidR="002977B0">
        <w:t xml:space="preserve">cent </w:t>
      </w:r>
      <w:r w:rsidR="00AF135C">
        <w:t xml:space="preserve">decrease </w:t>
      </w:r>
      <w:r w:rsidR="002977B0">
        <w:t>from the completion rate average of all other cohorts (66.9</w:t>
      </w:r>
      <w:r w:rsidR="00614635">
        <w:t xml:space="preserve"> per cent</w:t>
      </w:r>
      <w:r w:rsidR="002977B0">
        <w:t>).</w:t>
      </w:r>
    </w:p>
    <w:p w:rsidR="008E5CE3" w:rsidRPr="008E5CE3" w:rsidRDefault="00AF135C" w:rsidP="008E5CE3">
      <w:pPr>
        <w:pStyle w:val="ListParagraph"/>
        <w:numPr>
          <w:ilvl w:val="0"/>
          <w:numId w:val="39"/>
        </w:numPr>
      </w:pPr>
      <w:r w:rsidRPr="008E5CE3">
        <w:t>77.</w:t>
      </w:r>
      <w:r w:rsidR="004A3AE3">
        <w:t>8</w:t>
      </w:r>
      <w:r w:rsidR="00D923F5">
        <w:t xml:space="preserve"> per cent</w:t>
      </w:r>
      <w:r w:rsidR="00CF6D5F">
        <w:t xml:space="preserve"> o</w:t>
      </w:r>
      <w:r w:rsidR="00C854A1" w:rsidRPr="008E5CE3">
        <w:t>f</w:t>
      </w:r>
      <w:r w:rsidR="002977B0" w:rsidRPr="008E5CE3">
        <w:t xml:space="preserve"> the 2010 student cohort had completed a course or </w:t>
      </w:r>
      <w:r>
        <w:t xml:space="preserve">were </w:t>
      </w:r>
      <w:r w:rsidR="002977B0" w:rsidRPr="008E5CE3">
        <w:t>still enrolled (defined as ‘engaged’ with higher education)</w:t>
      </w:r>
      <w:r w:rsidR="00D923F5">
        <w:t>.</w:t>
      </w:r>
      <w:r w:rsidR="002977B0" w:rsidRPr="008E5CE3">
        <w:t xml:space="preserve">This rate was </w:t>
      </w:r>
      <w:r w:rsidR="00D923F5">
        <w:t>0.7 per cent below</w:t>
      </w:r>
      <w:r w:rsidR="008E5CE3" w:rsidRPr="008E5CE3">
        <w:t xml:space="preserve"> the</w:t>
      </w:r>
      <w:r w:rsidR="008E5CE3">
        <w:t xml:space="preserve"> </w:t>
      </w:r>
      <w:r w:rsidR="008E5CE3" w:rsidRPr="008E5CE3">
        <w:t>2009</w:t>
      </w:r>
      <w:r w:rsidR="002977B0" w:rsidRPr="008E5CE3">
        <w:t xml:space="preserve"> cohort (</w:t>
      </w:r>
      <w:r w:rsidR="008E5CE3" w:rsidRPr="008E5CE3">
        <w:t>78.4</w:t>
      </w:r>
      <w:r w:rsidR="00D923F5">
        <w:t xml:space="preserve"> per cent</w:t>
      </w:r>
      <w:r w:rsidR="008E5CE3">
        <w:t>)</w:t>
      </w:r>
      <w:r w:rsidR="002977B0" w:rsidRPr="008E5CE3">
        <w:t xml:space="preserve"> </w:t>
      </w:r>
      <w:r w:rsidR="008E5CE3" w:rsidRPr="008E5CE3">
        <w:t>and the average of all other cohorts (78.1</w:t>
      </w:r>
      <w:r w:rsidR="00D923F5">
        <w:t xml:space="preserve"> per cent</w:t>
      </w:r>
      <w:r w:rsidR="008E5CE3" w:rsidRPr="008E5CE3">
        <w:t xml:space="preserve">).  </w:t>
      </w:r>
    </w:p>
    <w:p w:rsidR="008E5CE3" w:rsidRDefault="008E5CE3" w:rsidP="008E5CE3">
      <w:pPr>
        <w:pStyle w:val="ListParagraph"/>
        <w:numPr>
          <w:ilvl w:val="0"/>
          <w:numId w:val="39"/>
        </w:numPr>
      </w:pPr>
      <w:r>
        <w:t>T</w:t>
      </w:r>
      <w:r w:rsidRPr="00DA1B6C">
        <w:t xml:space="preserve">he pattern of completion by various student characteristics </w:t>
      </w:r>
      <w:r>
        <w:t xml:space="preserve">has been relatively stable across time, however, </w:t>
      </w:r>
      <w:r w:rsidR="00D50723">
        <w:t>t</w:t>
      </w:r>
      <w:r w:rsidR="00E532E3">
        <w:t xml:space="preserve">he </w:t>
      </w:r>
      <w:r>
        <w:t xml:space="preserve">differences to note </w:t>
      </w:r>
      <w:r w:rsidR="0065100C">
        <w:t>are</w:t>
      </w:r>
      <w:r>
        <w:t>:</w:t>
      </w:r>
    </w:p>
    <w:p w:rsidR="0021536D" w:rsidRDefault="00D50723" w:rsidP="00034099">
      <w:pPr>
        <w:pStyle w:val="ListParagraph"/>
        <w:numPr>
          <w:ilvl w:val="1"/>
          <w:numId w:val="39"/>
        </w:numPr>
      </w:pPr>
      <w:r>
        <w:t xml:space="preserve">A </w:t>
      </w:r>
      <w:r w:rsidR="0065100C">
        <w:t>decrease</w:t>
      </w:r>
      <w:r>
        <w:t xml:space="preserve"> in the six year completion rate of students from a Non-English </w:t>
      </w:r>
      <w:r w:rsidR="00D923F5">
        <w:t>S</w:t>
      </w:r>
      <w:r>
        <w:t xml:space="preserve">peaking </w:t>
      </w:r>
      <w:r w:rsidR="00D923F5">
        <w:t>B</w:t>
      </w:r>
      <w:r>
        <w:t>ackground (NESB), from 71.1</w:t>
      </w:r>
      <w:r w:rsidR="00614635">
        <w:t xml:space="preserve"> per cent</w:t>
      </w:r>
      <w:r>
        <w:t xml:space="preserve"> for the 2009 cohort to 68.9</w:t>
      </w:r>
      <w:r w:rsidR="00614635">
        <w:t xml:space="preserve"> per cent</w:t>
      </w:r>
      <w:r>
        <w:t xml:space="preserve"> for the 2010 cohort. This decline fits </w:t>
      </w:r>
      <w:r w:rsidR="0065100C">
        <w:t>with the</w:t>
      </w:r>
      <w:r>
        <w:t xml:space="preserve"> trend for a small decline in the </w:t>
      </w:r>
      <w:r w:rsidR="00BD383A">
        <w:t xml:space="preserve">six year </w:t>
      </w:r>
      <w:r>
        <w:t xml:space="preserve">completion rate </w:t>
      </w:r>
      <w:r w:rsidR="00BD383A">
        <w:t>of NESB student</w:t>
      </w:r>
      <w:r w:rsidR="0065100C">
        <w:t>s</w:t>
      </w:r>
      <w:r w:rsidR="00BD383A">
        <w:t xml:space="preserve"> over time, down from a high of 72.5</w:t>
      </w:r>
      <w:r w:rsidR="00614635">
        <w:t xml:space="preserve"> per cent</w:t>
      </w:r>
      <w:r w:rsidR="00BD383A">
        <w:t xml:space="preserve"> for the 2005 cohort.</w:t>
      </w:r>
    </w:p>
    <w:p w:rsidR="00E532E3" w:rsidRDefault="0021536D" w:rsidP="00FC7B3B">
      <w:pPr>
        <w:pStyle w:val="ListParagraph"/>
        <w:numPr>
          <w:ilvl w:val="1"/>
          <w:numId w:val="39"/>
        </w:numPr>
      </w:pPr>
      <w:r>
        <w:lastRenderedPageBreak/>
        <w:t xml:space="preserve">All three </w:t>
      </w:r>
      <w:r w:rsidR="00D923F5">
        <w:t>S</w:t>
      </w:r>
      <w:r>
        <w:t>ocio-</w:t>
      </w:r>
      <w:r w:rsidR="00D923F5">
        <w:t>E</w:t>
      </w:r>
      <w:r>
        <w:t>conomic</w:t>
      </w:r>
      <w:r w:rsidR="00BA538E">
        <w:t xml:space="preserve"> </w:t>
      </w:r>
      <w:r w:rsidR="00D923F5">
        <w:t>S</w:t>
      </w:r>
      <w:r w:rsidR="00BA538E">
        <w:t>tatus</w:t>
      </w:r>
      <w:r w:rsidR="00F37145">
        <w:t xml:space="preserve"> (SES)</w:t>
      </w:r>
      <w:r>
        <w:t xml:space="preserve"> groups </w:t>
      </w:r>
      <w:r w:rsidR="00F37145">
        <w:t>experienced the lowest six completion rate on record for the 2010 cohort, a</w:t>
      </w:r>
      <w:r w:rsidR="0065100C">
        <w:t>n outcome</w:t>
      </w:r>
      <w:r w:rsidR="00F37145">
        <w:t xml:space="preserve"> of the overall </w:t>
      </w:r>
      <w:r>
        <w:t xml:space="preserve">decline in the completion </w:t>
      </w:r>
      <w:r w:rsidR="00F37145">
        <w:t xml:space="preserve">rate. </w:t>
      </w:r>
      <w:r w:rsidR="00BA538E">
        <w:t>For students from a low SES background, t</w:t>
      </w:r>
      <w:r w:rsidR="00F37145">
        <w:t>he six year completion rate was 60.6</w:t>
      </w:r>
      <w:r w:rsidR="00614635">
        <w:t xml:space="preserve"> per cent</w:t>
      </w:r>
      <w:r w:rsidR="00BA538E">
        <w:t>. The equivalent figure for medium SES students was 64.9</w:t>
      </w:r>
      <w:r w:rsidR="00614635">
        <w:t xml:space="preserve"> per cent</w:t>
      </w:r>
      <w:r w:rsidR="00BA538E">
        <w:t xml:space="preserve"> and 70.5</w:t>
      </w:r>
      <w:r w:rsidR="00614635">
        <w:t xml:space="preserve"> per cent</w:t>
      </w:r>
      <w:r w:rsidR="00BA538E">
        <w:t xml:space="preserve"> for high SES students. </w:t>
      </w:r>
    </w:p>
    <w:p w:rsidR="00996FA5" w:rsidRDefault="00BA538E" w:rsidP="00996FA5">
      <w:pPr>
        <w:pStyle w:val="ListParagraph"/>
        <w:numPr>
          <w:ilvl w:val="1"/>
          <w:numId w:val="39"/>
        </w:numPr>
      </w:pPr>
      <w:r>
        <w:t>The six year completion rate for students from a metropolitan area was the lowest on record for the 2010 cohort (66.9</w:t>
      </w:r>
      <w:r w:rsidR="00614635">
        <w:t xml:space="preserve"> per cent</w:t>
      </w:r>
      <w:r>
        <w:t>, compared to an average of 68.0</w:t>
      </w:r>
      <w:r w:rsidR="00614635">
        <w:t xml:space="preserve"> per cent</w:t>
      </w:r>
      <w:r>
        <w:t xml:space="preserve"> for all other </w:t>
      </w:r>
      <w:r w:rsidR="00FC7B3B">
        <w:t xml:space="preserve">metropolitan </w:t>
      </w:r>
      <w:r>
        <w:t xml:space="preserve">cohorts). </w:t>
      </w:r>
    </w:p>
    <w:p w:rsidR="00996FA5" w:rsidRPr="007B6E73" w:rsidRDefault="008D117F" w:rsidP="00996FA5">
      <w:pPr>
        <w:pStyle w:val="ListParagraph"/>
        <w:numPr>
          <w:ilvl w:val="1"/>
          <w:numId w:val="39"/>
        </w:numPr>
      </w:pPr>
      <w:r>
        <w:t>Notable</w:t>
      </w:r>
      <w:r w:rsidRPr="007B6E73">
        <w:t xml:space="preserve"> outcomes</w:t>
      </w:r>
      <w:r>
        <w:t xml:space="preserve"> </w:t>
      </w:r>
      <w:r w:rsidR="00996FA5" w:rsidRPr="007B6E73">
        <w:t xml:space="preserve">within </w:t>
      </w:r>
      <w:r w:rsidR="006E7B47">
        <w:t>study area</w:t>
      </w:r>
      <w:r w:rsidR="00994691">
        <w:t>s</w:t>
      </w:r>
      <w:r w:rsidR="00FC7B3B">
        <w:t xml:space="preserve"> </w:t>
      </w:r>
      <w:r w:rsidR="0065100C">
        <w:t>are</w:t>
      </w:r>
      <w:r w:rsidR="00996FA5" w:rsidRPr="007B6E73">
        <w:t>:</w:t>
      </w:r>
    </w:p>
    <w:p w:rsidR="00151DB6" w:rsidRPr="000F0E8E" w:rsidRDefault="00151DB6" w:rsidP="00562964">
      <w:pPr>
        <w:pStyle w:val="ListParagraph"/>
        <w:numPr>
          <w:ilvl w:val="2"/>
          <w:numId w:val="39"/>
        </w:numPr>
      </w:pPr>
      <w:r w:rsidRPr="000F0E8E">
        <w:t>the completion rate for the 2010 cohort of teacher education students (62.0</w:t>
      </w:r>
      <w:r w:rsidR="00614635">
        <w:t xml:space="preserve"> per cent</w:t>
      </w:r>
      <w:r w:rsidRPr="000F0E8E">
        <w:t>) was lower than for the 2009 cohort (63.5</w:t>
      </w:r>
      <w:r w:rsidR="00614635">
        <w:t xml:space="preserve"> per cent</w:t>
      </w:r>
      <w:r w:rsidRPr="000F0E8E">
        <w:t>), continuing the decline over time of six year completion rates for teacher education</w:t>
      </w:r>
      <w:r w:rsidR="0065100C">
        <w:t xml:space="preserve"> students</w:t>
      </w:r>
      <w:r w:rsidRPr="000F0E8E">
        <w:t xml:space="preserve"> from a high of 70.3</w:t>
      </w:r>
      <w:r w:rsidR="00614635">
        <w:t xml:space="preserve"> per cent</w:t>
      </w:r>
      <w:r w:rsidRPr="000F0E8E">
        <w:t xml:space="preserve"> in 2005; </w:t>
      </w:r>
    </w:p>
    <w:p w:rsidR="00151DB6" w:rsidRDefault="00151DB6" w:rsidP="00562964">
      <w:pPr>
        <w:pStyle w:val="ListParagraph"/>
        <w:numPr>
          <w:ilvl w:val="2"/>
          <w:numId w:val="39"/>
        </w:numPr>
      </w:pPr>
      <w:r w:rsidRPr="000F0E8E">
        <w:t>the six year completion rate fo</w:t>
      </w:r>
      <w:r w:rsidR="0065100C">
        <w:t xml:space="preserve">r </w:t>
      </w:r>
      <w:r w:rsidR="008D117F">
        <w:t>legal and paralegal studies</w:t>
      </w:r>
      <w:r w:rsidR="0065100C">
        <w:t xml:space="preserve"> </w:t>
      </w:r>
      <w:r w:rsidR="008D117F" w:rsidRPr="000F0E8E">
        <w:t>dec</w:t>
      </w:r>
      <w:r w:rsidR="008D117F">
        <w:t>reased</w:t>
      </w:r>
      <w:r w:rsidRPr="000F0E8E">
        <w:t xml:space="preserve">. </w:t>
      </w:r>
      <w:r w:rsidR="008D117F">
        <w:t>T</w:t>
      </w:r>
      <w:r w:rsidRPr="000F0E8E">
        <w:t xml:space="preserve">he 2010 cohort of </w:t>
      </w:r>
      <w:r w:rsidR="008D117F">
        <w:t>legal and paralegal studies</w:t>
      </w:r>
      <w:r w:rsidRPr="000F0E8E">
        <w:t xml:space="preserve"> </w:t>
      </w:r>
      <w:r w:rsidR="008D117F">
        <w:t>had a 64.4 per cent</w:t>
      </w:r>
      <w:r w:rsidRPr="000F0E8E">
        <w:t xml:space="preserve"> complet</w:t>
      </w:r>
      <w:r w:rsidR="008D117F">
        <w:t>ion rate</w:t>
      </w:r>
      <w:r w:rsidRPr="000F0E8E">
        <w:t xml:space="preserve"> after six years, compared with </w:t>
      </w:r>
      <w:r w:rsidR="00614635">
        <w:t>68.6 per cent</w:t>
      </w:r>
      <w:r w:rsidRPr="000F0E8E">
        <w:t xml:space="preserve"> for the 2005 cohort. </w:t>
      </w:r>
    </w:p>
    <w:p w:rsidR="00CF714A" w:rsidRPr="000F0E8E" w:rsidRDefault="00CF714A" w:rsidP="00CF714A">
      <w:pPr>
        <w:pStyle w:val="ListParagraph"/>
        <w:ind w:left="2160"/>
      </w:pPr>
    </w:p>
    <w:p w:rsidR="000F0E8E" w:rsidRPr="000A65A4" w:rsidRDefault="000F0E8E" w:rsidP="000A65A4">
      <w:pPr>
        <w:pStyle w:val="Heading2"/>
        <w:rPr>
          <w:i w:val="0"/>
          <w:sz w:val="22"/>
        </w:rPr>
      </w:pPr>
      <w:bookmarkStart w:id="7" w:name="_Toc493851093"/>
      <w:r w:rsidRPr="000A65A4">
        <w:rPr>
          <w:i w:val="0"/>
          <w:sz w:val="22"/>
        </w:rPr>
        <w:t>Outcomes by institution</w:t>
      </w:r>
      <w:r w:rsidR="00974324" w:rsidRPr="000A65A4">
        <w:rPr>
          <w:rStyle w:val="FootnoteReference"/>
          <w:i w:val="0"/>
          <w:sz w:val="22"/>
        </w:rPr>
        <w:footnoteReference w:id="9"/>
      </w:r>
      <w:bookmarkEnd w:id="7"/>
    </w:p>
    <w:p w:rsidR="007E0FC7" w:rsidRDefault="003161DC" w:rsidP="002C0A91">
      <w:r>
        <w:t xml:space="preserve">A number of institutions increased the six year completion rate between the </w:t>
      </w:r>
      <w:r w:rsidR="006D747A">
        <w:t>2009</w:t>
      </w:r>
      <w:r>
        <w:t xml:space="preserve"> cohort</w:t>
      </w:r>
      <w:r w:rsidR="006D747A">
        <w:t xml:space="preserve"> (p</w:t>
      </w:r>
      <w:r>
        <w:t xml:space="preserve">re-demand driven system) </w:t>
      </w:r>
      <w:r w:rsidR="006D747A">
        <w:t xml:space="preserve">and 2010 </w:t>
      </w:r>
      <w:r>
        <w:t xml:space="preserve">cohort </w:t>
      </w:r>
      <w:r w:rsidR="006D747A">
        <w:t>(</w:t>
      </w:r>
      <w:r>
        <w:t>first</w:t>
      </w:r>
      <w:r w:rsidR="007E0FC7">
        <w:t xml:space="preserve"> demand driven system</w:t>
      </w:r>
      <w:r>
        <w:t xml:space="preserve"> </w:t>
      </w:r>
      <w:r w:rsidR="006D747A">
        <w:t>transition year)</w:t>
      </w:r>
      <w:r>
        <w:t xml:space="preserve">. </w:t>
      </w:r>
      <w:r w:rsidR="002C625A">
        <w:t>The</w:t>
      </w:r>
      <w:r w:rsidR="007E0FC7">
        <w:t>se</w:t>
      </w:r>
      <w:r w:rsidR="002C625A">
        <w:t xml:space="preserve"> institutions </w:t>
      </w:r>
      <w:r>
        <w:t>are highlight</w:t>
      </w:r>
      <w:r w:rsidR="002C625A">
        <w:t>ed</w:t>
      </w:r>
      <w:r>
        <w:t xml:space="preserve"> in Table 1 (</w:t>
      </w:r>
      <w:r w:rsidR="00FC7B3B">
        <w:t>over page</w:t>
      </w:r>
      <w:r>
        <w:t>).</w:t>
      </w:r>
      <w:r w:rsidR="007E0FC7">
        <w:t xml:space="preserve"> In addition, many o</w:t>
      </w:r>
      <w:r w:rsidR="002C625A">
        <w:t>f these institutions</w:t>
      </w:r>
      <w:r w:rsidR="007E0FC7">
        <w:t xml:space="preserve"> experienced the highest six year completion rate for the 2010 cohort</w:t>
      </w:r>
      <w:r w:rsidR="00974324">
        <w:t>,</w:t>
      </w:r>
      <w:r w:rsidR="007E0FC7">
        <w:t xml:space="preserve"> across all cohorts from 2005 to 2010. These institutions</w:t>
      </w:r>
      <w:r w:rsidR="00EF284C">
        <w:t xml:space="preserve"> were</w:t>
      </w:r>
      <w:r w:rsidR="007E0FC7">
        <w:t xml:space="preserve"> </w:t>
      </w:r>
      <w:r w:rsidR="002C625A">
        <w:t>Southern Cross University, University of New South Wales, Deakin University, La Trobe University, Monash</w:t>
      </w:r>
      <w:r w:rsidR="00EF284C">
        <w:t xml:space="preserve"> University, CQ</w:t>
      </w:r>
      <w:r w:rsidR="002C625A">
        <w:t xml:space="preserve">University, University of </w:t>
      </w:r>
      <w:r w:rsidR="00EF284C">
        <w:t xml:space="preserve">the </w:t>
      </w:r>
      <w:r w:rsidR="002C625A">
        <w:t>Sunshine Coast</w:t>
      </w:r>
      <w:r w:rsidR="00394D78">
        <w:t>, The Australian National University and Bond University</w:t>
      </w:r>
      <w:r w:rsidR="007E0FC7">
        <w:t xml:space="preserve">. </w:t>
      </w:r>
    </w:p>
    <w:p w:rsidR="00EF284C" w:rsidRDefault="0079044E" w:rsidP="00324D62">
      <w:r>
        <w:t>Over time, as more six year outcome data becomes available for additional cohorts, any trends in changing student outcomes by institution</w:t>
      </w:r>
      <w:r w:rsidR="00974324">
        <w:t xml:space="preserve"> under the demand driven system</w:t>
      </w:r>
      <w:r>
        <w:t xml:space="preserve"> will become clear. </w:t>
      </w:r>
    </w:p>
    <w:p w:rsidR="008C121B" w:rsidRDefault="008C121B" w:rsidP="00324D62">
      <w:pPr>
        <w:sectPr w:rsidR="008C121B" w:rsidSect="009B5134">
          <w:headerReference w:type="even" r:id="rId9"/>
          <w:headerReference w:type="default" r:id="rId10"/>
          <w:footerReference w:type="even" r:id="rId11"/>
          <w:footerReference w:type="default" r:id="rId12"/>
          <w:headerReference w:type="first" r:id="rId13"/>
          <w:footerReference w:type="first" r:id="rId14"/>
          <w:pgSz w:w="11907" w:h="16839" w:code="9"/>
          <w:pgMar w:top="238" w:right="1440" w:bottom="249" w:left="1440" w:header="709" w:footer="1009" w:gutter="0"/>
          <w:cols w:space="708"/>
          <w:docGrid w:linePitch="360"/>
        </w:sectPr>
      </w:pPr>
    </w:p>
    <w:tbl>
      <w:tblPr>
        <w:tblW w:w="14132" w:type="dxa"/>
        <w:tblLook w:val="04A0" w:firstRow="1" w:lastRow="0" w:firstColumn="1" w:lastColumn="0" w:noHBand="0" w:noVBand="1"/>
      </w:tblPr>
      <w:tblGrid>
        <w:gridCol w:w="2212"/>
        <w:gridCol w:w="4480"/>
        <w:gridCol w:w="1240"/>
        <w:gridCol w:w="1240"/>
        <w:gridCol w:w="1240"/>
        <w:gridCol w:w="1240"/>
        <w:gridCol w:w="1240"/>
        <w:gridCol w:w="1240"/>
      </w:tblGrid>
      <w:tr w:rsidR="00065F05" w:rsidRPr="000A65A4" w:rsidTr="00065F05">
        <w:trPr>
          <w:trHeight w:val="555"/>
        </w:trPr>
        <w:tc>
          <w:tcPr>
            <w:tcW w:w="14132" w:type="dxa"/>
            <w:gridSpan w:val="8"/>
            <w:tcBorders>
              <w:top w:val="nil"/>
              <w:left w:val="nil"/>
              <w:bottom w:val="single" w:sz="4" w:space="0" w:color="auto"/>
              <w:right w:val="nil"/>
            </w:tcBorders>
            <w:shd w:val="clear" w:color="auto" w:fill="auto"/>
            <w:vAlign w:val="center"/>
            <w:hideMark/>
          </w:tcPr>
          <w:p w:rsidR="00065F05" w:rsidRPr="000A65A4" w:rsidRDefault="00065F05" w:rsidP="000A65A4">
            <w:pPr>
              <w:pStyle w:val="Heading2"/>
              <w:rPr>
                <w:rFonts w:eastAsia="Times New Roman"/>
                <w:i w:val="0"/>
                <w:sz w:val="22"/>
                <w:lang w:eastAsia="en-AU"/>
              </w:rPr>
            </w:pPr>
            <w:bookmarkStart w:id="8" w:name="_Toc493851094"/>
            <w:r w:rsidRPr="000A65A4">
              <w:rPr>
                <w:rFonts w:eastAsia="Times New Roman"/>
                <w:i w:val="0"/>
                <w:sz w:val="22"/>
                <w:lang w:eastAsia="en-AU"/>
              </w:rPr>
              <w:lastRenderedPageBreak/>
              <w:t>Table 1: Six year completion rates for commencing domestic bachelor students by Table A institution and Table B institution, 2005-2010, 2006-2011, 2007-2012, 2008-2013, 2009-2014 and 2010-2015, %</w:t>
            </w:r>
            <w:bookmarkEnd w:id="8"/>
          </w:p>
        </w:tc>
      </w:tr>
      <w:tr w:rsidR="00065F05" w:rsidRPr="00065F05" w:rsidTr="00065F05">
        <w:trPr>
          <w:trHeight w:val="300"/>
        </w:trPr>
        <w:tc>
          <w:tcPr>
            <w:tcW w:w="6692" w:type="dxa"/>
            <w:gridSpan w:val="2"/>
            <w:tcBorders>
              <w:top w:val="single" w:sz="4" w:space="0" w:color="auto"/>
              <w:left w:val="single" w:sz="4" w:space="0" w:color="auto"/>
              <w:bottom w:val="single" w:sz="4" w:space="0" w:color="auto"/>
              <w:right w:val="single" w:sz="4" w:space="0" w:color="auto"/>
            </w:tcBorders>
            <w:shd w:val="clear" w:color="000000" w:fill="4E2C5A"/>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 </w:t>
            </w:r>
          </w:p>
        </w:tc>
        <w:tc>
          <w:tcPr>
            <w:tcW w:w="1240" w:type="dxa"/>
            <w:tcBorders>
              <w:top w:val="nil"/>
              <w:left w:val="nil"/>
              <w:bottom w:val="single" w:sz="4" w:space="0" w:color="auto"/>
              <w:right w:val="single" w:sz="4" w:space="0" w:color="auto"/>
            </w:tcBorders>
            <w:shd w:val="clear" w:color="000000" w:fill="4E2C5A"/>
            <w:vAlign w:val="center"/>
            <w:hideMark/>
          </w:tcPr>
          <w:p w:rsidR="00065F05" w:rsidRPr="00065F05" w:rsidRDefault="00065F05" w:rsidP="00065F05">
            <w:pPr>
              <w:spacing w:after="0" w:line="240" w:lineRule="auto"/>
              <w:jc w:val="center"/>
              <w:rPr>
                <w:rFonts w:ascii="Calibri" w:eastAsia="Times New Roman" w:hAnsi="Calibri" w:cs="Calibri"/>
                <w:b/>
                <w:bCs/>
                <w:color w:val="FFFFFF"/>
                <w:lang w:eastAsia="en-AU"/>
              </w:rPr>
            </w:pPr>
            <w:r w:rsidRPr="00065F05">
              <w:rPr>
                <w:rFonts w:ascii="Calibri" w:eastAsia="Times New Roman" w:hAnsi="Calibri" w:cs="Calibri"/>
                <w:b/>
                <w:bCs/>
                <w:color w:val="FFFFFF"/>
                <w:lang w:eastAsia="en-AU"/>
              </w:rPr>
              <w:t>2005-2010</w:t>
            </w:r>
          </w:p>
        </w:tc>
        <w:tc>
          <w:tcPr>
            <w:tcW w:w="1240" w:type="dxa"/>
            <w:tcBorders>
              <w:top w:val="nil"/>
              <w:left w:val="nil"/>
              <w:bottom w:val="single" w:sz="4" w:space="0" w:color="auto"/>
              <w:right w:val="single" w:sz="4" w:space="0" w:color="auto"/>
            </w:tcBorders>
            <w:shd w:val="clear" w:color="000000" w:fill="4E2C5A"/>
            <w:vAlign w:val="center"/>
            <w:hideMark/>
          </w:tcPr>
          <w:p w:rsidR="00065F05" w:rsidRPr="00065F05" w:rsidRDefault="00065F05" w:rsidP="00065F05">
            <w:pPr>
              <w:spacing w:after="0" w:line="240" w:lineRule="auto"/>
              <w:jc w:val="center"/>
              <w:rPr>
                <w:rFonts w:ascii="Calibri" w:eastAsia="Times New Roman" w:hAnsi="Calibri" w:cs="Calibri"/>
                <w:b/>
                <w:bCs/>
                <w:color w:val="FFFFFF"/>
                <w:lang w:eastAsia="en-AU"/>
              </w:rPr>
            </w:pPr>
            <w:r w:rsidRPr="00065F05">
              <w:rPr>
                <w:rFonts w:ascii="Calibri" w:eastAsia="Times New Roman" w:hAnsi="Calibri" w:cs="Calibri"/>
                <w:b/>
                <w:bCs/>
                <w:color w:val="FFFFFF"/>
                <w:lang w:eastAsia="en-AU"/>
              </w:rPr>
              <w:t>2006-2011</w:t>
            </w:r>
          </w:p>
        </w:tc>
        <w:tc>
          <w:tcPr>
            <w:tcW w:w="1240" w:type="dxa"/>
            <w:tcBorders>
              <w:top w:val="nil"/>
              <w:left w:val="nil"/>
              <w:bottom w:val="single" w:sz="4" w:space="0" w:color="auto"/>
              <w:right w:val="single" w:sz="4" w:space="0" w:color="auto"/>
            </w:tcBorders>
            <w:shd w:val="clear" w:color="000000" w:fill="4E2C5A"/>
            <w:vAlign w:val="center"/>
            <w:hideMark/>
          </w:tcPr>
          <w:p w:rsidR="00065F05" w:rsidRPr="00065F05" w:rsidRDefault="00065F05" w:rsidP="00065F05">
            <w:pPr>
              <w:spacing w:after="0" w:line="240" w:lineRule="auto"/>
              <w:jc w:val="center"/>
              <w:rPr>
                <w:rFonts w:ascii="Calibri" w:eastAsia="Times New Roman" w:hAnsi="Calibri" w:cs="Calibri"/>
                <w:b/>
                <w:bCs/>
                <w:color w:val="FFFFFF"/>
                <w:lang w:eastAsia="en-AU"/>
              </w:rPr>
            </w:pPr>
            <w:r w:rsidRPr="00065F05">
              <w:rPr>
                <w:rFonts w:ascii="Calibri" w:eastAsia="Times New Roman" w:hAnsi="Calibri" w:cs="Calibri"/>
                <w:b/>
                <w:bCs/>
                <w:color w:val="FFFFFF"/>
                <w:lang w:eastAsia="en-AU"/>
              </w:rPr>
              <w:t>2007-2012</w:t>
            </w:r>
          </w:p>
        </w:tc>
        <w:tc>
          <w:tcPr>
            <w:tcW w:w="1240" w:type="dxa"/>
            <w:tcBorders>
              <w:top w:val="nil"/>
              <w:left w:val="nil"/>
              <w:bottom w:val="single" w:sz="4" w:space="0" w:color="auto"/>
              <w:right w:val="single" w:sz="4" w:space="0" w:color="auto"/>
            </w:tcBorders>
            <w:shd w:val="clear" w:color="000000" w:fill="4E2C5A"/>
            <w:vAlign w:val="center"/>
            <w:hideMark/>
          </w:tcPr>
          <w:p w:rsidR="00065F05" w:rsidRPr="00065F05" w:rsidRDefault="00065F05" w:rsidP="00065F05">
            <w:pPr>
              <w:spacing w:after="0" w:line="240" w:lineRule="auto"/>
              <w:jc w:val="center"/>
              <w:rPr>
                <w:rFonts w:ascii="Calibri" w:eastAsia="Times New Roman" w:hAnsi="Calibri" w:cs="Calibri"/>
                <w:b/>
                <w:bCs/>
                <w:color w:val="FFFFFF"/>
                <w:lang w:eastAsia="en-AU"/>
              </w:rPr>
            </w:pPr>
            <w:r w:rsidRPr="00065F05">
              <w:rPr>
                <w:rFonts w:ascii="Calibri" w:eastAsia="Times New Roman" w:hAnsi="Calibri" w:cs="Calibri"/>
                <w:b/>
                <w:bCs/>
                <w:color w:val="FFFFFF"/>
                <w:lang w:eastAsia="en-AU"/>
              </w:rPr>
              <w:t>2008-2013</w:t>
            </w:r>
          </w:p>
        </w:tc>
        <w:tc>
          <w:tcPr>
            <w:tcW w:w="1240" w:type="dxa"/>
            <w:tcBorders>
              <w:top w:val="nil"/>
              <w:left w:val="nil"/>
              <w:bottom w:val="single" w:sz="4" w:space="0" w:color="auto"/>
              <w:right w:val="single" w:sz="4" w:space="0" w:color="auto"/>
            </w:tcBorders>
            <w:shd w:val="clear" w:color="000000" w:fill="4E2C5A"/>
            <w:vAlign w:val="center"/>
            <w:hideMark/>
          </w:tcPr>
          <w:p w:rsidR="00065F05" w:rsidRPr="00065F05" w:rsidRDefault="00065F05" w:rsidP="00065F05">
            <w:pPr>
              <w:spacing w:after="0" w:line="240" w:lineRule="auto"/>
              <w:jc w:val="center"/>
              <w:rPr>
                <w:rFonts w:ascii="Calibri" w:eastAsia="Times New Roman" w:hAnsi="Calibri" w:cs="Calibri"/>
                <w:b/>
                <w:bCs/>
                <w:color w:val="FFFFFF"/>
                <w:lang w:eastAsia="en-AU"/>
              </w:rPr>
            </w:pPr>
            <w:r w:rsidRPr="00065F05">
              <w:rPr>
                <w:rFonts w:ascii="Calibri" w:eastAsia="Times New Roman" w:hAnsi="Calibri" w:cs="Calibri"/>
                <w:b/>
                <w:bCs/>
                <w:color w:val="FFFFFF"/>
                <w:lang w:eastAsia="en-AU"/>
              </w:rPr>
              <w:t>2009-2014</w:t>
            </w:r>
          </w:p>
        </w:tc>
        <w:tc>
          <w:tcPr>
            <w:tcW w:w="1240" w:type="dxa"/>
            <w:tcBorders>
              <w:top w:val="nil"/>
              <w:left w:val="nil"/>
              <w:bottom w:val="single" w:sz="4" w:space="0" w:color="auto"/>
              <w:right w:val="single" w:sz="4" w:space="0" w:color="auto"/>
            </w:tcBorders>
            <w:shd w:val="clear" w:color="000000" w:fill="4E2C5A"/>
            <w:vAlign w:val="center"/>
            <w:hideMark/>
          </w:tcPr>
          <w:p w:rsidR="00065F05" w:rsidRPr="00065F05" w:rsidRDefault="00065F05" w:rsidP="00065F05">
            <w:pPr>
              <w:spacing w:after="0" w:line="240" w:lineRule="auto"/>
              <w:jc w:val="center"/>
              <w:rPr>
                <w:rFonts w:ascii="Calibri" w:eastAsia="Times New Roman" w:hAnsi="Calibri" w:cs="Calibri"/>
                <w:b/>
                <w:bCs/>
                <w:color w:val="FFFFFF"/>
                <w:lang w:eastAsia="en-AU"/>
              </w:rPr>
            </w:pPr>
            <w:r w:rsidRPr="00065F05">
              <w:rPr>
                <w:rFonts w:ascii="Calibri" w:eastAsia="Times New Roman" w:hAnsi="Calibri" w:cs="Calibri"/>
                <w:b/>
                <w:bCs/>
                <w:color w:val="FFFFFF"/>
                <w:lang w:eastAsia="en-AU"/>
              </w:rPr>
              <w:t>2010-2015</w:t>
            </w:r>
          </w:p>
        </w:tc>
      </w:tr>
      <w:tr w:rsidR="00065F05" w:rsidRPr="00065F05" w:rsidTr="00065F05">
        <w:trPr>
          <w:trHeight w:val="300"/>
        </w:trPr>
        <w:tc>
          <w:tcPr>
            <w:tcW w:w="14132" w:type="dxa"/>
            <w:gridSpan w:val="8"/>
            <w:tcBorders>
              <w:top w:val="single" w:sz="4" w:space="0" w:color="auto"/>
              <w:left w:val="single" w:sz="4" w:space="0" w:color="auto"/>
              <w:bottom w:val="single" w:sz="4" w:space="0" w:color="auto"/>
              <w:right w:val="single" w:sz="4" w:space="0" w:color="auto"/>
            </w:tcBorders>
            <w:shd w:val="clear" w:color="000000" w:fill="E3D8EC"/>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Table A institutions</w:t>
            </w:r>
          </w:p>
        </w:tc>
      </w:tr>
      <w:tr w:rsidR="00065F05" w:rsidRPr="00065F05" w:rsidTr="00065F05">
        <w:trPr>
          <w:trHeight w:val="300"/>
        </w:trPr>
        <w:tc>
          <w:tcPr>
            <w:tcW w:w="22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New South Wales</w:t>
            </w: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Charles Sturt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56.0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54.2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53.7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55.9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53.5</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54.6</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Macquarie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72.1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71.9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73.2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73.0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71.3</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69.4</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Southern Cross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52.7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54.7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52.7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52.1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52.5</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55.6</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The University of New England</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53.0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51.6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49.4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50.8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49.0</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47.2</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The University of Newcastle</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71.0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70.7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67.1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64.1</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63.5</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The University of Sydney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84.4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84.2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82.8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81.6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81.9</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82.9</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University of New South Wales</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75.8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74.7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75.5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75.9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78.1</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79.6</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University of Technology, Sydney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77.1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76.3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77.0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77.1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77.1</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76.7</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University of Wollongong</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76.0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75.0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77.4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76.5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76.7</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75.2</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Western Sydney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68.4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67.7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63.9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63.1</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61.2</w:t>
            </w:r>
          </w:p>
        </w:tc>
      </w:tr>
      <w:tr w:rsidR="00065F05" w:rsidRPr="00065F05" w:rsidTr="00065F05">
        <w:trPr>
          <w:trHeight w:val="300"/>
        </w:trPr>
        <w:tc>
          <w:tcPr>
            <w:tcW w:w="22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Victoria</w:t>
            </w: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Deakin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68.6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70.5</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71.3</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Federation University Australia</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57.7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56.7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53.2</w:t>
            </w:r>
          </w:p>
        </w:tc>
        <w:tc>
          <w:tcPr>
            <w:tcW w:w="124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jc w:val="center"/>
              <w:rPr>
                <w:rFonts w:ascii="Calibri" w:eastAsia="Times New Roman" w:hAnsi="Calibri" w:cs="Calibri"/>
                <w:lang w:eastAsia="en-AU"/>
              </w:rPr>
            </w:pPr>
            <w:r w:rsidRPr="00065F05">
              <w:rPr>
                <w:rFonts w:ascii="Calibri" w:eastAsia="Times New Roman" w:hAnsi="Calibri" w:cs="Calibri"/>
                <w:lang w:eastAsia="en-AU"/>
              </w:rPr>
              <w:t>51.3</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lang w:eastAsia="en-AU"/>
              </w:rPr>
            </w:pPr>
            <w:r w:rsidRPr="00065F05">
              <w:rPr>
                <w:rFonts w:ascii="Calibri" w:eastAsia="Times New Roman" w:hAnsi="Calibri" w:cs="Calibri"/>
                <w:lang w:eastAsia="en-AU"/>
              </w:rPr>
              <w:t>36.4</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La Trobe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70.5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70.7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69.7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70.1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69.5</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70.8</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Monash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74.2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77.1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78.2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79.7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79.3</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79.8</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RMIT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68.5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68.7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70.3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72.4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74.8</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74.2</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Swinburne University of Technology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66.8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66.1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65.5</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65.1</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The University of Melbourne</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83.9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84.7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86.4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87.7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88.0</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87.7</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Victoria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61.0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60.2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57.4</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54.7</w:t>
            </w:r>
          </w:p>
        </w:tc>
      </w:tr>
      <w:tr w:rsidR="00065F05" w:rsidRPr="00065F05" w:rsidTr="00065F05">
        <w:trPr>
          <w:trHeight w:val="300"/>
        </w:trPr>
        <w:tc>
          <w:tcPr>
            <w:tcW w:w="2212" w:type="dxa"/>
            <w:vMerge w:val="restart"/>
            <w:tcBorders>
              <w:top w:val="nil"/>
              <w:left w:val="single" w:sz="4" w:space="0" w:color="auto"/>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Queensland</w:t>
            </w: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CQUniversity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44.0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41.8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42.2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43.6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42.5</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45.5</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Griffith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63.3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64.1</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62.6</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James Cook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52.0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51.4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53.1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56.1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55.6</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54.2</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Queensland University of Technology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67.7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66.9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69.3</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68.3</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The University of Queensland</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73.1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70.2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69.8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72.7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71.3</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71.7</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University of Southern Queensland</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43.4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39.7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41.9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42.4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44.4</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42.5</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University of the Sunshine Coast</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48.6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46.8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49.7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54.5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53.2</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55.3</w:t>
            </w:r>
          </w:p>
        </w:tc>
      </w:tr>
      <w:tr w:rsidR="00065F05" w:rsidRPr="00065F05" w:rsidTr="00065F05">
        <w:trPr>
          <w:trHeight w:val="300"/>
        </w:trPr>
        <w:tc>
          <w:tcPr>
            <w:tcW w:w="22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Western Australia</w:t>
            </w: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Curtin University of Technology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66.6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64.2</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63.2</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Edith Cowan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56.8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56.7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57.7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57.5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55.4</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53.5</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Murdoch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54.1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53.0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50.0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51.6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49.6</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50.9</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The University of Western Australia</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76.9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75.8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76.3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75.6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74.5</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74.1</w:t>
            </w:r>
          </w:p>
        </w:tc>
      </w:tr>
      <w:tr w:rsidR="00065F05" w:rsidRPr="00065F05" w:rsidTr="00065F05">
        <w:trPr>
          <w:trHeight w:val="300"/>
        </w:trPr>
        <w:tc>
          <w:tcPr>
            <w:tcW w:w="2212" w:type="dxa"/>
            <w:vMerge w:val="restart"/>
            <w:tcBorders>
              <w:top w:val="nil"/>
              <w:left w:val="single" w:sz="4" w:space="0" w:color="auto"/>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South Australia</w:t>
            </w: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Flinders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68.1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67.3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62.5</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62.2</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The University of Adelaide</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73.1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74.5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72.4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71.8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70.5</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68.4</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University of South Australia</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63.7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63.6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65.8</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64.4</w:t>
            </w:r>
          </w:p>
        </w:tc>
      </w:tr>
      <w:tr w:rsidR="00065F05" w:rsidRPr="00065F05" w:rsidTr="00065F05">
        <w:trPr>
          <w:trHeight w:val="300"/>
        </w:trPr>
        <w:tc>
          <w:tcPr>
            <w:tcW w:w="2212" w:type="dxa"/>
            <w:tcBorders>
              <w:top w:val="nil"/>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Tasmania</w:t>
            </w: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University of Tasmania</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61.7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59.5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62.7</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60.6</w:t>
            </w:r>
          </w:p>
        </w:tc>
      </w:tr>
      <w:tr w:rsidR="00065F05" w:rsidRPr="00065F05" w:rsidTr="00065F05">
        <w:trPr>
          <w:trHeight w:val="600"/>
        </w:trPr>
        <w:tc>
          <w:tcPr>
            <w:tcW w:w="22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Northern Territory</w:t>
            </w: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Batchelor Institute of Indigenous Tertiary Education</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43.9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35.8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32.6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30.8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36.9</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22.1</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Charles Darwin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46.0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44.0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42.4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43.3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41.8</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41.2</w:t>
            </w:r>
          </w:p>
        </w:tc>
      </w:tr>
      <w:tr w:rsidR="00065F05" w:rsidRPr="00065F05" w:rsidTr="00065F05">
        <w:trPr>
          <w:trHeight w:val="300"/>
        </w:trPr>
        <w:tc>
          <w:tcPr>
            <w:tcW w:w="22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Australian Capital Territory</w:t>
            </w: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The Australian National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79.8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80.6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77.8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79.8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81.0</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81.1</w:t>
            </w:r>
          </w:p>
        </w:tc>
      </w:tr>
      <w:tr w:rsidR="00065F05" w:rsidRPr="00065F05" w:rsidTr="00065F05">
        <w:trPr>
          <w:trHeight w:val="300"/>
        </w:trPr>
        <w:tc>
          <w:tcPr>
            <w:tcW w:w="2212" w:type="dxa"/>
            <w:vMerge/>
            <w:tcBorders>
              <w:top w:val="nil"/>
              <w:left w:val="single" w:sz="4" w:space="0" w:color="auto"/>
              <w:bottom w:val="single" w:sz="4" w:space="0" w:color="auto"/>
              <w:right w:val="single" w:sz="4" w:space="0" w:color="auto"/>
            </w:tcBorders>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University of Canberra</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68.8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67.4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64.7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62.8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65.5</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59.2</w:t>
            </w:r>
          </w:p>
        </w:tc>
      </w:tr>
      <w:tr w:rsidR="00065F05" w:rsidRPr="00065F05" w:rsidTr="00065F05">
        <w:trPr>
          <w:trHeight w:val="300"/>
        </w:trPr>
        <w:tc>
          <w:tcPr>
            <w:tcW w:w="2212" w:type="dxa"/>
            <w:tcBorders>
              <w:top w:val="nil"/>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Multi-state</w:t>
            </w: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Australian Catholic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75.2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75.0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73.3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73.3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69.5</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68.3</w:t>
            </w:r>
          </w:p>
        </w:tc>
      </w:tr>
      <w:tr w:rsidR="00065F05" w:rsidRPr="00065F05" w:rsidTr="00065F05">
        <w:trPr>
          <w:trHeight w:val="300"/>
        </w:trPr>
        <w:tc>
          <w:tcPr>
            <w:tcW w:w="66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Total for Table A institutions</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67.0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66.8</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66.6</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67.1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66.7</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65.8</w:t>
            </w:r>
          </w:p>
        </w:tc>
      </w:tr>
      <w:tr w:rsidR="00065F05" w:rsidRPr="00065F05" w:rsidTr="00065F05">
        <w:trPr>
          <w:trHeight w:val="300"/>
        </w:trPr>
        <w:tc>
          <w:tcPr>
            <w:tcW w:w="14132" w:type="dxa"/>
            <w:gridSpan w:val="8"/>
            <w:tcBorders>
              <w:top w:val="single" w:sz="4" w:space="0" w:color="auto"/>
              <w:left w:val="single" w:sz="4" w:space="0" w:color="auto"/>
              <w:bottom w:val="single" w:sz="4" w:space="0" w:color="auto"/>
              <w:right w:val="single" w:sz="4" w:space="0" w:color="auto"/>
            </w:tcBorders>
            <w:shd w:val="clear" w:color="000000" w:fill="E3D8EC"/>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Table B institutions</w:t>
            </w:r>
          </w:p>
        </w:tc>
      </w:tr>
      <w:tr w:rsidR="00065F05" w:rsidRPr="00065F05" w:rsidTr="00065F05">
        <w:trPr>
          <w:trHeight w:val="300"/>
        </w:trPr>
        <w:tc>
          <w:tcPr>
            <w:tcW w:w="2212" w:type="dxa"/>
            <w:tcBorders>
              <w:top w:val="nil"/>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Victoria</w:t>
            </w: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University of Divinity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44.4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33.0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32.1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37.5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45.9</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44.0</w:t>
            </w:r>
          </w:p>
        </w:tc>
      </w:tr>
      <w:tr w:rsidR="00065F05" w:rsidRPr="00065F05" w:rsidTr="00065F05">
        <w:trPr>
          <w:trHeight w:val="300"/>
        </w:trPr>
        <w:tc>
          <w:tcPr>
            <w:tcW w:w="2212" w:type="dxa"/>
            <w:tcBorders>
              <w:top w:val="nil"/>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Queensland</w:t>
            </w:r>
          </w:p>
        </w:tc>
        <w:tc>
          <w:tcPr>
            <w:tcW w:w="4480" w:type="dxa"/>
            <w:tcBorders>
              <w:top w:val="nil"/>
              <w:left w:val="nil"/>
              <w:bottom w:val="single" w:sz="4" w:space="0" w:color="auto"/>
              <w:right w:val="single" w:sz="4" w:space="0" w:color="auto"/>
            </w:tcBorders>
            <w:shd w:val="clear" w:color="000000" w:fill="BFBFB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Bond University</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71.0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73.3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71.3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73.1</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72.8</w:t>
            </w:r>
          </w:p>
        </w:tc>
        <w:tc>
          <w:tcPr>
            <w:tcW w:w="1240" w:type="dxa"/>
            <w:tcBorders>
              <w:top w:val="nil"/>
              <w:left w:val="nil"/>
              <w:bottom w:val="single" w:sz="4" w:space="0" w:color="auto"/>
              <w:right w:val="single" w:sz="4" w:space="0" w:color="auto"/>
            </w:tcBorders>
            <w:shd w:val="clear" w:color="000000" w:fill="BFBFB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74.8</w:t>
            </w:r>
          </w:p>
        </w:tc>
      </w:tr>
      <w:tr w:rsidR="00065F05" w:rsidRPr="00065F05" w:rsidTr="00065F05">
        <w:trPr>
          <w:trHeight w:val="300"/>
        </w:trPr>
        <w:tc>
          <w:tcPr>
            <w:tcW w:w="2212" w:type="dxa"/>
            <w:tcBorders>
              <w:top w:val="nil"/>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Western Australia</w:t>
            </w:r>
          </w:p>
        </w:tc>
        <w:tc>
          <w:tcPr>
            <w:tcW w:w="4480" w:type="dxa"/>
            <w:tcBorders>
              <w:top w:val="nil"/>
              <w:left w:val="nil"/>
              <w:bottom w:val="single" w:sz="4" w:space="0" w:color="auto"/>
              <w:right w:val="single" w:sz="4" w:space="0" w:color="auto"/>
            </w:tcBorders>
            <w:shd w:val="clear" w:color="000000" w:fill="FFFFFF"/>
            <w:vAlign w:val="center"/>
            <w:hideMark/>
          </w:tcPr>
          <w:p w:rsidR="00065F05" w:rsidRPr="00065F05" w:rsidRDefault="00065F05" w:rsidP="00065F05">
            <w:pPr>
              <w:spacing w:after="0" w:line="240" w:lineRule="auto"/>
              <w:rPr>
                <w:rFonts w:ascii="Calibri" w:eastAsia="Times New Roman" w:hAnsi="Calibri" w:cs="Calibri"/>
                <w:color w:val="000000"/>
                <w:lang w:eastAsia="en-AU"/>
              </w:rPr>
            </w:pPr>
            <w:r w:rsidRPr="00065F05">
              <w:rPr>
                <w:rFonts w:ascii="Calibri" w:eastAsia="Times New Roman" w:hAnsi="Calibri" w:cs="Calibri"/>
                <w:color w:val="000000"/>
                <w:lang w:eastAsia="en-AU"/>
              </w:rPr>
              <w:t>The University of Notre Dame Australia</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68.3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71.4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74.4</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77.3</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75.2</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color w:val="000000"/>
                <w:lang w:eastAsia="en-AU"/>
              </w:rPr>
            </w:pPr>
            <w:r w:rsidRPr="00065F05">
              <w:rPr>
                <w:rFonts w:ascii="Calibri" w:eastAsia="Times New Roman" w:hAnsi="Calibri" w:cs="Calibri"/>
                <w:color w:val="000000"/>
                <w:lang w:eastAsia="en-AU"/>
              </w:rPr>
              <w:t>73.8</w:t>
            </w:r>
          </w:p>
        </w:tc>
      </w:tr>
      <w:tr w:rsidR="00065F05" w:rsidRPr="00065F05" w:rsidTr="00065F05">
        <w:trPr>
          <w:trHeight w:val="300"/>
        </w:trPr>
        <w:tc>
          <w:tcPr>
            <w:tcW w:w="66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F05" w:rsidRPr="00065F05" w:rsidRDefault="00065F05" w:rsidP="00065F05">
            <w:pPr>
              <w:spacing w:after="0" w:line="240" w:lineRule="auto"/>
              <w:rPr>
                <w:rFonts w:ascii="Calibri" w:eastAsia="Times New Roman" w:hAnsi="Calibri" w:cs="Calibri"/>
                <w:b/>
                <w:bCs/>
                <w:lang w:eastAsia="en-AU"/>
              </w:rPr>
            </w:pPr>
            <w:r w:rsidRPr="00065F05">
              <w:rPr>
                <w:rFonts w:ascii="Calibri" w:eastAsia="Times New Roman" w:hAnsi="Calibri" w:cs="Calibri"/>
                <w:b/>
                <w:bCs/>
                <w:lang w:eastAsia="en-AU"/>
              </w:rPr>
              <w:t>Total for Table B institutions</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68.0</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70.5</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71.2</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74.7</w:t>
            </w:r>
          </w:p>
        </w:tc>
        <w:tc>
          <w:tcPr>
            <w:tcW w:w="1240" w:type="dxa"/>
            <w:tcBorders>
              <w:top w:val="nil"/>
              <w:left w:val="nil"/>
              <w:bottom w:val="single" w:sz="4" w:space="0" w:color="auto"/>
              <w:right w:val="single" w:sz="4" w:space="0" w:color="auto"/>
            </w:tcBorders>
            <w:shd w:val="clear" w:color="auto" w:fill="auto"/>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73.7</w:t>
            </w:r>
          </w:p>
        </w:tc>
        <w:tc>
          <w:tcPr>
            <w:tcW w:w="1240" w:type="dxa"/>
            <w:tcBorders>
              <w:top w:val="nil"/>
              <w:left w:val="nil"/>
              <w:bottom w:val="single" w:sz="4" w:space="0" w:color="auto"/>
              <w:right w:val="single" w:sz="4" w:space="0" w:color="auto"/>
            </w:tcBorders>
            <w:shd w:val="clear" w:color="000000" w:fill="FFFFFF"/>
            <w:noWrap/>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73.4</w:t>
            </w:r>
          </w:p>
        </w:tc>
      </w:tr>
      <w:tr w:rsidR="00065F05" w:rsidRPr="00065F05" w:rsidTr="00065F05">
        <w:trPr>
          <w:trHeight w:val="300"/>
        </w:trPr>
        <w:tc>
          <w:tcPr>
            <w:tcW w:w="669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065F05" w:rsidRPr="00065F05" w:rsidRDefault="00065F05" w:rsidP="00065F05">
            <w:pPr>
              <w:spacing w:after="0" w:line="240" w:lineRule="auto"/>
              <w:rPr>
                <w:rFonts w:ascii="Calibri" w:eastAsia="Times New Roman" w:hAnsi="Calibri" w:cs="Calibri"/>
                <w:b/>
                <w:bCs/>
                <w:color w:val="000000"/>
                <w:lang w:eastAsia="en-AU"/>
              </w:rPr>
            </w:pPr>
            <w:r w:rsidRPr="00065F05">
              <w:rPr>
                <w:rFonts w:ascii="Calibri" w:eastAsia="Times New Roman" w:hAnsi="Calibri" w:cs="Calibri"/>
                <w:b/>
                <w:bCs/>
                <w:color w:val="000000"/>
                <w:lang w:eastAsia="en-AU"/>
              </w:rPr>
              <w:t>Total for Table A and Table B institutions</w:t>
            </w:r>
          </w:p>
        </w:tc>
        <w:tc>
          <w:tcPr>
            <w:tcW w:w="1240" w:type="dxa"/>
            <w:tcBorders>
              <w:top w:val="nil"/>
              <w:left w:val="nil"/>
              <w:bottom w:val="single" w:sz="4" w:space="0" w:color="auto"/>
              <w:right w:val="single" w:sz="4" w:space="0" w:color="auto"/>
            </w:tcBorders>
            <w:shd w:val="clear" w:color="000000" w:fill="D9D9D9"/>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67.0</w:t>
            </w:r>
          </w:p>
        </w:tc>
        <w:tc>
          <w:tcPr>
            <w:tcW w:w="1240" w:type="dxa"/>
            <w:tcBorders>
              <w:top w:val="nil"/>
              <w:left w:val="nil"/>
              <w:bottom w:val="single" w:sz="4" w:space="0" w:color="auto"/>
              <w:right w:val="single" w:sz="4" w:space="0" w:color="auto"/>
            </w:tcBorders>
            <w:shd w:val="clear" w:color="000000" w:fill="D9D9D9"/>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66.8</w:t>
            </w:r>
          </w:p>
        </w:tc>
        <w:tc>
          <w:tcPr>
            <w:tcW w:w="1240" w:type="dxa"/>
            <w:tcBorders>
              <w:top w:val="nil"/>
              <w:left w:val="nil"/>
              <w:bottom w:val="single" w:sz="4" w:space="0" w:color="auto"/>
              <w:right w:val="single" w:sz="4" w:space="0" w:color="auto"/>
            </w:tcBorders>
            <w:shd w:val="clear" w:color="000000" w:fill="D9D9D9"/>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66.6</w:t>
            </w:r>
          </w:p>
        </w:tc>
        <w:tc>
          <w:tcPr>
            <w:tcW w:w="1240" w:type="dxa"/>
            <w:tcBorders>
              <w:top w:val="nil"/>
              <w:left w:val="nil"/>
              <w:bottom w:val="single" w:sz="4" w:space="0" w:color="auto"/>
              <w:right w:val="single" w:sz="4" w:space="0" w:color="auto"/>
            </w:tcBorders>
            <w:shd w:val="clear" w:color="000000" w:fill="D9D9D9"/>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67.2</w:t>
            </w:r>
          </w:p>
        </w:tc>
        <w:tc>
          <w:tcPr>
            <w:tcW w:w="1240" w:type="dxa"/>
            <w:tcBorders>
              <w:top w:val="nil"/>
              <w:left w:val="nil"/>
              <w:bottom w:val="single" w:sz="4" w:space="0" w:color="auto"/>
              <w:right w:val="single" w:sz="4" w:space="0" w:color="auto"/>
            </w:tcBorders>
            <w:shd w:val="clear" w:color="000000" w:fill="D9D9D9"/>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66.8</w:t>
            </w:r>
          </w:p>
        </w:tc>
        <w:tc>
          <w:tcPr>
            <w:tcW w:w="1240" w:type="dxa"/>
            <w:tcBorders>
              <w:top w:val="nil"/>
              <w:left w:val="nil"/>
              <w:bottom w:val="single" w:sz="4" w:space="0" w:color="auto"/>
              <w:right w:val="single" w:sz="4" w:space="0" w:color="auto"/>
            </w:tcBorders>
            <w:shd w:val="clear" w:color="000000" w:fill="D9D9D9"/>
            <w:vAlign w:val="center"/>
            <w:hideMark/>
          </w:tcPr>
          <w:p w:rsidR="00065F05" w:rsidRPr="00065F05" w:rsidRDefault="00065F05" w:rsidP="00065F05">
            <w:pPr>
              <w:spacing w:after="0" w:line="240" w:lineRule="auto"/>
              <w:jc w:val="center"/>
              <w:rPr>
                <w:rFonts w:ascii="Calibri" w:eastAsia="Times New Roman" w:hAnsi="Calibri" w:cs="Calibri"/>
                <w:b/>
                <w:bCs/>
                <w:lang w:eastAsia="en-AU"/>
              </w:rPr>
            </w:pPr>
            <w:r w:rsidRPr="00065F05">
              <w:rPr>
                <w:rFonts w:ascii="Calibri" w:eastAsia="Times New Roman" w:hAnsi="Calibri" w:cs="Calibri"/>
                <w:b/>
                <w:bCs/>
                <w:lang w:eastAsia="en-AU"/>
              </w:rPr>
              <w:t>66.0</w:t>
            </w:r>
          </w:p>
        </w:tc>
      </w:tr>
    </w:tbl>
    <w:p w:rsidR="00065F05" w:rsidRDefault="00065F05" w:rsidP="00324D62">
      <w:pPr>
        <w:sectPr w:rsidR="00065F05" w:rsidSect="008C121B">
          <w:pgSz w:w="16839" w:h="23814" w:code="8"/>
          <w:pgMar w:top="238" w:right="1440" w:bottom="249" w:left="1440" w:header="709" w:footer="1009" w:gutter="0"/>
          <w:cols w:space="708"/>
          <w:docGrid w:linePitch="360"/>
        </w:sectPr>
      </w:pPr>
    </w:p>
    <w:p w:rsidR="007A03D2" w:rsidRPr="000A65A4" w:rsidRDefault="007A03D2" w:rsidP="000A65A4">
      <w:pPr>
        <w:pStyle w:val="Heading1"/>
        <w:rPr>
          <w:sz w:val="28"/>
        </w:rPr>
      </w:pPr>
      <w:bookmarkStart w:id="9" w:name="_Toc460235166"/>
      <w:bookmarkStart w:id="10" w:name="_Toc493851095"/>
      <w:r w:rsidRPr="000A65A4">
        <w:rPr>
          <w:sz w:val="28"/>
        </w:rPr>
        <w:lastRenderedPageBreak/>
        <w:t>Four year outcomes for the 2012 cohort</w:t>
      </w:r>
      <w:bookmarkEnd w:id="9"/>
      <w:bookmarkEnd w:id="10"/>
    </w:p>
    <w:p w:rsidR="00E91DEC" w:rsidRDefault="007A03D2" w:rsidP="007A03D2">
      <w:r>
        <w:t xml:space="preserve">Four year outcome data is now available for the 2012 commencing domestic bachelor student cohort (outcomes by 2015), the first cohort to commence study under the fully implemented demand driven system. </w:t>
      </w:r>
      <w:r w:rsidR="00E91DEC">
        <w:t xml:space="preserve">Although the proportion of students who have completed a course after four years </w:t>
      </w:r>
      <w:r w:rsidR="00E91DEC" w:rsidRPr="00E91DEC">
        <w:t>is less than 50</w:t>
      </w:r>
      <w:r w:rsidR="00614635">
        <w:t xml:space="preserve"> per cent</w:t>
      </w:r>
      <w:r w:rsidR="00E91DEC" w:rsidRPr="00E91DEC">
        <w:t>,</w:t>
      </w:r>
      <w:r w:rsidR="00E91DEC">
        <w:t xml:space="preserve"> this data allows for an early assessment of cohorts under the demand driven system</w:t>
      </w:r>
      <w:r w:rsidR="00627CD7">
        <w:t>.</w:t>
      </w:r>
    </w:p>
    <w:p w:rsidR="002878BA" w:rsidRDefault="00E91DEC" w:rsidP="001972B6">
      <w:pPr>
        <w:pStyle w:val="ListParagraph"/>
        <w:numPr>
          <w:ilvl w:val="0"/>
          <w:numId w:val="40"/>
        </w:numPr>
      </w:pPr>
      <w:r>
        <w:t>The two most recent cohort analysis reports</w:t>
      </w:r>
      <w:r w:rsidRPr="001972B6">
        <w:rPr>
          <w:i/>
        </w:rPr>
        <w:t xml:space="preserve"> </w:t>
      </w:r>
      <w:r>
        <w:t>included outcome data for the two student cohort</w:t>
      </w:r>
      <w:r w:rsidR="002878BA">
        <w:t>s</w:t>
      </w:r>
      <w:r>
        <w:t xml:space="preserve"> (2010 and 2011)</w:t>
      </w:r>
      <w:r w:rsidR="002878BA">
        <w:t xml:space="preserve"> that</w:t>
      </w:r>
      <w:r>
        <w:t xml:space="preserve"> commenced</w:t>
      </w:r>
      <w:r w:rsidR="00627CD7">
        <w:t xml:space="preserve"> study</w:t>
      </w:r>
      <w:r>
        <w:t xml:space="preserve"> in the demand driven system </w:t>
      </w:r>
      <w:r w:rsidRPr="001972B6">
        <w:rPr>
          <w:rFonts w:cstheme="minorHAnsi"/>
        </w:rPr>
        <w:t>transition period. These report</w:t>
      </w:r>
      <w:r w:rsidR="001169E6">
        <w:rPr>
          <w:rFonts w:cstheme="minorHAnsi"/>
        </w:rPr>
        <w:t>s</w:t>
      </w:r>
      <w:r w:rsidRPr="001972B6">
        <w:rPr>
          <w:rFonts w:cstheme="minorHAnsi"/>
        </w:rPr>
        <w:t xml:space="preserve"> showed that </w:t>
      </w:r>
      <w:r w:rsidRPr="00E91DEC">
        <w:t>nationally and across many student characteristics, four year outcome data for the 2010 cohort (outcomes by 2013) showed marginally lower completion rates than for other years (2005 to 2009 cohorts).</w:t>
      </w:r>
      <w:r>
        <w:t xml:space="preserve"> </w:t>
      </w:r>
      <w:r w:rsidR="002878BA">
        <w:t>For the 2011 cohort, f</w:t>
      </w:r>
      <w:r w:rsidRPr="00A67F8E">
        <w:t>our year outcome</w:t>
      </w:r>
      <w:r>
        <w:t>s were consistent with outcomes for the 2010 cohort</w:t>
      </w:r>
      <w:r w:rsidR="001972B6">
        <w:t xml:space="preserve"> </w:t>
      </w:r>
      <w:r w:rsidR="002878BA">
        <w:t>(</w:t>
      </w:r>
      <w:r>
        <w:t>45.0</w:t>
      </w:r>
      <w:r w:rsidR="00614635">
        <w:t xml:space="preserve"> per cent</w:t>
      </w:r>
      <w:r>
        <w:t xml:space="preserve"> of students had completed a course after four years</w:t>
      </w:r>
      <w:r w:rsidR="002878BA">
        <w:t xml:space="preserve"> for the 2011 cohort</w:t>
      </w:r>
      <w:r>
        <w:t xml:space="preserve">, compared </w:t>
      </w:r>
      <w:r w:rsidRPr="00DA1B6C">
        <w:t xml:space="preserve">with </w:t>
      </w:r>
      <w:r>
        <w:t>45.1</w:t>
      </w:r>
      <w:r w:rsidR="00614635">
        <w:t xml:space="preserve"> per cent</w:t>
      </w:r>
      <w:r w:rsidR="002878BA">
        <w:t xml:space="preserve"> for the 2010 cohort). Although the new cohort analysis includes Table B institutions as well as Table A institutions, the pattern of completion rate outcomes </w:t>
      </w:r>
      <w:r w:rsidR="00C20F7A">
        <w:t xml:space="preserve">across cohorts </w:t>
      </w:r>
      <w:r w:rsidR="002878BA">
        <w:t xml:space="preserve">remains similar (Table 2). </w:t>
      </w:r>
      <w:r w:rsidR="00B6252A">
        <w:t xml:space="preserve">That is, the four year completion rate dropped between the 2009 and 2010 cohorts and remained stable between the 2010 and 2011 cohorts. </w:t>
      </w:r>
    </w:p>
    <w:p w:rsidR="00627CD7" w:rsidRDefault="00627CD7" w:rsidP="00627CD7">
      <w:pPr>
        <w:pStyle w:val="ListParagraph"/>
      </w:pPr>
    </w:p>
    <w:p w:rsidR="002878BA" w:rsidRPr="000A65A4" w:rsidRDefault="00ED066E" w:rsidP="000A65A4">
      <w:pPr>
        <w:pStyle w:val="Heading2"/>
        <w:rPr>
          <w:i w:val="0"/>
          <w:sz w:val="22"/>
        </w:rPr>
      </w:pPr>
      <w:bookmarkStart w:id="11" w:name="_Toc493851096"/>
      <w:r w:rsidRPr="000A65A4">
        <w:rPr>
          <w:rFonts w:eastAsia="Times New Roman"/>
          <w:i w:val="0"/>
          <w:sz w:val="22"/>
          <w:lang w:eastAsia="en-AU"/>
        </w:rPr>
        <w:t>Table 2</w:t>
      </w:r>
      <w:r w:rsidR="00FB1EE2" w:rsidRPr="000A65A4">
        <w:rPr>
          <w:rFonts w:eastAsia="Times New Roman"/>
          <w:i w:val="0"/>
          <w:sz w:val="22"/>
          <w:lang w:eastAsia="en-AU"/>
        </w:rPr>
        <w:t xml:space="preserve">: Four </w:t>
      </w:r>
      <w:r w:rsidR="00C16575" w:rsidRPr="000A65A4">
        <w:rPr>
          <w:rFonts w:eastAsia="Times New Roman"/>
          <w:i w:val="0"/>
          <w:sz w:val="22"/>
          <w:lang w:eastAsia="en-AU"/>
        </w:rPr>
        <w:t>year completion rates for commencing domestic bachelor students</w:t>
      </w:r>
      <w:r w:rsidR="00627CD7" w:rsidRPr="000A65A4">
        <w:rPr>
          <w:rFonts w:eastAsia="Times New Roman"/>
          <w:i w:val="0"/>
          <w:sz w:val="22"/>
          <w:lang w:eastAsia="en-AU"/>
        </w:rPr>
        <w:t xml:space="preserve"> from the</w:t>
      </w:r>
      <w:r w:rsidR="00C16575" w:rsidRPr="000A65A4">
        <w:rPr>
          <w:rFonts w:eastAsia="Times New Roman"/>
          <w:i w:val="0"/>
          <w:sz w:val="22"/>
          <w:lang w:eastAsia="en-AU"/>
        </w:rPr>
        <w:t xml:space="preserve"> </w:t>
      </w:r>
      <w:r w:rsidR="00FB1EE2" w:rsidRPr="000A65A4">
        <w:rPr>
          <w:rFonts w:eastAsia="Times New Roman"/>
          <w:i w:val="0"/>
          <w:sz w:val="22"/>
          <w:lang w:eastAsia="en-AU"/>
        </w:rPr>
        <w:t>pr</w:t>
      </w:r>
      <w:r w:rsidR="00627CD7" w:rsidRPr="000A65A4">
        <w:rPr>
          <w:rFonts w:eastAsia="Times New Roman"/>
          <w:i w:val="0"/>
          <w:sz w:val="22"/>
          <w:lang w:eastAsia="en-AU"/>
        </w:rPr>
        <w:t>evious</w:t>
      </w:r>
      <w:r w:rsidR="00FB1EE2" w:rsidRPr="000A65A4">
        <w:rPr>
          <w:rFonts w:eastAsia="Times New Roman"/>
          <w:i w:val="0"/>
          <w:sz w:val="22"/>
          <w:lang w:eastAsia="en-AU"/>
        </w:rPr>
        <w:t xml:space="preserve"> </w:t>
      </w:r>
      <w:r w:rsidR="00627CD7" w:rsidRPr="000A65A4">
        <w:rPr>
          <w:rFonts w:eastAsia="Times New Roman"/>
          <w:i w:val="0"/>
          <w:sz w:val="22"/>
          <w:lang w:eastAsia="en-AU"/>
        </w:rPr>
        <w:t>analysis</w:t>
      </w:r>
      <w:r w:rsidR="00FB1EE2" w:rsidRPr="000A65A4">
        <w:rPr>
          <w:rFonts w:eastAsia="Times New Roman"/>
          <w:i w:val="0"/>
          <w:sz w:val="22"/>
          <w:lang w:eastAsia="en-AU"/>
        </w:rPr>
        <w:t xml:space="preserve"> and </w:t>
      </w:r>
      <w:r w:rsidR="00627CD7" w:rsidRPr="000A65A4">
        <w:rPr>
          <w:rFonts w:eastAsia="Times New Roman"/>
          <w:i w:val="0"/>
          <w:sz w:val="22"/>
          <w:lang w:eastAsia="en-AU"/>
        </w:rPr>
        <w:t>the new analysis,</w:t>
      </w:r>
      <w:r w:rsidR="00FB1EE2" w:rsidRPr="000A65A4">
        <w:rPr>
          <w:rFonts w:eastAsia="Times New Roman"/>
          <w:i w:val="0"/>
          <w:sz w:val="22"/>
          <w:lang w:eastAsia="en-AU"/>
        </w:rPr>
        <w:t xml:space="preserve"> </w:t>
      </w:r>
      <w:r w:rsidR="00C16575" w:rsidRPr="000A65A4">
        <w:rPr>
          <w:rFonts w:eastAsia="Times New Roman"/>
          <w:i w:val="0"/>
          <w:sz w:val="22"/>
          <w:lang w:eastAsia="en-AU"/>
        </w:rPr>
        <w:t>%</w:t>
      </w:r>
      <w:bookmarkEnd w:id="11"/>
    </w:p>
    <w:tbl>
      <w:tblPr>
        <w:tblStyle w:val="TableGrid"/>
        <w:tblW w:w="9259" w:type="dxa"/>
        <w:tblInd w:w="108" w:type="dxa"/>
        <w:tblLook w:val="04A0" w:firstRow="1" w:lastRow="0" w:firstColumn="1" w:lastColumn="0" w:noHBand="0" w:noVBand="1"/>
      </w:tblPr>
      <w:tblGrid>
        <w:gridCol w:w="3419"/>
        <w:gridCol w:w="730"/>
        <w:gridCol w:w="730"/>
        <w:gridCol w:w="730"/>
        <w:gridCol w:w="730"/>
        <w:gridCol w:w="730"/>
        <w:gridCol w:w="730"/>
        <w:gridCol w:w="730"/>
        <w:gridCol w:w="730"/>
      </w:tblGrid>
      <w:tr w:rsidR="00B6252A" w:rsidTr="00B6252A">
        <w:tc>
          <w:tcPr>
            <w:tcW w:w="3419" w:type="dxa"/>
            <w:vMerge w:val="restart"/>
            <w:shd w:val="clear" w:color="auto" w:fill="4E2C5A"/>
          </w:tcPr>
          <w:p w:rsidR="00B6252A" w:rsidRDefault="00B6252A" w:rsidP="00E91DEC"/>
        </w:tc>
        <w:tc>
          <w:tcPr>
            <w:tcW w:w="5840" w:type="dxa"/>
            <w:gridSpan w:val="8"/>
            <w:shd w:val="clear" w:color="auto" w:fill="4E2C5A"/>
            <w:vAlign w:val="center"/>
          </w:tcPr>
          <w:p w:rsidR="00B6252A" w:rsidRPr="00C16575" w:rsidRDefault="00B6252A" w:rsidP="00B6252A">
            <w:pPr>
              <w:jc w:val="center"/>
              <w:rPr>
                <w:rFonts w:ascii="Calibri" w:hAnsi="Calibri" w:cs="Calibri"/>
                <w:b/>
                <w:bCs/>
              </w:rPr>
            </w:pPr>
            <w:r>
              <w:rPr>
                <w:rFonts w:ascii="Calibri" w:hAnsi="Calibri" w:cs="Calibri"/>
                <w:b/>
                <w:bCs/>
              </w:rPr>
              <w:t>Commencing cohort</w:t>
            </w:r>
          </w:p>
        </w:tc>
      </w:tr>
      <w:tr w:rsidR="00B6252A" w:rsidTr="00B6252A">
        <w:tc>
          <w:tcPr>
            <w:tcW w:w="3419" w:type="dxa"/>
            <w:vMerge/>
            <w:shd w:val="clear" w:color="auto" w:fill="4E2C5A"/>
          </w:tcPr>
          <w:p w:rsidR="00B6252A" w:rsidRDefault="00B6252A" w:rsidP="00E91DEC"/>
        </w:tc>
        <w:tc>
          <w:tcPr>
            <w:tcW w:w="730" w:type="dxa"/>
            <w:shd w:val="clear" w:color="auto" w:fill="4E2C5A"/>
            <w:vAlign w:val="center"/>
          </w:tcPr>
          <w:p w:rsidR="00B6252A" w:rsidRPr="00C16575" w:rsidRDefault="00B6252A" w:rsidP="00B6252A">
            <w:pPr>
              <w:jc w:val="center"/>
              <w:rPr>
                <w:rFonts w:ascii="Calibri" w:hAnsi="Calibri" w:cs="Calibri"/>
                <w:b/>
                <w:bCs/>
              </w:rPr>
            </w:pPr>
            <w:r w:rsidRPr="00C16575">
              <w:rPr>
                <w:rFonts w:ascii="Calibri" w:hAnsi="Calibri" w:cs="Calibri"/>
                <w:b/>
                <w:bCs/>
              </w:rPr>
              <w:t>2005</w:t>
            </w:r>
          </w:p>
        </w:tc>
        <w:tc>
          <w:tcPr>
            <w:tcW w:w="730" w:type="dxa"/>
            <w:shd w:val="clear" w:color="auto" w:fill="4E2C5A"/>
            <w:vAlign w:val="center"/>
          </w:tcPr>
          <w:p w:rsidR="00B6252A" w:rsidRPr="00C16575" w:rsidRDefault="00B6252A" w:rsidP="00B6252A">
            <w:pPr>
              <w:jc w:val="center"/>
              <w:rPr>
                <w:rFonts w:ascii="Calibri" w:hAnsi="Calibri" w:cs="Calibri"/>
                <w:b/>
                <w:bCs/>
              </w:rPr>
            </w:pPr>
            <w:r w:rsidRPr="00C16575">
              <w:rPr>
                <w:rFonts w:ascii="Calibri" w:hAnsi="Calibri" w:cs="Calibri"/>
                <w:b/>
                <w:bCs/>
              </w:rPr>
              <w:t>2006</w:t>
            </w:r>
          </w:p>
        </w:tc>
        <w:tc>
          <w:tcPr>
            <w:tcW w:w="730" w:type="dxa"/>
            <w:shd w:val="clear" w:color="auto" w:fill="4E2C5A"/>
            <w:vAlign w:val="center"/>
          </w:tcPr>
          <w:p w:rsidR="00B6252A" w:rsidRPr="00C16575" w:rsidRDefault="00B6252A" w:rsidP="00B6252A">
            <w:pPr>
              <w:jc w:val="center"/>
              <w:rPr>
                <w:rFonts w:ascii="Calibri" w:hAnsi="Calibri" w:cs="Calibri"/>
                <w:b/>
                <w:bCs/>
              </w:rPr>
            </w:pPr>
            <w:r w:rsidRPr="00C16575">
              <w:rPr>
                <w:rFonts w:ascii="Calibri" w:hAnsi="Calibri" w:cs="Calibri"/>
                <w:b/>
                <w:bCs/>
              </w:rPr>
              <w:t>2007</w:t>
            </w:r>
          </w:p>
        </w:tc>
        <w:tc>
          <w:tcPr>
            <w:tcW w:w="730" w:type="dxa"/>
            <w:shd w:val="clear" w:color="auto" w:fill="4E2C5A"/>
            <w:vAlign w:val="center"/>
          </w:tcPr>
          <w:p w:rsidR="00B6252A" w:rsidRPr="00C16575" w:rsidRDefault="00B6252A" w:rsidP="00B6252A">
            <w:pPr>
              <w:jc w:val="center"/>
              <w:rPr>
                <w:rFonts w:ascii="Calibri" w:hAnsi="Calibri" w:cs="Calibri"/>
                <w:b/>
                <w:bCs/>
              </w:rPr>
            </w:pPr>
            <w:r w:rsidRPr="00C16575">
              <w:rPr>
                <w:rFonts w:ascii="Calibri" w:hAnsi="Calibri" w:cs="Calibri"/>
                <w:b/>
                <w:bCs/>
              </w:rPr>
              <w:t>2008</w:t>
            </w:r>
          </w:p>
        </w:tc>
        <w:tc>
          <w:tcPr>
            <w:tcW w:w="730" w:type="dxa"/>
            <w:shd w:val="clear" w:color="auto" w:fill="4E2C5A"/>
            <w:vAlign w:val="center"/>
          </w:tcPr>
          <w:p w:rsidR="00B6252A" w:rsidRPr="00C16575" w:rsidRDefault="00B6252A" w:rsidP="00B6252A">
            <w:pPr>
              <w:jc w:val="center"/>
              <w:rPr>
                <w:rFonts w:ascii="Calibri" w:hAnsi="Calibri" w:cs="Calibri"/>
                <w:b/>
                <w:bCs/>
              </w:rPr>
            </w:pPr>
            <w:r w:rsidRPr="00C16575">
              <w:rPr>
                <w:rFonts w:ascii="Calibri" w:hAnsi="Calibri" w:cs="Calibri"/>
                <w:b/>
                <w:bCs/>
              </w:rPr>
              <w:t>2009</w:t>
            </w:r>
          </w:p>
        </w:tc>
        <w:tc>
          <w:tcPr>
            <w:tcW w:w="730" w:type="dxa"/>
            <w:shd w:val="clear" w:color="auto" w:fill="4E2C5A"/>
            <w:vAlign w:val="center"/>
          </w:tcPr>
          <w:p w:rsidR="00B6252A" w:rsidRPr="00C16575" w:rsidRDefault="00B6252A" w:rsidP="00B6252A">
            <w:pPr>
              <w:jc w:val="center"/>
              <w:rPr>
                <w:rFonts w:ascii="Calibri" w:hAnsi="Calibri" w:cs="Calibri"/>
                <w:b/>
                <w:bCs/>
              </w:rPr>
            </w:pPr>
            <w:r w:rsidRPr="00C16575">
              <w:rPr>
                <w:rFonts w:ascii="Calibri" w:hAnsi="Calibri" w:cs="Calibri"/>
                <w:b/>
                <w:bCs/>
              </w:rPr>
              <w:t>2010</w:t>
            </w:r>
          </w:p>
        </w:tc>
        <w:tc>
          <w:tcPr>
            <w:tcW w:w="730" w:type="dxa"/>
            <w:shd w:val="clear" w:color="auto" w:fill="4E2C5A"/>
            <w:vAlign w:val="center"/>
          </w:tcPr>
          <w:p w:rsidR="00B6252A" w:rsidRPr="00C16575" w:rsidRDefault="00B6252A" w:rsidP="00B6252A">
            <w:pPr>
              <w:jc w:val="center"/>
              <w:rPr>
                <w:rFonts w:ascii="Calibri" w:hAnsi="Calibri" w:cs="Calibri"/>
                <w:b/>
                <w:bCs/>
              </w:rPr>
            </w:pPr>
            <w:r w:rsidRPr="00C16575">
              <w:rPr>
                <w:rFonts w:ascii="Calibri" w:hAnsi="Calibri" w:cs="Calibri"/>
                <w:b/>
                <w:bCs/>
              </w:rPr>
              <w:t>2011</w:t>
            </w:r>
          </w:p>
        </w:tc>
        <w:tc>
          <w:tcPr>
            <w:tcW w:w="730" w:type="dxa"/>
            <w:shd w:val="clear" w:color="auto" w:fill="4E2C5A"/>
            <w:vAlign w:val="center"/>
          </w:tcPr>
          <w:p w:rsidR="00B6252A" w:rsidRPr="00C16575" w:rsidRDefault="00B6252A" w:rsidP="00B6252A">
            <w:pPr>
              <w:jc w:val="center"/>
              <w:rPr>
                <w:rFonts w:ascii="Calibri" w:hAnsi="Calibri" w:cs="Calibri"/>
                <w:b/>
                <w:bCs/>
              </w:rPr>
            </w:pPr>
            <w:r w:rsidRPr="00C16575">
              <w:rPr>
                <w:rFonts w:ascii="Calibri" w:hAnsi="Calibri" w:cs="Calibri"/>
                <w:b/>
                <w:bCs/>
              </w:rPr>
              <w:t>2012</w:t>
            </w:r>
          </w:p>
        </w:tc>
      </w:tr>
      <w:tr w:rsidR="002878BA" w:rsidTr="00DC1B44">
        <w:tc>
          <w:tcPr>
            <w:tcW w:w="3419" w:type="dxa"/>
          </w:tcPr>
          <w:p w:rsidR="002878BA" w:rsidRPr="00C16575" w:rsidRDefault="00627CD7" w:rsidP="00E91DEC">
            <w:pPr>
              <w:rPr>
                <w:b/>
              </w:rPr>
            </w:pPr>
            <w:r>
              <w:rPr>
                <w:b/>
              </w:rPr>
              <w:t>Previous report</w:t>
            </w:r>
            <w:r w:rsidR="002878BA" w:rsidRPr="00C16575">
              <w:rPr>
                <w:b/>
              </w:rPr>
              <w:t xml:space="preserve"> with just Table A institutions</w:t>
            </w:r>
          </w:p>
        </w:tc>
        <w:tc>
          <w:tcPr>
            <w:tcW w:w="730" w:type="dxa"/>
            <w:vAlign w:val="center"/>
          </w:tcPr>
          <w:p w:rsidR="002878BA" w:rsidRDefault="002878BA" w:rsidP="00DC1B44">
            <w:pPr>
              <w:jc w:val="right"/>
            </w:pPr>
            <w:r>
              <w:t>47.3</w:t>
            </w:r>
          </w:p>
        </w:tc>
        <w:tc>
          <w:tcPr>
            <w:tcW w:w="730" w:type="dxa"/>
            <w:vAlign w:val="center"/>
          </w:tcPr>
          <w:p w:rsidR="002878BA" w:rsidRDefault="002878BA" w:rsidP="00DC1B44">
            <w:pPr>
              <w:jc w:val="right"/>
            </w:pPr>
            <w:r>
              <w:t>46.7</w:t>
            </w:r>
          </w:p>
        </w:tc>
        <w:tc>
          <w:tcPr>
            <w:tcW w:w="730" w:type="dxa"/>
            <w:vAlign w:val="center"/>
          </w:tcPr>
          <w:p w:rsidR="002878BA" w:rsidRDefault="002878BA" w:rsidP="00DC1B44">
            <w:pPr>
              <w:jc w:val="right"/>
            </w:pPr>
            <w:r>
              <w:t>45.9</w:t>
            </w:r>
          </w:p>
        </w:tc>
        <w:tc>
          <w:tcPr>
            <w:tcW w:w="730" w:type="dxa"/>
            <w:vAlign w:val="center"/>
          </w:tcPr>
          <w:p w:rsidR="002878BA" w:rsidRDefault="002878BA" w:rsidP="00DC1B44">
            <w:pPr>
              <w:jc w:val="right"/>
            </w:pPr>
            <w:r>
              <w:t>46.7</w:t>
            </w:r>
          </w:p>
        </w:tc>
        <w:tc>
          <w:tcPr>
            <w:tcW w:w="730" w:type="dxa"/>
            <w:vAlign w:val="center"/>
          </w:tcPr>
          <w:p w:rsidR="002878BA" w:rsidRDefault="002878BA" w:rsidP="00DC1B44">
            <w:pPr>
              <w:jc w:val="right"/>
            </w:pPr>
            <w:r>
              <w:t>46.1</w:t>
            </w:r>
          </w:p>
        </w:tc>
        <w:tc>
          <w:tcPr>
            <w:tcW w:w="730" w:type="dxa"/>
            <w:vAlign w:val="center"/>
          </w:tcPr>
          <w:p w:rsidR="002878BA" w:rsidRDefault="002878BA" w:rsidP="00DC1B44">
            <w:pPr>
              <w:jc w:val="right"/>
            </w:pPr>
            <w:r>
              <w:t>45.1</w:t>
            </w:r>
          </w:p>
        </w:tc>
        <w:tc>
          <w:tcPr>
            <w:tcW w:w="730" w:type="dxa"/>
            <w:vAlign w:val="center"/>
          </w:tcPr>
          <w:p w:rsidR="002878BA" w:rsidRDefault="002878BA" w:rsidP="00DC1B44">
            <w:pPr>
              <w:jc w:val="right"/>
            </w:pPr>
            <w:r>
              <w:t>45.0</w:t>
            </w:r>
          </w:p>
        </w:tc>
        <w:tc>
          <w:tcPr>
            <w:tcW w:w="730" w:type="dxa"/>
            <w:vAlign w:val="center"/>
          </w:tcPr>
          <w:p w:rsidR="002878BA" w:rsidRDefault="002878BA" w:rsidP="00DC1B44">
            <w:pPr>
              <w:jc w:val="right"/>
            </w:pPr>
          </w:p>
        </w:tc>
      </w:tr>
      <w:tr w:rsidR="000D5978" w:rsidTr="00DC1B44">
        <w:tc>
          <w:tcPr>
            <w:tcW w:w="3419" w:type="dxa"/>
          </w:tcPr>
          <w:p w:rsidR="000D5978" w:rsidRPr="00DC1B44" w:rsidRDefault="000D5978" w:rsidP="00DC1B44">
            <w:pPr>
              <w:ind w:left="720"/>
            </w:pPr>
            <w:r w:rsidRPr="00DC1B44">
              <w:t>Change from previous year</w:t>
            </w:r>
          </w:p>
        </w:tc>
        <w:tc>
          <w:tcPr>
            <w:tcW w:w="730" w:type="dxa"/>
            <w:vAlign w:val="center"/>
          </w:tcPr>
          <w:p w:rsidR="000D5978" w:rsidRDefault="000D5978" w:rsidP="00DC1B44">
            <w:pPr>
              <w:jc w:val="right"/>
            </w:pPr>
          </w:p>
        </w:tc>
        <w:tc>
          <w:tcPr>
            <w:tcW w:w="730" w:type="dxa"/>
            <w:vAlign w:val="center"/>
          </w:tcPr>
          <w:p w:rsidR="000D5978" w:rsidRDefault="000D5978" w:rsidP="00DC1B44">
            <w:pPr>
              <w:jc w:val="right"/>
            </w:pPr>
            <w:r>
              <w:rPr>
                <w:rFonts w:ascii="Calibri" w:hAnsi="Calibri" w:cs="Calibri"/>
                <w:color w:val="000000"/>
              </w:rPr>
              <w:t>-0.6</w:t>
            </w:r>
          </w:p>
        </w:tc>
        <w:tc>
          <w:tcPr>
            <w:tcW w:w="730" w:type="dxa"/>
            <w:vAlign w:val="center"/>
          </w:tcPr>
          <w:p w:rsidR="000D5978" w:rsidRDefault="000D5978" w:rsidP="00DC1B44">
            <w:pPr>
              <w:jc w:val="right"/>
            </w:pPr>
            <w:r>
              <w:rPr>
                <w:rFonts w:ascii="Calibri" w:hAnsi="Calibri" w:cs="Calibri"/>
                <w:color w:val="000000"/>
              </w:rPr>
              <w:t>-0.8</w:t>
            </w:r>
          </w:p>
        </w:tc>
        <w:tc>
          <w:tcPr>
            <w:tcW w:w="730" w:type="dxa"/>
            <w:vAlign w:val="center"/>
          </w:tcPr>
          <w:p w:rsidR="000D5978" w:rsidRDefault="000D5978" w:rsidP="00DC1B44">
            <w:pPr>
              <w:jc w:val="right"/>
            </w:pPr>
            <w:r>
              <w:rPr>
                <w:rFonts w:ascii="Calibri" w:hAnsi="Calibri" w:cs="Calibri"/>
                <w:color w:val="000000"/>
              </w:rPr>
              <w:t>0.8</w:t>
            </w:r>
          </w:p>
        </w:tc>
        <w:tc>
          <w:tcPr>
            <w:tcW w:w="730" w:type="dxa"/>
            <w:vAlign w:val="center"/>
          </w:tcPr>
          <w:p w:rsidR="000D5978" w:rsidRDefault="000D5978" w:rsidP="00DC1B44">
            <w:pPr>
              <w:jc w:val="right"/>
            </w:pPr>
            <w:r>
              <w:rPr>
                <w:rFonts w:ascii="Calibri" w:hAnsi="Calibri" w:cs="Calibri"/>
                <w:color w:val="000000"/>
              </w:rPr>
              <w:t>-0.6</w:t>
            </w:r>
          </w:p>
        </w:tc>
        <w:tc>
          <w:tcPr>
            <w:tcW w:w="730" w:type="dxa"/>
            <w:vAlign w:val="center"/>
          </w:tcPr>
          <w:p w:rsidR="000D5978" w:rsidRDefault="000D5978" w:rsidP="00DC1B44">
            <w:pPr>
              <w:jc w:val="right"/>
            </w:pPr>
            <w:r>
              <w:rPr>
                <w:rFonts w:ascii="Calibri" w:hAnsi="Calibri" w:cs="Calibri"/>
                <w:color w:val="000000"/>
              </w:rPr>
              <w:t>-1</w:t>
            </w:r>
            <w:r w:rsidR="00CA31C9">
              <w:rPr>
                <w:rFonts w:ascii="Calibri" w:hAnsi="Calibri" w:cs="Calibri"/>
                <w:color w:val="000000"/>
              </w:rPr>
              <w:t>.0</w:t>
            </w:r>
          </w:p>
        </w:tc>
        <w:tc>
          <w:tcPr>
            <w:tcW w:w="730" w:type="dxa"/>
            <w:vAlign w:val="center"/>
          </w:tcPr>
          <w:p w:rsidR="000D5978" w:rsidRDefault="000D5978" w:rsidP="00DC1B44">
            <w:pPr>
              <w:jc w:val="right"/>
            </w:pPr>
            <w:r>
              <w:rPr>
                <w:rFonts w:ascii="Calibri" w:hAnsi="Calibri" w:cs="Calibri"/>
                <w:color w:val="000000"/>
              </w:rPr>
              <w:t>-0.1</w:t>
            </w:r>
          </w:p>
        </w:tc>
        <w:tc>
          <w:tcPr>
            <w:tcW w:w="730" w:type="dxa"/>
            <w:vAlign w:val="center"/>
          </w:tcPr>
          <w:p w:rsidR="000D5978" w:rsidRDefault="000D5978" w:rsidP="00DC1B44">
            <w:pPr>
              <w:jc w:val="right"/>
            </w:pPr>
          </w:p>
        </w:tc>
      </w:tr>
      <w:tr w:rsidR="002878BA" w:rsidTr="00DC1B44">
        <w:tc>
          <w:tcPr>
            <w:tcW w:w="3419" w:type="dxa"/>
          </w:tcPr>
          <w:p w:rsidR="002878BA" w:rsidRPr="00C16575" w:rsidRDefault="002878BA" w:rsidP="00627CD7">
            <w:pPr>
              <w:rPr>
                <w:b/>
              </w:rPr>
            </w:pPr>
            <w:r w:rsidRPr="00C16575">
              <w:rPr>
                <w:b/>
              </w:rPr>
              <w:t xml:space="preserve">New </w:t>
            </w:r>
            <w:r w:rsidR="00627CD7">
              <w:rPr>
                <w:b/>
              </w:rPr>
              <w:t>analysis</w:t>
            </w:r>
            <w:r w:rsidRPr="00C16575">
              <w:rPr>
                <w:b/>
              </w:rPr>
              <w:t xml:space="preserve"> with Table A and Table B institutions</w:t>
            </w:r>
          </w:p>
        </w:tc>
        <w:tc>
          <w:tcPr>
            <w:tcW w:w="730" w:type="dxa"/>
            <w:vAlign w:val="center"/>
          </w:tcPr>
          <w:p w:rsidR="002878BA" w:rsidRDefault="002878BA" w:rsidP="00DC1B44">
            <w:pPr>
              <w:jc w:val="right"/>
            </w:pPr>
            <w:r>
              <w:t>47.4</w:t>
            </w:r>
          </w:p>
        </w:tc>
        <w:tc>
          <w:tcPr>
            <w:tcW w:w="730" w:type="dxa"/>
            <w:vAlign w:val="center"/>
          </w:tcPr>
          <w:p w:rsidR="002878BA" w:rsidRDefault="002878BA" w:rsidP="00DC1B44">
            <w:pPr>
              <w:jc w:val="right"/>
            </w:pPr>
            <w:r>
              <w:t>46.8</w:t>
            </w:r>
          </w:p>
        </w:tc>
        <w:tc>
          <w:tcPr>
            <w:tcW w:w="730" w:type="dxa"/>
            <w:vAlign w:val="center"/>
          </w:tcPr>
          <w:p w:rsidR="002878BA" w:rsidRDefault="002878BA" w:rsidP="00DC1B44">
            <w:pPr>
              <w:jc w:val="right"/>
            </w:pPr>
            <w:r>
              <w:t>46.0</w:t>
            </w:r>
          </w:p>
        </w:tc>
        <w:tc>
          <w:tcPr>
            <w:tcW w:w="730" w:type="dxa"/>
            <w:vAlign w:val="center"/>
          </w:tcPr>
          <w:p w:rsidR="002878BA" w:rsidRDefault="002878BA" w:rsidP="00DC1B44">
            <w:pPr>
              <w:jc w:val="right"/>
            </w:pPr>
            <w:r>
              <w:t>46.8</w:t>
            </w:r>
          </w:p>
        </w:tc>
        <w:tc>
          <w:tcPr>
            <w:tcW w:w="730" w:type="dxa"/>
            <w:vAlign w:val="center"/>
          </w:tcPr>
          <w:p w:rsidR="002878BA" w:rsidRDefault="002878BA" w:rsidP="00DC1B44">
            <w:pPr>
              <w:jc w:val="right"/>
            </w:pPr>
            <w:r>
              <w:t>46.2</w:t>
            </w:r>
          </w:p>
        </w:tc>
        <w:tc>
          <w:tcPr>
            <w:tcW w:w="730" w:type="dxa"/>
            <w:vAlign w:val="center"/>
          </w:tcPr>
          <w:p w:rsidR="002878BA" w:rsidRDefault="002878BA" w:rsidP="00DC1B44">
            <w:pPr>
              <w:jc w:val="right"/>
            </w:pPr>
            <w:r>
              <w:t>45.3</w:t>
            </w:r>
          </w:p>
        </w:tc>
        <w:tc>
          <w:tcPr>
            <w:tcW w:w="730" w:type="dxa"/>
            <w:vAlign w:val="center"/>
          </w:tcPr>
          <w:p w:rsidR="002878BA" w:rsidRDefault="002878BA" w:rsidP="00DC1B44">
            <w:pPr>
              <w:jc w:val="right"/>
            </w:pPr>
            <w:r>
              <w:t>45.1</w:t>
            </w:r>
          </w:p>
        </w:tc>
        <w:tc>
          <w:tcPr>
            <w:tcW w:w="730" w:type="dxa"/>
            <w:vAlign w:val="center"/>
          </w:tcPr>
          <w:p w:rsidR="002878BA" w:rsidRDefault="002878BA" w:rsidP="00DC1B44">
            <w:pPr>
              <w:jc w:val="right"/>
            </w:pPr>
            <w:r>
              <w:t>44.2</w:t>
            </w:r>
          </w:p>
        </w:tc>
      </w:tr>
      <w:tr w:rsidR="000D5978" w:rsidTr="00DC1B44">
        <w:tc>
          <w:tcPr>
            <w:tcW w:w="3419" w:type="dxa"/>
          </w:tcPr>
          <w:p w:rsidR="000D5978" w:rsidRPr="00DC1B44" w:rsidRDefault="000D5978" w:rsidP="00DC1B44">
            <w:pPr>
              <w:ind w:left="720"/>
            </w:pPr>
            <w:r w:rsidRPr="00DC1B44">
              <w:t>Change from previous year</w:t>
            </w:r>
          </w:p>
        </w:tc>
        <w:tc>
          <w:tcPr>
            <w:tcW w:w="730" w:type="dxa"/>
            <w:vAlign w:val="bottom"/>
          </w:tcPr>
          <w:p w:rsidR="000D5978" w:rsidRDefault="000D5978" w:rsidP="00DC1B44">
            <w:pPr>
              <w:jc w:val="right"/>
            </w:pPr>
          </w:p>
        </w:tc>
        <w:tc>
          <w:tcPr>
            <w:tcW w:w="730" w:type="dxa"/>
            <w:vAlign w:val="bottom"/>
          </w:tcPr>
          <w:p w:rsidR="000D5978" w:rsidRDefault="000D5978" w:rsidP="00DC1B44">
            <w:pPr>
              <w:jc w:val="right"/>
            </w:pPr>
            <w:r>
              <w:rPr>
                <w:rFonts w:ascii="Calibri" w:hAnsi="Calibri" w:cs="Calibri"/>
                <w:color w:val="000000"/>
              </w:rPr>
              <w:t>-0.6</w:t>
            </w:r>
          </w:p>
        </w:tc>
        <w:tc>
          <w:tcPr>
            <w:tcW w:w="730" w:type="dxa"/>
            <w:vAlign w:val="bottom"/>
          </w:tcPr>
          <w:p w:rsidR="000D5978" w:rsidRDefault="000D5978" w:rsidP="00DC1B44">
            <w:pPr>
              <w:jc w:val="right"/>
            </w:pPr>
            <w:r>
              <w:rPr>
                <w:rFonts w:ascii="Calibri" w:hAnsi="Calibri" w:cs="Calibri"/>
                <w:color w:val="000000"/>
              </w:rPr>
              <w:t>-0.8</w:t>
            </w:r>
          </w:p>
        </w:tc>
        <w:tc>
          <w:tcPr>
            <w:tcW w:w="730" w:type="dxa"/>
            <w:vAlign w:val="bottom"/>
          </w:tcPr>
          <w:p w:rsidR="000D5978" w:rsidRDefault="000D5978" w:rsidP="00DC1B44">
            <w:pPr>
              <w:jc w:val="right"/>
            </w:pPr>
            <w:r>
              <w:rPr>
                <w:rFonts w:ascii="Calibri" w:hAnsi="Calibri" w:cs="Calibri"/>
                <w:color w:val="000000"/>
              </w:rPr>
              <w:t>0.8</w:t>
            </w:r>
          </w:p>
        </w:tc>
        <w:tc>
          <w:tcPr>
            <w:tcW w:w="730" w:type="dxa"/>
            <w:vAlign w:val="bottom"/>
          </w:tcPr>
          <w:p w:rsidR="000D5978" w:rsidRDefault="000D5978" w:rsidP="00DC1B44">
            <w:pPr>
              <w:jc w:val="right"/>
            </w:pPr>
            <w:r>
              <w:rPr>
                <w:rFonts w:ascii="Calibri" w:hAnsi="Calibri" w:cs="Calibri"/>
                <w:color w:val="000000"/>
              </w:rPr>
              <w:t>-0.6</w:t>
            </w:r>
          </w:p>
        </w:tc>
        <w:tc>
          <w:tcPr>
            <w:tcW w:w="730" w:type="dxa"/>
            <w:vAlign w:val="bottom"/>
          </w:tcPr>
          <w:p w:rsidR="000D5978" w:rsidRDefault="000D5978" w:rsidP="00DC1B44">
            <w:pPr>
              <w:jc w:val="right"/>
            </w:pPr>
            <w:r>
              <w:rPr>
                <w:rFonts w:ascii="Calibri" w:hAnsi="Calibri" w:cs="Calibri"/>
                <w:color w:val="000000"/>
              </w:rPr>
              <w:t>-0.9</w:t>
            </w:r>
          </w:p>
        </w:tc>
        <w:tc>
          <w:tcPr>
            <w:tcW w:w="730" w:type="dxa"/>
            <w:vAlign w:val="bottom"/>
          </w:tcPr>
          <w:p w:rsidR="000D5978" w:rsidRDefault="000D5978" w:rsidP="00DC1B44">
            <w:pPr>
              <w:jc w:val="right"/>
            </w:pPr>
            <w:r>
              <w:rPr>
                <w:rFonts w:ascii="Calibri" w:hAnsi="Calibri" w:cs="Calibri"/>
                <w:color w:val="000000"/>
              </w:rPr>
              <w:t>-0.2</w:t>
            </w:r>
          </w:p>
        </w:tc>
        <w:tc>
          <w:tcPr>
            <w:tcW w:w="730" w:type="dxa"/>
            <w:vAlign w:val="bottom"/>
          </w:tcPr>
          <w:p w:rsidR="000D5978" w:rsidRDefault="000D5978" w:rsidP="00DC1B44">
            <w:pPr>
              <w:jc w:val="right"/>
            </w:pPr>
            <w:r>
              <w:rPr>
                <w:rFonts w:ascii="Calibri" w:hAnsi="Calibri" w:cs="Calibri"/>
                <w:color w:val="000000"/>
              </w:rPr>
              <w:t>-0.9</w:t>
            </w:r>
          </w:p>
        </w:tc>
      </w:tr>
    </w:tbl>
    <w:p w:rsidR="002878BA" w:rsidRDefault="002878BA" w:rsidP="00E91DEC"/>
    <w:p w:rsidR="00180480" w:rsidRDefault="001972B6" w:rsidP="00180480">
      <w:pPr>
        <w:pStyle w:val="ListParagraph"/>
        <w:numPr>
          <w:ilvl w:val="0"/>
          <w:numId w:val="40"/>
        </w:numPr>
      </w:pPr>
      <w:r>
        <w:t>New data shows that the four year completion rate for the cohort of 2012 commencing domestic bachelor students at Tab</w:t>
      </w:r>
      <w:r w:rsidR="00627CD7">
        <w:t>le A and Table B institutions was</w:t>
      </w:r>
      <w:r>
        <w:t xml:space="preserve"> 44.2</w:t>
      </w:r>
      <w:r w:rsidR="00614635">
        <w:t xml:space="preserve"> per cent</w:t>
      </w:r>
      <w:r>
        <w:t>. This represents a 0.9</w:t>
      </w:r>
      <w:r w:rsidR="00614635">
        <w:t xml:space="preserve"> per cent</w:t>
      </w:r>
      <w:r>
        <w:t xml:space="preserve"> drop compared with the </w:t>
      </w:r>
      <w:r w:rsidR="00627CD7">
        <w:t xml:space="preserve">four year completion rate of the </w:t>
      </w:r>
      <w:r>
        <w:t>2011 cohort. Chart 1</w:t>
      </w:r>
      <w:r w:rsidR="00A54035">
        <w:t xml:space="preserve"> (</w:t>
      </w:r>
      <w:r w:rsidR="00FC7B3B">
        <w:t>over page</w:t>
      </w:r>
      <w:r w:rsidR="00A54035">
        <w:t>)</w:t>
      </w:r>
      <w:r>
        <w:t xml:space="preserve"> shows four year completion rates for each commencing cohort from 2005</w:t>
      </w:r>
      <w:r w:rsidR="00347BB7">
        <w:t xml:space="preserve"> to 2012 and clearly demonstrates the long-term trend for a decline in the four year completion rate.</w:t>
      </w:r>
    </w:p>
    <w:p w:rsidR="00180480" w:rsidRPr="00AD0C4E" w:rsidRDefault="009040CE" w:rsidP="00180480">
      <w:pPr>
        <w:pStyle w:val="ListParagraph"/>
        <w:numPr>
          <w:ilvl w:val="0"/>
          <w:numId w:val="40"/>
        </w:numPr>
      </w:pPr>
      <w:r>
        <w:t>78.5 per cent</w:t>
      </w:r>
      <w:r w:rsidRPr="00AD0C4E">
        <w:t xml:space="preserve"> </w:t>
      </w:r>
      <w:r w:rsidR="00180480" w:rsidRPr="00AD0C4E">
        <w:t xml:space="preserve">of </w:t>
      </w:r>
      <w:r w:rsidR="00AD0C4E" w:rsidRPr="00AD0C4E">
        <w:t xml:space="preserve">the 2012 </w:t>
      </w:r>
      <w:r w:rsidR="00180480" w:rsidRPr="00AD0C4E">
        <w:t xml:space="preserve">cohort </w:t>
      </w:r>
      <w:r w:rsidR="00AD0C4E" w:rsidRPr="00AD0C4E">
        <w:t>were engaged (</w:t>
      </w:r>
      <w:r w:rsidR="00180480" w:rsidRPr="00AD0C4E">
        <w:t xml:space="preserve">completed </w:t>
      </w:r>
      <w:r w:rsidR="00AD0C4E" w:rsidRPr="00AD0C4E">
        <w:t>or</w:t>
      </w:r>
      <w:r w:rsidR="00180480" w:rsidRPr="00AD0C4E">
        <w:t xml:space="preserve"> still enrolled</w:t>
      </w:r>
      <w:r w:rsidR="00AD0C4E" w:rsidRPr="00AD0C4E">
        <w:t>)</w:t>
      </w:r>
      <w:r w:rsidR="00180480" w:rsidRPr="00AD0C4E">
        <w:t xml:space="preserve"> </w:t>
      </w:r>
      <w:r>
        <w:t>by 2015</w:t>
      </w:r>
      <w:r w:rsidR="00AD0C4E">
        <w:t>. This rate was lower than for the 2011</w:t>
      </w:r>
      <w:r w:rsidR="00180480" w:rsidRPr="00AD0C4E">
        <w:t xml:space="preserve"> cohort (</w:t>
      </w:r>
      <w:r w:rsidR="00AD0C4E">
        <w:t>79.6</w:t>
      </w:r>
      <w:r w:rsidR="00614635">
        <w:t xml:space="preserve"> per cent</w:t>
      </w:r>
      <w:r w:rsidR="00A54035">
        <w:t xml:space="preserve">) and the second lowest </w:t>
      </w:r>
      <w:r w:rsidR="00627CD7">
        <w:t>in</w:t>
      </w:r>
      <w:r w:rsidR="00C20F7A">
        <w:t xml:space="preserve"> </w:t>
      </w:r>
      <w:r w:rsidR="00A54035">
        <w:t xml:space="preserve">the time series (the lowest engagement rate was for the 2005 cohort at </w:t>
      </w:r>
      <w:r w:rsidR="00180480" w:rsidRPr="00AD0C4E">
        <w:t>77.5</w:t>
      </w:r>
      <w:r w:rsidR="00614635">
        <w:t xml:space="preserve"> per cent</w:t>
      </w:r>
      <w:r w:rsidR="00180480" w:rsidRPr="00AD0C4E">
        <w:t>)</w:t>
      </w:r>
      <w:r w:rsidR="00AD0C4E">
        <w:t>.</w:t>
      </w:r>
    </w:p>
    <w:p w:rsidR="001972B6" w:rsidRDefault="001972B6" w:rsidP="00AD0C4E">
      <w:pPr>
        <w:pStyle w:val="ListParagraph"/>
      </w:pPr>
    </w:p>
    <w:p w:rsidR="00AD0C4E" w:rsidRPr="000A65A4" w:rsidRDefault="00AD0C4E" w:rsidP="000A65A4">
      <w:pPr>
        <w:pStyle w:val="Heading2"/>
        <w:rPr>
          <w:rFonts w:eastAsia="Times New Roman"/>
          <w:i w:val="0"/>
          <w:sz w:val="22"/>
          <w:lang w:eastAsia="en-AU"/>
        </w:rPr>
      </w:pPr>
      <w:bookmarkStart w:id="12" w:name="_Toc493851097"/>
      <w:r w:rsidRPr="000A65A4">
        <w:rPr>
          <w:i w:val="0"/>
          <w:sz w:val="22"/>
        </w:rPr>
        <w:lastRenderedPageBreak/>
        <w:t xml:space="preserve">Chart 1: </w:t>
      </w:r>
      <w:r w:rsidRPr="000A65A4">
        <w:rPr>
          <w:rFonts w:eastAsia="Times New Roman"/>
          <w:i w:val="0"/>
          <w:sz w:val="22"/>
          <w:lang w:eastAsia="en-AU"/>
        </w:rPr>
        <w:t>Four year completion rates for commencing domestic bachelor students at Table A and Table B institutions, 2005 to 2012 cohorts</w:t>
      </w:r>
      <w:bookmarkEnd w:id="12"/>
    </w:p>
    <w:p w:rsidR="00A54035" w:rsidRDefault="00A54035" w:rsidP="00AD0C4E">
      <w:r>
        <w:rPr>
          <w:noProof/>
          <w:lang w:eastAsia="en-AU"/>
        </w:rPr>
        <w:drawing>
          <wp:inline distT="0" distB="0" distL="0" distR="0" wp14:anchorId="508B65BB" wp14:editId="0ECA9A97">
            <wp:extent cx="5629275" cy="3367448"/>
            <wp:effectExtent l="0" t="0" r="0" b="4445"/>
            <wp:docPr id="4" name="Picture 4" descr="2005 = 47.4%&#10;2006 = 46.8%&#10;2007 = 46.0%&#10;2008 = 46.8%&#10;2009 = 46.2%&#10;2010 = 45.3%&#10;2011 = 45.1%&#10;2012 = 44.2%" title="Chart 1: Four year completion rates for commencing domestic bachelor students at Table A and Table B institutions ,2005 to 2012 co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1082" cy="3368529"/>
                    </a:xfrm>
                    <a:prstGeom prst="rect">
                      <a:avLst/>
                    </a:prstGeom>
                    <a:noFill/>
                  </pic:spPr>
                </pic:pic>
              </a:graphicData>
            </a:graphic>
          </wp:inline>
        </w:drawing>
      </w:r>
    </w:p>
    <w:p w:rsidR="00DD21DB" w:rsidRDefault="00DD21DB" w:rsidP="00DD21DB">
      <w:pPr>
        <w:pStyle w:val="ListParagraph"/>
        <w:numPr>
          <w:ilvl w:val="0"/>
          <w:numId w:val="41"/>
        </w:numPr>
      </w:pPr>
      <w:r>
        <w:t>The decline in four year completion rates for the 2012 cohort prevailed across the whole</w:t>
      </w:r>
      <w:r w:rsidR="00627CD7">
        <w:t xml:space="preserve"> student</w:t>
      </w:r>
      <w:r>
        <w:t xml:space="preserve"> cohort. </w:t>
      </w:r>
      <w:r w:rsidR="009040CE">
        <w:t>G</w:t>
      </w:r>
      <w:r>
        <w:t>roups w</w:t>
      </w:r>
      <w:r w:rsidR="009040CE">
        <w:t>ith</w:t>
      </w:r>
      <w:r>
        <w:t xml:space="preserve"> higher than average</w:t>
      </w:r>
      <w:r w:rsidR="00627CD7">
        <w:t xml:space="preserve"> decline</w:t>
      </w:r>
      <w:r w:rsidR="009040CE">
        <w:t>s were</w:t>
      </w:r>
      <w:r>
        <w:t>:</w:t>
      </w:r>
    </w:p>
    <w:p w:rsidR="007C299D" w:rsidRDefault="007C299D" w:rsidP="00DD21DB">
      <w:pPr>
        <w:pStyle w:val="ListParagraph"/>
        <w:numPr>
          <w:ilvl w:val="1"/>
          <w:numId w:val="28"/>
        </w:numPr>
      </w:pPr>
      <w:r w:rsidRPr="00DD21DB">
        <w:t>Bachelor’s Graduate Entry courses</w:t>
      </w:r>
      <w:r>
        <w:t xml:space="preserve"> </w:t>
      </w:r>
      <w:r w:rsidR="009040CE">
        <w:t xml:space="preserve">completion rates </w:t>
      </w:r>
      <w:r>
        <w:t xml:space="preserve">decreased from </w:t>
      </w:r>
      <w:r w:rsidR="00DD21DB">
        <w:t>66.3</w:t>
      </w:r>
      <w:r w:rsidR="00614635">
        <w:t xml:space="preserve"> per cent</w:t>
      </w:r>
      <w:r>
        <w:t xml:space="preserve"> for the 201</w:t>
      </w:r>
      <w:r w:rsidR="00DD21DB">
        <w:t>1</w:t>
      </w:r>
      <w:r>
        <w:t xml:space="preserve"> cohort to </w:t>
      </w:r>
      <w:r w:rsidR="00DD21DB">
        <w:t>63.5</w:t>
      </w:r>
      <w:r w:rsidR="00614635">
        <w:t xml:space="preserve"> per cent</w:t>
      </w:r>
      <w:r>
        <w:t xml:space="preserve"> for the 201</w:t>
      </w:r>
      <w:r w:rsidR="00DD21DB">
        <w:t>2</w:t>
      </w:r>
      <w:r>
        <w:t xml:space="preserve"> cohort</w:t>
      </w:r>
      <w:r w:rsidR="00DD21DB" w:rsidRPr="00627CD7">
        <w:rPr>
          <w:vertAlign w:val="superscript"/>
        </w:rPr>
        <w:footnoteReference w:id="10"/>
      </w:r>
      <w:r w:rsidR="00627CD7">
        <w:rPr>
          <w:vertAlign w:val="superscript"/>
        </w:rPr>
        <w:t xml:space="preserve"> </w:t>
      </w:r>
      <w:r w:rsidR="00627CD7">
        <w:t xml:space="preserve">. </w:t>
      </w:r>
      <w:r>
        <w:t xml:space="preserve">This decrease was in line with the trend </w:t>
      </w:r>
      <w:r w:rsidR="001169E6">
        <w:t>decline in the</w:t>
      </w:r>
      <w:r>
        <w:t xml:space="preserve"> completion rate for Bachelor’s Graduate Entry courses over time</w:t>
      </w:r>
      <w:r w:rsidR="00DD21DB">
        <w:t xml:space="preserve"> (from a completion rate of 73.0</w:t>
      </w:r>
      <w:r w:rsidR="00614635">
        <w:t xml:space="preserve"> per cent</w:t>
      </w:r>
      <w:r w:rsidR="00DD21DB">
        <w:t xml:space="preserve"> for the 2005 cohort)</w:t>
      </w:r>
      <w:r>
        <w:t xml:space="preserve">. </w:t>
      </w:r>
    </w:p>
    <w:p w:rsidR="00DD21DB" w:rsidRPr="007B6E73" w:rsidRDefault="001C4054" w:rsidP="00DD21DB">
      <w:pPr>
        <w:pStyle w:val="ListParagraph"/>
        <w:numPr>
          <w:ilvl w:val="1"/>
          <w:numId w:val="28"/>
        </w:numPr>
      </w:pPr>
      <w:r>
        <w:t>W</w:t>
      </w:r>
      <w:r w:rsidR="00DD21DB" w:rsidRPr="007B6E73">
        <w:t xml:space="preserve">ithin </w:t>
      </w:r>
      <w:r w:rsidR="00DD21DB">
        <w:t>study area</w:t>
      </w:r>
      <w:r>
        <w:t>:</w:t>
      </w:r>
    </w:p>
    <w:p w:rsidR="00DD21DB" w:rsidRDefault="00DD21DB" w:rsidP="00DD21DB">
      <w:pPr>
        <w:pStyle w:val="ListParagraph"/>
        <w:numPr>
          <w:ilvl w:val="2"/>
          <w:numId w:val="28"/>
        </w:numPr>
      </w:pPr>
      <w:r w:rsidRPr="000F0E8E">
        <w:t>the completion rate for the 201</w:t>
      </w:r>
      <w:r w:rsidR="001C4054">
        <w:t>2</w:t>
      </w:r>
      <w:r w:rsidRPr="000F0E8E">
        <w:t xml:space="preserve"> cohort of </w:t>
      </w:r>
      <w:r w:rsidR="001C4054">
        <w:t xml:space="preserve">pharmacy </w:t>
      </w:r>
      <w:r w:rsidRPr="000F0E8E">
        <w:t>students (</w:t>
      </w:r>
      <w:r w:rsidR="001C4054">
        <w:t>54.4</w:t>
      </w:r>
      <w:r w:rsidR="00614635">
        <w:t xml:space="preserve"> per cent</w:t>
      </w:r>
      <w:r w:rsidR="001C4054">
        <w:t xml:space="preserve">) </w:t>
      </w:r>
      <w:r w:rsidRPr="000F0E8E">
        <w:t>was lower than for the 20</w:t>
      </w:r>
      <w:r w:rsidR="001C4054">
        <w:t>11</w:t>
      </w:r>
      <w:r w:rsidRPr="000F0E8E">
        <w:t xml:space="preserve"> cohort (</w:t>
      </w:r>
      <w:r w:rsidR="001C4054">
        <w:t>60.1</w:t>
      </w:r>
      <w:r w:rsidR="00614635">
        <w:t xml:space="preserve"> per cent</w:t>
      </w:r>
      <w:r w:rsidRPr="000F0E8E">
        <w:t>), continuing</w:t>
      </w:r>
      <w:r w:rsidR="001C4054">
        <w:t xml:space="preserve"> a decline since the 2008 cohort. There was also a slight decline in the proportion of students engaged (from 94.2</w:t>
      </w:r>
      <w:r w:rsidR="00614635">
        <w:t xml:space="preserve"> per cent</w:t>
      </w:r>
      <w:r w:rsidR="001C4054">
        <w:t xml:space="preserve"> to 93.0</w:t>
      </w:r>
      <w:r w:rsidR="00614635">
        <w:t xml:space="preserve"> per cent</w:t>
      </w:r>
      <w:r w:rsidR="001C4054">
        <w:t xml:space="preserve">), although this level of engagement is still high compared </w:t>
      </w:r>
      <w:r w:rsidR="00627CD7">
        <w:t>to many</w:t>
      </w:r>
      <w:r w:rsidR="001C4054">
        <w:t xml:space="preserve"> study areas;</w:t>
      </w:r>
    </w:p>
    <w:p w:rsidR="00C6262D" w:rsidRDefault="001C4054" w:rsidP="00C6262D">
      <w:pPr>
        <w:pStyle w:val="ListParagraph"/>
        <w:numPr>
          <w:ilvl w:val="2"/>
          <w:numId w:val="28"/>
        </w:numPr>
      </w:pPr>
      <w:r w:rsidRPr="000F0E8E">
        <w:t>the completion rate for the 201</w:t>
      </w:r>
      <w:r w:rsidR="0056643F">
        <w:t>2</w:t>
      </w:r>
      <w:r w:rsidRPr="000F0E8E">
        <w:t xml:space="preserve"> cohort of teacher education students (</w:t>
      </w:r>
      <w:r w:rsidR="0056643F">
        <w:t>40.9</w:t>
      </w:r>
      <w:r w:rsidR="00614635">
        <w:t xml:space="preserve"> per cent</w:t>
      </w:r>
      <w:r w:rsidRPr="000F0E8E">
        <w:t>) was lower than for the 20</w:t>
      </w:r>
      <w:r w:rsidR="0056643F">
        <w:t>11</w:t>
      </w:r>
      <w:r w:rsidRPr="000F0E8E">
        <w:t xml:space="preserve"> cohort (</w:t>
      </w:r>
      <w:r w:rsidR="0056643F">
        <w:t>43.0</w:t>
      </w:r>
      <w:r w:rsidR="00614635">
        <w:t xml:space="preserve"> per cent</w:t>
      </w:r>
      <w:r w:rsidRPr="000F0E8E">
        <w:t>), continu</w:t>
      </w:r>
      <w:r w:rsidR="0056643F">
        <w:t>ing the decline over time of four</w:t>
      </w:r>
      <w:r w:rsidRPr="000F0E8E">
        <w:t xml:space="preserve"> year completion rates for teacher education (from a high of </w:t>
      </w:r>
      <w:r w:rsidR="0056643F">
        <w:t>55.4</w:t>
      </w:r>
      <w:r w:rsidR="00614635">
        <w:t xml:space="preserve"> per cent</w:t>
      </w:r>
      <w:r w:rsidR="00627CD7">
        <w:t xml:space="preserve"> for the</w:t>
      </w:r>
      <w:r w:rsidRPr="000F0E8E">
        <w:t xml:space="preserve"> 2005</w:t>
      </w:r>
      <w:r w:rsidR="00627CD7">
        <w:t xml:space="preserve"> cohort</w:t>
      </w:r>
      <w:r w:rsidR="00B56BB3">
        <w:t>). There was also a slight decline in the proportion of students engaged</w:t>
      </w:r>
      <w:r w:rsidR="00B717B1">
        <w:t xml:space="preserve"> between the 2011 and 2012 cohorts</w:t>
      </w:r>
      <w:r w:rsidR="00B56BB3">
        <w:t xml:space="preserve"> (from 75.8</w:t>
      </w:r>
      <w:r w:rsidR="00614635">
        <w:t xml:space="preserve"> per cent</w:t>
      </w:r>
      <w:r w:rsidR="00B56BB3">
        <w:t xml:space="preserve"> to 75.5</w:t>
      </w:r>
      <w:r w:rsidR="00614635">
        <w:t xml:space="preserve"> per cent</w:t>
      </w:r>
      <w:r w:rsidR="00B56BB3">
        <w:t>);</w:t>
      </w:r>
    </w:p>
    <w:p w:rsidR="00C6262D" w:rsidRPr="00867598" w:rsidRDefault="00B12D0B" w:rsidP="00C6262D">
      <w:pPr>
        <w:pStyle w:val="ListParagraph"/>
        <w:numPr>
          <w:ilvl w:val="2"/>
          <w:numId w:val="28"/>
        </w:numPr>
      </w:pPr>
      <w:r w:rsidRPr="00867598">
        <w:lastRenderedPageBreak/>
        <w:t xml:space="preserve">the four year completion rate for </w:t>
      </w:r>
      <w:r w:rsidR="00867598" w:rsidRPr="00867598">
        <w:t>health services and support</w:t>
      </w:r>
      <w:r w:rsidRPr="00867598">
        <w:t xml:space="preserve"> </w:t>
      </w:r>
      <w:r w:rsidR="00867598">
        <w:t xml:space="preserve">was 54.7 per cent for the 2005 cohort then </w:t>
      </w:r>
      <w:r w:rsidRPr="00867598">
        <w:t xml:space="preserve">decreased </w:t>
      </w:r>
      <w:r w:rsidR="00867598">
        <w:t xml:space="preserve">to </w:t>
      </w:r>
      <w:r w:rsidR="00867598" w:rsidRPr="00867598">
        <w:t>50</w:t>
      </w:r>
      <w:r w:rsidRPr="00867598">
        <w:t>.8</w:t>
      </w:r>
      <w:r w:rsidR="00614635" w:rsidRPr="00867598">
        <w:t xml:space="preserve"> per cent</w:t>
      </w:r>
      <w:r w:rsidRPr="00867598">
        <w:t xml:space="preserve"> for the 2011 coho</w:t>
      </w:r>
      <w:r w:rsidR="00B717B1" w:rsidRPr="00867598">
        <w:t>rt</w:t>
      </w:r>
      <w:r w:rsidR="00867598">
        <w:t xml:space="preserve"> and is now</w:t>
      </w:r>
      <w:r w:rsidR="00B717B1" w:rsidRPr="00867598">
        <w:t xml:space="preserve"> </w:t>
      </w:r>
      <w:r w:rsidR="00867598" w:rsidRPr="00867598">
        <w:t>49.4</w:t>
      </w:r>
      <w:r w:rsidR="00614635" w:rsidRPr="00867598">
        <w:t xml:space="preserve"> per cent</w:t>
      </w:r>
      <w:r w:rsidR="00B717B1" w:rsidRPr="00867598">
        <w:t xml:space="preserve"> for the 2012 cohort. The engagement rate also fell from </w:t>
      </w:r>
      <w:r w:rsidR="009C600D">
        <w:t>82.2</w:t>
      </w:r>
      <w:r w:rsidR="00614635" w:rsidRPr="00867598">
        <w:t xml:space="preserve"> per cent</w:t>
      </w:r>
      <w:r w:rsidR="00B717B1" w:rsidRPr="00867598">
        <w:t xml:space="preserve"> to </w:t>
      </w:r>
      <w:r w:rsidR="009C600D">
        <w:t>80.4</w:t>
      </w:r>
      <w:r w:rsidR="00614635" w:rsidRPr="00867598">
        <w:t xml:space="preserve"> per cent</w:t>
      </w:r>
      <w:r w:rsidR="001169E6">
        <w:t xml:space="preserve"> between 2011 and 2012</w:t>
      </w:r>
      <w:r w:rsidR="00B717B1" w:rsidRPr="00867598">
        <w:t>.</w:t>
      </w:r>
    </w:p>
    <w:p w:rsidR="007C299D" w:rsidRDefault="00CC62D8" w:rsidP="00CC62D8">
      <w:pPr>
        <w:pStyle w:val="ListParagraph"/>
        <w:numPr>
          <w:ilvl w:val="0"/>
          <w:numId w:val="28"/>
        </w:numPr>
      </w:pPr>
      <w:r>
        <w:t>One student group saw an increase in their four year completion rate. The completion rate for st</w:t>
      </w:r>
      <w:r w:rsidR="00583718">
        <w:t xml:space="preserve">udents with an </w:t>
      </w:r>
      <w:r w:rsidR="00583718" w:rsidRPr="00CC62D8">
        <w:t>ATAR between 95 and 100</w:t>
      </w:r>
      <w:r>
        <w:t xml:space="preserve"> increased </w:t>
      </w:r>
      <w:r w:rsidR="00583718" w:rsidRPr="00CC62D8">
        <w:t>from</w:t>
      </w:r>
      <w:r w:rsidR="00583718">
        <w:t xml:space="preserve"> </w:t>
      </w:r>
      <w:r>
        <w:t>51.2</w:t>
      </w:r>
      <w:r w:rsidR="00614635">
        <w:t xml:space="preserve"> per cent</w:t>
      </w:r>
      <w:r w:rsidR="00583718">
        <w:t xml:space="preserve"> to </w:t>
      </w:r>
      <w:r>
        <w:t>53.6</w:t>
      </w:r>
      <w:r w:rsidR="00614635">
        <w:t xml:space="preserve"> per cent</w:t>
      </w:r>
      <w:r w:rsidR="00583718">
        <w:t>, for the 201</w:t>
      </w:r>
      <w:r>
        <w:t>1</w:t>
      </w:r>
      <w:r w:rsidR="00583718">
        <w:t xml:space="preserve"> and 201</w:t>
      </w:r>
      <w:r>
        <w:t>2</w:t>
      </w:r>
      <w:r w:rsidR="00583718">
        <w:t xml:space="preserve"> cohorts respectively. The completion rate for the 201</w:t>
      </w:r>
      <w:r>
        <w:t>2</w:t>
      </w:r>
      <w:r w:rsidR="00583718">
        <w:t xml:space="preserve"> cohort was the highest recorded </w:t>
      </w:r>
      <w:r w:rsidR="00583718" w:rsidRPr="007B6E73">
        <w:t xml:space="preserve">since the time series </w:t>
      </w:r>
      <w:r w:rsidR="00583718">
        <w:t xml:space="preserve">began in 2005. </w:t>
      </w:r>
    </w:p>
    <w:p w:rsidR="00DE1866" w:rsidRDefault="003E3FEA">
      <w:r w:rsidRPr="00627CD7">
        <w:t>Additional four year cohort outcomes will continue to be assessed as data becomes available to monitor any future changes related to bachelor degree study at Table A</w:t>
      </w:r>
      <w:r w:rsidR="00627CD7">
        <w:t xml:space="preserve"> and Table B</w:t>
      </w:r>
      <w:r w:rsidR="00ED066E">
        <w:t xml:space="preserve"> institutions.</w:t>
      </w:r>
    </w:p>
    <w:p w:rsidR="00BF4713" w:rsidRDefault="00BF4713"/>
    <w:sectPr w:rsidR="00BF4713" w:rsidSect="00065F05">
      <w:pgSz w:w="11907" w:h="16839" w:code="9"/>
      <w:pgMar w:top="238" w:right="1440" w:bottom="249" w:left="1440" w:header="709" w:footer="10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ACD" w:rsidRDefault="00A26ACD" w:rsidP="00130923">
      <w:pPr>
        <w:spacing w:after="0" w:line="240" w:lineRule="auto"/>
      </w:pPr>
      <w:r>
        <w:separator/>
      </w:r>
    </w:p>
  </w:endnote>
  <w:endnote w:type="continuationSeparator" w:id="0">
    <w:p w:rsidR="00A26ACD" w:rsidRDefault="00A26ACD"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CD" w:rsidRDefault="00A26A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69935"/>
      <w:docPartObj>
        <w:docPartGallery w:val="Page Numbers (Bottom of Page)"/>
        <w:docPartUnique/>
      </w:docPartObj>
    </w:sdtPr>
    <w:sdtEndPr>
      <w:rPr>
        <w:noProof/>
      </w:rPr>
    </w:sdtEndPr>
    <w:sdtContent>
      <w:p w:rsidR="00A26ACD" w:rsidRDefault="00A26ACD">
        <w:pPr>
          <w:pStyle w:val="Footer"/>
          <w:jc w:val="right"/>
        </w:pPr>
        <w:r>
          <w:fldChar w:fldCharType="begin"/>
        </w:r>
        <w:r>
          <w:instrText xml:space="preserve"> PAGE   \* MERGEFORMAT </w:instrText>
        </w:r>
        <w:r>
          <w:fldChar w:fldCharType="separate"/>
        </w:r>
        <w:r w:rsidR="009C65CB">
          <w:rPr>
            <w:noProof/>
          </w:rPr>
          <w:t>2</w:t>
        </w:r>
        <w:r>
          <w:rPr>
            <w:noProof/>
          </w:rPr>
          <w:fldChar w:fldCharType="end"/>
        </w:r>
      </w:p>
    </w:sdtContent>
  </w:sdt>
  <w:p w:rsidR="00A26ACD" w:rsidRPr="00C262D1" w:rsidRDefault="00A26ACD" w:rsidP="00C262D1">
    <w:pPr>
      <w:pStyle w:val="Footer"/>
    </w:pPr>
  </w:p>
  <w:p w:rsidR="00A26ACD" w:rsidRDefault="00A26A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CD" w:rsidRDefault="00A26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ACD" w:rsidRDefault="00A26ACD" w:rsidP="00130923">
      <w:pPr>
        <w:spacing w:after="0" w:line="240" w:lineRule="auto"/>
      </w:pPr>
      <w:r>
        <w:separator/>
      </w:r>
    </w:p>
  </w:footnote>
  <w:footnote w:type="continuationSeparator" w:id="0">
    <w:p w:rsidR="00A26ACD" w:rsidRDefault="00A26ACD" w:rsidP="00130923">
      <w:pPr>
        <w:spacing w:after="0" w:line="240" w:lineRule="auto"/>
      </w:pPr>
      <w:r>
        <w:continuationSeparator/>
      </w:r>
    </w:p>
  </w:footnote>
  <w:footnote w:id="1">
    <w:p w:rsidR="00A26ACD" w:rsidRPr="00E62057" w:rsidRDefault="00A26ACD" w:rsidP="009B5134">
      <w:pPr>
        <w:pStyle w:val="FootnoteText"/>
      </w:pPr>
      <w:r>
        <w:rPr>
          <w:rStyle w:val="FootnoteReference"/>
        </w:rPr>
        <w:footnoteRef/>
      </w:r>
      <w:r>
        <w:t xml:space="preserve"> The CHESSN was first implemented in the Higher Education Student Data Collection in 2005 under new policy initiatives introduced through the </w:t>
      </w:r>
      <w:r>
        <w:rPr>
          <w:i/>
        </w:rPr>
        <w:t xml:space="preserve">Higher Education Support Act 2003 </w:t>
      </w:r>
      <w:r>
        <w:t>(HESA).</w:t>
      </w:r>
    </w:p>
  </w:footnote>
  <w:footnote w:id="2">
    <w:p w:rsidR="00A26ACD" w:rsidRDefault="00A26ACD" w:rsidP="009B5134">
      <w:pPr>
        <w:pStyle w:val="FootnoteText"/>
      </w:pPr>
      <w:r>
        <w:rPr>
          <w:rStyle w:val="FootnoteReference"/>
        </w:rPr>
        <w:footnoteRef/>
      </w:r>
      <w:r>
        <w:t xml:space="preserve"> Students who completed an award course. The award course may not necessarily be the same course that the student initially enrolled in. For example, a student who commenced a Bachelor’s Pass degree in 2005 and by 2013, their award course completion could be for a Bachelor’s Honours degree. Similarly for field of education, a student may have commenced a Science degree but completed an Arts degree. Likewise, a student may have commenced study at one institution, but completed their study at a different institution.</w:t>
      </w:r>
    </w:p>
  </w:footnote>
  <w:footnote w:id="3">
    <w:p w:rsidR="00A26ACD" w:rsidRPr="00993B97" w:rsidRDefault="00A26ACD" w:rsidP="00100D77">
      <w:pPr>
        <w:pStyle w:val="FootnoteText"/>
      </w:pPr>
      <w:r>
        <w:rPr>
          <w:rStyle w:val="FootnoteReference"/>
        </w:rPr>
        <w:footnoteRef/>
      </w:r>
      <w:r>
        <w:t xml:space="preserve"> The previous reports are </w:t>
      </w:r>
      <w:r w:rsidRPr="00D57D99">
        <w:rPr>
          <w:i/>
        </w:rPr>
        <w:t>Completion Rates of Domestic Bachelor Students</w:t>
      </w:r>
      <w:r>
        <w:rPr>
          <w:i/>
        </w:rPr>
        <w:t>-</w:t>
      </w:r>
      <w:r w:rsidRPr="00D57D99">
        <w:rPr>
          <w:i/>
        </w:rPr>
        <w:t xml:space="preserve"> A Cohort </w:t>
      </w:r>
      <w:r w:rsidRPr="00B549F8">
        <w:rPr>
          <w:i/>
        </w:rPr>
        <w:t>Analysis,</w:t>
      </w:r>
      <w:r>
        <w:rPr>
          <w:i/>
        </w:rPr>
        <w:t xml:space="preserve"> 2005-2012; </w:t>
      </w:r>
      <w:r w:rsidRPr="00D57D99">
        <w:rPr>
          <w:i/>
        </w:rPr>
        <w:t>Completion Rates of Domestic Bachelor Students</w:t>
      </w:r>
      <w:r>
        <w:rPr>
          <w:i/>
        </w:rPr>
        <w:t>-</w:t>
      </w:r>
      <w:r w:rsidRPr="00D57D99">
        <w:rPr>
          <w:i/>
        </w:rPr>
        <w:t xml:space="preserve"> A Cohort </w:t>
      </w:r>
      <w:r w:rsidRPr="00B549F8">
        <w:rPr>
          <w:i/>
        </w:rPr>
        <w:t>Analysis, 2005-2013</w:t>
      </w:r>
      <w:r>
        <w:rPr>
          <w:i/>
        </w:rPr>
        <w:t xml:space="preserve"> </w:t>
      </w:r>
      <w:r>
        <w:t xml:space="preserve">and </w:t>
      </w:r>
      <w:r w:rsidRPr="00993B97">
        <w:rPr>
          <w:i/>
        </w:rPr>
        <w:t>Completion Rates of Higher Education Students- Cohort Analysis, 2005-2014.</w:t>
      </w:r>
    </w:p>
  </w:footnote>
  <w:footnote w:id="4">
    <w:p w:rsidR="00A26ACD" w:rsidRDefault="00A26ACD" w:rsidP="003826DE">
      <w:pPr>
        <w:pStyle w:val="FootnoteText"/>
        <w:contextualSpacing/>
      </w:pPr>
      <w:r>
        <w:rPr>
          <w:rStyle w:val="FootnoteReference"/>
        </w:rPr>
        <w:footnoteRef/>
      </w:r>
      <w:r>
        <w:t xml:space="preserve"> Analysis of ATARs only includes scores for those students admitted to higher education on the basis of secondary education.</w:t>
      </w:r>
    </w:p>
  </w:footnote>
  <w:footnote w:id="5">
    <w:p w:rsidR="00A26ACD" w:rsidRDefault="00A26ACD">
      <w:pPr>
        <w:pStyle w:val="FootnoteText"/>
      </w:pPr>
      <w:r>
        <w:rPr>
          <w:rStyle w:val="FootnoteReference"/>
        </w:rPr>
        <w:footnoteRef/>
      </w:r>
      <w:r>
        <w:t xml:space="preserve"> </w:t>
      </w:r>
      <w:r w:rsidRPr="005E3F32">
        <w:t>Bond University, University of Divinity and The Universit</w:t>
      </w:r>
      <w:r>
        <w:t>y of Notre Dame Australia.</w:t>
      </w:r>
    </w:p>
  </w:footnote>
  <w:footnote w:id="6">
    <w:p w:rsidR="00A26ACD" w:rsidRDefault="00A26ACD">
      <w:pPr>
        <w:pStyle w:val="FootnoteText"/>
      </w:pPr>
      <w:r>
        <w:rPr>
          <w:rStyle w:val="FootnoteReference"/>
        </w:rPr>
        <w:footnoteRef/>
      </w:r>
      <w:r>
        <w:t xml:space="preserve"> With the exception of overall institution results for Table B institutions published in </w:t>
      </w:r>
      <w:r w:rsidRPr="00993B97">
        <w:rPr>
          <w:i/>
        </w:rPr>
        <w:t>Completion Rates of Higher Education Students- Cohort Analysis, 2005-2014.</w:t>
      </w:r>
    </w:p>
  </w:footnote>
  <w:footnote w:id="7">
    <w:p w:rsidR="00A26ACD" w:rsidRDefault="00A26ACD">
      <w:pPr>
        <w:pStyle w:val="FootnoteText"/>
      </w:pPr>
      <w:r>
        <w:rPr>
          <w:rStyle w:val="FootnoteReference"/>
        </w:rPr>
        <w:footnoteRef/>
      </w:r>
      <w:r>
        <w:t xml:space="preserve"> </w:t>
      </w:r>
      <w:hyperlink r:id="rId1" w:history="1">
        <w:r w:rsidRPr="0064061F">
          <w:rPr>
            <w:rStyle w:val="Hyperlink"/>
          </w:rPr>
          <w:t>www.qilt.edu.au</w:t>
        </w:r>
      </w:hyperlink>
      <w:r>
        <w:t xml:space="preserve"> . </w:t>
      </w:r>
      <w:r>
        <w:rPr>
          <w:lang w:val="en"/>
        </w:rPr>
        <w:t xml:space="preserve">The QILT website provides prospective students with relevant and transparent information about Australian higher education institutions from the perspective of recent students and graduates. It is funded by the department. </w:t>
      </w:r>
    </w:p>
  </w:footnote>
  <w:footnote w:id="8">
    <w:p w:rsidR="00A26ACD" w:rsidRDefault="00A26ACD" w:rsidP="00E532E3">
      <w:pPr>
        <w:pStyle w:val="FootnoteText"/>
      </w:pPr>
      <w:r>
        <w:rPr>
          <w:rStyle w:val="FootnoteReference"/>
        </w:rPr>
        <w:footnoteRef/>
      </w:r>
      <w:r>
        <w:t xml:space="preserve"> Cohort data presented here includes all bachelor level courses (Bachelor’s Pass, Bachelor’s Honours and Bachelor’s Graduate Entry), rather than just Bachelor’s Pass courses, which are the focus of the demand driven </w:t>
      </w:r>
      <w:r w:rsidRPr="00EC2B94">
        <w:t>system. The number of Graduate Entry and Honours students are small, however, making up 4.3</w:t>
      </w:r>
      <w:r>
        <w:t xml:space="preserve"> per cent</w:t>
      </w:r>
      <w:r w:rsidRPr="00EC2B94">
        <w:t xml:space="preserve"> of the 2010 cohort.</w:t>
      </w:r>
    </w:p>
  </w:footnote>
  <w:footnote w:id="9">
    <w:p w:rsidR="00A26ACD" w:rsidRPr="00974324" w:rsidRDefault="00A26ACD" w:rsidP="00974324">
      <w:pPr>
        <w:rPr>
          <w:color w:val="00B050"/>
        </w:rPr>
      </w:pPr>
      <w:r>
        <w:rPr>
          <w:rStyle w:val="FootnoteReference"/>
        </w:rPr>
        <w:footnoteRef/>
      </w:r>
      <w:r>
        <w:t xml:space="preserve"> </w:t>
      </w:r>
      <w:r>
        <w:rPr>
          <w:rFonts w:ascii="Calibri" w:hAnsi="Calibri"/>
          <w:sz w:val="20"/>
        </w:rPr>
        <w:t>A degree of v</w:t>
      </w:r>
      <w:r w:rsidRPr="00974324">
        <w:rPr>
          <w:rFonts w:ascii="Calibri" w:hAnsi="Calibri"/>
          <w:sz w:val="20"/>
        </w:rPr>
        <w:t>ariation</w:t>
      </w:r>
      <w:r>
        <w:rPr>
          <w:rFonts w:ascii="Calibri" w:hAnsi="Calibri"/>
          <w:sz w:val="20"/>
        </w:rPr>
        <w:t xml:space="preserve"> in completion rates</w:t>
      </w:r>
      <w:r w:rsidRPr="00974324">
        <w:rPr>
          <w:rFonts w:ascii="Calibri" w:hAnsi="Calibri"/>
          <w:sz w:val="20"/>
        </w:rPr>
        <w:t xml:space="preserve"> across higher education institutions relates to the student </w:t>
      </w:r>
      <w:r>
        <w:rPr>
          <w:rFonts w:ascii="Calibri" w:hAnsi="Calibri"/>
          <w:sz w:val="20"/>
        </w:rPr>
        <w:t xml:space="preserve">and course </w:t>
      </w:r>
      <w:r w:rsidRPr="00974324">
        <w:rPr>
          <w:rFonts w:ascii="Calibri" w:hAnsi="Calibri"/>
          <w:sz w:val="20"/>
        </w:rPr>
        <w:t>profile</w:t>
      </w:r>
      <w:r>
        <w:rPr>
          <w:rFonts w:ascii="Calibri" w:hAnsi="Calibri"/>
          <w:sz w:val="20"/>
        </w:rPr>
        <w:t>s</w:t>
      </w:r>
    </w:p>
    <w:p w:rsidR="00A26ACD" w:rsidRDefault="00A26ACD">
      <w:pPr>
        <w:pStyle w:val="FootnoteText"/>
      </w:pPr>
    </w:p>
  </w:footnote>
  <w:footnote w:id="10">
    <w:p w:rsidR="00A26ACD" w:rsidRDefault="00A26ACD">
      <w:pPr>
        <w:pStyle w:val="FootnoteText"/>
      </w:pPr>
      <w:r>
        <w:rPr>
          <w:rStyle w:val="FootnoteReference"/>
        </w:rPr>
        <w:footnoteRef/>
      </w:r>
      <w:r>
        <w:t xml:space="preserve"> Variation was in part influenced by the small number of students.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CD" w:rsidRDefault="00A26A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CD" w:rsidRPr="00341EA2" w:rsidRDefault="00A26ACD">
    <w:pPr>
      <w:rPr>
        <w:b/>
      </w:rPr>
    </w:pPr>
    <w:r>
      <w:ptab w:relativeTo="margin" w:alignment="center" w:leader="none"/>
    </w:r>
    <w:r>
      <w:ptab w:relativeTo="margin" w:alignment="right" w:leader="none"/>
    </w:r>
    <w:r w:rsidRPr="00341EA2">
      <w:rPr>
        <w:b/>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CD" w:rsidRDefault="00A26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A8271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541337E"/>
    <w:multiLevelType w:val="hybridMultilevel"/>
    <w:tmpl w:val="A61C10D0"/>
    <w:lvl w:ilvl="0" w:tplc="7A5A67E8">
      <w:start w:val="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7BC6D34"/>
    <w:multiLevelType w:val="hybridMultilevel"/>
    <w:tmpl w:val="83F85724"/>
    <w:lvl w:ilvl="0" w:tplc="8D3CB014">
      <w:start w:val="1"/>
      <w:numFmt w:val="decimal"/>
      <w:lvlText w:val="%1."/>
      <w:lvlJc w:val="left"/>
      <w:pPr>
        <w:ind w:left="780" w:hanging="420"/>
      </w:pPr>
      <w:rPr>
        <w:rFonts w:hint="default"/>
        <w:i w:val="0"/>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B0F6E4A"/>
    <w:multiLevelType w:val="hybridMultilevel"/>
    <w:tmpl w:val="CA8E3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A73088"/>
    <w:multiLevelType w:val="hybridMultilevel"/>
    <w:tmpl w:val="00E0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34F64B9"/>
    <w:multiLevelType w:val="hybridMultilevel"/>
    <w:tmpl w:val="333E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2ED904F6"/>
    <w:multiLevelType w:val="hybridMultilevel"/>
    <w:tmpl w:val="255A3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39A4717"/>
    <w:multiLevelType w:val="hybridMultilevel"/>
    <w:tmpl w:val="141A9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CD290F"/>
    <w:multiLevelType w:val="hybridMultilevel"/>
    <w:tmpl w:val="A5C4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8247BD5"/>
    <w:multiLevelType w:val="hybridMultilevel"/>
    <w:tmpl w:val="52981B8A"/>
    <w:lvl w:ilvl="0" w:tplc="71681D2A">
      <w:start w:val="1"/>
      <w:numFmt w:val="decimal"/>
      <w:lvlText w:val="%1."/>
      <w:lvlJc w:val="left"/>
      <w:pPr>
        <w:ind w:left="360" w:hanging="360"/>
      </w:pPr>
      <w:rPr>
        <w:i w:val="0"/>
        <w:color w:val="000000" w:themeColor="text1"/>
      </w:rPr>
    </w:lvl>
    <w:lvl w:ilvl="1" w:tplc="2912DEBC" w:tentative="1">
      <w:start w:val="1"/>
      <w:numFmt w:val="lowerLetter"/>
      <w:lvlText w:val="%2."/>
      <w:lvlJc w:val="left"/>
      <w:pPr>
        <w:ind w:left="1080" w:hanging="360"/>
      </w:pPr>
    </w:lvl>
    <w:lvl w:ilvl="2" w:tplc="78D6217E" w:tentative="1">
      <w:start w:val="1"/>
      <w:numFmt w:val="lowerRoman"/>
      <w:lvlText w:val="%3."/>
      <w:lvlJc w:val="right"/>
      <w:pPr>
        <w:ind w:left="1800" w:hanging="180"/>
      </w:pPr>
    </w:lvl>
    <w:lvl w:ilvl="3" w:tplc="3A32D842" w:tentative="1">
      <w:start w:val="1"/>
      <w:numFmt w:val="decimal"/>
      <w:lvlText w:val="%4."/>
      <w:lvlJc w:val="left"/>
      <w:pPr>
        <w:ind w:left="2520" w:hanging="360"/>
      </w:pPr>
    </w:lvl>
    <w:lvl w:ilvl="4" w:tplc="1898D1AC" w:tentative="1">
      <w:start w:val="1"/>
      <w:numFmt w:val="lowerLetter"/>
      <w:lvlText w:val="%5."/>
      <w:lvlJc w:val="left"/>
      <w:pPr>
        <w:ind w:left="3240" w:hanging="360"/>
      </w:pPr>
    </w:lvl>
    <w:lvl w:ilvl="5" w:tplc="42C84CC2" w:tentative="1">
      <w:start w:val="1"/>
      <w:numFmt w:val="lowerRoman"/>
      <w:lvlText w:val="%6."/>
      <w:lvlJc w:val="right"/>
      <w:pPr>
        <w:ind w:left="3960" w:hanging="180"/>
      </w:pPr>
    </w:lvl>
    <w:lvl w:ilvl="6" w:tplc="43AA20BE" w:tentative="1">
      <w:start w:val="1"/>
      <w:numFmt w:val="decimal"/>
      <w:lvlText w:val="%7."/>
      <w:lvlJc w:val="left"/>
      <w:pPr>
        <w:ind w:left="4680" w:hanging="360"/>
      </w:pPr>
    </w:lvl>
    <w:lvl w:ilvl="7" w:tplc="8DC41994" w:tentative="1">
      <w:start w:val="1"/>
      <w:numFmt w:val="lowerLetter"/>
      <w:lvlText w:val="%8."/>
      <w:lvlJc w:val="left"/>
      <w:pPr>
        <w:ind w:left="5400" w:hanging="360"/>
      </w:pPr>
    </w:lvl>
    <w:lvl w:ilvl="8" w:tplc="A04C2DA0" w:tentative="1">
      <w:start w:val="1"/>
      <w:numFmt w:val="lowerRoman"/>
      <w:lvlText w:val="%9."/>
      <w:lvlJc w:val="right"/>
      <w:pPr>
        <w:ind w:left="6120" w:hanging="180"/>
      </w:pPr>
    </w:lvl>
  </w:abstractNum>
  <w:abstractNum w:abstractNumId="22">
    <w:nsid w:val="482D3421"/>
    <w:multiLevelType w:val="hybridMultilevel"/>
    <w:tmpl w:val="02A27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B9E2441"/>
    <w:multiLevelType w:val="hybridMultilevel"/>
    <w:tmpl w:val="05C82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DC427F"/>
    <w:multiLevelType w:val="hybridMultilevel"/>
    <w:tmpl w:val="A2E236A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53424D09"/>
    <w:multiLevelType w:val="hybridMultilevel"/>
    <w:tmpl w:val="260AA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4767EE1"/>
    <w:multiLevelType w:val="hybridMultilevel"/>
    <w:tmpl w:val="826A9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8BE4549"/>
    <w:multiLevelType w:val="hybridMultilevel"/>
    <w:tmpl w:val="A04C22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nsid w:val="604A4F0D"/>
    <w:multiLevelType w:val="hybridMultilevel"/>
    <w:tmpl w:val="E83E58D6"/>
    <w:lvl w:ilvl="0" w:tplc="7A5A67E8">
      <w:start w:val="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07A0153"/>
    <w:multiLevelType w:val="hybridMultilevel"/>
    <w:tmpl w:val="F836F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3935291"/>
    <w:multiLevelType w:val="hybridMultilevel"/>
    <w:tmpl w:val="7124D40C"/>
    <w:lvl w:ilvl="0" w:tplc="0C090003">
      <w:start w:val="1"/>
      <w:numFmt w:val="bullet"/>
      <w:lvlText w:val="o"/>
      <w:lvlJc w:val="left"/>
      <w:pPr>
        <w:ind w:left="2138" w:hanging="360"/>
      </w:pPr>
      <w:rPr>
        <w:rFonts w:ascii="Courier New" w:hAnsi="Courier New" w:cs="Courier New"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3">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77012338"/>
    <w:multiLevelType w:val="hybridMultilevel"/>
    <w:tmpl w:val="BD107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74F68B5"/>
    <w:multiLevelType w:val="hybridMultilevel"/>
    <w:tmpl w:val="76483E46"/>
    <w:lvl w:ilvl="0" w:tplc="CB88B80C">
      <w:numFmt w:val="bullet"/>
      <w:lvlText w:val="-"/>
      <w:lvlJc w:val="left"/>
      <w:pPr>
        <w:ind w:left="1494" w:hanging="360"/>
      </w:pPr>
      <w:rPr>
        <w:rFonts w:ascii="Calibri" w:eastAsiaTheme="minorEastAsia" w:hAnsi="Calibri" w:cs="Calibr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6">
    <w:nsid w:val="7D7B1B80"/>
    <w:multiLevelType w:val="hybridMultilevel"/>
    <w:tmpl w:val="86B653AC"/>
    <w:lvl w:ilvl="0" w:tplc="F9946EBE">
      <w:start w:val="1"/>
      <w:numFmt w:val="bullet"/>
      <w:pStyle w:val="bulletnormal"/>
      <w:lvlText w:val=""/>
      <w:lvlJc w:val="left"/>
      <w:pPr>
        <w:tabs>
          <w:tab w:val="num" w:pos="284"/>
        </w:tabs>
        <w:ind w:left="284" w:hanging="284"/>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3"/>
  </w:num>
  <w:num w:numId="15">
    <w:abstractNumId w:val="15"/>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6"/>
  </w:num>
  <w:num w:numId="21">
    <w:abstractNumId w:val="30"/>
  </w:num>
  <w:num w:numId="22">
    <w:abstractNumId w:val="26"/>
  </w:num>
  <w:num w:numId="23">
    <w:abstractNumId w:val="19"/>
  </w:num>
  <w:num w:numId="24">
    <w:abstractNumId w:val="12"/>
  </w:num>
  <w:num w:numId="25">
    <w:abstractNumId w:val="27"/>
  </w:num>
  <w:num w:numId="26">
    <w:abstractNumId w:val="36"/>
  </w:num>
  <w:num w:numId="27">
    <w:abstractNumId w:val="22"/>
  </w:num>
  <w:num w:numId="28">
    <w:abstractNumId w:val="24"/>
  </w:num>
  <w:num w:numId="29">
    <w:abstractNumId w:val="35"/>
  </w:num>
  <w:num w:numId="30">
    <w:abstractNumId w:val="10"/>
  </w:num>
  <w:num w:numId="31">
    <w:abstractNumId w:val="32"/>
  </w:num>
  <w:num w:numId="32">
    <w:abstractNumId w:val="13"/>
  </w:num>
  <w:num w:numId="33">
    <w:abstractNumId w:val="20"/>
  </w:num>
  <w:num w:numId="34">
    <w:abstractNumId w:val="36"/>
  </w:num>
  <w:num w:numId="35">
    <w:abstractNumId w:val="34"/>
  </w:num>
  <w:num w:numId="36">
    <w:abstractNumId w:val="28"/>
  </w:num>
  <w:num w:numId="37">
    <w:abstractNumId w:val="21"/>
  </w:num>
  <w:num w:numId="38">
    <w:abstractNumId w:val="31"/>
  </w:num>
  <w:num w:numId="39">
    <w:abstractNumId w:val="23"/>
  </w:num>
  <w:num w:numId="40">
    <w:abstractNumId w:val="1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4346ad75-9be1-4c19-9931-d8dcc855e97b"/>
    <w:docVar w:name="_AMO_XmlVersion" w:val="Empty"/>
  </w:docVars>
  <w:rsids>
    <w:rsidRoot w:val="00FD398F"/>
    <w:rsid w:val="00002721"/>
    <w:rsid w:val="0000486A"/>
    <w:rsid w:val="000051CF"/>
    <w:rsid w:val="000071C7"/>
    <w:rsid w:val="00007E0C"/>
    <w:rsid w:val="00007F76"/>
    <w:rsid w:val="00014AC8"/>
    <w:rsid w:val="00016A4B"/>
    <w:rsid w:val="0001723A"/>
    <w:rsid w:val="00017F34"/>
    <w:rsid w:val="0002091E"/>
    <w:rsid w:val="000212B6"/>
    <w:rsid w:val="00021F8E"/>
    <w:rsid w:val="00024E24"/>
    <w:rsid w:val="00027DF6"/>
    <w:rsid w:val="000311D5"/>
    <w:rsid w:val="00034099"/>
    <w:rsid w:val="00034EAA"/>
    <w:rsid w:val="000351D8"/>
    <w:rsid w:val="00050333"/>
    <w:rsid w:val="000503AF"/>
    <w:rsid w:val="00051C4D"/>
    <w:rsid w:val="0005392E"/>
    <w:rsid w:val="00054F84"/>
    <w:rsid w:val="0006158C"/>
    <w:rsid w:val="00061CD8"/>
    <w:rsid w:val="000632A6"/>
    <w:rsid w:val="00064445"/>
    <w:rsid w:val="00065F05"/>
    <w:rsid w:val="00066B5B"/>
    <w:rsid w:val="000672AB"/>
    <w:rsid w:val="00067407"/>
    <w:rsid w:val="00067959"/>
    <w:rsid w:val="00067995"/>
    <w:rsid w:val="000714D4"/>
    <w:rsid w:val="00073BC3"/>
    <w:rsid w:val="0007486A"/>
    <w:rsid w:val="00075965"/>
    <w:rsid w:val="00076248"/>
    <w:rsid w:val="00081009"/>
    <w:rsid w:val="00081CDD"/>
    <w:rsid w:val="0008339C"/>
    <w:rsid w:val="0008442A"/>
    <w:rsid w:val="00084758"/>
    <w:rsid w:val="00085EB1"/>
    <w:rsid w:val="000861A6"/>
    <w:rsid w:val="0009112E"/>
    <w:rsid w:val="00091C1C"/>
    <w:rsid w:val="0009348A"/>
    <w:rsid w:val="000942A2"/>
    <w:rsid w:val="00095573"/>
    <w:rsid w:val="000957BC"/>
    <w:rsid w:val="000A1FB5"/>
    <w:rsid w:val="000A24EB"/>
    <w:rsid w:val="000A2DD2"/>
    <w:rsid w:val="000A65A4"/>
    <w:rsid w:val="000A7737"/>
    <w:rsid w:val="000B020E"/>
    <w:rsid w:val="000B0495"/>
    <w:rsid w:val="000B0634"/>
    <w:rsid w:val="000B0F7F"/>
    <w:rsid w:val="000B1785"/>
    <w:rsid w:val="000B369D"/>
    <w:rsid w:val="000B5482"/>
    <w:rsid w:val="000C04BC"/>
    <w:rsid w:val="000C1FD4"/>
    <w:rsid w:val="000C2E67"/>
    <w:rsid w:val="000C33C2"/>
    <w:rsid w:val="000C5C5C"/>
    <w:rsid w:val="000C6077"/>
    <w:rsid w:val="000D051D"/>
    <w:rsid w:val="000D3299"/>
    <w:rsid w:val="000D5978"/>
    <w:rsid w:val="000D629B"/>
    <w:rsid w:val="000D7FD3"/>
    <w:rsid w:val="000E7E7B"/>
    <w:rsid w:val="000F0E8E"/>
    <w:rsid w:val="000F26A2"/>
    <w:rsid w:val="000F31B8"/>
    <w:rsid w:val="000F3BA2"/>
    <w:rsid w:val="000F3FF8"/>
    <w:rsid w:val="00100D77"/>
    <w:rsid w:val="001013B3"/>
    <w:rsid w:val="0011240B"/>
    <w:rsid w:val="00113E1D"/>
    <w:rsid w:val="00113ECE"/>
    <w:rsid w:val="001169E6"/>
    <w:rsid w:val="001175BF"/>
    <w:rsid w:val="00117837"/>
    <w:rsid w:val="0012240A"/>
    <w:rsid w:val="00127F83"/>
    <w:rsid w:val="00130923"/>
    <w:rsid w:val="00131A8E"/>
    <w:rsid w:val="0013278B"/>
    <w:rsid w:val="001351E1"/>
    <w:rsid w:val="00136D4D"/>
    <w:rsid w:val="001414F3"/>
    <w:rsid w:val="0014193D"/>
    <w:rsid w:val="00143FCD"/>
    <w:rsid w:val="00144A7C"/>
    <w:rsid w:val="00144C22"/>
    <w:rsid w:val="001466C0"/>
    <w:rsid w:val="00146B3F"/>
    <w:rsid w:val="00147D7E"/>
    <w:rsid w:val="00151DB6"/>
    <w:rsid w:val="00152795"/>
    <w:rsid w:val="00155AB2"/>
    <w:rsid w:val="00157740"/>
    <w:rsid w:val="0016108C"/>
    <w:rsid w:val="001617D7"/>
    <w:rsid w:val="00164A78"/>
    <w:rsid w:val="0017173E"/>
    <w:rsid w:val="0017206F"/>
    <w:rsid w:val="001735FA"/>
    <w:rsid w:val="00176C68"/>
    <w:rsid w:val="00177880"/>
    <w:rsid w:val="00180480"/>
    <w:rsid w:val="00180576"/>
    <w:rsid w:val="0018200C"/>
    <w:rsid w:val="00182C7E"/>
    <w:rsid w:val="00183E56"/>
    <w:rsid w:val="001858B3"/>
    <w:rsid w:val="001900D3"/>
    <w:rsid w:val="00190A54"/>
    <w:rsid w:val="001924B7"/>
    <w:rsid w:val="00192FD5"/>
    <w:rsid w:val="001972B6"/>
    <w:rsid w:val="001A104F"/>
    <w:rsid w:val="001A328F"/>
    <w:rsid w:val="001A57B2"/>
    <w:rsid w:val="001A6719"/>
    <w:rsid w:val="001A7AA7"/>
    <w:rsid w:val="001B19D0"/>
    <w:rsid w:val="001B2BDC"/>
    <w:rsid w:val="001B45C0"/>
    <w:rsid w:val="001B6467"/>
    <w:rsid w:val="001C3A84"/>
    <w:rsid w:val="001C4054"/>
    <w:rsid w:val="001C4B23"/>
    <w:rsid w:val="001C4CBC"/>
    <w:rsid w:val="001D2ED2"/>
    <w:rsid w:val="001E326A"/>
    <w:rsid w:val="001E4E5F"/>
    <w:rsid w:val="001F32B2"/>
    <w:rsid w:val="001F65A2"/>
    <w:rsid w:val="00207125"/>
    <w:rsid w:val="00207BD6"/>
    <w:rsid w:val="00211B0D"/>
    <w:rsid w:val="00214E27"/>
    <w:rsid w:val="0021536D"/>
    <w:rsid w:val="00217B7F"/>
    <w:rsid w:val="00223EB1"/>
    <w:rsid w:val="00227352"/>
    <w:rsid w:val="00232590"/>
    <w:rsid w:val="00232E9E"/>
    <w:rsid w:val="00235064"/>
    <w:rsid w:val="00236020"/>
    <w:rsid w:val="00236917"/>
    <w:rsid w:val="00240034"/>
    <w:rsid w:val="00241FB3"/>
    <w:rsid w:val="00243D6B"/>
    <w:rsid w:val="00251AA4"/>
    <w:rsid w:val="00254DD4"/>
    <w:rsid w:val="002558E3"/>
    <w:rsid w:val="00255A77"/>
    <w:rsid w:val="00257216"/>
    <w:rsid w:val="0025742F"/>
    <w:rsid w:val="00261228"/>
    <w:rsid w:val="00266F4D"/>
    <w:rsid w:val="002702C0"/>
    <w:rsid w:val="00270DD6"/>
    <w:rsid w:val="0027185D"/>
    <w:rsid w:val="00273A78"/>
    <w:rsid w:val="002759B3"/>
    <w:rsid w:val="00275C52"/>
    <w:rsid w:val="002803CC"/>
    <w:rsid w:val="00285D6B"/>
    <w:rsid w:val="00285D98"/>
    <w:rsid w:val="002878BA"/>
    <w:rsid w:val="002926F7"/>
    <w:rsid w:val="00296785"/>
    <w:rsid w:val="002977B0"/>
    <w:rsid w:val="002A4338"/>
    <w:rsid w:val="002B06E6"/>
    <w:rsid w:val="002B1325"/>
    <w:rsid w:val="002B4EA3"/>
    <w:rsid w:val="002C0A91"/>
    <w:rsid w:val="002C2F42"/>
    <w:rsid w:val="002C3AA1"/>
    <w:rsid w:val="002C55AF"/>
    <w:rsid w:val="002C5D9B"/>
    <w:rsid w:val="002C625A"/>
    <w:rsid w:val="002C79EA"/>
    <w:rsid w:val="002D0D4D"/>
    <w:rsid w:val="002D271F"/>
    <w:rsid w:val="002D6386"/>
    <w:rsid w:val="002E0B32"/>
    <w:rsid w:val="002E42C6"/>
    <w:rsid w:val="002E4B17"/>
    <w:rsid w:val="002E5AE8"/>
    <w:rsid w:val="002F0E47"/>
    <w:rsid w:val="002F1912"/>
    <w:rsid w:val="002F1999"/>
    <w:rsid w:val="002F27BC"/>
    <w:rsid w:val="002F6A2C"/>
    <w:rsid w:val="0030139D"/>
    <w:rsid w:val="00301866"/>
    <w:rsid w:val="0030488A"/>
    <w:rsid w:val="00304F6A"/>
    <w:rsid w:val="0030575E"/>
    <w:rsid w:val="00305B35"/>
    <w:rsid w:val="003062F2"/>
    <w:rsid w:val="003155A7"/>
    <w:rsid w:val="003161DC"/>
    <w:rsid w:val="003166C5"/>
    <w:rsid w:val="003202A0"/>
    <w:rsid w:val="00320434"/>
    <w:rsid w:val="00321E72"/>
    <w:rsid w:val="003237E4"/>
    <w:rsid w:val="003242B9"/>
    <w:rsid w:val="00324D62"/>
    <w:rsid w:val="00325B88"/>
    <w:rsid w:val="00327ECD"/>
    <w:rsid w:val="00340F38"/>
    <w:rsid w:val="003416BB"/>
    <w:rsid w:val="00341EA2"/>
    <w:rsid w:val="00343437"/>
    <w:rsid w:val="00343695"/>
    <w:rsid w:val="00343BA1"/>
    <w:rsid w:val="00347BB7"/>
    <w:rsid w:val="003510AF"/>
    <w:rsid w:val="003511B6"/>
    <w:rsid w:val="0035130A"/>
    <w:rsid w:val="003528DC"/>
    <w:rsid w:val="003530E3"/>
    <w:rsid w:val="0035596A"/>
    <w:rsid w:val="00355CAC"/>
    <w:rsid w:val="00355FBF"/>
    <w:rsid w:val="00356D28"/>
    <w:rsid w:val="003577CC"/>
    <w:rsid w:val="00357FB5"/>
    <w:rsid w:val="003612F7"/>
    <w:rsid w:val="00362E75"/>
    <w:rsid w:val="00363594"/>
    <w:rsid w:val="00365C69"/>
    <w:rsid w:val="00366F12"/>
    <w:rsid w:val="00367DFA"/>
    <w:rsid w:val="00372821"/>
    <w:rsid w:val="00376D20"/>
    <w:rsid w:val="00377AE6"/>
    <w:rsid w:val="003826DE"/>
    <w:rsid w:val="003829FA"/>
    <w:rsid w:val="00384C0C"/>
    <w:rsid w:val="00385D4B"/>
    <w:rsid w:val="003900A8"/>
    <w:rsid w:val="00390F73"/>
    <w:rsid w:val="00394D78"/>
    <w:rsid w:val="00395702"/>
    <w:rsid w:val="0039758E"/>
    <w:rsid w:val="003979FC"/>
    <w:rsid w:val="003A0199"/>
    <w:rsid w:val="003A06AC"/>
    <w:rsid w:val="003A3FC6"/>
    <w:rsid w:val="003A4ACC"/>
    <w:rsid w:val="003A5094"/>
    <w:rsid w:val="003A614F"/>
    <w:rsid w:val="003A71E6"/>
    <w:rsid w:val="003A7E0B"/>
    <w:rsid w:val="003B1128"/>
    <w:rsid w:val="003B127F"/>
    <w:rsid w:val="003B17FC"/>
    <w:rsid w:val="003B2D3E"/>
    <w:rsid w:val="003B5A7A"/>
    <w:rsid w:val="003B76D4"/>
    <w:rsid w:val="003B7F15"/>
    <w:rsid w:val="003C1320"/>
    <w:rsid w:val="003C1CBB"/>
    <w:rsid w:val="003C7901"/>
    <w:rsid w:val="003D3F5E"/>
    <w:rsid w:val="003D6071"/>
    <w:rsid w:val="003D67FC"/>
    <w:rsid w:val="003E06FE"/>
    <w:rsid w:val="003E0CF6"/>
    <w:rsid w:val="003E2AE8"/>
    <w:rsid w:val="003E3FEA"/>
    <w:rsid w:val="003E6BA2"/>
    <w:rsid w:val="003F312B"/>
    <w:rsid w:val="003F4ED4"/>
    <w:rsid w:val="003F64CB"/>
    <w:rsid w:val="00400676"/>
    <w:rsid w:val="0040177D"/>
    <w:rsid w:val="004038FD"/>
    <w:rsid w:val="00406E5A"/>
    <w:rsid w:val="004118AD"/>
    <w:rsid w:val="00416A03"/>
    <w:rsid w:val="00417033"/>
    <w:rsid w:val="00422B45"/>
    <w:rsid w:val="00423E1D"/>
    <w:rsid w:val="004256AD"/>
    <w:rsid w:val="00426BAB"/>
    <w:rsid w:val="004274B9"/>
    <w:rsid w:val="00427532"/>
    <w:rsid w:val="00427E3F"/>
    <w:rsid w:val="004311E1"/>
    <w:rsid w:val="0043142C"/>
    <w:rsid w:val="00432C49"/>
    <w:rsid w:val="004339EC"/>
    <w:rsid w:val="004343DB"/>
    <w:rsid w:val="00446B30"/>
    <w:rsid w:val="00450317"/>
    <w:rsid w:val="0045069B"/>
    <w:rsid w:val="00452726"/>
    <w:rsid w:val="00452C2D"/>
    <w:rsid w:val="00454661"/>
    <w:rsid w:val="00455B34"/>
    <w:rsid w:val="00456B36"/>
    <w:rsid w:val="004605FB"/>
    <w:rsid w:val="0046090A"/>
    <w:rsid w:val="00467209"/>
    <w:rsid w:val="00467413"/>
    <w:rsid w:val="004737F5"/>
    <w:rsid w:val="00475103"/>
    <w:rsid w:val="00475282"/>
    <w:rsid w:val="00481F02"/>
    <w:rsid w:val="0048432C"/>
    <w:rsid w:val="00486D91"/>
    <w:rsid w:val="0048762C"/>
    <w:rsid w:val="00490FE4"/>
    <w:rsid w:val="00492042"/>
    <w:rsid w:val="00492421"/>
    <w:rsid w:val="004927D2"/>
    <w:rsid w:val="00493CD4"/>
    <w:rsid w:val="00494A25"/>
    <w:rsid w:val="0049527E"/>
    <w:rsid w:val="00495886"/>
    <w:rsid w:val="004A3AE3"/>
    <w:rsid w:val="004A76CE"/>
    <w:rsid w:val="004A7E8D"/>
    <w:rsid w:val="004B03D6"/>
    <w:rsid w:val="004B12F0"/>
    <w:rsid w:val="004B229D"/>
    <w:rsid w:val="004B256F"/>
    <w:rsid w:val="004B5A5F"/>
    <w:rsid w:val="004C2258"/>
    <w:rsid w:val="004C42B5"/>
    <w:rsid w:val="004C5B35"/>
    <w:rsid w:val="004D4E78"/>
    <w:rsid w:val="004D602E"/>
    <w:rsid w:val="004E0AF7"/>
    <w:rsid w:val="004E175E"/>
    <w:rsid w:val="004E196F"/>
    <w:rsid w:val="004E1D95"/>
    <w:rsid w:val="004E2773"/>
    <w:rsid w:val="004E35CD"/>
    <w:rsid w:val="004E5A31"/>
    <w:rsid w:val="004F25EB"/>
    <w:rsid w:val="004F6F96"/>
    <w:rsid w:val="00500A49"/>
    <w:rsid w:val="00502064"/>
    <w:rsid w:val="00503FA1"/>
    <w:rsid w:val="00505306"/>
    <w:rsid w:val="00510E9B"/>
    <w:rsid w:val="005113B6"/>
    <w:rsid w:val="00512DEA"/>
    <w:rsid w:val="00514B1A"/>
    <w:rsid w:val="005161F5"/>
    <w:rsid w:val="005166D8"/>
    <w:rsid w:val="00517D3B"/>
    <w:rsid w:val="00521F10"/>
    <w:rsid w:val="00526304"/>
    <w:rsid w:val="00530050"/>
    <w:rsid w:val="005305B3"/>
    <w:rsid w:val="00531817"/>
    <w:rsid w:val="00532863"/>
    <w:rsid w:val="00533F6B"/>
    <w:rsid w:val="00535AD9"/>
    <w:rsid w:val="00535C46"/>
    <w:rsid w:val="00535CB6"/>
    <w:rsid w:val="00536C0A"/>
    <w:rsid w:val="0053731E"/>
    <w:rsid w:val="005461A9"/>
    <w:rsid w:val="00547134"/>
    <w:rsid w:val="00547351"/>
    <w:rsid w:val="00547696"/>
    <w:rsid w:val="00550D29"/>
    <w:rsid w:val="005519B1"/>
    <w:rsid w:val="00552F88"/>
    <w:rsid w:val="00555B03"/>
    <w:rsid w:val="00557B2C"/>
    <w:rsid w:val="00560CA0"/>
    <w:rsid w:val="005624F3"/>
    <w:rsid w:val="00562964"/>
    <w:rsid w:val="00565440"/>
    <w:rsid w:val="00565588"/>
    <w:rsid w:val="00565E30"/>
    <w:rsid w:val="0056643F"/>
    <w:rsid w:val="005665F1"/>
    <w:rsid w:val="00572451"/>
    <w:rsid w:val="0057248B"/>
    <w:rsid w:val="00573D89"/>
    <w:rsid w:val="00574CD2"/>
    <w:rsid w:val="00575D60"/>
    <w:rsid w:val="005811EF"/>
    <w:rsid w:val="0058141A"/>
    <w:rsid w:val="00583718"/>
    <w:rsid w:val="0058414C"/>
    <w:rsid w:val="005842DA"/>
    <w:rsid w:val="00585122"/>
    <w:rsid w:val="00586E28"/>
    <w:rsid w:val="00586F8B"/>
    <w:rsid w:val="0058725D"/>
    <w:rsid w:val="005936D1"/>
    <w:rsid w:val="00594F98"/>
    <w:rsid w:val="00596848"/>
    <w:rsid w:val="005A624C"/>
    <w:rsid w:val="005A76F8"/>
    <w:rsid w:val="005B0878"/>
    <w:rsid w:val="005B0EFE"/>
    <w:rsid w:val="005B4D8D"/>
    <w:rsid w:val="005C15C0"/>
    <w:rsid w:val="005C2910"/>
    <w:rsid w:val="005C3AAC"/>
    <w:rsid w:val="005C5249"/>
    <w:rsid w:val="005C7EA9"/>
    <w:rsid w:val="005C7F55"/>
    <w:rsid w:val="005D263A"/>
    <w:rsid w:val="005D3726"/>
    <w:rsid w:val="005D5599"/>
    <w:rsid w:val="005D6A18"/>
    <w:rsid w:val="005E0DFA"/>
    <w:rsid w:val="005E1E38"/>
    <w:rsid w:val="005E3F01"/>
    <w:rsid w:val="005E3F32"/>
    <w:rsid w:val="005E44B7"/>
    <w:rsid w:val="005E55BB"/>
    <w:rsid w:val="005E7F7D"/>
    <w:rsid w:val="005F307A"/>
    <w:rsid w:val="005F5AA3"/>
    <w:rsid w:val="00601C44"/>
    <w:rsid w:val="00602EA6"/>
    <w:rsid w:val="006032CA"/>
    <w:rsid w:val="00603AC8"/>
    <w:rsid w:val="0060477C"/>
    <w:rsid w:val="00610654"/>
    <w:rsid w:val="0061094C"/>
    <w:rsid w:val="00610A6E"/>
    <w:rsid w:val="006141B3"/>
    <w:rsid w:val="00614635"/>
    <w:rsid w:val="00614E35"/>
    <w:rsid w:val="00615A8B"/>
    <w:rsid w:val="00615D3E"/>
    <w:rsid w:val="00623FD2"/>
    <w:rsid w:val="00625C60"/>
    <w:rsid w:val="00627B09"/>
    <w:rsid w:val="00627CD7"/>
    <w:rsid w:val="006318B9"/>
    <w:rsid w:val="006321A5"/>
    <w:rsid w:val="00632A5C"/>
    <w:rsid w:val="00633D15"/>
    <w:rsid w:val="00633F60"/>
    <w:rsid w:val="0063535C"/>
    <w:rsid w:val="00635920"/>
    <w:rsid w:val="006373AA"/>
    <w:rsid w:val="00640428"/>
    <w:rsid w:val="006404F5"/>
    <w:rsid w:val="00640D2D"/>
    <w:rsid w:val="00642114"/>
    <w:rsid w:val="00642B0C"/>
    <w:rsid w:val="00642C56"/>
    <w:rsid w:val="0064418B"/>
    <w:rsid w:val="0065100C"/>
    <w:rsid w:val="00651539"/>
    <w:rsid w:val="006529DC"/>
    <w:rsid w:val="00655EA5"/>
    <w:rsid w:val="006574F8"/>
    <w:rsid w:val="0066015D"/>
    <w:rsid w:val="00660816"/>
    <w:rsid w:val="00661C14"/>
    <w:rsid w:val="00665D37"/>
    <w:rsid w:val="00666677"/>
    <w:rsid w:val="0067026C"/>
    <w:rsid w:val="00670950"/>
    <w:rsid w:val="006711C3"/>
    <w:rsid w:val="006730BD"/>
    <w:rsid w:val="00677128"/>
    <w:rsid w:val="00677C0B"/>
    <w:rsid w:val="00682F8F"/>
    <w:rsid w:val="00687140"/>
    <w:rsid w:val="00693B14"/>
    <w:rsid w:val="0069635C"/>
    <w:rsid w:val="00696ECF"/>
    <w:rsid w:val="006A567F"/>
    <w:rsid w:val="006A6550"/>
    <w:rsid w:val="006A730C"/>
    <w:rsid w:val="006A7B41"/>
    <w:rsid w:val="006B0E6F"/>
    <w:rsid w:val="006B0EBD"/>
    <w:rsid w:val="006B27E8"/>
    <w:rsid w:val="006B27F5"/>
    <w:rsid w:val="006B41E5"/>
    <w:rsid w:val="006B4CD8"/>
    <w:rsid w:val="006B6520"/>
    <w:rsid w:val="006B75B5"/>
    <w:rsid w:val="006B7B00"/>
    <w:rsid w:val="006B7E95"/>
    <w:rsid w:val="006C086A"/>
    <w:rsid w:val="006C22D8"/>
    <w:rsid w:val="006D2F43"/>
    <w:rsid w:val="006D4B04"/>
    <w:rsid w:val="006D747A"/>
    <w:rsid w:val="006E2D49"/>
    <w:rsid w:val="006E3DF5"/>
    <w:rsid w:val="006E7B47"/>
    <w:rsid w:val="006F40CC"/>
    <w:rsid w:val="006F4527"/>
    <w:rsid w:val="006F4EF6"/>
    <w:rsid w:val="006F651E"/>
    <w:rsid w:val="006F7AB3"/>
    <w:rsid w:val="00710784"/>
    <w:rsid w:val="00713D3B"/>
    <w:rsid w:val="00714D6B"/>
    <w:rsid w:val="00715EC8"/>
    <w:rsid w:val="00722084"/>
    <w:rsid w:val="00732FA0"/>
    <w:rsid w:val="0073350C"/>
    <w:rsid w:val="00733ECF"/>
    <w:rsid w:val="00737D86"/>
    <w:rsid w:val="00740868"/>
    <w:rsid w:val="0074166C"/>
    <w:rsid w:val="00742FBC"/>
    <w:rsid w:val="007441CA"/>
    <w:rsid w:val="0074430E"/>
    <w:rsid w:val="0074467F"/>
    <w:rsid w:val="00745FBF"/>
    <w:rsid w:val="007468FC"/>
    <w:rsid w:val="00752377"/>
    <w:rsid w:val="00752E2A"/>
    <w:rsid w:val="007563D0"/>
    <w:rsid w:val="0075787E"/>
    <w:rsid w:val="00761217"/>
    <w:rsid w:val="00761254"/>
    <w:rsid w:val="00762FD2"/>
    <w:rsid w:val="00765BA5"/>
    <w:rsid w:val="00765E2E"/>
    <w:rsid w:val="007749C2"/>
    <w:rsid w:val="00774C3E"/>
    <w:rsid w:val="00774D1D"/>
    <w:rsid w:val="00776857"/>
    <w:rsid w:val="007772F4"/>
    <w:rsid w:val="00781544"/>
    <w:rsid w:val="007841EA"/>
    <w:rsid w:val="00786283"/>
    <w:rsid w:val="0079044E"/>
    <w:rsid w:val="0079101C"/>
    <w:rsid w:val="00791203"/>
    <w:rsid w:val="00792CA3"/>
    <w:rsid w:val="0079369A"/>
    <w:rsid w:val="007956AC"/>
    <w:rsid w:val="00797BE2"/>
    <w:rsid w:val="007A03D2"/>
    <w:rsid w:val="007A0B02"/>
    <w:rsid w:val="007A159E"/>
    <w:rsid w:val="007A1BBD"/>
    <w:rsid w:val="007A2D06"/>
    <w:rsid w:val="007A4BB0"/>
    <w:rsid w:val="007A5F32"/>
    <w:rsid w:val="007B166D"/>
    <w:rsid w:val="007B1D43"/>
    <w:rsid w:val="007B2FDD"/>
    <w:rsid w:val="007B346E"/>
    <w:rsid w:val="007B6E73"/>
    <w:rsid w:val="007C0ADE"/>
    <w:rsid w:val="007C1122"/>
    <w:rsid w:val="007C21B9"/>
    <w:rsid w:val="007C299D"/>
    <w:rsid w:val="007C6261"/>
    <w:rsid w:val="007D0DEA"/>
    <w:rsid w:val="007D389A"/>
    <w:rsid w:val="007D58FB"/>
    <w:rsid w:val="007E05CC"/>
    <w:rsid w:val="007E0FC7"/>
    <w:rsid w:val="007E5641"/>
    <w:rsid w:val="007F0CB7"/>
    <w:rsid w:val="007F4C9D"/>
    <w:rsid w:val="007F5FF6"/>
    <w:rsid w:val="007F6241"/>
    <w:rsid w:val="007F663B"/>
    <w:rsid w:val="007F680E"/>
    <w:rsid w:val="007F71E7"/>
    <w:rsid w:val="0080055B"/>
    <w:rsid w:val="00800CB0"/>
    <w:rsid w:val="00800FCF"/>
    <w:rsid w:val="00803D51"/>
    <w:rsid w:val="00804722"/>
    <w:rsid w:val="00804B0F"/>
    <w:rsid w:val="008079E2"/>
    <w:rsid w:val="0081215C"/>
    <w:rsid w:val="008139A6"/>
    <w:rsid w:val="0081438A"/>
    <w:rsid w:val="00815D81"/>
    <w:rsid w:val="00816662"/>
    <w:rsid w:val="00820703"/>
    <w:rsid w:val="00820E95"/>
    <w:rsid w:val="008241C6"/>
    <w:rsid w:val="008266B7"/>
    <w:rsid w:val="008322DA"/>
    <w:rsid w:val="0083468A"/>
    <w:rsid w:val="00837FE9"/>
    <w:rsid w:val="00842D43"/>
    <w:rsid w:val="00845FB2"/>
    <w:rsid w:val="00847B8C"/>
    <w:rsid w:val="00852276"/>
    <w:rsid w:val="00852CBE"/>
    <w:rsid w:val="00852E1D"/>
    <w:rsid w:val="00856D1C"/>
    <w:rsid w:val="0085794E"/>
    <w:rsid w:val="00863273"/>
    <w:rsid w:val="008660A3"/>
    <w:rsid w:val="0086662B"/>
    <w:rsid w:val="00867598"/>
    <w:rsid w:val="00871893"/>
    <w:rsid w:val="008722CD"/>
    <w:rsid w:val="00872C2D"/>
    <w:rsid w:val="00873E8C"/>
    <w:rsid w:val="00876AC0"/>
    <w:rsid w:val="00877CBF"/>
    <w:rsid w:val="008803D6"/>
    <w:rsid w:val="00883323"/>
    <w:rsid w:val="008917D9"/>
    <w:rsid w:val="00892818"/>
    <w:rsid w:val="0089375B"/>
    <w:rsid w:val="00893B41"/>
    <w:rsid w:val="008A1ED1"/>
    <w:rsid w:val="008A5934"/>
    <w:rsid w:val="008A5964"/>
    <w:rsid w:val="008A61A8"/>
    <w:rsid w:val="008B2A63"/>
    <w:rsid w:val="008B5ED5"/>
    <w:rsid w:val="008B6BB5"/>
    <w:rsid w:val="008C121B"/>
    <w:rsid w:val="008C1EA1"/>
    <w:rsid w:val="008C2BF4"/>
    <w:rsid w:val="008C2E5B"/>
    <w:rsid w:val="008C4236"/>
    <w:rsid w:val="008C453F"/>
    <w:rsid w:val="008C5626"/>
    <w:rsid w:val="008C6706"/>
    <w:rsid w:val="008C6C92"/>
    <w:rsid w:val="008D117F"/>
    <w:rsid w:val="008D1F76"/>
    <w:rsid w:val="008D258A"/>
    <w:rsid w:val="008D2EE2"/>
    <w:rsid w:val="008D4395"/>
    <w:rsid w:val="008D45CB"/>
    <w:rsid w:val="008D6334"/>
    <w:rsid w:val="008E0C51"/>
    <w:rsid w:val="008E4033"/>
    <w:rsid w:val="008E5CE3"/>
    <w:rsid w:val="008E5D81"/>
    <w:rsid w:val="008F30CD"/>
    <w:rsid w:val="008F3622"/>
    <w:rsid w:val="008F4488"/>
    <w:rsid w:val="008F62C6"/>
    <w:rsid w:val="00903408"/>
    <w:rsid w:val="009040CE"/>
    <w:rsid w:val="00904822"/>
    <w:rsid w:val="009116EA"/>
    <w:rsid w:val="00911E9D"/>
    <w:rsid w:val="00914BAD"/>
    <w:rsid w:val="009172D8"/>
    <w:rsid w:val="009237EA"/>
    <w:rsid w:val="00925B5C"/>
    <w:rsid w:val="00932FC0"/>
    <w:rsid w:val="00933671"/>
    <w:rsid w:val="00934C74"/>
    <w:rsid w:val="00942656"/>
    <w:rsid w:val="00943482"/>
    <w:rsid w:val="00946ACC"/>
    <w:rsid w:val="00950F7B"/>
    <w:rsid w:val="009515E3"/>
    <w:rsid w:val="00951A72"/>
    <w:rsid w:val="0095211A"/>
    <w:rsid w:val="00954CBC"/>
    <w:rsid w:val="009650B5"/>
    <w:rsid w:val="009662FC"/>
    <w:rsid w:val="00966A8E"/>
    <w:rsid w:val="00967CF8"/>
    <w:rsid w:val="00972BF7"/>
    <w:rsid w:val="00972DD5"/>
    <w:rsid w:val="0097345D"/>
    <w:rsid w:val="00974324"/>
    <w:rsid w:val="00974D34"/>
    <w:rsid w:val="00975D08"/>
    <w:rsid w:val="00976715"/>
    <w:rsid w:val="00976D6C"/>
    <w:rsid w:val="00977D57"/>
    <w:rsid w:val="00984879"/>
    <w:rsid w:val="00985632"/>
    <w:rsid w:val="0098744C"/>
    <w:rsid w:val="00991B63"/>
    <w:rsid w:val="00993712"/>
    <w:rsid w:val="00993B97"/>
    <w:rsid w:val="00994691"/>
    <w:rsid w:val="00996FA5"/>
    <w:rsid w:val="00997E64"/>
    <w:rsid w:val="009A3D8E"/>
    <w:rsid w:val="009A3F8F"/>
    <w:rsid w:val="009A550A"/>
    <w:rsid w:val="009B0E4C"/>
    <w:rsid w:val="009B2428"/>
    <w:rsid w:val="009B2864"/>
    <w:rsid w:val="009B41CF"/>
    <w:rsid w:val="009B4A50"/>
    <w:rsid w:val="009B5134"/>
    <w:rsid w:val="009B5CB7"/>
    <w:rsid w:val="009B69E6"/>
    <w:rsid w:val="009B7A4D"/>
    <w:rsid w:val="009B7F07"/>
    <w:rsid w:val="009C024F"/>
    <w:rsid w:val="009C1287"/>
    <w:rsid w:val="009C3510"/>
    <w:rsid w:val="009C600D"/>
    <w:rsid w:val="009C65CB"/>
    <w:rsid w:val="009C7B05"/>
    <w:rsid w:val="009D15F6"/>
    <w:rsid w:val="009D2463"/>
    <w:rsid w:val="009D628A"/>
    <w:rsid w:val="009D69DC"/>
    <w:rsid w:val="009E0AB2"/>
    <w:rsid w:val="009E3A04"/>
    <w:rsid w:val="009E4598"/>
    <w:rsid w:val="009E539E"/>
    <w:rsid w:val="009F0796"/>
    <w:rsid w:val="009F206C"/>
    <w:rsid w:val="009F2764"/>
    <w:rsid w:val="009F3BA2"/>
    <w:rsid w:val="00A03DDA"/>
    <w:rsid w:val="00A06D05"/>
    <w:rsid w:val="00A13633"/>
    <w:rsid w:val="00A147AE"/>
    <w:rsid w:val="00A15CD2"/>
    <w:rsid w:val="00A16B04"/>
    <w:rsid w:val="00A20340"/>
    <w:rsid w:val="00A20DC6"/>
    <w:rsid w:val="00A22196"/>
    <w:rsid w:val="00A26ACD"/>
    <w:rsid w:val="00A31242"/>
    <w:rsid w:val="00A34B4B"/>
    <w:rsid w:val="00A35B56"/>
    <w:rsid w:val="00A415AC"/>
    <w:rsid w:val="00A42052"/>
    <w:rsid w:val="00A42371"/>
    <w:rsid w:val="00A4371E"/>
    <w:rsid w:val="00A44A94"/>
    <w:rsid w:val="00A47085"/>
    <w:rsid w:val="00A475CB"/>
    <w:rsid w:val="00A47998"/>
    <w:rsid w:val="00A47ABA"/>
    <w:rsid w:val="00A50A2F"/>
    <w:rsid w:val="00A5167A"/>
    <w:rsid w:val="00A52530"/>
    <w:rsid w:val="00A54035"/>
    <w:rsid w:val="00A54450"/>
    <w:rsid w:val="00A551BF"/>
    <w:rsid w:val="00A57EFA"/>
    <w:rsid w:val="00A60702"/>
    <w:rsid w:val="00A607FD"/>
    <w:rsid w:val="00A64A55"/>
    <w:rsid w:val="00A668A9"/>
    <w:rsid w:val="00A67F8E"/>
    <w:rsid w:val="00A70524"/>
    <w:rsid w:val="00A73406"/>
    <w:rsid w:val="00A74403"/>
    <w:rsid w:val="00A74AD2"/>
    <w:rsid w:val="00A75355"/>
    <w:rsid w:val="00A802E5"/>
    <w:rsid w:val="00A8116F"/>
    <w:rsid w:val="00A829B3"/>
    <w:rsid w:val="00A84F6E"/>
    <w:rsid w:val="00A8566E"/>
    <w:rsid w:val="00A86F5B"/>
    <w:rsid w:val="00A87644"/>
    <w:rsid w:val="00A92910"/>
    <w:rsid w:val="00A93851"/>
    <w:rsid w:val="00A94337"/>
    <w:rsid w:val="00A95506"/>
    <w:rsid w:val="00A95B77"/>
    <w:rsid w:val="00A97F1D"/>
    <w:rsid w:val="00AA390F"/>
    <w:rsid w:val="00AA437F"/>
    <w:rsid w:val="00AA688D"/>
    <w:rsid w:val="00AA7BD0"/>
    <w:rsid w:val="00AB3338"/>
    <w:rsid w:val="00AB4590"/>
    <w:rsid w:val="00AB641B"/>
    <w:rsid w:val="00AC446F"/>
    <w:rsid w:val="00AC65DA"/>
    <w:rsid w:val="00AC6DA5"/>
    <w:rsid w:val="00AD09E4"/>
    <w:rsid w:val="00AD0C4E"/>
    <w:rsid w:val="00AD15C1"/>
    <w:rsid w:val="00AD5C1C"/>
    <w:rsid w:val="00AD6823"/>
    <w:rsid w:val="00AD6C58"/>
    <w:rsid w:val="00AD7C1A"/>
    <w:rsid w:val="00AE6C32"/>
    <w:rsid w:val="00AF135C"/>
    <w:rsid w:val="00AF1737"/>
    <w:rsid w:val="00AF17C0"/>
    <w:rsid w:val="00AF4200"/>
    <w:rsid w:val="00AF6B94"/>
    <w:rsid w:val="00AF7416"/>
    <w:rsid w:val="00AF788F"/>
    <w:rsid w:val="00B0049B"/>
    <w:rsid w:val="00B037E0"/>
    <w:rsid w:val="00B03C49"/>
    <w:rsid w:val="00B0569E"/>
    <w:rsid w:val="00B06517"/>
    <w:rsid w:val="00B06E88"/>
    <w:rsid w:val="00B12D0B"/>
    <w:rsid w:val="00B14096"/>
    <w:rsid w:val="00B215C6"/>
    <w:rsid w:val="00B235D1"/>
    <w:rsid w:val="00B26B1D"/>
    <w:rsid w:val="00B2722A"/>
    <w:rsid w:val="00B30F87"/>
    <w:rsid w:val="00B310E6"/>
    <w:rsid w:val="00B3593F"/>
    <w:rsid w:val="00B40F24"/>
    <w:rsid w:val="00B44DFE"/>
    <w:rsid w:val="00B44E09"/>
    <w:rsid w:val="00B46D5A"/>
    <w:rsid w:val="00B52281"/>
    <w:rsid w:val="00B53FDE"/>
    <w:rsid w:val="00B540EB"/>
    <w:rsid w:val="00B549F8"/>
    <w:rsid w:val="00B54BA8"/>
    <w:rsid w:val="00B56BB3"/>
    <w:rsid w:val="00B5796C"/>
    <w:rsid w:val="00B60EC4"/>
    <w:rsid w:val="00B618BA"/>
    <w:rsid w:val="00B61B79"/>
    <w:rsid w:val="00B6252A"/>
    <w:rsid w:val="00B6552D"/>
    <w:rsid w:val="00B65B67"/>
    <w:rsid w:val="00B71480"/>
    <w:rsid w:val="00B717B1"/>
    <w:rsid w:val="00B777F8"/>
    <w:rsid w:val="00B77D08"/>
    <w:rsid w:val="00B804C0"/>
    <w:rsid w:val="00B86136"/>
    <w:rsid w:val="00B9197F"/>
    <w:rsid w:val="00B93487"/>
    <w:rsid w:val="00BA00A1"/>
    <w:rsid w:val="00BA0D64"/>
    <w:rsid w:val="00BA18BA"/>
    <w:rsid w:val="00BA282D"/>
    <w:rsid w:val="00BA31BB"/>
    <w:rsid w:val="00BA4106"/>
    <w:rsid w:val="00BA4D57"/>
    <w:rsid w:val="00BA538E"/>
    <w:rsid w:val="00BA55F8"/>
    <w:rsid w:val="00BA5CDF"/>
    <w:rsid w:val="00BA6E56"/>
    <w:rsid w:val="00BA7238"/>
    <w:rsid w:val="00BA7BD3"/>
    <w:rsid w:val="00BB30D6"/>
    <w:rsid w:val="00BB6260"/>
    <w:rsid w:val="00BB740E"/>
    <w:rsid w:val="00BC0DA0"/>
    <w:rsid w:val="00BC3430"/>
    <w:rsid w:val="00BC3BC0"/>
    <w:rsid w:val="00BC4F18"/>
    <w:rsid w:val="00BD04DB"/>
    <w:rsid w:val="00BD272C"/>
    <w:rsid w:val="00BD28FE"/>
    <w:rsid w:val="00BD383A"/>
    <w:rsid w:val="00BD3DC3"/>
    <w:rsid w:val="00BD53A6"/>
    <w:rsid w:val="00BE0FB2"/>
    <w:rsid w:val="00BE219F"/>
    <w:rsid w:val="00BE3369"/>
    <w:rsid w:val="00BE395A"/>
    <w:rsid w:val="00BE3E27"/>
    <w:rsid w:val="00BE45B1"/>
    <w:rsid w:val="00BE60ED"/>
    <w:rsid w:val="00BE7595"/>
    <w:rsid w:val="00BF109F"/>
    <w:rsid w:val="00BF2952"/>
    <w:rsid w:val="00BF371C"/>
    <w:rsid w:val="00BF4713"/>
    <w:rsid w:val="00BF6630"/>
    <w:rsid w:val="00C05E74"/>
    <w:rsid w:val="00C060D0"/>
    <w:rsid w:val="00C064F2"/>
    <w:rsid w:val="00C10C19"/>
    <w:rsid w:val="00C143B8"/>
    <w:rsid w:val="00C14A96"/>
    <w:rsid w:val="00C16575"/>
    <w:rsid w:val="00C17D02"/>
    <w:rsid w:val="00C20620"/>
    <w:rsid w:val="00C20F7A"/>
    <w:rsid w:val="00C21B08"/>
    <w:rsid w:val="00C21C9F"/>
    <w:rsid w:val="00C22080"/>
    <w:rsid w:val="00C2528E"/>
    <w:rsid w:val="00C25BFB"/>
    <w:rsid w:val="00C262D1"/>
    <w:rsid w:val="00C326A5"/>
    <w:rsid w:val="00C33869"/>
    <w:rsid w:val="00C34AA5"/>
    <w:rsid w:val="00C40628"/>
    <w:rsid w:val="00C42280"/>
    <w:rsid w:val="00C43096"/>
    <w:rsid w:val="00C43AE7"/>
    <w:rsid w:val="00C5297D"/>
    <w:rsid w:val="00C53C82"/>
    <w:rsid w:val="00C544E5"/>
    <w:rsid w:val="00C5649C"/>
    <w:rsid w:val="00C60689"/>
    <w:rsid w:val="00C613D8"/>
    <w:rsid w:val="00C61DDE"/>
    <w:rsid w:val="00C6262D"/>
    <w:rsid w:val="00C63487"/>
    <w:rsid w:val="00C64C9F"/>
    <w:rsid w:val="00C70C43"/>
    <w:rsid w:val="00C72584"/>
    <w:rsid w:val="00C729FA"/>
    <w:rsid w:val="00C75486"/>
    <w:rsid w:val="00C754E3"/>
    <w:rsid w:val="00C761F6"/>
    <w:rsid w:val="00C77AA8"/>
    <w:rsid w:val="00C8202C"/>
    <w:rsid w:val="00C8462C"/>
    <w:rsid w:val="00C854A1"/>
    <w:rsid w:val="00C85B52"/>
    <w:rsid w:val="00C926BE"/>
    <w:rsid w:val="00C92A5B"/>
    <w:rsid w:val="00C96060"/>
    <w:rsid w:val="00C9710B"/>
    <w:rsid w:val="00C97637"/>
    <w:rsid w:val="00CA31C9"/>
    <w:rsid w:val="00CA3CC6"/>
    <w:rsid w:val="00CA46EC"/>
    <w:rsid w:val="00CA6011"/>
    <w:rsid w:val="00CB109E"/>
    <w:rsid w:val="00CB2314"/>
    <w:rsid w:val="00CB2EFA"/>
    <w:rsid w:val="00CB4F3F"/>
    <w:rsid w:val="00CB7A6D"/>
    <w:rsid w:val="00CC0D94"/>
    <w:rsid w:val="00CC36B0"/>
    <w:rsid w:val="00CC62D8"/>
    <w:rsid w:val="00CC6D1F"/>
    <w:rsid w:val="00CC6E5F"/>
    <w:rsid w:val="00CD1940"/>
    <w:rsid w:val="00CD3F94"/>
    <w:rsid w:val="00CD4A16"/>
    <w:rsid w:val="00CD7D81"/>
    <w:rsid w:val="00CE1429"/>
    <w:rsid w:val="00CF14C5"/>
    <w:rsid w:val="00CF3064"/>
    <w:rsid w:val="00CF36E9"/>
    <w:rsid w:val="00CF462C"/>
    <w:rsid w:val="00CF6772"/>
    <w:rsid w:val="00CF6D5F"/>
    <w:rsid w:val="00CF714A"/>
    <w:rsid w:val="00D03EC0"/>
    <w:rsid w:val="00D05B29"/>
    <w:rsid w:val="00D071BF"/>
    <w:rsid w:val="00D133E5"/>
    <w:rsid w:val="00D1394D"/>
    <w:rsid w:val="00D1435B"/>
    <w:rsid w:val="00D16F72"/>
    <w:rsid w:val="00D24769"/>
    <w:rsid w:val="00D24B24"/>
    <w:rsid w:val="00D259A4"/>
    <w:rsid w:val="00D313D5"/>
    <w:rsid w:val="00D32118"/>
    <w:rsid w:val="00D333D2"/>
    <w:rsid w:val="00D341F6"/>
    <w:rsid w:val="00D3491A"/>
    <w:rsid w:val="00D350B1"/>
    <w:rsid w:val="00D405CF"/>
    <w:rsid w:val="00D413EA"/>
    <w:rsid w:val="00D42C7D"/>
    <w:rsid w:val="00D43949"/>
    <w:rsid w:val="00D45C9D"/>
    <w:rsid w:val="00D47740"/>
    <w:rsid w:val="00D50723"/>
    <w:rsid w:val="00D50B4A"/>
    <w:rsid w:val="00D53D8A"/>
    <w:rsid w:val="00D5403E"/>
    <w:rsid w:val="00D57A4E"/>
    <w:rsid w:val="00D57D99"/>
    <w:rsid w:val="00D61985"/>
    <w:rsid w:val="00D6363C"/>
    <w:rsid w:val="00D65D71"/>
    <w:rsid w:val="00D712E9"/>
    <w:rsid w:val="00D77F4E"/>
    <w:rsid w:val="00D812B9"/>
    <w:rsid w:val="00D85372"/>
    <w:rsid w:val="00D85EEB"/>
    <w:rsid w:val="00D903FD"/>
    <w:rsid w:val="00D9048E"/>
    <w:rsid w:val="00D91101"/>
    <w:rsid w:val="00D91E96"/>
    <w:rsid w:val="00D923F5"/>
    <w:rsid w:val="00D94BC5"/>
    <w:rsid w:val="00D96C08"/>
    <w:rsid w:val="00DA1058"/>
    <w:rsid w:val="00DA135F"/>
    <w:rsid w:val="00DA1B6C"/>
    <w:rsid w:val="00DA277F"/>
    <w:rsid w:val="00DA4522"/>
    <w:rsid w:val="00DA457D"/>
    <w:rsid w:val="00DA63CD"/>
    <w:rsid w:val="00DA7C4E"/>
    <w:rsid w:val="00DB0395"/>
    <w:rsid w:val="00DB07E4"/>
    <w:rsid w:val="00DB0894"/>
    <w:rsid w:val="00DB133E"/>
    <w:rsid w:val="00DB3B92"/>
    <w:rsid w:val="00DB63E8"/>
    <w:rsid w:val="00DC013A"/>
    <w:rsid w:val="00DC0B09"/>
    <w:rsid w:val="00DC1B44"/>
    <w:rsid w:val="00DC3052"/>
    <w:rsid w:val="00DC4FF4"/>
    <w:rsid w:val="00DD0F78"/>
    <w:rsid w:val="00DD21DB"/>
    <w:rsid w:val="00DD5B1D"/>
    <w:rsid w:val="00DE09F4"/>
    <w:rsid w:val="00DE1136"/>
    <w:rsid w:val="00DE1866"/>
    <w:rsid w:val="00DE6C77"/>
    <w:rsid w:val="00DE7AA5"/>
    <w:rsid w:val="00DF0853"/>
    <w:rsid w:val="00DF110B"/>
    <w:rsid w:val="00DF25EE"/>
    <w:rsid w:val="00DF46C4"/>
    <w:rsid w:val="00DF4CA3"/>
    <w:rsid w:val="00DF7E93"/>
    <w:rsid w:val="00E02173"/>
    <w:rsid w:val="00E02668"/>
    <w:rsid w:val="00E15AF0"/>
    <w:rsid w:val="00E15E3B"/>
    <w:rsid w:val="00E27B61"/>
    <w:rsid w:val="00E3440B"/>
    <w:rsid w:val="00E3797B"/>
    <w:rsid w:val="00E37E23"/>
    <w:rsid w:val="00E43AF0"/>
    <w:rsid w:val="00E46AEC"/>
    <w:rsid w:val="00E4790F"/>
    <w:rsid w:val="00E51E67"/>
    <w:rsid w:val="00E532E3"/>
    <w:rsid w:val="00E54CA4"/>
    <w:rsid w:val="00E554E4"/>
    <w:rsid w:val="00E55A4E"/>
    <w:rsid w:val="00E56478"/>
    <w:rsid w:val="00E5669B"/>
    <w:rsid w:val="00E61D12"/>
    <w:rsid w:val="00E62057"/>
    <w:rsid w:val="00E64285"/>
    <w:rsid w:val="00E65399"/>
    <w:rsid w:val="00E67018"/>
    <w:rsid w:val="00E670BA"/>
    <w:rsid w:val="00E70A9D"/>
    <w:rsid w:val="00E72E67"/>
    <w:rsid w:val="00E72F2D"/>
    <w:rsid w:val="00E7640F"/>
    <w:rsid w:val="00E7674B"/>
    <w:rsid w:val="00E81057"/>
    <w:rsid w:val="00E81CA8"/>
    <w:rsid w:val="00E8321D"/>
    <w:rsid w:val="00E83E62"/>
    <w:rsid w:val="00E843D4"/>
    <w:rsid w:val="00E86FDD"/>
    <w:rsid w:val="00E90830"/>
    <w:rsid w:val="00E90CC9"/>
    <w:rsid w:val="00E91DEC"/>
    <w:rsid w:val="00E93435"/>
    <w:rsid w:val="00E9376B"/>
    <w:rsid w:val="00E9530C"/>
    <w:rsid w:val="00E95820"/>
    <w:rsid w:val="00E95ECF"/>
    <w:rsid w:val="00EA013D"/>
    <w:rsid w:val="00EA11EA"/>
    <w:rsid w:val="00EA4FAC"/>
    <w:rsid w:val="00EA7633"/>
    <w:rsid w:val="00EB1A6B"/>
    <w:rsid w:val="00EB45FE"/>
    <w:rsid w:val="00EB5768"/>
    <w:rsid w:val="00EC07F7"/>
    <w:rsid w:val="00EC2B94"/>
    <w:rsid w:val="00EC4ADE"/>
    <w:rsid w:val="00EC52DB"/>
    <w:rsid w:val="00EC78E7"/>
    <w:rsid w:val="00ED066E"/>
    <w:rsid w:val="00ED43D2"/>
    <w:rsid w:val="00EE288A"/>
    <w:rsid w:val="00EE3B8C"/>
    <w:rsid w:val="00EE6231"/>
    <w:rsid w:val="00EF284C"/>
    <w:rsid w:val="00EF33AF"/>
    <w:rsid w:val="00EF3DA1"/>
    <w:rsid w:val="00EF4A38"/>
    <w:rsid w:val="00EF550B"/>
    <w:rsid w:val="00EF5845"/>
    <w:rsid w:val="00EF777E"/>
    <w:rsid w:val="00F0141D"/>
    <w:rsid w:val="00F04CF3"/>
    <w:rsid w:val="00F116F4"/>
    <w:rsid w:val="00F11B8F"/>
    <w:rsid w:val="00F14AC7"/>
    <w:rsid w:val="00F3211D"/>
    <w:rsid w:val="00F3280F"/>
    <w:rsid w:val="00F32E7B"/>
    <w:rsid w:val="00F33FDB"/>
    <w:rsid w:val="00F34933"/>
    <w:rsid w:val="00F34F6F"/>
    <w:rsid w:val="00F36EB5"/>
    <w:rsid w:val="00F37145"/>
    <w:rsid w:val="00F373AD"/>
    <w:rsid w:val="00F4359C"/>
    <w:rsid w:val="00F47193"/>
    <w:rsid w:val="00F529F0"/>
    <w:rsid w:val="00F56AB4"/>
    <w:rsid w:val="00F57828"/>
    <w:rsid w:val="00F64883"/>
    <w:rsid w:val="00F670C3"/>
    <w:rsid w:val="00F73393"/>
    <w:rsid w:val="00F73A27"/>
    <w:rsid w:val="00F74011"/>
    <w:rsid w:val="00F7682D"/>
    <w:rsid w:val="00F76AE9"/>
    <w:rsid w:val="00F80CFC"/>
    <w:rsid w:val="00F82BE6"/>
    <w:rsid w:val="00F87329"/>
    <w:rsid w:val="00F87C5C"/>
    <w:rsid w:val="00F91450"/>
    <w:rsid w:val="00F96E7C"/>
    <w:rsid w:val="00F96ECF"/>
    <w:rsid w:val="00FA173B"/>
    <w:rsid w:val="00FA1F4A"/>
    <w:rsid w:val="00FA2524"/>
    <w:rsid w:val="00FA3CA3"/>
    <w:rsid w:val="00FA4F80"/>
    <w:rsid w:val="00FA56BC"/>
    <w:rsid w:val="00FB10CB"/>
    <w:rsid w:val="00FB1EE2"/>
    <w:rsid w:val="00FB2404"/>
    <w:rsid w:val="00FC1EF3"/>
    <w:rsid w:val="00FC4FEE"/>
    <w:rsid w:val="00FC7567"/>
    <w:rsid w:val="00FC7B3B"/>
    <w:rsid w:val="00FD122B"/>
    <w:rsid w:val="00FD1444"/>
    <w:rsid w:val="00FD398F"/>
    <w:rsid w:val="00FD63B0"/>
    <w:rsid w:val="00FD694E"/>
    <w:rsid w:val="00FE0EE8"/>
    <w:rsid w:val="00FE4FB8"/>
    <w:rsid w:val="00FE6AEB"/>
    <w:rsid w:val="00FF01D3"/>
    <w:rsid w:val="00FF3788"/>
    <w:rsid w:val="00FF4635"/>
    <w:rsid w:val="00FF4AA8"/>
    <w:rsid w:val="00FF4F44"/>
    <w:rsid w:val="00FF56A5"/>
    <w:rsid w:val="00FF7AE2"/>
    <w:rsid w:val="00FF7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C0"/>
  </w:style>
  <w:style w:type="paragraph" w:styleId="Heading1">
    <w:name w:val="heading 1"/>
    <w:basedOn w:val="Normal"/>
    <w:next w:val="Normal"/>
    <w:link w:val="Heading1Char"/>
    <w:uiPriority w:val="9"/>
    <w:qFormat/>
    <w:rsid w:val="006B27E8"/>
    <w:pPr>
      <w:spacing w:after="36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5D3726"/>
    <w:pPr>
      <w:outlineLvl w:val="1"/>
    </w:pPr>
    <w:rPr>
      <w:b/>
      <w:i/>
      <w:noProof/>
      <w:sz w:val="28"/>
    </w:rPr>
  </w:style>
  <w:style w:type="paragraph" w:styleId="Heading3">
    <w:name w:val="heading 3"/>
    <w:basedOn w:val="Normal"/>
    <w:next w:val="Normal"/>
    <w:link w:val="Heading3Char"/>
    <w:uiPriority w:val="9"/>
    <w:unhideWhenUsed/>
    <w:qFormat/>
    <w:rsid w:val="002A4338"/>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6B27E8"/>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5D3726"/>
    <w:rPr>
      <w:b/>
      <w:i/>
      <w:noProof/>
      <w:sz w:val="28"/>
    </w:rPr>
  </w:style>
  <w:style w:type="character" w:customStyle="1" w:styleId="Heading3Char">
    <w:name w:val="Heading 3 Char"/>
    <w:basedOn w:val="DefaultParagraphFont"/>
    <w:link w:val="Heading3"/>
    <w:uiPriority w:val="9"/>
    <w:rsid w:val="002A4338"/>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Normal"/>
    <w:next w:val="Normal"/>
    <w:uiPriority w:val="35"/>
    <w:unhideWhenUsed/>
    <w:rsid w:val="00BA55F8"/>
    <w:pPr>
      <w:spacing w:before="200" w:after="0"/>
    </w:pPr>
    <w:rPr>
      <w:rFonts w:ascii="Calibri" w:hAnsi="Calibri"/>
      <w:b/>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styleId="FootnoteText">
    <w:name w:val="footnote text"/>
    <w:basedOn w:val="Normal"/>
    <w:link w:val="FootnoteTextChar"/>
    <w:unhideWhenUsed/>
    <w:rsid w:val="00D91101"/>
    <w:pPr>
      <w:spacing w:after="0" w:line="240" w:lineRule="auto"/>
    </w:pPr>
    <w:rPr>
      <w:sz w:val="20"/>
      <w:szCs w:val="20"/>
    </w:rPr>
  </w:style>
  <w:style w:type="character" w:customStyle="1" w:styleId="FootnoteTextChar">
    <w:name w:val="Footnote Text Char"/>
    <w:basedOn w:val="DefaultParagraphFont"/>
    <w:link w:val="FootnoteText"/>
    <w:rsid w:val="00D91101"/>
    <w:rPr>
      <w:sz w:val="20"/>
      <w:szCs w:val="20"/>
    </w:rPr>
  </w:style>
  <w:style w:type="character" w:styleId="FootnoteReference">
    <w:name w:val="footnote reference"/>
    <w:basedOn w:val="DefaultParagraphFont"/>
    <w:unhideWhenUsed/>
    <w:rsid w:val="00D91101"/>
    <w:rPr>
      <w:vertAlign w:val="superscript"/>
    </w:rPr>
  </w:style>
  <w:style w:type="paragraph" w:customStyle="1" w:styleId="bulletnormal">
    <w:name w:val="bullet normal"/>
    <w:basedOn w:val="Normal"/>
    <w:rsid w:val="00FC4FEE"/>
    <w:pPr>
      <w:numPr>
        <w:numId w:val="26"/>
      </w:numPr>
      <w:spacing w:after="60" w:line="240" w:lineRule="auto"/>
    </w:pPr>
    <w:rPr>
      <w:rFonts w:ascii="Book Antiqua" w:eastAsia="Times New Roman" w:hAnsi="Book Antiqua" w:cs="Times New Roman"/>
      <w:szCs w:val="20"/>
    </w:rPr>
  </w:style>
  <w:style w:type="character" w:styleId="FollowedHyperlink">
    <w:name w:val="FollowedHyperlink"/>
    <w:basedOn w:val="DefaultParagraphFont"/>
    <w:uiPriority w:val="99"/>
    <w:semiHidden/>
    <w:unhideWhenUsed/>
    <w:rsid w:val="00CF14C5"/>
    <w:rPr>
      <w:color w:val="000000" w:themeColor="followedHyperlink"/>
      <w:u w:val="single"/>
    </w:rPr>
  </w:style>
  <w:style w:type="paragraph" w:styleId="EndnoteText">
    <w:name w:val="endnote text"/>
    <w:basedOn w:val="Normal"/>
    <w:link w:val="EndnoteTextChar"/>
    <w:uiPriority w:val="99"/>
    <w:semiHidden/>
    <w:unhideWhenUsed/>
    <w:rsid w:val="00EA4F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FAC"/>
    <w:rPr>
      <w:sz w:val="20"/>
      <w:szCs w:val="20"/>
    </w:rPr>
  </w:style>
  <w:style w:type="character" w:styleId="EndnoteReference">
    <w:name w:val="endnote reference"/>
    <w:basedOn w:val="DefaultParagraphFont"/>
    <w:uiPriority w:val="99"/>
    <w:semiHidden/>
    <w:unhideWhenUsed/>
    <w:rsid w:val="00EA4FAC"/>
    <w:rPr>
      <w:vertAlign w:val="superscript"/>
    </w:rPr>
  </w:style>
  <w:style w:type="paragraph" w:customStyle="1" w:styleId="Text">
    <w:name w:val="Text"/>
    <w:basedOn w:val="Normal"/>
    <w:link w:val="TextChar"/>
    <w:autoRedefine/>
    <w:rsid w:val="003B5A7A"/>
    <w:pPr>
      <w:spacing w:before="60" w:after="60" w:line="240" w:lineRule="auto"/>
    </w:pPr>
    <w:rPr>
      <w:rFonts w:eastAsia="Times New Roman" w:cstheme="minorHAnsi"/>
      <w:kern w:val="28"/>
      <w:szCs w:val="20"/>
    </w:rPr>
  </w:style>
  <w:style w:type="character" w:customStyle="1" w:styleId="TextChar">
    <w:name w:val="Text Char"/>
    <w:basedOn w:val="DefaultParagraphFont"/>
    <w:link w:val="Text"/>
    <w:rsid w:val="003B5A7A"/>
    <w:rPr>
      <w:rFonts w:eastAsia="Times New Roman" w:cstheme="minorHAnsi"/>
      <w:kern w:val="28"/>
      <w:szCs w:val="20"/>
    </w:rPr>
  </w:style>
  <w:style w:type="character" w:styleId="CommentReference">
    <w:name w:val="annotation reference"/>
    <w:basedOn w:val="DefaultParagraphFont"/>
    <w:uiPriority w:val="99"/>
    <w:semiHidden/>
    <w:unhideWhenUsed/>
    <w:rsid w:val="00D923F5"/>
    <w:rPr>
      <w:sz w:val="16"/>
      <w:szCs w:val="16"/>
    </w:rPr>
  </w:style>
  <w:style w:type="paragraph" w:styleId="CommentText">
    <w:name w:val="annotation text"/>
    <w:basedOn w:val="Normal"/>
    <w:link w:val="CommentTextChar"/>
    <w:uiPriority w:val="99"/>
    <w:semiHidden/>
    <w:unhideWhenUsed/>
    <w:rsid w:val="00D923F5"/>
    <w:pPr>
      <w:spacing w:line="240" w:lineRule="auto"/>
    </w:pPr>
    <w:rPr>
      <w:sz w:val="20"/>
      <w:szCs w:val="20"/>
    </w:rPr>
  </w:style>
  <w:style w:type="character" w:customStyle="1" w:styleId="CommentTextChar">
    <w:name w:val="Comment Text Char"/>
    <w:basedOn w:val="DefaultParagraphFont"/>
    <w:link w:val="CommentText"/>
    <w:uiPriority w:val="99"/>
    <w:semiHidden/>
    <w:rsid w:val="00D923F5"/>
    <w:rPr>
      <w:sz w:val="20"/>
      <w:szCs w:val="20"/>
    </w:rPr>
  </w:style>
  <w:style w:type="paragraph" w:styleId="CommentSubject">
    <w:name w:val="annotation subject"/>
    <w:basedOn w:val="CommentText"/>
    <w:next w:val="CommentText"/>
    <w:link w:val="CommentSubjectChar"/>
    <w:uiPriority w:val="99"/>
    <w:semiHidden/>
    <w:unhideWhenUsed/>
    <w:rsid w:val="00D923F5"/>
    <w:rPr>
      <w:b/>
      <w:bCs/>
    </w:rPr>
  </w:style>
  <w:style w:type="character" w:customStyle="1" w:styleId="CommentSubjectChar">
    <w:name w:val="Comment Subject Char"/>
    <w:basedOn w:val="CommentTextChar"/>
    <w:link w:val="CommentSubject"/>
    <w:uiPriority w:val="99"/>
    <w:semiHidden/>
    <w:rsid w:val="00D923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C0"/>
  </w:style>
  <w:style w:type="paragraph" w:styleId="Heading1">
    <w:name w:val="heading 1"/>
    <w:basedOn w:val="Normal"/>
    <w:next w:val="Normal"/>
    <w:link w:val="Heading1Char"/>
    <w:uiPriority w:val="9"/>
    <w:qFormat/>
    <w:rsid w:val="006B27E8"/>
    <w:pPr>
      <w:spacing w:after="36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5D3726"/>
    <w:pPr>
      <w:outlineLvl w:val="1"/>
    </w:pPr>
    <w:rPr>
      <w:b/>
      <w:i/>
      <w:noProof/>
      <w:sz w:val="28"/>
    </w:rPr>
  </w:style>
  <w:style w:type="paragraph" w:styleId="Heading3">
    <w:name w:val="heading 3"/>
    <w:basedOn w:val="Normal"/>
    <w:next w:val="Normal"/>
    <w:link w:val="Heading3Char"/>
    <w:uiPriority w:val="9"/>
    <w:unhideWhenUsed/>
    <w:qFormat/>
    <w:rsid w:val="002A4338"/>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6B27E8"/>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5D3726"/>
    <w:rPr>
      <w:b/>
      <w:i/>
      <w:noProof/>
      <w:sz w:val="28"/>
    </w:rPr>
  </w:style>
  <w:style w:type="character" w:customStyle="1" w:styleId="Heading3Char">
    <w:name w:val="Heading 3 Char"/>
    <w:basedOn w:val="DefaultParagraphFont"/>
    <w:link w:val="Heading3"/>
    <w:uiPriority w:val="9"/>
    <w:rsid w:val="002A4338"/>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Normal"/>
    <w:next w:val="Normal"/>
    <w:uiPriority w:val="35"/>
    <w:unhideWhenUsed/>
    <w:rsid w:val="00BA55F8"/>
    <w:pPr>
      <w:spacing w:before="200" w:after="0"/>
    </w:pPr>
    <w:rPr>
      <w:rFonts w:ascii="Calibri" w:hAnsi="Calibri"/>
      <w:b/>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styleId="FootnoteText">
    <w:name w:val="footnote text"/>
    <w:basedOn w:val="Normal"/>
    <w:link w:val="FootnoteTextChar"/>
    <w:unhideWhenUsed/>
    <w:rsid w:val="00D91101"/>
    <w:pPr>
      <w:spacing w:after="0" w:line="240" w:lineRule="auto"/>
    </w:pPr>
    <w:rPr>
      <w:sz w:val="20"/>
      <w:szCs w:val="20"/>
    </w:rPr>
  </w:style>
  <w:style w:type="character" w:customStyle="1" w:styleId="FootnoteTextChar">
    <w:name w:val="Footnote Text Char"/>
    <w:basedOn w:val="DefaultParagraphFont"/>
    <w:link w:val="FootnoteText"/>
    <w:rsid w:val="00D91101"/>
    <w:rPr>
      <w:sz w:val="20"/>
      <w:szCs w:val="20"/>
    </w:rPr>
  </w:style>
  <w:style w:type="character" w:styleId="FootnoteReference">
    <w:name w:val="footnote reference"/>
    <w:basedOn w:val="DefaultParagraphFont"/>
    <w:unhideWhenUsed/>
    <w:rsid w:val="00D91101"/>
    <w:rPr>
      <w:vertAlign w:val="superscript"/>
    </w:rPr>
  </w:style>
  <w:style w:type="paragraph" w:customStyle="1" w:styleId="bulletnormal">
    <w:name w:val="bullet normal"/>
    <w:basedOn w:val="Normal"/>
    <w:rsid w:val="00FC4FEE"/>
    <w:pPr>
      <w:numPr>
        <w:numId w:val="26"/>
      </w:numPr>
      <w:spacing w:after="60" w:line="240" w:lineRule="auto"/>
    </w:pPr>
    <w:rPr>
      <w:rFonts w:ascii="Book Antiqua" w:eastAsia="Times New Roman" w:hAnsi="Book Antiqua" w:cs="Times New Roman"/>
      <w:szCs w:val="20"/>
    </w:rPr>
  </w:style>
  <w:style w:type="character" w:styleId="FollowedHyperlink">
    <w:name w:val="FollowedHyperlink"/>
    <w:basedOn w:val="DefaultParagraphFont"/>
    <w:uiPriority w:val="99"/>
    <w:semiHidden/>
    <w:unhideWhenUsed/>
    <w:rsid w:val="00CF14C5"/>
    <w:rPr>
      <w:color w:val="000000" w:themeColor="followedHyperlink"/>
      <w:u w:val="single"/>
    </w:rPr>
  </w:style>
  <w:style w:type="paragraph" w:styleId="EndnoteText">
    <w:name w:val="endnote text"/>
    <w:basedOn w:val="Normal"/>
    <w:link w:val="EndnoteTextChar"/>
    <w:uiPriority w:val="99"/>
    <w:semiHidden/>
    <w:unhideWhenUsed/>
    <w:rsid w:val="00EA4F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FAC"/>
    <w:rPr>
      <w:sz w:val="20"/>
      <w:szCs w:val="20"/>
    </w:rPr>
  </w:style>
  <w:style w:type="character" w:styleId="EndnoteReference">
    <w:name w:val="endnote reference"/>
    <w:basedOn w:val="DefaultParagraphFont"/>
    <w:uiPriority w:val="99"/>
    <w:semiHidden/>
    <w:unhideWhenUsed/>
    <w:rsid w:val="00EA4FAC"/>
    <w:rPr>
      <w:vertAlign w:val="superscript"/>
    </w:rPr>
  </w:style>
  <w:style w:type="paragraph" w:customStyle="1" w:styleId="Text">
    <w:name w:val="Text"/>
    <w:basedOn w:val="Normal"/>
    <w:link w:val="TextChar"/>
    <w:autoRedefine/>
    <w:rsid w:val="003B5A7A"/>
    <w:pPr>
      <w:spacing w:before="60" w:after="60" w:line="240" w:lineRule="auto"/>
    </w:pPr>
    <w:rPr>
      <w:rFonts w:eastAsia="Times New Roman" w:cstheme="minorHAnsi"/>
      <w:kern w:val="28"/>
      <w:szCs w:val="20"/>
    </w:rPr>
  </w:style>
  <w:style w:type="character" w:customStyle="1" w:styleId="TextChar">
    <w:name w:val="Text Char"/>
    <w:basedOn w:val="DefaultParagraphFont"/>
    <w:link w:val="Text"/>
    <w:rsid w:val="003B5A7A"/>
    <w:rPr>
      <w:rFonts w:eastAsia="Times New Roman" w:cstheme="minorHAnsi"/>
      <w:kern w:val="28"/>
      <w:szCs w:val="20"/>
    </w:rPr>
  </w:style>
  <w:style w:type="character" w:styleId="CommentReference">
    <w:name w:val="annotation reference"/>
    <w:basedOn w:val="DefaultParagraphFont"/>
    <w:uiPriority w:val="99"/>
    <w:semiHidden/>
    <w:unhideWhenUsed/>
    <w:rsid w:val="00D923F5"/>
    <w:rPr>
      <w:sz w:val="16"/>
      <w:szCs w:val="16"/>
    </w:rPr>
  </w:style>
  <w:style w:type="paragraph" w:styleId="CommentText">
    <w:name w:val="annotation text"/>
    <w:basedOn w:val="Normal"/>
    <w:link w:val="CommentTextChar"/>
    <w:uiPriority w:val="99"/>
    <w:semiHidden/>
    <w:unhideWhenUsed/>
    <w:rsid w:val="00D923F5"/>
    <w:pPr>
      <w:spacing w:line="240" w:lineRule="auto"/>
    </w:pPr>
    <w:rPr>
      <w:sz w:val="20"/>
      <w:szCs w:val="20"/>
    </w:rPr>
  </w:style>
  <w:style w:type="character" w:customStyle="1" w:styleId="CommentTextChar">
    <w:name w:val="Comment Text Char"/>
    <w:basedOn w:val="DefaultParagraphFont"/>
    <w:link w:val="CommentText"/>
    <w:uiPriority w:val="99"/>
    <w:semiHidden/>
    <w:rsid w:val="00D923F5"/>
    <w:rPr>
      <w:sz w:val="20"/>
      <w:szCs w:val="20"/>
    </w:rPr>
  </w:style>
  <w:style w:type="paragraph" w:styleId="CommentSubject">
    <w:name w:val="annotation subject"/>
    <w:basedOn w:val="CommentText"/>
    <w:next w:val="CommentText"/>
    <w:link w:val="CommentSubjectChar"/>
    <w:uiPriority w:val="99"/>
    <w:semiHidden/>
    <w:unhideWhenUsed/>
    <w:rsid w:val="00D923F5"/>
    <w:rPr>
      <w:b/>
      <w:bCs/>
    </w:rPr>
  </w:style>
  <w:style w:type="character" w:customStyle="1" w:styleId="CommentSubjectChar">
    <w:name w:val="Comment Subject Char"/>
    <w:basedOn w:val="CommentTextChar"/>
    <w:link w:val="CommentSubject"/>
    <w:uiPriority w:val="99"/>
    <w:semiHidden/>
    <w:rsid w:val="00D923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6209">
      <w:bodyDiv w:val="1"/>
      <w:marLeft w:val="0"/>
      <w:marRight w:val="0"/>
      <w:marTop w:val="0"/>
      <w:marBottom w:val="0"/>
      <w:divBdr>
        <w:top w:val="none" w:sz="0" w:space="0" w:color="auto"/>
        <w:left w:val="none" w:sz="0" w:space="0" w:color="auto"/>
        <w:bottom w:val="none" w:sz="0" w:space="0" w:color="auto"/>
        <w:right w:val="none" w:sz="0" w:space="0" w:color="auto"/>
      </w:divBdr>
    </w:div>
    <w:div w:id="48892762">
      <w:bodyDiv w:val="1"/>
      <w:marLeft w:val="0"/>
      <w:marRight w:val="0"/>
      <w:marTop w:val="0"/>
      <w:marBottom w:val="0"/>
      <w:divBdr>
        <w:top w:val="none" w:sz="0" w:space="0" w:color="auto"/>
        <w:left w:val="none" w:sz="0" w:space="0" w:color="auto"/>
        <w:bottom w:val="none" w:sz="0" w:space="0" w:color="auto"/>
        <w:right w:val="none" w:sz="0" w:space="0" w:color="auto"/>
      </w:divBdr>
    </w:div>
    <w:div w:id="73625460">
      <w:bodyDiv w:val="1"/>
      <w:marLeft w:val="0"/>
      <w:marRight w:val="0"/>
      <w:marTop w:val="0"/>
      <w:marBottom w:val="0"/>
      <w:divBdr>
        <w:top w:val="none" w:sz="0" w:space="0" w:color="auto"/>
        <w:left w:val="none" w:sz="0" w:space="0" w:color="auto"/>
        <w:bottom w:val="none" w:sz="0" w:space="0" w:color="auto"/>
        <w:right w:val="none" w:sz="0" w:space="0" w:color="auto"/>
      </w:divBdr>
    </w:div>
    <w:div w:id="96489498">
      <w:bodyDiv w:val="1"/>
      <w:marLeft w:val="0"/>
      <w:marRight w:val="0"/>
      <w:marTop w:val="0"/>
      <w:marBottom w:val="0"/>
      <w:divBdr>
        <w:top w:val="none" w:sz="0" w:space="0" w:color="auto"/>
        <w:left w:val="none" w:sz="0" w:space="0" w:color="auto"/>
        <w:bottom w:val="none" w:sz="0" w:space="0" w:color="auto"/>
        <w:right w:val="none" w:sz="0" w:space="0" w:color="auto"/>
      </w:divBdr>
    </w:div>
    <w:div w:id="125978806">
      <w:bodyDiv w:val="1"/>
      <w:marLeft w:val="0"/>
      <w:marRight w:val="0"/>
      <w:marTop w:val="0"/>
      <w:marBottom w:val="0"/>
      <w:divBdr>
        <w:top w:val="none" w:sz="0" w:space="0" w:color="auto"/>
        <w:left w:val="none" w:sz="0" w:space="0" w:color="auto"/>
        <w:bottom w:val="none" w:sz="0" w:space="0" w:color="auto"/>
        <w:right w:val="none" w:sz="0" w:space="0" w:color="auto"/>
      </w:divBdr>
    </w:div>
    <w:div w:id="147747410">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89412933">
      <w:bodyDiv w:val="1"/>
      <w:marLeft w:val="0"/>
      <w:marRight w:val="0"/>
      <w:marTop w:val="0"/>
      <w:marBottom w:val="0"/>
      <w:divBdr>
        <w:top w:val="none" w:sz="0" w:space="0" w:color="auto"/>
        <w:left w:val="none" w:sz="0" w:space="0" w:color="auto"/>
        <w:bottom w:val="none" w:sz="0" w:space="0" w:color="auto"/>
        <w:right w:val="none" w:sz="0" w:space="0" w:color="auto"/>
      </w:divBdr>
    </w:div>
    <w:div w:id="199126356">
      <w:bodyDiv w:val="1"/>
      <w:marLeft w:val="0"/>
      <w:marRight w:val="0"/>
      <w:marTop w:val="0"/>
      <w:marBottom w:val="0"/>
      <w:divBdr>
        <w:top w:val="none" w:sz="0" w:space="0" w:color="auto"/>
        <w:left w:val="none" w:sz="0" w:space="0" w:color="auto"/>
        <w:bottom w:val="none" w:sz="0" w:space="0" w:color="auto"/>
        <w:right w:val="none" w:sz="0" w:space="0" w:color="auto"/>
      </w:divBdr>
    </w:div>
    <w:div w:id="213155418">
      <w:bodyDiv w:val="1"/>
      <w:marLeft w:val="0"/>
      <w:marRight w:val="0"/>
      <w:marTop w:val="0"/>
      <w:marBottom w:val="0"/>
      <w:divBdr>
        <w:top w:val="none" w:sz="0" w:space="0" w:color="auto"/>
        <w:left w:val="none" w:sz="0" w:space="0" w:color="auto"/>
        <w:bottom w:val="none" w:sz="0" w:space="0" w:color="auto"/>
        <w:right w:val="none" w:sz="0" w:space="0" w:color="auto"/>
      </w:divBdr>
    </w:div>
    <w:div w:id="230583790">
      <w:bodyDiv w:val="1"/>
      <w:marLeft w:val="0"/>
      <w:marRight w:val="0"/>
      <w:marTop w:val="0"/>
      <w:marBottom w:val="0"/>
      <w:divBdr>
        <w:top w:val="none" w:sz="0" w:space="0" w:color="auto"/>
        <w:left w:val="none" w:sz="0" w:space="0" w:color="auto"/>
        <w:bottom w:val="none" w:sz="0" w:space="0" w:color="auto"/>
        <w:right w:val="none" w:sz="0" w:space="0" w:color="auto"/>
      </w:divBdr>
    </w:div>
    <w:div w:id="233783733">
      <w:bodyDiv w:val="1"/>
      <w:marLeft w:val="0"/>
      <w:marRight w:val="0"/>
      <w:marTop w:val="0"/>
      <w:marBottom w:val="0"/>
      <w:divBdr>
        <w:top w:val="none" w:sz="0" w:space="0" w:color="auto"/>
        <w:left w:val="none" w:sz="0" w:space="0" w:color="auto"/>
        <w:bottom w:val="none" w:sz="0" w:space="0" w:color="auto"/>
        <w:right w:val="none" w:sz="0" w:space="0" w:color="auto"/>
      </w:divBdr>
    </w:div>
    <w:div w:id="269702631">
      <w:bodyDiv w:val="1"/>
      <w:marLeft w:val="0"/>
      <w:marRight w:val="0"/>
      <w:marTop w:val="0"/>
      <w:marBottom w:val="0"/>
      <w:divBdr>
        <w:top w:val="none" w:sz="0" w:space="0" w:color="auto"/>
        <w:left w:val="none" w:sz="0" w:space="0" w:color="auto"/>
        <w:bottom w:val="none" w:sz="0" w:space="0" w:color="auto"/>
        <w:right w:val="none" w:sz="0" w:space="0" w:color="auto"/>
      </w:divBdr>
    </w:div>
    <w:div w:id="276253609">
      <w:bodyDiv w:val="1"/>
      <w:marLeft w:val="0"/>
      <w:marRight w:val="0"/>
      <w:marTop w:val="0"/>
      <w:marBottom w:val="0"/>
      <w:divBdr>
        <w:top w:val="none" w:sz="0" w:space="0" w:color="auto"/>
        <w:left w:val="none" w:sz="0" w:space="0" w:color="auto"/>
        <w:bottom w:val="none" w:sz="0" w:space="0" w:color="auto"/>
        <w:right w:val="none" w:sz="0" w:space="0" w:color="auto"/>
      </w:divBdr>
    </w:div>
    <w:div w:id="287590957">
      <w:bodyDiv w:val="1"/>
      <w:marLeft w:val="0"/>
      <w:marRight w:val="0"/>
      <w:marTop w:val="0"/>
      <w:marBottom w:val="0"/>
      <w:divBdr>
        <w:top w:val="none" w:sz="0" w:space="0" w:color="auto"/>
        <w:left w:val="none" w:sz="0" w:space="0" w:color="auto"/>
        <w:bottom w:val="none" w:sz="0" w:space="0" w:color="auto"/>
        <w:right w:val="none" w:sz="0" w:space="0" w:color="auto"/>
      </w:divBdr>
    </w:div>
    <w:div w:id="293145618">
      <w:bodyDiv w:val="1"/>
      <w:marLeft w:val="0"/>
      <w:marRight w:val="0"/>
      <w:marTop w:val="0"/>
      <w:marBottom w:val="0"/>
      <w:divBdr>
        <w:top w:val="none" w:sz="0" w:space="0" w:color="auto"/>
        <w:left w:val="none" w:sz="0" w:space="0" w:color="auto"/>
        <w:bottom w:val="none" w:sz="0" w:space="0" w:color="auto"/>
        <w:right w:val="none" w:sz="0" w:space="0" w:color="auto"/>
      </w:divBdr>
    </w:div>
    <w:div w:id="316766083">
      <w:bodyDiv w:val="1"/>
      <w:marLeft w:val="0"/>
      <w:marRight w:val="0"/>
      <w:marTop w:val="0"/>
      <w:marBottom w:val="0"/>
      <w:divBdr>
        <w:top w:val="none" w:sz="0" w:space="0" w:color="auto"/>
        <w:left w:val="none" w:sz="0" w:space="0" w:color="auto"/>
        <w:bottom w:val="none" w:sz="0" w:space="0" w:color="auto"/>
        <w:right w:val="none" w:sz="0" w:space="0" w:color="auto"/>
      </w:divBdr>
    </w:div>
    <w:div w:id="338848780">
      <w:bodyDiv w:val="1"/>
      <w:marLeft w:val="0"/>
      <w:marRight w:val="0"/>
      <w:marTop w:val="0"/>
      <w:marBottom w:val="0"/>
      <w:divBdr>
        <w:top w:val="none" w:sz="0" w:space="0" w:color="auto"/>
        <w:left w:val="none" w:sz="0" w:space="0" w:color="auto"/>
        <w:bottom w:val="none" w:sz="0" w:space="0" w:color="auto"/>
        <w:right w:val="none" w:sz="0" w:space="0" w:color="auto"/>
      </w:divBdr>
    </w:div>
    <w:div w:id="405104291">
      <w:bodyDiv w:val="1"/>
      <w:marLeft w:val="0"/>
      <w:marRight w:val="0"/>
      <w:marTop w:val="0"/>
      <w:marBottom w:val="0"/>
      <w:divBdr>
        <w:top w:val="none" w:sz="0" w:space="0" w:color="auto"/>
        <w:left w:val="none" w:sz="0" w:space="0" w:color="auto"/>
        <w:bottom w:val="none" w:sz="0" w:space="0" w:color="auto"/>
        <w:right w:val="none" w:sz="0" w:space="0" w:color="auto"/>
      </w:divBdr>
    </w:div>
    <w:div w:id="411897939">
      <w:bodyDiv w:val="1"/>
      <w:marLeft w:val="0"/>
      <w:marRight w:val="0"/>
      <w:marTop w:val="0"/>
      <w:marBottom w:val="0"/>
      <w:divBdr>
        <w:top w:val="none" w:sz="0" w:space="0" w:color="auto"/>
        <w:left w:val="none" w:sz="0" w:space="0" w:color="auto"/>
        <w:bottom w:val="none" w:sz="0" w:space="0" w:color="auto"/>
        <w:right w:val="none" w:sz="0" w:space="0" w:color="auto"/>
      </w:divBdr>
    </w:div>
    <w:div w:id="412165839">
      <w:bodyDiv w:val="1"/>
      <w:marLeft w:val="0"/>
      <w:marRight w:val="0"/>
      <w:marTop w:val="0"/>
      <w:marBottom w:val="0"/>
      <w:divBdr>
        <w:top w:val="none" w:sz="0" w:space="0" w:color="auto"/>
        <w:left w:val="none" w:sz="0" w:space="0" w:color="auto"/>
        <w:bottom w:val="none" w:sz="0" w:space="0" w:color="auto"/>
        <w:right w:val="none" w:sz="0" w:space="0" w:color="auto"/>
      </w:divBdr>
    </w:div>
    <w:div w:id="430203220">
      <w:bodyDiv w:val="1"/>
      <w:marLeft w:val="0"/>
      <w:marRight w:val="0"/>
      <w:marTop w:val="0"/>
      <w:marBottom w:val="0"/>
      <w:divBdr>
        <w:top w:val="none" w:sz="0" w:space="0" w:color="auto"/>
        <w:left w:val="none" w:sz="0" w:space="0" w:color="auto"/>
        <w:bottom w:val="none" w:sz="0" w:space="0" w:color="auto"/>
        <w:right w:val="none" w:sz="0" w:space="0" w:color="auto"/>
      </w:divBdr>
    </w:div>
    <w:div w:id="448595144">
      <w:bodyDiv w:val="1"/>
      <w:marLeft w:val="0"/>
      <w:marRight w:val="0"/>
      <w:marTop w:val="0"/>
      <w:marBottom w:val="0"/>
      <w:divBdr>
        <w:top w:val="none" w:sz="0" w:space="0" w:color="auto"/>
        <w:left w:val="none" w:sz="0" w:space="0" w:color="auto"/>
        <w:bottom w:val="none" w:sz="0" w:space="0" w:color="auto"/>
        <w:right w:val="none" w:sz="0" w:space="0" w:color="auto"/>
      </w:divBdr>
    </w:div>
    <w:div w:id="454181406">
      <w:bodyDiv w:val="1"/>
      <w:marLeft w:val="0"/>
      <w:marRight w:val="0"/>
      <w:marTop w:val="0"/>
      <w:marBottom w:val="0"/>
      <w:divBdr>
        <w:top w:val="none" w:sz="0" w:space="0" w:color="auto"/>
        <w:left w:val="none" w:sz="0" w:space="0" w:color="auto"/>
        <w:bottom w:val="none" w:sz="0" w:space="0" w:color="auto"/>
        <w:right w:val="none" w:sz="0" w:space="0" w:color="auto"/>
      </w:divBdr>
    </w:div>
    <w:div w:id="482813717">
      <w:bodyDiv w:val="1"/>
      <w:marLeft w:val="0"/>
      <w:marRight w:val="0"/>
      <w:marTop w:val="0"/>
      <w:marBottom w:val="0"/>
      <w:divBdr>
        <w:top w:val="none" w:sz="0" w:space="0" w:color="auto"/>
        <w:left w:val="none" w:sz="0" w:space="0" w:color="auto"/>
        <w:bottom w:val="none" w:sz="0" w:space="0" w:color="auto"/>
        <w:right w:val="none" w:sz="0" w:space="0" w:color="auto"/>
      </w:divBdr>
    </w:div>
    <w:div w:id="496725239">
      <w:bodyDiv w:val="1"/>
      <w:marLeft w:val="0"/>
      <w:marRight w:val="0"/>
      <w:marTop w:val="0"/>
      <w:marBottom w:val="0"/>
      <w:divBdr>
        <w:top w:val="none" w:sz="0" w:space="0" w:color="auto"/>
        <w:left w:val="none" w:sz="0" w:space="0" w:color="auto"/>
        <w:bottom w:val="none" w:sz="0" w:space="0" w:color="auto"/>
        <w:right w:val="none" w:sz="0" w:space="0" w:color="auto"/>
      </w:divBdr>
    </w:div>
    <w:div w:id="497312843">
      <w:bodyDiv w:val="1"/>
      <w:marLeft w:val="0"/>
      <w:marRight w:val="0"/>
      <w:marTop w:val="0"/>
      <w:marBottom w:val="0"/>
      <w:divBdr>
        <w:top w:val="none" w:sz="0" w:space="0" w:color="auto"/>
        <w:left w:val="none" w:sz="0" w:space="0" w:color="auto"/>
        <w:bottom w:val="none" w:sz="0" w:space="0" w:color="auto"/>
        <w:right w:val="none" w:sz="0" w:space="0" w:color="auto"/>
      </w:divBdr>
    </w:div>
    <w:div w:id="499853486">
      <w:bodyDiv w:val="1"/>
      <w:marLeft w:val="0"/>
      <w:marRight w:val="0"/>
      <w:marTop w:val="0"/>
      <w:marBottom w:val="0"/>
      <w:divBdr>
        <w:top w:val="none" w:sz="0" w:space="0" w:color="auto"/>
        <w:left w:val="none" w:sz="0" w:space="0" w:color="auto"/>
        <w:bottom w:val="none" w:sz="0" w:space="0" w:color="auto"/>
        <w:right w:val="none" w:sz="0" w:space="0" w:color="auto"/>
      </w:divBdr>
    </w:div>
    <w:div w:id="513958715">
      <w:bodyDiv w:val="1"/>
      <w:marLeft w:val="0"/>
      <w:marRight w:val="0"/>
      <w:marTop w:val="0"/>
      <w:marBottom w:val="0"/>
      <w:divBdr>
        <w:top w:val="none" w:sz="0" w:space="0" w:color="auto"/>
        <w:left w:val="none" w:sz="0" w:space="0" w:color="auto"/>
        <w:bottom w:val="none" w:sz="0" w:space="0" w:color="auto"/>
        <w:right w:val="none" w:sz="0" w:space="0" w:color="auto"/>
      </w:divBdr>
    </w:div>
    <w:div w:id="549532507">
      <w:bodyDiv w:val="1"/>
      <w:marLeft w:val="0"/>
      <w:marRight w:val="0"/>
      <w:marTop w:val="0"/>
      <w:marBottom w:val="0"/>
      <w:divBdr>
        <w:top w:val="none" w:sz="0" w:space="0" w:color="auto"/>
        <w:left w:val="none" w:sz="0" w:space="0" w:color="auto"/>
        <w:bottom w:val="none" w:sz="0" w:space="0" w:color="auto"/>
        <w:right w:val="none" w:sz="0" w:space="0" w:color="auto"/>
      </w:divBdr>
    </w:div>
    <w:div w:id="567958224">
      <w:bodyDiv w:val="1"/>
      <w:marLeft w:val="0"/>
      <w:marRight w:val="0"/>
      <w:marTop w:val="0"/>
      <w:marBottom w:val="0"/>
      <w:divBdr>
        <w:top w:val="none" w:sz="0" w:space="0" w:color="auto"/>
        <w:left w:val="none" w:sz="0" w:space="0" w:color="auto"/>
        <w:bottom w:val="none" w:sz="0" w:space="0" w:color="auto"/>
        <w:right w:val="none" w:sz="0" w:space="0" w:color="auto"/>
      </w:divBdr>
    </w:div>
    <w:div w:id="577180644">
      <w:bodyDiv w:val="1"/>
      <w:marLeft w:val="0"/>
      <w:marRight w:val="0"/>
      <w:marTop w:val="0"/>
      <w:marBottom w:val="0"/>
      <w:divBdr>
        <w:top w:val="none" w:sz="0" w:space="0" w:color="auto"/>
        <w:left w:val="none" w:sz="0" w:space="0" w:color="auto"/>
        <w:bottom w:val="none" w:sz="0" w:space="0" w:color="auto"/>
        <w:right w:val="none" w:sz="0" w:space="0" w:color="auto"/>
      </w:divBdr>
    </w:div>
    <w:div w:id="582572068">
      <w:bodyDiv w:val="1"/>
      <w:marLeft w:val="0"/>
      <w:marRight w:val="0"/>
      <w:marTop w:val="0"/>
      <w:marBottom w:val="0"/>
      <w:divBdr>
        <w:top w:val="none" w:sz="0" w:space="0" w:color="auto"/>
        <w:left w:val="none" w:sz="0" w:space="0" w:color="auto"/>
        <w:bottom w:val="none" w:sz="0" w:space="0" w:color="auto"/>
        <w:right w:val="none" w:sz="0" w:space="0" w:color="auto"/>
      </w:divBdr>
    </w:div>
    <w:div w:id="588276074">
      <w:bodyDiv w:val="1"/>
      <w:marLeft w:val="0"/>
      <w:marRight w:val="0"/>
      <w:marTop w:val="0"/>
      <w:marBottom w:val="0"/>
      <w:divBdr>
        <w:top w:val="none" w:sz="0" w:space="0" w:color="auto"/>
        <w:left w:val="none" w:sz="0" w:space="0" w:color="auto"/>
        <w:bottom w:val="none" w:sz="0" w:space="0" w:color="auto"/>
        <w:right w:val="none" w:sz="0" w:space="0" w:color="auto"/>
      </w:divBdr>
    </w:div>
    <w:div w:id="591740970">
      <w:bodyDiv w:val="1"/>
      <w:marLeft w:val="0"/>
      <w:marRight w:val="0"/>
      <w:marTop w:val="0"/>
      <w:marBottom w:val="0"/>
      <w:divBdr>
        <w:top w:val="none" w:sz="0" w:space="0" w:color="auto"/>
        <w:left w:val="none" w:sz="0" w:space="0" w:color="auto"/>
        <w:bottom w:val="none" w:sz="0" w:space="0" w:color="auto"/>
        <w:right w:val="none" w:sz="0" w:space="0" w:color="auto"/>
      </w:divBdr>
    </w:div>
    <w:div w:id="606739054">
      <w:bodyDiv w:val="1"/>
      <w:marLeft w:val="0"/>
      <w:marRight w:val="0"/>
      <w:marTop w:val="0"/>
      <w:marBottom w:val="0"/>
      <w:divBdr>
        <w:top w:val="none" w:sz="0" w:space="0" w:color="auto"/>
        <w:left w:val="none" w:sz="0" w:space="0" w:color="auto"/>
        <w:bottom w:val="none" w:sz="0" w:space="0" w:color="auto"/>
        <w:right w:val="none" w:sz="0" w:space="0" w:color="auto"/>
      </w:divBdr>
    </w:div>
    <w:div w:id="608391635">
      <w:bodyDiv w:val="1"/>
      <w:marLeft w:val="0"/>
      <w:marRight w:val="0"/>
      <w:marTop w:val="0"/>
      <w:marBottom w:val="0"/>
      <w:divBdr>
        <w:top w:val="none" w:sz="0" w:space="0" w:color="auto"/>
        <w:left w:val="none" w:sz="0" w:space="0" w:color="auto"/>
        <w:bottom w:val="none" w:sz="0" w:space="0" w:color="auto"/>
        <w:right w:val="none" w:sz="0" w:space="0" w:color="auto"/>
      </w:divBdr>
    </w:div>
    <w:div w:id="670060814">
      <w:bodyDiv w:val="1"/>
      <w:marLeft w:val="0"/>
      <w:marRight w:val="0"/>
      <w:marTop w:val="0"/>
      <w:marBottom w:val="0"/>
      <w:divBdr>
        <w:top w:val="none" w:sz="0" w:space="0" w:color="auto"/>
        <w:left w:val="none" w:sz="0" w:space="0" w:color="auto"/>
        <w:bottom w:val="none" w:sz="0" w:space="0" w:color="auto"/>
        <w:right w:val="none" w:sz="0" w:space="0" w:color="auto"/>
      </w:divBdr>
    </w:div>
    <w:div w:id="672536718">
      <w:bodyDiv w:val="1"/>
      <w:marLeft w:val="0"/>
      <w:marRight w:val="0"/>
      <w:marTop w:val="0"/>
      <w:marBottom w:val="0"/>
      <w:divBdr>
        <w:top w:val="none" w:sz="0" w:space="0" w:color="auto"/>
        <w:left w:val="none" w:sz="0" w:space="0" w:color="auto"/>
        <w:bottom w:val="none" w:sz="0" w:space="0" w:color="auto"/>
        <w:right w:val="none" w:sz="0" w:space="0" w:color="auto"/>
      </w:divBdr>
    </w:div>
    <w:div w:id="681509970">
      <w:bodyDiv w:val="1"/>
      <w:marLeft w:val="0"/>
      <w:marRight w:val="0"/>
      <w:marTop w:val="0"/>
      <w:marBottom w:val="0"/>
      <w:divBdr>
        <w:top w:val="none" w:sz="0" w:space="0" w:color="auto"/>
        <w:left w:val="none" w:sz="0" w:space="0" w:color="auto"/>
        <w:bottom w:val="none" w:sz="0" w:space="0" w:color="auto"/>
        <w:right w:val="none" w:sz="0" w:space="0" w:color="auto"/>
      </w:divBdr>
    </w:div>
    <w:div w:id="772630715">
      <w:bodyDiv w:val="1"/>
      <w:marLeft w:val="0"/>
      <w:marRight w:val="0"/>
      <w:marTop w:val="0"/>
      <w:marBottom w:val="0"/>
      <w:divBdr>
        <w:top w:val="none" w:sz="0" w:space="0" w:color="auto"/>
        <w:left w:val="none" w:sz="0" w:space="0" w:color="auto"/>
        <w:bottom w:val="none" w:sz="0" w:space="0" w:color="auto"/>
        <w:right w:val="none" w:sz="0" w:space="0" w:color="auto"/>
      </w:divBdr>
    </w:div>
    <w:div w:id="882791777">
      <w:bodyDiv w:val="1"/>
      <w:marLeft w:val="0"/>
      <w:marRight w:val="0"/>
      <w:marTop w:val="0"/>
      <w:marBottom w:val="0"/>
      <w:divBdr>
        <w:top w:val="none" w:sz="0" w:space="0" w:color="auto"/>
        <w:left w:val="none" w:sz="0" w:space="0" w:color="auto"/>
        <w:bottom w:val="none" w:sz="0" w:space="0" w:color="auto"/>
        <w:right w:val="none" w:sz="0" w:space="0" w:color="auto"/>
      </w:divBdr>
    </w:div>
    <w:div w:id="908660504">
      <w:bodyDiv w:val="1"/>
      <w:marLeft w:val="0"/>
      <w:marRight w:val="0"/>
      <w:marTop w:val="0"/>
      <w:marBottom w:val="0"/>
      <w:divBdr>
        <w:top w:val="none" w:sz="0" w:space="0" w:color="auto"/>
        <w:left w:val="none" w:sz="0" w:space="0" w:color="auto"/>
        <w:bottom w:val="none" w:sz="0" w:space="0" w:color="auto"/>
        <w:right w:val="none" w:sz="0" w:space="0" w:color="auto"/>
      </w:divBdr>
    </w:div>
    <w:div w:id="963541450">
      <w:bodyDiv w:val="1"/>
      <w:marLeft w:val="0"/>
      <w:marRight w:val="0"/>
      <w:marTop w:val="0"/>
      <w:marBottom w:val="0"/>
      <w:divBdr>
        <w:top w:val="none" w:sz="0" w:space="0" w:color="auto"/>
        <w:left w:val="none" w:sz="0" w:space="0" w:color="auto"/>
        <w:bottom w:val="none" w:sz="0" w:space="0" w:color="auto"/>
        <w:right w:val="none" w:sz="0" w:space="0" w:color="auto"/>
      </w:divBdr>
    </w:div>
    <w:div w:id="994604168">
      <w:bodyDiv w:val="1"/>
      <w:marLeft w:val="0"/>
      <w:marRight w:val="0"/>
      <w:marTop w:val="0"/>
      <w:marBottom w:val="0"/>
      <w:divBdr>
        <w:top w:val="none" w:sz="0" w:space="0" w:color="auto"/>
        <w:left w:val="none" w:sz="0" w:space="0" w:color="auto"/>
        <w:bottom w:val="none" w:sz="0" w:space="0" w:color="auto"/>
        <w:right w:val="none" w:sz="0" w:space="0" w:color="auto"/>
      </w:divBdr>
    </w:div>
    <w:div w:id="995768751">
      <w:bodyDiv w:val="1"/>
      <w:marLeft w:val="0"/>
      <w:marRight w:val="0"/>
      <w:marTop w:val="0"/>
      <w:marBottom w:val="0"/>
      <w:divBdr>
        <w:top w:val="none" w:sz="0" w:space="0" w:color="auto"/>
        <w:left w:val="none" w:sz="0" w:space="0" w:color="auto"/>
        <w:bottom w:val="none" w:sz="0" w:space="0" w:color="auto"/>
        <w:right w:val="none" w:sz="0" w:space="0" w:color="auto"/>
      </w:divBdr>
    </w:div>
    <w:div w:id="1009674392">
      <w:bodyDiv w:val="1"/>
      <w:marLeft w:val="0"/>
      <w:marRight w:val="0"/>
      <w:marTop w:val="0"/>
      <w:marBottom w:val="0"/>
      <w:divBdr>
        <w:top w:val="none" w:sz="0" w:space="0" w:color="auto"/>
        <w:left w:val="none" w:sz="0" w:space="0" w:color="auto"/>
        <w:bottom w:val="none" w:sz="0" w:space="0" w:color="auto"/>
        <w:right w:val="none" w:sz="0" w:space="0" w:color="auto"/>
      </w:divBdr>
    </w:div>
    <w:div w:id="1072505926">
      <w:bodyDiv w:val="1"/>
      <w:marLeft w:val="0"/>
      <w:marRight w:val="0"/>
      <w:marTop w:val="0"/>
      <w:marBottom w:val="0"/>
      <w:divBdr>
        <w:top w:val="none" w:sz="0" w:space="0" w:color="auto"/>
        <w:left w:val="none" w:sz="0" w:space="0" w:color="auto"/>
        <w:bottom w:val="none" w:sz="0" w:space="0" w:color="auto"/>
        <w:right w:val="none" w:sz="0" w:space="0" w:color="auto"/>
      </w:divBdr>
    </w:div>
    <w:div w:id="1096755030">
      <w:bodyDiv w:val="1"/>
      <w:marLeft w:val="0"/>
      <w:marRight w:val="0"/>
      <w:marTop w:val="0"/>
      <w:marBottom w:val="0"/>
      <w:divBdr>
        <w:top w:val="none" w:sz="0" w:space="0" w:color="auto"/>
        <w:left w:val="none" w:sz="0" w:space="0" w:color="auto"/>
        <w:bottom w:val="none" w:sz="0" w:space="0" w:color="auto"/>
        <w:right w:val="none" w:sz="0" w:space="0" w:color="auto"/>
      </w:divBdr>
    </w:div>
    <w:div w:id="1129935762">
      <w:bodyDiv w:val="1"/>
      <w:marLeft w:val="0"/>
      <w:marRight w:val="0"/>
      <w:marTop w:val="0"/>
      <w:marBottom w:val="0"/>
      <w:divBdr>
        <w:top w:val="none" w:sz="0" w:space="0" w:color="auto"/>
        <w:left w:val="none" w:sz="0" w:space="0" w:color="auto"/>
        <w:bottom w:val="none" w:sz="0" w:space="0" w:color="auto"/>
        <w:right w:val="none" w:sz="0" w:space="0" w:color="auto"/>
      </w:divBdr>
    </w:div>
    <w:div w:id="1205093477">
      <w:bodyDiv w:val="1"/>
      <w:marLeft w:val="0"/>
      <w:marRight w:val="0"/>
      <w:marTop w:val="0"/>
      <w:marBottom w:val="0"/>
      <w:divBdr>
        <w:top w:val="none" w:sz="0" w:space="0" w:color="auto"/>
        <w:left w:val="none" w:sz="0" w:space="0" w:color="auto"/>
        <w:bottom w:val="none" w:sz="0" w:space="0" w:color="auto"/>
        <w:right w:val="none" w:sz="0" w:space="0" w:color="auto"/>
      </w:divBdr>
    </w:div>
    <w:div w:id="1205218146">
      <w:bodyDiv w:val="1"/>
      <w:marLeft w:val="0"/>
      <w:marRight w:val="0"/>
      <w:marTop w:val="0"/>
      <w:marBottom w:val="0"/>
      <w:divBdr>
        <w:top w:val="none" w:sz="0" w:space="0" w:color="auto"/>
        <w:left w:val="none" w:sz="0" w:space="0" w:color="auto"/>
        <w:bottom w:val="none" w:sz="0" w:space="0" w:color="auto"/>
        <w:right w:val="none" w:sz="0" w:space="0" w:color="auto"/>
      </w:divBdr>
    </w:div>
    <w:div w:id="1219127451">
      <w:bodyDiv w:val="1"/>
      <w:marLeft w:val="0"/>
      <w:marRight w:val="0"/>
      <w:marTop w:val="0"/>
      <w:marBottom w:val="0"/>
      <w:divBdr>
        <w:top w:val="none" w:sz="0" w:space="0" w:color="auto"/>
        <w:left w:val="none" w:sz="0" w:space="0" w:color="auto"/>
        <w:bottom w:val="none" w:sz="0" w:space="0" w:color="auto"/>
        <w:right w:val="none" w:sz="0" w:space="0" w:color="auto"/>
      </w:divBdr>
    </w:div>
    <w:div w:id="1251431105">
      <w:bodyDiv w:val="1"/>
      <w:marLeft w:val="0"/>
      <w:marRight w:val="0"/>
      <w:marTop w:val="0"/>
      <w:marBottom w:val="0"/>
      <w:divBdr>
        <w:top w:val="none" w:sz="0" w:space="0" w:color="auto"/>
        <w:left w:val="none" w:sz="0" w:space="0" w:color="auto"/>
        <w:bottom w:val="none" w:sz="0" w:space="0" w:color="auto"/>
        <w:right w:val="none" w:sz="0" w:space="0" w:color="auto"/>
      </w:divBdr>
    </w:div>
    <w:div w:id="1262840091">
      <w:bodyDiv w:val="1"/>
      <w:marLeft w:val="0"/>
      <w:marRight w:val="0"/>
      <w:marTop w:val="0"/>
      <w:marBottom w:val="0"/>
      <w:divBdr>
        <w:top w:val="none" w:sz="0" w:space="0" w:color="auto"/>
        <w:left w:val="none" w:sz="0" w:space="0" w:color="auto"/>
        <w:bottom w:val="none" w:sz="0" w:space="0" w:color="auto"/>
        <w:right w:val="none" w:sz="0" w:space="0" w:color="auto"/>
      </w:divBdr>
    </w:div>
    <w:div w:id="1296135877">
      <w:bodyDiv w:val="1"/>
      <w:marLeft w:val="0"/>
      <w:marRight w:val="0"/>
      <w:marTop w:val="0"/>
      <w:marBottom w:val="0"/>
      <w:divBdr>
        <w:top w:val="none" w:sz="0" w:space="0" w:color="auto"/>
        <w:left w:val="none" w:sz="0" w:space="0" w:color="auto"/>
        <w:bottom w:val="none" w:sz="0" w:space="0" w:color="auto"/>
        <w:right w:val="none" w:sz="0" w:space="0" w:color="auto"/>
      </w:divBdr>
    </w:div>
    <w:div w:id="1322395387">
      <w:bodyDiv w:val="1"/>
      <w:marLeft w:val="0"/>
      <w:marRight w:val="0"/>
      <w:marTop w:val="0"/>
      <w:marBottom w:val="0"/>
      <w:divBdr>
        <w:top w:val="none" w:sz="0" w:space="0" w:color="auto"/>
        <w:left w:val="none" w:sz="0" w:space="0" w:color="auto"/>
        <w:bottom w:val="none" w:sz="0" w:space="0" w:color="auto"/>
        <w:right w:val="none" w:sz="0" w:space="0" w:color="auto"/>
      </w:divBdr>
    </w:div>
    <w:div w:id="1333486648">
      <w:bodyDiv w:val="1"/>
      <w:marLeft w:val="0"/>
      <w:marRight w:val="0"/>
      <w:marTop w:val="0"/>
      <w:marBottom w:val="0"/>
      <w:divBdr>
        <w:top w:val="none" w:sz="0" w:space="0" w:color="auto"/>
        <w:left w:val="none" w:sz="0" w:space="0" w:color="auto"/>
        <w:bottom w:val="none" w:sz="0" w:space="0" w:color="auto"/>
        <w:right w:val="none" w:sz="0" w:space="0" w:color="auto"/>
      </w:divBdr>
    </w:div>
    <w:div w:id="1356496112">
      <w:bodyDiv w:val="1"/>
      <w:marLeft w:val="0"/>
      <w:marRight w:val="0"/>
      <w:marTop w:val="0"/>
      <w:marBottom w:val="0"/>
      <w:divBdr>
        <w:top w:val="none" w:sz="0" w:space="0" w:color="auto"/>
        <w:left w:val="none" w:sz="0" w:space="0" w:color="auto"/>
        <w:bottom w:val="none" w:sz="0" w:space="0" w:color="auto"/>
        <w:right w:val="none" w:sz="0" w:space="0" w:color="auto"/>
      </w:divBdr>
    </w:div>
    <w:div w:id="1393501920">
      <w:bodyDiv w:val="1"/>
      <w:marLeft w:val="0"/>
      <w:marRight w:val="0"/>
      <w:marTop w:val="0"/>
      <w:marBottom w:val="0"/>
      <w:divBdr>
        <w:top w:val="none" w:sz="0" w:space="0" w:color="auto"/>
        <w:left w:val="none" w:sz="0" w:space="0" w:color="auto"/>
        <w:bottom w:val="none" w:sz="0" w:space="0" w:color="auto"/>
        <w:right w:val="none" w:sz="0" w:space="0" w:color="auto"/>
      </w:divBdr>
    </w:div>
    <w:div w:id="1398474034">
      <w:bodyDiv w:val="1"/>
      <w:marLeft w:val="0"/>
      <w:marRight w:val="0"/>
      <w:marTop w:val="0"/>
      <w:marBottom w:val="0"/>
      <w:divBdr>
        <w:top w:val="none" w:sz="0" w:space="0" w:color="auto"/>
        <w:left w:val="none" w:sz="0" w:space="0" w:color="auto"/>
        <w:bottom w:val="none" w:sz="0" w:space="0" w:color="auto"/>
        <w:right w:val="none" w:sz="0" w:space="0" w:color="auto"/>
      </w:divBdr>
    </w:div>
    <w:div w:id="1408576069">
      <w:bodyDiv w:val="1"/>
      <w:marLeft w:val="0"/>
      <w:marRight w:val="0"/>
      <w:marTop w:val="0"/>
      <w:marBottom w:val="0"/>
      <w:divBdr>
        <w:top w:val="none" w:sz="0" w:space="0" w:color="auto"/>
        <w:left w:val="none" w:sz="0" w:space="0" w:color="auto"/>
        <w:bottom w:val="none" w:sz="0" w:space="0" w:color="auto"/>
        <w:right w:val="none" w:sz="0" w:space="0" w:color="auto"/>
      </w:divBdr>
    </w:div>
    <w:div w:id="1472213669">
      <w:bodyDiv w:val="1"/>
      <w:marLeft w:val="0"/>
      <w:marRight w:val="0"/>
      <w:marTop w:val="0"/>
      <w:marBottom w:val="0"/>
      <w:divBdr>
        <w:top w:val="none" w:sz="0" w:space="0" w:color="auto"/>
        <w:left w:val="none" w:sz="0" w:space="0" w:color="auto"/>
        <w:bottom w:val="none" w:sz="0" w:space="0" w:color="auto"/>
        <w:right w:val="none" w:sz="0" w:space="0" w:color="auto"/>
      </w:divBdr>
    </w:div>
    <w:div w:id="1483695427">
      <w:bodyDiv w:val="1"/>
      <w:marLeft w:val="0"/>
      <w:marRight w:val="0"/>
      <w:marTop w:val="0"/>
      <w:marBottom w:val="0"/>
      <w:divBdr>
        <w:top w:val="none" w:sz="0" w:space="0" w:color="auto"/>
        <w:left w:val="none" w:sz="0" w:space="0" w:color="auto"/>
        <w:bottom w:val="none" w:sz="0" w:space="0" w:color="auto"/>
        <w:right w:val="none" w:sz="0" w:space="0" w:color="auto"/>
      </w:divBdr>
    </w:div>
    <w:div w:id="1496677485">
      <w:bodyDiv w:val="1"/>
      <w:marLeft w:val="0"/>
      <w:marRight w:val="0"/>
      <w:marTop w:val="0"/>
      <w:marBottom w:val="0"/>
      <w:divBdr>
        <w:top w:val="none" w:sz="0" w:space="0" w:color="auto"/>
        <w:left w:val="none" w:sz="0" w:space="0" w:color="auto"/>
        <w:bottom w:val="none" w:sz="0" w:space="0" w:color="auto"/>
        <w:right w:val="none" w:sz="0" w:space="0" w:color="auto"/>
      </w:divBdr>
    </w:div>
    <w:div w:id="1503545074">
      <w:bodyDiv w:val="1"/>
      <w:marLeft w:val="0"/>
      <w:marRight w:val="0"/>
      <w:marTop w:val="0"/>
      <w:marBottom w:val="0"/>
      <w:divBdr>
        <w:top w:val="none" w:sz="0" w:space="0" w:color="auto"/>
        <w:left w:val="none" w:sz="0" w:space="0" w:color="auto"/>
        <w:bottom w:val="none" w:sz="0" w:space="0" w:color="auto"/>
        <w:right w:val="none" w:sz="0" w:space="0" w:color="auto"/>
      </w:divBdr>
    </w:div>
    <w:div w:id="1534340386">
      <w:bodyDiv w:val="1"/>
      <w:marLeft w:val="0"/>
      <w:marRight w:val="0"/>
      <w:marTop w:val="0"/>
      <w:marBottom w:val="0"/>
      <w:divBdr>
        <w:top w:val="none" w:sz="0" w:space="0" w:color="auto"/>
        <w:left w:val="none" w:sz="0" w:space="0" w:color="auto"/>
        <w:bottom w:val="none" w:sz="0" w:space="0" w:color="auto"/>
        <w:right w:val="none" w:sz="0" w:space="0" w:color="auto"/>
      </w:divBdr>
    </w:div>
    <w:div w:id="1554536681">
      <w:bodyDiv w:val="1"/>
      <w:marLeft w:val="0"/>
      <w:marRight w:val="0"/>
      <w:marTop w:val="0"/>
      <w:marBottom w:val="0"/>
      <w:divBdr>
        <w:top w:val="none" w:sz="0" w:space="0" w:color="auto"/>
        <w:left w:val="none" w:sz="0" w:space="0" w:color="auto"/>
        <w:bottom w:val="none" w:sz="0" w:space="0" w:color="auto"/>
        <w:right w:val="none" w:sz="0" w:space="0" w:color="auto"/>
      </w:divBdr>
    </w:div>
    <w:div w:id="1602251795">
      <w:bodyDiv w:val="1"/>
      <w:marLeft w:val="0"/>
      <w:marRight w:val="0"/>
      <w:marTop w:val="0"/>
      <w:marBottom w:val="0"/>
      <w:divBdr>
        <w:top w:val="none" w:sz="0" w:space="0" w:color="auto"/>
        <w:left w:val="none" w:sz="0" w:space="0" w:color="auto"/>
        <w:bottom w:val="none" w:sz="0" w:space="0" w:color="auto"/>
        <w:right w:val="none" w:sz="0" w:space="0" w:color="auto"/>
      </w:divBdr>
    </w:div>
    <w:div w:id="1615401265">
      <w:bodyDiv w:val="1"/>
      <w:marLeft w:val="0"/>
      <w:marRight w:val="0"/>
      <w:marTop w:val="0"/>
      <w:marBottom w:val="0"/>
      <w:divBdr>
        <w:top w:val="none" w:sz="0" w:space="0" w:color="auto"/>
        <w:left w:val="none" w:sz="0" w:space="0" w:color="auto"/>
        <w:bottom w:val="none" w:sz="0" w:space="0" w:color="auto"/>
        <w:right w:val="none" w:sz="0" w:space="0" w:color="auto"/>
      </w:divBdr>
    </w:div>
    <w:div w:id="1635258314">
      <w:bodyDiv w:val="1"/>
      <w:marLeft w:val="0"/>
      <w:marRight w:val="0"/>
      <w:marTop w:val="0"/>
      <w:marBottom w:val="0"/>
      <w:divBdr>
        <w:top w:val="none" w:sz="0" w:space="0" w:color="auto"/>
        <w:left w:val="none" w:sz="0" w:space="0" w:color="auto"/>
        <w:bottom w:val="none" w:sz="0" w:space="0" w:color="auto"/>
        <w:right w:val="none" w:sz="0" w:space="0" w:color="auto"/>
      </w:divBdr>
    </w:div>
    <w:div w:id="1642927444">
      <w:bodyDiv w:val="1"/>
      <w:marLeft w:val="0"/>
      <w:marRight w:val="0"/>
      <w:marTop w:val="0"/>
      <w:marBottom w:val="0"/>
      <w:divBdr>
        <w:top w:val="none" w:sz="0" w:space="0" w:color="auto"/>
        <w:left w:val="none" w:sz="0" w:space="0" w:color="auto"/>
        <w:bottom w:val="none" w:sz="0" w:space="0" w:color="auto"/>
        <w:right w:val="none" w:sz="0" w:space="0" w:color="auto"/>
      </w:divBdr>
    </w:div>
    <w:div w:id="1746298335">
      <w:bodyDiv w:val="1"/>
      <w:marLeft w:val="0"/>
      <w:marRight w:val="0"/>
      <w:marTop w:val="0"/>
      <w:marBottom w:val="0"/>
      <w:divBdr>
        <w:top w:val="none" w:sz="0" w:space="0" w:color="auto"/>
        <w:left w:val="none" w:sz="0" w:space="0" w:color="auto"/>
        <w:bottom w:val="none" w:sz="0" w:space="0" w:color="auto"/>
        <w:right w:val="none" w:sz="0" w:space="0" w:color="auto"/>
      </w:divBdr>
    </w:div>
    <w:div w:id="1783915405">
      <w:bodyDiv w:val="1"/>
      <w:marLeft w:val="0"/>
      <w:marRight w:val="0"/>
      <w:marTop w:val="0"/>
      <w:marBottom w:val="0"/>
      <w:divBdr>
        <w:top w:val="none" w:sz="0" w:space="0" w:color="auto"/>
        <w:left w:val="none" w:sz="0" w:space="0" w:color="auto"/>
        <w:bottom w:val="none" w:sz="0" w:space="0" w:color="auto"/>
        <w:right w:val="none" w:sz="0" w:space="0" w:color="auto"/>
      </w:divBdr>
    </w:div>
    <w:div w:id="1867401742">
      <w:bodyDiv w:val="1"/>
      <w:marLeft w:val="0"/>
      <w:marRight w:val="0"/>
      <w:marTop w:val="0"/>
      <w:marBottom w:val="0"/>
      <w:divBdr>
        <w:top w:val="none" w:sz="0" w:space="0" w:color="auto"/>
        <w:left w:val="none" w:sz="0" w:space="0" w:color="auto"/>
        <w:bottom w:val="none" w:sz="0" w:space="0" w:color="auto"/>
        <w:right w:val="none" w:sz="0" w:space="0" w:color="auto"/>
      </w:divBdr>
    </w:div>
    <w:div w:id="1879857647">
      <w:bodyDiv w:val="1"/>
      <w:marLeft w:val="0"/>
      <w:marRight w:val="0"/>
      <w:marTop w:val="0"/>
      <w:marBottom w:val="0"/>
      <w:divBdr>
        <w:top w:val="none" w:sz="0" w:space="0" w:color="auto"/>
        <w:left w:val="none" w:sz="0" w:space="0" w:color="auto"/>
        <w:bottom w:val="none" w:sz="0" w:space="0" w:color="auto"/>
        <w:right w:val="none" w:sz="0" w:space="0" w:color="auto"/>
      </w:divBdr>
    </w:div>
    <w:div w:id="1917088221">
      <w:bodyDiv w:val="1"/>
      <w:marLeft w:val="0"/>
      <w:marRight w:val="0"/>
      <w:marTop w:val="0"/>
      <w:marBottom w:val="0"/>
      <w:divBdr>
        <w:top w:val="none" w:sz="0" w:space="0" w:color="auto"/>
        <w:left w:val="none" w:sz="0" w:space="0" w:color="auto"/>
        <w:bottom w:val="none" w:sz="0" w:space="0" w:color="auto"/>
        <w:right w:val="none" w:sz="0" w:space="0" w:color="auto"/>
      </w:divBdr>
    </w:div>
    <w:div w:id="1937706461">
      <w:bodyDiv w:val="1"/>
      <w:marLeft w:val="0"/>
      <w:marRight w:val="0"/>
      <w:marTop w:val="0"/>
      <w:marBottom w:val="0"/>
      <w:divBdr>
        <w:top w:val="none" w:sz="0" w:space="0" w:color="auto"/>
        <w:left w:val="none" w:sz="0" w:space="0" w:color="auto"/>
        <w:bottom w:val="none" w:sz="0" w:space="0" w:color="auto"/>
        <w:right w:val="none" w:sz="0" w:space="0" w:color="auto"/>
      </w:divBdr>
    </w:div>
    <w:div w:id="1980188205">
      <w:bodyDiv w:val="1"/>
      <w:marLeft w:val="0"/>
      <w:marRight w:val="0"/>
      <w:marTop w:val="0"/>
      <w:marBottom w:val="0"/>
      <w:divBdr>
        <w:top w:val="none" w:sz="0" w:space="0" w:color="auto"/>
        <w:left w:val="none" w:sz="0" w:space="0" w:color="auto"/>
        <w:bottom w:val="none" w:sz="0" w:space="0" w:color="auto"/>
        <w:right w:val="none" w:sz="0" w:space="0" w:color="auto"/>
      </w:divBdr>
    </w:div>
    <w:div w:id="2038119285">
      <w:bodyDiv w:val="1"/>
      <w:marLeft w:val="0"/>
      <w:marRight w:val="0"/>
      <w:marTop w:val="0"/>
      <w:marBottom w:val="0"/>
      <w:divBdr>
        <w:top w:val="none" w:sz="0" w:space="0" w:color="auto"/>
        <w:left w:val="none" w:sz="0" w:space="0" w:color="auto"/>
        <w:bottom w:val="none" w:sz="0" w:space="0" w:color="auto"/>
        <w:right w:val="none" w:sz="0" w:space="0" w:color="auto"/>
      </w:divBdr>
    </w:div>
    <w:div w:id="2046714223">
      <w:bodyDiv w:val="1"/>
      <w:marLeft w:val="0"/>
      <w:marRight w:val="0"/>
      <w:marTop w:val="0"/>
      <w:marBottom w:val="0"/>
      <w:divBdr>
        <w:top w:val="none" w:sz="0" w:space="0" w:color="auto"/>
        <w:left w:val="none" w:sz="0" w:space="0" w:color="auto"/>
        <w:bottom w:val="none" w:sz="0" w:space="0" w:color="auto"/>
        <w:right w:val="none" w:sz="0" w:space="0" w:color="auto"/>
      </w:divBdr>
    </w:div>
    <w:div w:id="2056388770">
      <w:bodyDiv w:val="1"/>
      <w:marLeft w:val="0"/>
      <w:marRight w:val="0"/>
      <w:marTop w:val="0"/>
      <w:marBottom w:val="0"/>
      <w:divBdr>
        <w:top w:val="none" w:sz="0" w:space="0" w:color="auto"/>
        <w:left w:val="none" w:sz="0" w:space="0" w:color="auto"/>
        <w:bottom w:val="none" w:sz="0" w:space="0" w:color="auto"/>
        <w:right w:val="none" w:sz="0" w:space="0" w:color="auto"/>
      </w:divBdr>
    </w:div>
    <w:div w:id="2088186584">
      <w:bodyDiv w:val="1"/>
      <w:marLeft w:val="0"/>
      <w:marRight w:val="0"/>
      <w:marTop w:val="0"/>
      <w:marBottom w:val="0"/>
      <w:divBdr>
        <w:top w:val="none" w:sz="0" w:space="0" w:color="auto"/>
        <w:left w:val="none" w:sz="0" w:space="0" w:color="auto"/>
        <w:bottom w:val="none" w:sz="0" w:space="0" w:color="auto"/>
        <w:right w:val="none" w:sz="0" w:space="0" w:color="auto"/>
      </w:divBdr>
    </w:div>
    <w:div w:id="2088532168">
      <w:bodyDiv w:val="1"/>
      <w:marLeft w:val="0"/>
      <w:marRight w:val="0"/>
      <w:marTop w:val="0"/>
      <w:marBottom w:val="0"/>
      <w:divBdr>
        <w:top w:val="none" w:sz="0" w:space="0" w:color="auto"/>
        <w:left w:val="none" w:sz="0" w:space="0" w:color="auto"/>
        <w:bottom w:val="none" w:sz="0" w:space="0" w:color="auto"/>
        <w:right w:val="none" w:sz="0" w:space="0" w:color="auto"/>
      </w:divBdr>
    </w:div>
    <w:div w:id="2099980973">
      <w:bodyDiv w:val="1"/>
      <w:marLeft w:val="0"/>
      <w:marRight w:val="0"/>
      <w:marTop w:val="0"/>
      <w:marBottom w:val="0"/>
      <w:divBdr>
        <w:top w:val="none" w:sz="0" w:space="0" w:color="auto"/>
        <w:left w:val="none" w:sz="0" w:space="0" w:color="auto"/>
        <w:bottom w:val="none" w:sz="0" w:space="0" w:color="auto"/>
        <w:right w:val="none" w:sz="0" w:space="0" w:color="auto"/>
      </w:divBdr>
    </w:div>
    <w:div w:id="214199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qilt.edu.au"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F4FB-D7B3-4510-A9CA-4B596DEC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6714FFDF.dotm</Template>
  <TotalTime>0</TotalTime>
  <Pages>8</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2017-09-22T03:54:00Z</dcterms:created>
  <dcterms:modified xsi:type="dcterms:W3CDTF">2017-11-27T22:51:00Z</dcterms:modified>
</cp:coreProperties>
</file>