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D0375" w14:textId="4CB93917" w:rsidR="00AB1E9A" w:rsidRDefault="009E2FFA" w:rsidP="006D4306">
      <w:pPr>
        <w:tabs>
          <w:tab w:val="left" w:pos="2160"/>
        </w:tabs>
        <w:spacing w:after="120"/>
        <w:rPr>
          <w:rFonts w:ascii="Times New Roman" w:hAnsi="Times New Roman" w:cs="Times New Roman"/>
          <w:b/>
          <w:sz w:val="24"/>
          <w:szCs w:val="24"/>
        </w:rPr>
      </w:pPr>
      <w:r>
        <w:rPr>
          <w:noProof/>
          <w:lang w:eastAsia="en-AU"/>
        </w:rPr>
        <w:drawing>
          <wp:inline distT="0" distB="0" distL="0" distR="0" wp14:anchorId="78D011E6" wp14:editId="614BAFFF">
            <wp:extent cx="2156400" cy="662400"/>
            <wp:effectExtent l="0" t="0" r="0" b="4445"/>
            <wp:docPr id="2" name="Picture 1" descr="Australian Government Department of Education, Skills and Employm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Department of Education"/>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156400" cy="662400"/>
                    </a:xfrm>
                    <a:prstGeom prst="rect">
                      <a:avLst/>
                    </a:prstGeom>
                    <a:noFill/>
                    <a:ln w="9525">
                      <a:noFill/>
                      <a:miter lim="800000"/>
                      <a:headEnd/>
                      <a:tailEnd/>
                    </a:ln>
                  </pic:spPr>
                </pic:pic>
              </a:graphicData>
            </a:graphic>
          </wp:inline>
        </w:drawing>
      </w:r>
      <w:r w:rsidR="006D4306">
        <w:rPr>
          <w:rFonts w:ascii="Times New Roman" w:hAnsi="Times New Roman" w:cs="Times New Roman"/>
          <w:b/>
          <w:sz w:val="24"/>
          <w:szCs w:val="24"/>
        </w:rPr>
        <w:tab/>
      </w:r>
    </w:p>
    <w:p w14:paraId="4B861A09" w14:textId="4EC7FA07" w:rsidR="00AB1E9A" w:rsidRPr="006D10DD" w:rsidRDefault="0085485D" w:rsidP="0085485D">
      <w:pPr>
        <w:spacing w:before="3400" w:after="120" w:line="300" w:lineRule="exact"/>
        <w:ind w:left="709" w:hanging="709"/>
        <w:jc w:val="center"/>
        <w:rPr>
          <w:rFonts w:ascii="Calibri" w:eastAsiaTheme="majorEastAsia" w:hAnsi="Calibri" w:cs="Calibri"/>
          <w:b/>
          <w:bCs/>
          <w:color w:val="000000" w:themeColor="text1"/>
          <w:spacing w:val="5"/>
          <w:kern w:val="28"/>
          <w:sz w:val="44"/>
          <w:szCs w:val="44"/>
        </w:rPr>
      </w:pPr>
      <w:bookmarkStart w:id="0" w:name="_Toc367631856"/>
      <w:r w:rsidRPr="006D10DD">
        <w:rPr>
          <w:rFonts w:ascii="Calibri" w:eastAsiaTheme="majorEastAsia" w:hAnsi="Calibri" w:cs="Calibri"/>
          <w:b/>
          <w:bCs/>
          <w:color w:val="000000" w:themeColor="text1"/>
          <w:spacing w:val="5"/>
          <w:kern w:val="28"/>
          <w:sz w:val="44"/>
          <w:szCs w:val="44"/>
        </w:rPr>
        <w:t>Non-Government Reform Support Fund</w:t>
      </w:r>
    </w:p>
    <w:p w14:paraId="1EA60DAF" w14:textId="2187B828" w:rsidR="0085485D" w:rsidRDefault="009A1939" w:rsidP="0085485D">
      <w:pPr>
        <w:spacing w:before="2280" w:after="1000" w:line="300" w:lineRule="exact"/>
        <w:ind w:left="709" w:hanging="709"/>
        <w:jc w:val="center"/>
        <w:rPr>
          <w:rFonts w:ascii="Calibri" w:eastAsiaTheme="majorEastAsia" w:hAnsi="Calibri" w:cs="Calibri"/>
          <w:b/>
          <w:bCs/>
          <w:color w:val="000000" w:themeColor="text1"/>
          <w:spacing w:val="5"/>
          <w:kern w:val="28"/>
          <w:sz w:val="44"/>
          <w:szCs w:val="44"/>
        </w:rPr>
      </w:pPr>
      <w:r w:rsidRPr="006D10DD">
        <w:rPr>
          <w:rFonts w:ascii="Calibri" w:eastAsiaTheme="majorEastAsia" w:hAnsi="Calibri" w:cs="Calibri"/>
          <w:b/>
          <w:bCs/>
          <w:color w:val="000000" w:themeColor="text1"/>
          <w:spacing w:val="5"/>
          <w:kern w:val="28"/>
          <w:sz w:val="44"/>
          <w:szCs w:val="44"/>
        </w:rPr>
        <w:t>202</w:t>
      </w:r>
      <w:r>
        <w:rPr>
          <w:rFonts w:ascii="Calibri" w:eastAsiaTheme="majorEastAsia" w:hAnsi="Calibri" w:cs="Calibri"/>
          <w:b/>
          <w:bCs/>
          <w:color w:val="000000" w:themeColor="text1"/>
          <w:spacing w:val="5"/>
          <w:kern w:val="28"/>
          <w:sz w:val="44"/>
          <w:szCs w:val="44"/>
        </w:rPr>
        <w:t>2</w:t>
      </w:r>
      <w:r w:rsidRPr="006D10DD">
        <w:rPr>
          <w:rFonts w:ascii="Calibri" w:eastAsiaTheme="majorEastAsia" w:hAnsi="Calibri" w:cs="Calibri"/>
          <w:b/>
          <w:bCs/>
          <w:color w:val="000000" w:themeColor="text1"/>
          <w:spacing w:val="5"/>
          <w:kern w:val="28"/>
          <w:sz w:val="44"/>
          <w:szCs w:val="44"/>
        </w:rPr>
        <w:t xml:space="preserve"> </w:t>
      </w:r>
      <w:r w:rsidR="0085485D" w:rsidRPr="006D10DD">
        <w:rPr>
          <w:rFonts w:ascii="Calibri" w:eastAsiaTheme="majorEastAsia" w:hAnsi="Calibri" w:cs="Calibri"/>
          <w:b/>
          <w:bCs/>
          <w:color w:val="000000" w:themeColor="text1"/>
          <w:spacing w:val="5"/>
          <w:kern w:val="28"/>
          <w:sz w:val="44"/>
          <w:szCs w:val="44"/>
        </w:rPr>
        <w:t>Guidelines</w:t>
      </w:r>
    </w:p>
    <w:p w14:paraId="3FAE88DA" w14:textId="7878A818" w:rsidR="00D545E4" w:rsidRDefault="00D545E4" w:rsidP="0085485D">
      <w:pPr>
        <w:spacing w:before="2280" w:after="1000" w:line="300" w:lineRule="exact"/>
        <w:ind w:left="709" w:hanging="709"/>
        <w:jc w:val="center"/>
        <w:rPr>
          <w:rFonts w:ascii="Calibri" w:eastAsiaTheme="majorEastAsia" w:hAnsi="Calibri" w:cs="Calibri"/>
          <w:b/>
          <w:bCs/>
          <w:color w:val="000000" w:themeColor="text1"/>
          <w:spacing w:val="5"/>
          <w:kern w:val="28"/>
          <w:sz w:val="44"/>
          <w:szCs w:val="44"/>
        </w:rPr>
      </w:pPr>
      <w:r w:rsidRPr="007B08E1">
        <w:rPr>
          <w:rFonts w:ascii="Calibri" w:eastAsiaTheme="majorEastAsia" w:hAnsi="Calibri" w:cs="Calibri"/>
          <w:b/>
          <w:bCs/>
          <w:noProof/>
          <w:color w:val="000000" w:themeColor="text1"/>
          <w:spacing w:val="5"/>
          <w:kern w:val="28"/>
          <w:sz w:val="44"/>
          <w:szCs w:val="44"/>
        </w:rPr>
        <mc:AlternateContent>
          <mc:Choice Requires="wps">
            <w:drawing>
              <wp:inline distT="0" distB="0" distL="0" distR="0" wp14:anchorId="47D593A9" wp14:editId="678E8672">
                <wp:extent cx="5028565" cy="1404620"/>
                <wp:effectExtent l="0" t="0" r="19685" b="2222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1404620"/>
                        </a:xfrm>
                        <a:prstGeom prst="rect">
                          <a:avLst/>
                        </a:prstGeom>
                        <a:solidFill>
                          <a:srgbClr val="FFFFFF"/>
                        </a:solidFill>
                        <a:ln w="9525">
                          <a:solidFill>
                            <a:srgbClr val="000000"/>
                          </a:solidFill>
                          <a:miter lim="800000"/>
                          <a:headEnd/>
                          <a:tailEnd/>
                        </a:ln>
                      </wps:spPr>
                      <wps:txbx>
                        <w:txbxContent>
                          <w:p w14:paraId="50195FAF" w14:textId="77777777" w:rsidR="00D545E4" w:rsidRDefault="00D545E4" w:rsidP="00D545E4">
                            <w:r>
                              <w:t xml:space="preserve">NOTE: On 5 December 2022, a delegate of the Minister issued a direction that NGRBs must spend or commit to spend funding received in 2022 by 31 March 2023. Clause 29 of the Guidelines should be read </w:t>
                            </w:r>
                            <w:proofErr w:type="gramStart"/>
                            <w:r>
                              <w:t>in light of</w:t>
                            </w:r>
                            <w:proofErr w:type="gramEnd"/>
                            <w:r>
                              <w:t xml:space="preserve"> that direction.</w:t>
                            </w:r>
                          </w:p>
                        </w:txbxContent>
                      </wps:txbx>
                      <wps:bodyPr rot="0" vert="horz" wrap="square" lIns="91440" tIns="45720" rIns="91440" bIns="45720" anchor="t" anchorCtr="0">
                        <a:spAutoFit/>
                      </wps:bodyPr>
                    </wps:wsp>
                  </a:graphicData>
                </a:graphic>
              </wp:inline>
            </w:drawing>
          </mc:Choice>
          <mc:Fallback>
            <w:pict>
              <v:shapetype w14:anchorId="47D593A9" id="_x0000_t202" coordsize="21600,21600" o:spt="202" path="m,l,21600r21600,l21600,xe">
                <v:stroke joinstyle="miter"/>
                <v:path gradientshapeok="t" o:connecttype="rect"/>
              </v:shapetype>
              <v:shape id="Text Box 2" o:spid="_x0000_s1026" type="#_x0000_t202" style="width:395.9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v9EQ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">
                <v:textbox style="mso-fit-shape-to-text:t">
                  <w:txbxContent>
                    <w:p w14:paraId="50195FAF" w14:textId="77777777" w:rsidR="00D545E4" w:rsidRDefault="00D545E4" w:rsidP="00D545E4">
                      <w:r>
                        <w:t xml:space="preserve">NOTE: On 5 December 2022, a delegate of the Minister issued a direction that NGRBs must spend or commit to spend funding received in 2022 by 31 March 2023. Clause 29 of the Guidelines should be read </w:t>
                      </w:r>
                      <w:proofErr w:type="gramStart"/>
                      <w:r>
                        <w:t>in light of</w:t>
                      </w:r>
                      <w:proofErr w:type="gramEnd"/>
                      <w:r>
                        <w:t xml:space="preserve"> that direction.</w:t>
                      </w:r>
                    </w:p>
                  </w:txbxContent>
                </v:textbox>
                <w10:anchorlock/>
              </v:shape>
            </w:pict>
          </mc:Fallback>
        </mc:AlternateContent>
      </w:r>
    </w:p>
    <w:p w14:paraId="10D17DEB" w14:textId="77777777" w:rsidR="00AB1E9A" w:rsidRPr="00A96261" w:rsidRDefault="00AB1E9A" w:rsidP="0064736E">
      <w:pPr>
        <w:tabs>
          <w:tab w:val="left" w:pos="2268"/>
        </w:tabs>
        <w:spacing w:before="2280" w:after="120" w:line="300" w:lineRule="exact"/>
        <w:ind w:left="709" w:hanging="709"/>
        <w:contextualSpacing/>
        <w:jc w:val="center"/>
        <w:rPr>
          <w:rFonts w:asciiTheme="majorHAnsi" w:eastAsiaTheme="majorEastAsia" w:hAnsiTheme="majorHAnsi" w:cstheme="majorBidi"/>
          <w:color w:val="17365D" w:themeColor="text2" w:themeShade="BF"/>
          <w:spacing w:val="5"/>
          <w:kern w:val="28"/>
          <w:sz w:val="52"/>
          <w:szCs w:val="52"/>
        </w:rPr>
      </w:pPr>
    </w:p>
    <w:p w14:paraId="4FD847C8" w14:textId="77777777" w:rsidR="00AB1E9A" w:rsidRPr="00A96261" w:rsidRDefault="00AB1E9A" w:rsidP="00047D1D">
      <w:pPr>
        <w:spacing w:after="120" w:line="300" w:lineRule="exact"/>
        <w:ind w:left="709" w:hanging="709"/>
        <w:rPr>
          <w:rFonts w:ascii="Calibri" w:eastAsia="Times New Roman" w:hAnsi="Calibri" w:cs="Times New Roman"/>
          <w:szCs w:val="24"/>
        </w:rPr>
        <w:sectPr w:rsidR="00AB1E9A" w:rsidRPr="00A96261" w:rsidSect="00E43873">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134" w:left="1418" w:header="709" w:footer="561" w:gutter="0"/>
          <w:cols w:space="708"/>
          <w:titlePg/>
          <w:docGrid w:linePitch="360"/>
        </w:sectPr>
      </w:pPr>
    </w:p>
    <w:sdt>
      <w:sdtPr>
        <w:rPr>
          <w:rFonts w:ascii="Times New Roman" w:eastAsia="Times New Roman" w:hAnsi="Times New Roman" w:cs="Times New Roman"/>
          <w:sz w:val="24"/>
          <w:szCs w:val="24"/>
        </w:rPr>
        <w:id w:val="384066820"/>
        <w:docPartObj>
          <w:docPartGallery w:val="Table of Contents"/>
          <w:docPartUnique/>
        </w:docPartObj>
      </w:sdtPr>
      <w:sdtEndPr>
        <w:rPr>
          <w:rFonts w:ascii="Calibri" w:hAnsi="Calibri"/>
          <w:noProof/>
          <w:sz w:val="22"/>
        </w:rPr>
      </w:sdtEndPr>
      <w:sdtContent>
        <w:p w14:paraId="3746B254" w14:textId="77777777" w:rsidR="00AB1E9A" w:rsidRPr="006D10DD" w:rsidRDefault="00AB1E9A" w:rsidP="00047D1D">
          <w:pPr>
            <w:keepNext/>
            <w:keepLines/>
            <w:spacing w:before="480" w:after="120" w:line="300" w:lineRule="exact"/>
            <w:ind w:left="709" w:hanging="709"/>
            <w:rPr>
              <w:rStyle w:val="Heading2Char"/>
              <w:rFonts w:ascii="Calibri" w:hAnsi="Calibri" w:cs="Calibri"/>
              <w:b/>
              <w:bCs/>
              <w:color w:val="000000" w:themeColor="text1"/>
              <w:sz w:val="24"/>
              <w:szCs w:val="24"/>
            </w:rPr>
          </w:pPr>
          <w:r w:rsidRPr="006D10DD">
            <w:rPr>
              <w:rStyle w:val="Heading2Char"/>
              <w:rFonts w:ascii="Calibri" w:hAnsi="Calibri" w:cs="Calibri"/>
              <w:b/>
              <w:bCs/>
              <w:color w:val="000000" w:themeColor="text1"/>
              <w:sz w:val="24"/>
              <w:szCs w:val="24"/>
            </w:rPr>
            <w:t xml:space="preserve">Contents </w:t>
          </w:r>
        </w:p>
        <w:p w14:paraId="67F0FFCE" w14:textId="19FB369B" w:rsidR="001045AA" w:rsidRDefault="00AB1E9A">
          <w:pPr>
            <w:pStyle w:val="TOC2"/>
            <w:tabs>
              <w:tab w:val="right" w:leader="dot" w:pos="9344"/>
            </w:tabs>
            <w:rPr>
              <w:rFonts w:eastAsiaTheme="minorEastAsia"/>
              <w:noProof/>
              <w:lang w:eastAsia="en-AU"/>
            </w:rPr>
          </w:pPr>
          <w:r w:rsidRPr="006D10DD">
            <w:rPr>
              <w:rFonts w:ascii="Calibri" w:eastAsia="Times New Roman" w:hAnsi="Calibri" w:cs="Calibri"/>
              <w:color w:val="000000" w:themeColor="text1"/>
              <w:szCs w:val="24"/>
              <w:lang w:eastAsia="en-AU"/>
            </w:rPr>
            <w:fldChar w:fldCharType="begin"/>
          </w:r>
          <w:r w:rsidRPr="006D10DD">
            <w:rPr>
              <w:rFonts w:ascii="Calibri" w:eastAsia="Times New Roman" w:hAnsi="Calibri" w:cs="Calibri"/>
              <w:color w:val="000000" w:themeColor="text1"/>
              <w:szCs w:val="24"/>
              <w:lang w:eastAsia="en-AU"/>
            </w:rPr>
            <w:instrText xml:space="preserve"> TOC \o "1-3" \h \z \u </w:instrText>
          </w:r>
          <w:r w:rsidRPr="006D10DD">
            <w:rPr>
              <w:rFonts w:ascii="Calibri" w:eastAsia="Times New Roman" w:hAnsi="Calibri" w:cs="Calibri"/>
              <w:color w:val="000000" w:themeColor="text1"/>
              <w:szCs w:val="24"/>
              <w:lang w:eastAsia="en-AU"/>
            </w:rPr>
            <w:fldChar w:fldCharType="separate"/>
          </w:r>
          <w:hyperlink w:anchor="_Toc84413371" w:history="1">
            <w:r w:rsidR="001045AA" w:rsidRPr="00813B80">
              <w:rPr>
                <w:rStyle w:val="Hyperlink"/>
                <w:rFonts w:ascii="Calibri" w:hAnsi="Calibri" w:cs="Calibri"/>
                <w:b/>
                <w:bCs/>
                <w:noProof/>
              </w:rPr>
              <w:t>Preamble</w:t>
            </w:r>
            <w:r w:rsidR="001045AA">
              <w:rPr>
                <w:noProof/>
                <w:webHidden/>
              </w:rPr>
              <w:tab/>
            </w:r>
            <w:r w:rsidR="001045AA">
              <w:rPr>
                <w:noProof/>
                <w:webHidden/>
              </w:rPr>
              <w:fldChar w:fldCharType="begin"/>
            </w:r>
            <w:r w:rsidR="001045AA">
              <w:rPr>
                <w:noProof/>
                <w:webHidden/>
              </w:rPr>
              <w:instrText xml:space="preserve"> PAGEREF _Toc84413371 \h </w:instrText>
            </w:r>
            <w:r w:rsidR="001045AA">
              <w:rPr>
                <w:noProof/>
                <w:webHidden/>
              </w:rPr>
            </w:r>
            <w:r w:rsidR="001045AA">
              <w:rPr>
                <w:noProof/>
                <w:webHidden/>
              </w:rPr>
              <w:fldChar w:fldCharType="separate"/>
            </w:r>
            <w:r w:rsidR="00341004">
              <w:rPr>
                <w:noProof/>
                <w:webHidden/>
              </w:rPr>
              <w:t>1</w:t>
            </w:r>
            <w:r w:rsidR="001045AA">
              <w:rPr>
                <w:noProof/>
                <w:webHidden/>
              </w:rPr>
              <w:fldChar w:fldCharType="end"/>
            </w:r>
          </w:hyperlink>
        </w:p>
        <w:p w14:paraId="23927348" w14:textId="272E3E27" w:rsidR="001045AA" w:rsidRDefault="00341004">
          <w:pPr>
            <w:pStyle w:val="TOC2"/>
            <w:tabs>
              <w:tab w:val="right" w:leader="dot" w:pos="9344"/>
            </w:tabs>
            <w:rPr>
              <w:rFonts w:eastAsiaTheme="minorEastAsia"/>
              <w:noProof/>
              <w:lang w:eastAsia="en-AU"/>
            </w:rPr>
          </w:pPr>
          <w:hyperlink w:anchor="_Toc84413372" w:history="1">
            <w:r w:rsidR="001045AA" w:rsidRPr="00813B80">
              <w:rPr>
                <w:rStyle w:val="Hyperlink"/>
                <w:rFonts w:ascii="Calibri" w:hAnsi="Calibri" w:cs="Calibri"/>
                <w:b/>
                <w:bCs/>
                <w:noProof/>
              </w:rPr>
              <w:t>Objective</w:t>
            </w:r>
            <w:r w:rsidR="001045AA">
              <w:rPr>
                <w:noProof/>
                <w:webHidden/>
              </w:rPr>
              <w:tab/>
            </w:r>
            <w:r w:rsidR="001045AA">
              <w:rPr>
                <w:noProof/>
                <w:webHidden/>
              </w:rPr>
              <w:fldChar w:fldCharType="begin"/>
            </w:r>
            <w:r w:rsidR="001045AA">
              <w:rPr>
                <w:noProof/>
                <w:webHidden/>
              </w:rPr>
              <w:instrText xml:space="preserve"> PAGEREF _Toc84413372 \h </w:instrText>
            </w:r>
            <w:r w:rsidR="001045AA">
              <w:rPr>
                <w:noProof/>
                <w:webHidden/>
              </w:rPr>
            </w:r>
            <w:r w:rsidR="001045AA">
              <w:rPr>
                <w:noProof/>
                <w:webHidden/>
              </w:rPr>
              <w:fldChar w:fldCharType="separate"/>
            </w:r>
            <w:r>
              <w:rPr>
                <w:noProof/>
                <w:webHidden/>
              </w:rPr>
              <w:t>1</w:t>
            </w:r>
            <w:r w:rsidR="001045AA">
              <w:rPr>
                <w:noProof/>
                <w:webHidden/>
              </w:rPr>
              <w:fldChar w:fldCharType="end"/>
            </w:r>
          </w:hyperlink>
        </w:p>
        <w:p w14:paraId="445D44C8" w14:textId="5F6CC100" w:rsidR="001045AA" w:rsidRDefault="00341004">
          <w:pPr>
            <w:pStyle w:val="TOC2"/>
            <w:tabs>
              <w:tab w:val="right" w:leader="dot" w:pos="9344"/>
            </w:tabs>
            <w:rPr>
              <w:rFonts w:eastAsiaTheme="minorEastAsia"/>
              <w:noProof/>
              <w:lang w:eastAsia="en-AU"/>
            </w:rPr>
          </w:pPr>
          <w:hyperlink w:anchor="_Toc84413373" w:history="1">
            <w:r w:rsidR="001045AA" w:rsidRPr="00813B80">
              <w:rPr>
                <w:rStyle w:val="Hyperlink"/>
                <w:rFonts w:ascii="Calibri" w:hAnsi="Calibri" w:cs="Calibri"/>
                <w:b/>
                <w:bCs/>
                <w:noProof/>
              </w:rPr>
              <w:t>Strategic plan</w:t>
            </w:r>
            <w:r w:rsidR="001045AA">
              <w:rPr>
                <w:noProof/>
                <w:webHidden/>
              </w:rPr>
              <w:tab/>
            </w:r>
            <w:r w:rsidR="001045AA">
              <w:rPr>
                <w:noProof/>
                <w:webHidden/>
              </w:rPr>
              <w:fldChar w:fldCharType="begin"/>
            </w:r>
            <w:r w:rsidR="001045AA">
              <w:rPr>
                <w:noProof/>
                <w:webHidden/>
              </w:rPr>
              <w:instrText xml:space="preserve"> PAGEREF _Toc84413373 \h </w:instrText>
            </w:r>
            <w:r w:rsidR="001045AA">
              <w:rPr>
                <w:noProof/>
                <w:webHidden/>
              </w:rPr>
            </w:r>
            <w:r w:rsidR="001045AA">
              <w:rPr>
                <w:noProof/>
                <w:webHidden/>
              </w:rPr>
              <w:fldChar w:fldCharType="separate"/>
            </w:r>
            <w:r>
              <w:rPr>
                <w:noProof/>
                <w:webHidden/>
              </w:rPr>
              <w:t>2</w:t>
            </w:r>
            <w:r w:rsidR="001045AA">
              <w:rPr>
                <w:noProof/>
                <w:webHidden/>
              </w:rPr>
              <w:fldChar w:fldCharType="end"/>
            </w:r>
          </w:hyperlink>
        </w:p>
        <w:p w14:paraId="49248C44" w14:textId="11833304" w:rsidR="001045AA" w:rsidRDefault="00341004">
          <w:pPr>
            <w:pStyle w:val="TOC2"/>
            <w:tabs>
              <w:tab w:val="right" w:leader="dot" w:pos="9344"/>
            </w:tabs>
            <w:rPr>
              <w:rFonts w:eastAsiaTheme="minorEastAsia"/>
              <w:noProof/>
              <w:lang w:eastAsia="en-AU"/>
            </w:rPr>
          </w:pPr>
          <w:hyperlink w:anchor="_Toc84413374" w:history="1">
            <w:r w:rsidR="001045AA" w:rsidRPr="00813B80">
              <w:rPr>
                <w:rStyle w:val="Hyperlink"/>
                <w:rFonts w:ascii="Calibri" w:hAnsi="Calibri" w:cs="Calibri"/>
                <w:b/>
                <w:bCs/>
                <w:noProof/>
              </w:rPr>
              <w:t>Workplan</w:t>
            </w:r>
            <w:r w:rsidR="001045AA">
              <w:rPr>
                <w:noProof/>
                <w:webHidden/>
              </w:rPr>
              <w:tab/>
            </w:r>
            <w:r w:rsidR="001045AA">
              <w:rPr>
                <w:noProof/>
                <w:webHidden/>
              </w:rPr>
              <w:fldChar w:fldCharType="begin"/>
            </w:r>
            <w:r w:rsidR="001045AA">
              <w:rPr>
                <w:noProof/>
                <w:webHidden/>
              </w:rPr>
              <w:instrText xml:space="preserve"> PAGEREF _Toc84413374 \h </w:instrText>
            </w:r>
            <w:r w:rsidR="001045AA">
              <w:rPr>
                <w:noProof/>
                <w:webHidden/>
              </w:rPr>
            </w:r>
            <w:r w:rsidR="001045AA">
              <w:rPr>
                <w:noProof/>
                <w:webHidden/>
              </w:rPr>
              <w:fldChar w:fldCharType="separate"/>
            </w:r>
            <w:r>
              <w:rPr>
                <w:noProof/>
                <w:webHidden/>
              </w:rPr>
              <w:t>3</w:t>
            </w:r>
            <w:r w:rsidR="001045AA">
              <w:rPr>
                <w:noProof/>
                <w:webHidden/>
              </w:rPr>
              <w:fldChar w:fldCharType="end"/>
            </w:r>
          </w:hyperlink>
        </w:p>
        <w:p w14:paraId="1A25DDDA" w14:textId="12E2D888" w:rsidR="001045AA" w:rsidRDefault="00341004">
          <w:pPr>
            <w:pStyle w:val="TOC2"/>
            <w:tabs>
              <w:tab w:val="right" w:leader="dot" w:pos="9344"/>
            </w:tabs>
            <w:rPr>
              <w:rFonts w:eastAsiaTheme="minorEastAsia"/>
              <w:noProof/>
              <w:lang w:eastAsia="en-AU"/>
            </w:rPr>
          </w:pPr>
          <w:hyperlink w:anchor="_Toc84413375" w:history="1">
            <w:r w:rsidR="001045AA" w:rsidRPr="00813B80">
              <w:rPr>
                <w:rStyle w:val="Hyperlink"/>
                <w:rFonts w:ascii="Calibri" w:hAnsi="Calibri" w:cs="Calibri"/>
                <w:b/>
                <w:bCs/>
                <w:noProof/>
              </w:rPr>
              <w:t>Annual report</w:t>
            </w:r>
            <w:r w:rsidR="001045AA">
              <w:rPr>
                <w:noProof/>
                <w:webHidden/>
              </w:rPr>
              <w:tab/>
            </w:r>
            <w:r w:rsidR="001045AA">
              <w:rPr>
                <w:noProof/>
                <w:webHidden/>
              </w:rPr>
              <w:fldChar w:fldCharType="begin"/>
            </w:r>
            <w:r w:rsidR="001045AA">
              <w:rPr>
                <w:noProof/>
                <w:webHidden/>
              </w:rPr>
              <w:instrText xml:space="preserve"> PAGEREF _Toc84413375 \h </w:instrText>
            </w:r>
            <w:r w:rsidR="001045AA">
              <w:rPr>
                <w:noProof/>
                <w:webHidden/>
              </w:rPr>
            </w:r>
            <w:r w:rsidR="001045AA">
              <w:rPr>
                <w:noProof/>
                <w:webHidden/>
              </w:rPr>
              <w:fldChar w:fldCharType="separate"/>
            </w:r>
            <w:r>
              <w:rPr>
                <w:noProof/>
                <w:webHidden/>
              </w:rPr>
              <w:t>3</w:t>
            </w:r>
            <w:r w:rsidR="001045AA">
              <w:rPr>
                <w:noProof/>
                <w:webHidden/>
              </w:rPr>
              <w:fldChar w:fldCharType="end"/>
            </w:r>
          </w:hyperlink>
        </w:p>
        <w:p w14:paraId="39BCC32C" w14:textId="55C6FFE0" w:rsidR="001045AA" w:rsidRDefault="00341004">
          <w:pPr>
            <w:pStyle w:val="TOC2"/>
            <w:tabs>
              <w:tab w:val="right" w:leader="dot" w:pos="9344"/>
            </w:tabs>
            <w:rPr>
              <w:rFonts w:eastAsiaTheme="minorEastAsia"/>
              <w:noProof/>
              <w:lang w:eastAsia="en-AU"/>
            </w:rPr>
          </w:pPr>
          <w:hyperlink w:anchor="_Toc84413376" w:history="1">
            <w:r w:rsidR="001045AA" w:rsidRPr="00813B80">
              <w:rPr>
                <w:rStyle w:val="Hyperlink"/>
                <w:rFonts w:ascii="Calibri" w:hAnsi="Calibri" w:cs="Calibri"/>
                <w:b/>
                <w:bCs/>
                <w:noProof/>
              </w:rPr>
              <w:t>Amount of funding and payment schedule</w:t>
            </w:r>
            <w:r w:rsidR="001045AA">
              <w:rPr>
                <w:noProof/>
                <w:webHidden/>
              </w:rPr>
              <w:tab/>
            </w:r>
            <w:r w:rsidR="001045AA">
              <w:rPr>
                <w:noProof/>
                <w:webHidden/>
              </w:rPr>
              <w:fldChar w:fldCharType="begin"/>
            </w:r>
            <w:r w:rsidR="001045AA">
              <w:rPr>
                <w:noProof/>
                <w:webHidden/>
              </w:rPr>
              <w:instrText xml:space="preserve"> PAGEREF _Toc84413376 \h </w:instrText>
            </w:r>
            <w:r w:rsidR="001045AA">
              <w:rPr>
                <w:noProof/>
                <w:webHidden/>
              </w:rPr>
            </w:r>
            <w:r w:rsidR="001045AA">
              <w:rPr>
                <w:noProof/>
                <w:webHidden/>
              </w:rPr>
              <w:fldChar w:fldCharType="separate"/>
            </w:r>
            <w:r>
              <w:rPr>
                <w:noProof/>
                <w:webHidden/>
              </w:rPr>
              <w:t>3</w:t>
            </w:r>
            <w:r w:rsidR="001045AA">
              <w:rPr>
                <w:noProof/>
                <w:webHidden/>
              </w:rPr>
              <w:fldChar w:fldCharType="end"/>
            </w:r>
          </w:hyperlink>
        </w:p>
        <w:p w14:paraId="199833B2" w14:textId="63F05EAB" w:rsidR="001045AA" w:rsidRDefault="00341004">
          <w:pPr>
            <w:pStyle w:val="TOC2"/>
            <w:tabs>
              <w:tab w:val="right" w:leader="dot" w:pos="9344"/>
            </w:tabs>
            <w:rPr>
              <w:rFonts w:eastAsiaTheme="minorEastAsia"/>
              <w:noProof/>
              <w:lang w:eastAsia="en-AU"/>
            </w:rPr>
          </w:pPr>
          <w:hyperlink w:anchor="_Toc84413377" w:history="1">
            <w:r w:rsidR="001045AA" w:rsidRPr="00813B80">
              <w:rPr>
                <w:rStyle w:val="Hyperlink"/>
                <w:rFonts w:ascii="Calibri" w:hAnsi="Calibri" w:cs="Calibri"/>
                <w:b/>
                <w:bCs/>
                <w:noProof/>
              </w:rPr>
              <w:t>Use of funding</w:t>
            </w:r>
            <w:r w:rsidR="001045AA">
              <w:rPr>
                <w:noProof/>
                <w:webHidden/>
              </w:rPr>
              <w:tab/>
            </w:r>
            <w:r w:rsidR="001045AA">
              <w:rPr>
                <w:noProof/>
                <w:webHidden/>
              </w:rPr>
              <w:fldChar w:fldCharType="begin"/>
            </w:r>
            <w:r w:rsidR="001045AA">
              <w:rPr>
                <w:noProof/>
                <w:webHidden/>
              </w:rPr>
              <w:instrText xml:space="preserve"> PAGEREF _Toc84413377 \h </w:instrText>
            </w:r>
            <w:r w:rsidR="001045AA">
              <w:rPr>
                <w:noProof/>
                <w:webHidden/>
              </w:rPr>
            </w:r>
            <w:r w:rsidR="001045AA">
              <w:rPr>
                <w:noProof/>
                <w:webHidden/>
              </w:rPr>
              <w:fldChar w:fldCharType="separate"/>
            </w:r>
            <w:r>
              <w:rPr>
                <w:noProof/>
                <w:webHidden/>
              </w:rPr>
              <w:t>4</w:t>
            </w:r>
            <w:r w:rsidR="001045AA">
              <w:rPr>
                <w:noProof/>
                <w:webHidden/>
              </w:rPr>
              <w:fldChar w:fldCharType="end"/>
            </w:r>
          </w:hyperlink>
        </w:p>
        <w:p w14:paraId="7F03FCCA" w14:textId="3E5565A0" w:rsidR="001045AA" w:rsidRDefault="00341004">
          <w:pPr>
            <w:pStyle w:val="TOC2"/>
            <w:tabs>
              <w:tab w:val="right" w:leader="dot" w:pos="9344"/>
            </w:tabs>
            <w:rPr>
              <w:rFonts w:eastAsiaTheme="minorEastAsia"/>
              <w:noProof/>
              <w:lang w:eastAsia="en-AU"/>
            </w:rPr>
          </w:pPr>
          <w:hyperlink w:anchor="_Toc84413378" w:history="1">
            <w:r w:rsidR="001045AA" w:rsidRPr="00813B80">
              <w:rPr>
                <w:rStyle w:val="Hyperlink"/>
                <w:rFonts w:ascii="Calibri" w:hAnsi="Calibri" w:cs="Calibri"/>
                <w:b/>
                <w:bCs/>
                <w:noProof/>
              </w:rPr>
              <w:t>Other requirements</w:t>
            </w:r>
            <w:r w:rsidR="001045AA">
              <w:rPr>
                <w:noProof/>
                <w:webHidden/>
              </w:rPr>
              <w:tab/>
            </w:r>
            <w:r w:rsidR="001045AA">
              <w:rPr>
                <w:noProof/>
                <w:webHidden/>
              </w:rPr>
              <w:fldChar w:fldCharType="begin"/>
            </w:r>
            <w:r w:rsidR="001045AA">
              <w:rPr>
                <w:noProof/>
                <w:webHidden/>
              </w:rPr>
              <w:instrText xml:space="preserve"> PAGEREF _Toc84413378 \h </w:instrText>
            </w:r>
            <w:r w:rsidR="001045AA">
              <w:rPr>
                <w:noProof/>
                <w:webHidden/>
              </w:rPr>
            </w:r>
            <w:r w:rsidR="001045AA">
              <w:rPr>
                <w:noProof/>
                <w:webHidden/>
              </w:rPr>
              <w:fldChar w:fldCharType="separate"/>
            </w:r>
            <w:r>
              <w:rPr>
                <w:noProof/>
                <w:webHidden/>
              </w:rPr>
              <w:t>5</w:t>
            </w:r>
            <w:r w:rsidR="001045AA">
              <w:rPr>
                <w:noProof/>
                <w:webHidden/>
              </w:rPr>
              <w:fldChar w:fldCharType="end"/>
            </w:r>
          </w:hyperlink>
        </w:p>
        <w:p w14:paraId="5705DC60" w14:textId="44A49EDF" w:rsidR="001045AA" w:rsidRDefault="00341004">
          <w:pPr>
            <w:pStyle w:val="TOC2"/>
            <w:tabs>
              <w:tab w:val="right" w:leader="dot" w:pos="9344"/>
            </w:tabs>
            <w:rPr>
              <w:rFonts w:eastAsiaTheme="minorEastAsia"/>
              <w:noProof/>
              <w:lang w:eastAsia="en-AU"/>
            </w:rPr>
          </w:pPr>
          <w:hyperlink w:anchor="_Toc84413379" w:history="1">
            <w:r w:rsidR="001045AA" w:rsidRPr="00813B80">
              <w:rPr>
                <w:rStyle w:val="Hyperlink"/>
                <w:rFonts w:ascii="Calibri" w:hAnsi="Calibri" w:cs="Calibri"/>
                <w:b/>
                <w:bCs/>
                <w:noProof/>
              </w:rPr>
              <w:t>Identifying Commonwealth funding</w:t>
            </w:r>
            <w:r w:rsidR="001045AA">
              <w:rPr>
                <w:noProof/>
                <w:webHidden/>
              </w:rPr>
              <w:tab/>
            </w:r>
            <w:r w:rsidR="001045AA">
              <w:rPr>
                <w:noProof/>
                <w:webHidden/>
              </w:rPr>
              <w:fldChar w:fldCharType="begin"/>
            </w:r>
            <w:r w:rsidR="001045AA">
              <w:rPr>
                <w:noProof/>
                <w:webHidden/>
              </w:rPr>
              <w:instrText xml:space="preserve"> PAGEREF _Toc84413379 \h </w:instrText>
            </w:r>
            <w:r w:rsidR="001045AA">
              <w:rPr>
                <w:noProof/>
                <w:webHidden/>
              </w:rPr>
            </w:r>
            <w:r w:rsidR="001045AA">
              <w:rPr>
                <w:noProof/>
                <w:webHidden/>
              </w:rPr>
              <w:fldChar w:fldCharType="separate"/>
            </w:r>
            <w:r>
              <w:rPr>
                <w:noProof/>
                <w:webHidden/>
              </w:rPr>
              <w:t>5</w:t>
            </w:r>
            <w:r w:rsidR="001045AA">
              <w:rPr>
                <w:noProof/>
                <w:webHidden/>
              </w:rPr>
              <w:fldChar w:fldCharType="end"/>
            </w:r>
          </w:hyperlink>
        </w:p>
        <w:p w14:paraId="16E4269E" w14:textId="27F1CAC4" w:rsidR="001045AA" w:rsidRDefault="00341004">
          <w:pPr>
            <w:pStyle w:val="TOC2"/>
            <w:tabs>
              <w:tab w:val="right" w:leader="dot" w:pos="9344"/>
            </w:tabs>
            <w:rPr>
              <w:rFonts w:eastAsiaTheme="minorEastAsia"/>
              <w:noProof/>
              <w:lang w:eastAsia="en-AU"/>
            </w:rPr>
          </w:pPr>
          <w:hyperlink w:anchor="_Toc84413380" w:history="1">
            <w:r w:rsidR="001045AA" w:rsidRPr="00813B80">
              <w:rPr>
                <w:rStyle w:val="Hyperlink"/>
                <w:rFonts w:ascii="Calibri" w:hAnsi="Calibri" w:cs="Calibri"/>
                <w:b/>
                <w:bCs/>
                <w:noProof/>
              </w:rPr>
              <w:t>Record keeping</w:t>
            </w:r>
            <w:r w:rsidR="001045AA">
              <w:rPr>
                <w:noProof/>
                <w:webHidden/>
              </w:rPr>
              <w:tab/>
            </w:r>
            <w:r w:rsidR="001045AA">
              <w:rPr>
                <w:noProof/>
                <w:webHidden/>
              </w:rPr>
              <w:fldChar w:fldCharType="begin"/>
            </w:r>
            <w:r w:rsidR="001045AA">
              <w:rPr>
                <w:noProof/>
                <w:webHidden/>
              </w:rPr>
              <w:instrText xml:space="preserve"> PAGEREF _Toc84413380 \h </w:instrText>
            </w:r>
            <w:r w:rsidR="001045AA">
              <w:rPr>
                <w:noProof/>
                <w:webHidden/>
              </w:rPr>
            </w:r>
            <w:r w:rsidR="001045AA">
              <w:rPr>
                <w:noProof/>
                <w:webHidden/>
              </w:rPr>
              <w:fldChar w:fldCharType="separate"/>
            </w:r>
            <w:r>
              <w:rPr>
                <w:noProof/>
                <w:webHidden/>
              </w:rPr>
              <w:t>5</w:t>
            </w:r>
            <w:r w:rsidR="001045AA">
              <w:rPr>
                <w:noProof/>
                <w:webHidden/>
              </w:rPr>
              <w:fldChar w:fldCharType="end"/>
            </w:r>
          </w:hyperlink>
        </w:p>
        <w:p w14:paraId="49AA49C6" w14:textId="521CCEF2" w:rsidR="001045AA" w:rsidRDefault="00341004">
          <w:pPr>
            <w:pStyle w:val="TOC2"/>
            <w:tabs>
              <w:tab w:val="right" w:leader="dot" w:pos="9344"/>
            </w:tabs>
            <w:rPr>
              <w:rFonts w:eastAsiaTheme="minorEastAsia"/>
              <w:noProof/>
              <w:lang w:eastAsia="en-AU"/>
            </w:rPr>
          </w:pPr>
          <w:hyperlink w:anchor="_Toc84413381" w:history="1">
            <w:r w:rsidR="001045AA" w:rsidRPr="00813B80">
              <w:rPr>
                <w:rStyle w:val="Hyperlink"/>
                <w:rFonts w:ascii="Calibri" w:hAnsi="Calibri" w:cs="Calibri"/>
                <w:b/>
                <w:bCs/>
                <w:noProof/>
              </w:rPr>
              <w:t>Access to premises and records, and the provision of information and records</w:t>
            </w:r>
            <w:r w:rsidR="001045AA">
              <w:rPr>
                <w:noProof/>
                <w:webHidden/>
              </w:rPr>
              <w:tab/>
            </w:r>
            <w:r w:rsidR="001045AA">
              <w:rPr>
                <w:noProof/>
                <w:webHidden/>
              </w:rPr>
              <w:fldChar w:fldCharType="begin"/>
            </w:r>
            <w:r w:rsidR="001045AA">
              <w:rPr>
                <w:noProof/>
                <w:webHidden/>
              </w:rPr>
              <w:instrText xml:space="preserve"> PAGEREF _Toc84413381 \h </w:instrText>
            </w:r>
            <w:r w:rsidR="001045AA">
              <w:rPr>
                <w:noProof/>
                <w:webHidden/>
              </w:rPr>
            </w:r>
            <w:r w:rsidR="001045AA">
              <w:rPr>
                <w:noProof/>
                <w:webHidden/>
              </w:rPr>
              <w:fldChar w:fldCharType="separate"/>
            </w:r>
            <w:r>
              <w:rPr>
                <w:noProof/>
                <w:webHidden/>
              </w:rPr>
              <w:t>5</w:t>
            </w:r>
            <w:r w:rsidR="001045AA">
              <w:rPr>
                <w:noProof/>
                <w:webHidden/>
              </w:rPr>
              <w:fldChar w:fldCharType="end"/>
            </w:r>
          </w:hyperlink>
        </w:p>
        <w:p w14:paraId="24DD0A9F" w14:textId="3439E4D8" w:rsidR="001045AA" w:rsidRDefault="00341004">
          <w:pPr>
            <w:pStyle w:val="TOC2"/>
            <w:tabs>
              <w:tab w:val="right" w:leader="dot" w:pos="9344"/>
            </w:tabs>
            <w:rPr>
              <w:rFonts w:eastAsiaTheme="minorEastAsia"/>
              <w:noProof/>
              <w:lang w:eastAsia="en-AU"/>
            </w:rPr>
          </w:pPr>
          <w:hyperlink w:anchor="_Toc84413382" w:history="1">
            <w:r w:rsidR="001045AA" w:rsidRPr="00813B80">
              <w:rPr>
                <w:rStyle w:val="Hyperlink"/>
                <w:rFonts w:ascii="Calibri" w:hAnsi="Calibri" w:cs="Calibri"/>
                <w:b/>
                <w:bCs/>
                <w:noProof/>
              </w:rPr>
              <w:t>Keeping the Minister informed</w:t>
            </w:r>
            <w:r w:rsidR="001045AA">
              <w:rPr>
                <w:noProof/>
                <w:webHidden/>
              </w:rPr>
              <w:tab/>
            </w:r>
            <w:r w:rsidR="001045AA">
              <w:rPr>
                <w:noProof/>
                <w:webHidden/>
              </w:rPr>
              <w:fldChar w:fldCharType="begin"/>
            </w:r>
            <w:r w:rsidR="001045AA">
              <w:rPr>
                <w:noProof/>
                <w:webHidden/>
              </w:rPr>
              <w:instrText xml:space="preserve"> PAGEREF _Toc84413382 \h </w:instrText>
            </w:r>
            <w:r w:rsidR="001045AA">
              <w:rPr>
                <w:noProof/>
                <w:webHidden/>
              </w:rPr>
            </w:r>
            <w:r w:rsidR="001045AA">
              <w:rPr>
                <w:noProof/>
                <w:webHidden/>
              </w:rPr>
              <w:fldChar w:fldCharType="separate"/>
            </w:r>
            <w:r>
              <w:rPr>
                <w:noProof/>
                <w:webHidden/>
              </w:rPr>
              <w:t>5</w:t>
            </w:r>
            <w:r w:rsidR="001045AA">
              <w:rPr>
                <w:noProof/>
                <w:webHidden/>
              </w:rPr>
              <w:fldChar w:fldCharType="end"/>
            </w:r>
          </w:hyperlink>
        </w:p>
        <w:p w14:paraId="4EED397F" w14:textId="076DD49D" w:rsidR="001045AA" w:rsidRDefault="00341004">
          <w:pPr>
            <w:pStyle w:val="TOC2"/>
            <w:tabs>
              <w:tab w:val="right" w:leader="dot" w:pos="9344"/>
            </w:tabs>
            <w:rPr>
              <w:rFonts w:eastAsiaTheme="minorEastAsia"/>
              <w:noProof/>
              <w:lang w:eastAsia="en-AU"/>
            </w:rPr>
          </w:pPr>
          <w:hyperlink w:anchor="_Toc84413383" w:history="1">
            <w:r w:rsidR="001045AA" w:rsidRPr="00813B80">
              <w:rPr>
                <w:rStyle w:val="Hyperlink"/>
                <w:rFonts w:ascii="Calibri" w:hAnsi="Calibri" w:cs="Calibri"/>
                <w:b/>
                <w:bCs/>
                <w:noProof/>
              </w:rPr>
              <w:t>Information to the public about financial assistance</w:t>
            </w:r>
            <w:r w:rsidR="001045AA">
              <w:rPr>
                <w:noProof/>
                <w:webHidden/>
              </w:rPr>
              <w:tab/>
            </w:r>
            <w:r w:rsidR="001045AA">
              <w:rPr>
                <w:noProof/>
                <w:webHidden/>
              </w:rPr>
              <w:fldChar w:fldCharType="begin"/>
            </w:r>
            <w:r w:rsidR="001045AA">
              <w:rPr>
                <w:noProof/>
                <w:webHidden/>
              </w:rPr>
              <w:instrText xml:space="preserve"> PAGEREF _Toc84413383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7DC39EC4" w14:textId="6EF85582" w:rsidR="001045AA" w:rsidRDefault="00341004">
          <w:pPr>
            <w:pStyle w:val="TOC2"/>
            <w:tabs>
              <w:tab w:val="right" w:leader="dot" w:pos="9344"/>
            </w:tabs>
            <w:rPr>
              <w:rFonts w:eastAsiaTheme="minorEastAsia"/>
              <w:noProof/>
              <w:lang w:eastAsia="en-AU"/>
            </w:rPr>
          </w:pPr>
          <w:hyperlink w:anchor="_Toc84413384" w:history="1">
            <w:r w:rsidR="001045AA" w:rsidRPr="00813B80">
              <w:rPr>
                <w:rStyle w:val="Hyperlink"/>
                <w:rFonts w:ascii="Calibri" w:hAnsi="Calibri" w:cs="Calibri"/>
                <w:b/>
                <w:bCs/>
                <w:noProof/>
              </w:rPr>
              <w:t>Other applicable legislation</w:t>
            </w:r>
            <w:r w:rsidR="001045AA">
              <w:rPr>
                <w:noProof/>
                <w:webHidden/>
              </w:rPr>
              <w:tab/>
            </w:r>
            <w:r w:rsidR="001045AA">
              <w:rPr>
                <w:noProof/>
                <w:webHidden/>
              </w:rPr>
              <w:fldChar w:fldCharType="begin"/>
            </w:r>
            <w:r w:rsidR="001045AA">
              <w:rPr>
                <w:noProof/>
                <w:webHidden/>
              </w:rPr>
              <w:instrText xml:space="preserve"> PAGEREF _Toc84413384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54AEB90B" w14:textId="2A2CE231" w:rsidR="001045AA" w:rsidRDefault="00341004">
          <w:pPr>
            <w:pStyle w:val="TOC2"/>
            <w:tabs>
              <w:tab w:val="right" w:leader="dot" w:pos="9344"/>
            </w:tabs>
            <w:rPr>
              <w:rFonts w:eastAsiaTheme="minorEastAsia"/>
              <w:noProof/>
              <w:lang w:eastAsia="en-AU"/>
            </w:rPr>
          </w:pPr>
          <w:hyperlink w:anchor="_Toc84413385" w:history="1">
            <w:r w:rsidR="001045AA" w:rsidRPr="00813B80">
              <w:rPr>
                <w:rStyle w:val="Hyperlink"/>
                <w:rFonts w:ascii="Calibri" w:hAnsi="Calibri" w:cs="Calibri"/>
                <w:b/>
                <w:bCs/>
                <w:noProof/>
              </w:rPr>
              <w:t>Criminal Code</w:t>
            </w:r>
            <w:r w:rsidR="001045AA">
              <w:rPr>
                <w:noProof/>
                <w:webHidden/>
              </w:rPr>
              <w:tab/>
            </w:r>
            <w:r w:rsidR="001045AA">
              <w:rPr>
                <w:noProof/>
                <w:webHidden/>
              </w:rPr>
              <w:fldChar w:fldCharType="begin"/>
            </w:r>
            <w:r w:rsidR="001045AA">
              <w:rPr>
                <w:noProof/>
                <w:webHidden/>
              </w:rPr>
              <w:instrText xml:space="preserve"> PAGEREF _Toc84413385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4DFDADF1" w14:textId="4B04705A" w:rsidR="001045AA" w:rsidRDefault="00341004">
          <w:pPr>
            <w:pStyle w:val="TOC2"/>
            <w:tabs>
              <w:tab w:val="right" w:leader="dot" w:pos="9344"/>
            </w:tabs>
            <w:rPr>
              <w:rFonts w:eastAsiaTheme="minorEastAsia"/>
              <w:noProof/>
              <w:lang w:eastAsia="en-AU"/>
            </w:rPr>
          </w:pPr>
          <w:hyperlink w:anchor="_Toc84413386" w:history="1">
            <w:r w:rsidR="001045AA" w:rsidRPr="00813B80">
              <w:rPr>
                <w:rStyle w:val="Hyperlink"/>
                <w:rFonts w:ascii="Calibri" w:hAnsi="Calibri" w:cs="Calibri"/>
                <w:b/>
                <w:bCs/>
                <w:noProof/>
              </w:rPr>
              <w:t>Consequences for not complying with the Act, the Regulation or these Guidelines</w:t>
            </w:r>
            <w:r w:rsidR="001045AA">
              <w:rPr>
                <w:noProof/>
                <w:webHidden/>
              </w:rPr>
              <w:tab/>
            </w:r>
            <w:r w:rsidR="001045AA">
              <w:rPr>
                <w:noProof/>
                <w:webHidden/>
              </w:rPr>
              <w:fldChar w:fldCharType="begin"/>
            </w:r>
            <w:r w:rsidR="001045AA">
              <w:rPr>
                <w:noProof/>
                <w:webHidden/>
              </w:rPr>
              <w:instrText xml:space="preserve"> PAGEREF _Toc84413386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1806D351" w14:textId="177200AA" w:rsidR="001045AA" w:rsidRDefault="00341004">
          <w:pPr>
            <w:pStyle w:val="TOC2"/>
            <w:tabs>
              <w:tab w:val="right" w:leader="dot" w:pos="9344"/>
            </w:tabs>
            <w:rPr>
              <w:rFonts w:eastAsiaTheme="minorEastAsia"/>
              <w:noProof/>
              <w:lang w:eastAsia="en-AU"/>
            </w:rPr>
          </w:pPr>
          <w:hyperlink w:anchor="_Toc84413387" w:history="1">
            <w:r w:rsidR="001045AA" w:rsidRPr="00813B80">
              <w:rPr>
                <w:rStyle w:val="Hyperlink"/>
                <w:rFonts w:ascii="Calibri" w:hAnsi="Calibri" w:cs="Calibri"/>
                <w:b/>
                <w:bCs/>
                <w:noProof/>
              </w:rPr>
              <w:t>Information management</w:t>
            </w:r>
            <w:r w:rsidR="001045AA">
              <w:rPr>
                <w:noProof/>
                <w:webHidden/>
              </w:rPr>
              <w:tab/>
            </w:r>
            <w:r w:rsidR="001045AA">
              <w:rPr>
                <w:noProof/>
                <w:webHidden/>
              </w:rPr>
              <w:fldChar w:fldCharType="begin"/>
            </w:r>
            <w:r w:rsidR="001045AA">
              <w:rPr>
                <w:noProof/>
                <w:webHidden/>
              </w:rPr>
              <w:instrText xml:space="preserve"> PAGEREF _Toc84413387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58E578F4" w14:textId="34C54CBD" w:rsidR="001045AA" w:rsidRDefault="00341004">
          <w:pPr>
            <w:pStyle w:val="TOC2"/>
            <w:tabs>
              <w:tab w:val="right" w:leader="dot" w:pos="9344"/>
            </w:tabs>
            <w:rPr>
              <w:rFonts w:eastAsiaTheme="minorEastAsia"/>
              <w:noProof/>
              <w:lang w:eastAsia="en-AU"/>
            </w:rPr>
          </w:pPr>
          <w:hyperlink w:anchor="_Toc84413388" w:history="1">
            <w:r w:rsidR="001045AA" w:rsidRPr="00813B80">
              <w:rPr>
                <w:rStyle w:val="Hyperlink"/>
                <w:rFonts w:ascii="Calibri" w:hAnsi="Calibri" w:cs="Calibri"/>
                <w:b/>
                <w:bCs/>
                <w:noProof/>
              </w:rPr>
              <w:t>Department contact information</w:t>
            </w:r>
            <w:r w:rsidR="001045AA">
              <w:rPr>
                <w:noProof/>
                <w:webHidden/>
              </w:rPr>
              <w:tab/>
            </w:r>
            <w:r w:rsidR="001045AA">
              <w:rPr>
                <w:noProof/>
                <w:webHidden/>
              </w:rPr>
              <w:fldChar w:fldCharType="begin"/>
            </w:r>
            <w:r w:rsidR="001045AA">
              <w:rPr>
                <w:noProof/>
                <w:webHidden/>
              </w:rPr>
              <w:instrText xml:space="preserve"> PAGEREF _Toc84413388 \h </w:instrText>
            </w:r>
            <w:r w:rsidR="001045AA">
              <w:rPr>
                <w:noProof/>
                <w:webHidden/>
              </w:rPr>
            </w:r>
            <w:r w:rsidR="001045AA">
              <w:rPr>
                <w:noProof/>
                <w:webHidden/>
              </w:rPr>
              <w:fldChar w:fldCharType="separate"/>
            </w:r>
            <w:r>
              <w:rPr>
                <w:noProof/>
                <w:webHidden/>
              </w:rPr>
              <w:t>6</w:t>
            </w:r>
            <w:r w:rsidR="001045AA">
              <w:rPr>
                <w:noProof/>
                <w:webHidden/>
              </w:rPr>
              <w:fldChar w:fldCharType="end"/>
            </w:r>
          </w:hyperlink>
        </w:p>
        <w:p w14:paraId="421A1479" w14:textId="765E211F" w:rsidR="00AB1E9A" w:rsidRPr="00AB1E9A" w:rsidRDefault="00AB1E9A" w:rsidP="009C0FAF">
          <w:pPr>
            <w:spacing w:after="120" w:line="300" w:lineRule="exact"/>
            <w:rPr>
              <w:rFonts w:ascii="Calibri" w:eastAsia="Times New Roman" w:hAnsi="Calibri" w:cs="Times New Roman"/>
              <w:noProof/>
              <w:szCs w:val="24"/>
            </w:rPr>
          </w:pPr>
          <w:r w:rsidRPr="006D10DD">
            <w:rPr>
              <w:rFonts w:ascii="Calibri" w:eastAsia="Times New Roman" w:hAnsi="Calibri" w:cs="Calibri"/>
              <w:b/>
              <w:bCs/>
              <w:noProof/>
              <w:color w:val="000000" w:themeColor="text1"/>
              <w:szCs w:val="24"/>
            </w:rPr>
            <w:fldChar w:fldCharType="end"/>
          </w:r>
        </w:p>
      </w:sdtContent>
    </w:sdt>
    <w:p w14:paraId="7D904197" w14:textId="77777777" w:rsidR="00EE2A26" w:rsidRDefault="00EE2A26" w:rsidP="00047D1D">
      <w:pPr>
        <w:spacing w:after="120" w:line="300" w:lineRule="exact"/>
        <w:ind w:left="709" w:hanging="709"/>
        <w:rPr>
          <w:rFonts w:ascii="Calibri" w:eastAsia="Times New Roman" w:hAnsi="Calibri" w:cs="Times New Roman"/>
          <w:sz w:val="24"/>
          <w:szCs w:val="24"/>
        </w:rPr>
        <w:sectPr w:rsidR="00EE2A26" w:rsidSect="0065301D">
          <w:footerReference w:type="first" r:id="rId18"/>
          <w:pgSz w:w="11906" w:h="16838"/>
          <w:pgMar w:top="1418" w:right="1134" w:bottom="1418" w:left="1418" w:header="567" w:footer="709" w:gutter="0"/>
          <w:cols w:space="708"/>
          <w:docGrid w:linePitch="360"/>
        </w:sectPr>
      </w:pPr>
    </w:p>
    <w:p w14:paraId="223143AE" w14:textId="77777777" w:rsidR="00AB1E9A" w:rsidRPr="001E21AA" w:rsidRDefault="00AB1E9A" w:rsidP="001E21AA">
      <w:pPr>
        <w:pStyle w:val="Heading2"/>
        <w:rPr>
          <w:rFonts w:ascii="Calibri" w:hAnsi="Calibri" w:cs="Calibri"/>
          <w:b/>
          <w:bCs/>
          <w:color w:val="000000" w:themeColor="text1"/>
          <w:sz w:val="22"/>
          <w:szCs w:val="22"/>
        </w:rPr>
      </w:pPr>
      <w:bookmarkStart w:id="1" w:name="_Toc16756165"/>
      <w:bookmarkStart w:id="2" w:name="_Toc84413371"/>
      <w:r w:rsidRPr="001E21AA">
        <w:rPr>
          <w:rFonts w:ascii="Calibri" w:hAnsi="Calibri" w:cs="Calibri"/>
          <w:b/>
          <w:bCs/>
          <w:color w:val="000000" w:themeColor="text1"/>
          <w:sz w:val="22"/>
          <w:szCs w:val="22"/>
        </w:rPr>
        <w:lastRenderedPageBreak/>
        <w:t>Preamble</w:t>
      </w:r>
      <w:bookmarkEnd w:id="1"/>
      <w:bookmarkEnd w:id="2"/>
    </w:p>
    <w:p w14:paraId="7633D5DB" w14:textId="351C0781" w:rsidR="00232144" w:rsidRDefault="00232144" w:rsidP="00FE3113">
      <w:pPr>
        <w:spacing w:after="120" w:line="240" w:lineRule="auto"/>
      </w:pPr>
      <w:r>
        <w:t xml:space="preserve">The Non-Government Reform Support Fund (Reform Support </w:t>
      </w:r>
      <w:r w:rsidR="00393F2F">
        <w:t>F</w:t>
      </w:r>
      <w:r>
        <w:t>und</w:t>
      </w:r>
      <w:r w:rsidR="00EC59FF">
        <w:t>)</w:t>
      </w:r>
      <w:r>
        <w:t xml:space="preserve"> commenced 1 January 2018 and will cease 31 December 2022.</w:t>
      </w:r>
      <w:r w:rsidR="00376CCB">
        <w:t xml:space="preserve"> </w:t>
      </w:r>
    </w:p>
    <w:p w14:paraId="27E47CE2" w14:textId="7D68084F" w:rsidR="006032BB" w:rsidRPr="00A85A89" w:rsidRDefault="00D66CA7" w:rsidP="00FE3113">
      <w:pPr>
        <w:spacing w:after="120" w:line="240" w:lineRule="auto"/>
        <w:rPr>
          <w:rFonts w:eastAsia="Times New Roman" w:cstheme="minorHAnsi"/>
          <w:szCs w:val="24"/>
          <w:lang w:eastAsia="en-AU"/>
        </w:rPr>
      </w:pPr>
      <w:r w:rsidRPr="00B0020C">
        <w:t>T</w:t>
      </w:r>
      <w:r w:rsidR="00AB1E9A" w:rsidRPr="00B0020C">
        <w:t>he Australian Government announced the Reform Su</w:t>
      </w:r>
      <w:r w:rsidR="00EF4731" w:rsidRPr="00B0020C">
        <w:t xml:space="preserve">pport Fund </w:t>
      </w:r>
      <w:r w:rsidRPr="00B0020C">
        <w:t xml:space="preserve">as part of the </w:t>
      </w:r>
      <w:r w:rsidRPr="004A2D62">
        <w:rPr>
          <w:i/>
          <w:iCs/>
        </w:rPr>
        <w:t>Quality Schools</w:t>
      </w:r>
      <w:r w:rsidRPr="00B0020C">
        <w:t xml:space="preserve"> package</w:t>
      </w:r>
      <w:r w:rsidR="00BF10C6" w:rsidRPr="00B0020C">
        <w:t xml:space="preserve"> to provide </w:t>
      </w:r>
      <w:r w:rsidR="00AB1E9A" w:rsidRPr="00B0020C">
        <w:t>$</w:t>
      </w:r>
      <w:r w:rsidR="00BF10C6" w:rsidRPr="00B0020C">
        <w:t>200</w:t>
      </w:r>
      <w:r w:rsidR="00AB1E9A" w:rsidRPr="00B0020C">
        <w:t xml:space="preserve"> million over five years from </w:t>
      </w:r>
      <w:r w:rsidR="005F3D1D" w:rsidRPr="00B0020C">
        <w:t xml:space="preserve">1 January </w:t>
      </w:r>
      <w:r w:rsidR="00AB1E9A" w:rsidRPr="00B0020C">
        <w:t xml:space="preserve">2018 to </w:t>
      </w:r>
      <w:r w:rsidR="00671740" w:rsidRPr="00B0020C">
        <w:t xml:space="preserve">31 December </w:t>
      </w:r>
      <w:r w:rsidR="00AB1E9A" w:rsidRPr="00B0020C">
        <w:t>2022</w:t>
      </w:r>
      <w:r w:rsidR="00232144">
        <w:t>.</w:t>
      </w:r>
      <w:r w:rsidR="0001492B">
        <w:t xml:space="preserve"> </w:t>
      </w:r>
      <w:r w:rsidR="00232144">
        <w:t xml:space="preserve">The Reform Support Fund provides funding </w:t>
      </w:r>
      <w:r w:rsidR="0001492B">
        <w:t>to</w:t>
      </w:r>
      <w:r w:rsidR="00A237BF">
        <w:t xml:space="preserve"> Non-Government Representative Bodies (NGRBs) </w:t>
      </w:r>
      <w:r w:rsidR="0001492B">
        <w:t>to</w:t>
      </w:r>
      <w:r w:rsidR="00A237BF">
        <w:t xml:space="preserve"> support </w:t>
      </w:r>
      <w:r w:rsidR="003159BA">
        <w:t xml:space="preserve">non-government </w:t>
      </w:r>
      <w:r w:rsidR="00A237BF">
        <w:t>schools in the implementation of national and state/territory school reform policy initiatives.</w:t>
      </w:r>
      <w:r w:rsidR="006D4306" w:rsidRPr="00B0020C">
        <w:t xml:space="preserve"> These initiatives </w:t>
      </w:r>
      <w:r w:rsidR="00534E5A" w:rsidRPr="00B0020C">
        <w:t>are</w:t>
      </w:r>
      <w:r w:rsidR="006D4306" w:rsidRPr="00B0020C">
        <w:t xml:space="preserve"> reflected in the </w:t>
      </w:r>
      <w:r w:rsidR="00524A81" w:rsidRPr="00B0020C">
        <w:t>national and bilateral a</w:t>
      </w:r>
      <w:r w:rsidR="006D4306" w:rsidRPr="00B0020C">
        <w:t>greements between the Commonwealth and the states and territories</w:t>
      </w:r>
      <w:r w:rsidR="00E36D6F" w:rsidRPr="00B0020C">
        <w:t xml:space="preserve">. </w:t>
      </w:r>
    </w:p>
    <w:p w14:paraId="5D75C307" w14:textId="77777777" w:rsidR="00EC59FF" w:rsidRPr="0048161B" w:rsidRDefault="00EC59FF" w:rsidP="00EC59FF">
      <w:pPr>
        <w:spacing w:after="120" w:line="240" w:lineRule="auto"/>
        <w:rPr>
          <w:rFonts w:eastAsia="Times New Roman" w:cstheme="minorHAnsi"/>
          <w:szCs w:val="24"/>
          <w:lang w:eastAsia="en-AU"/>
        </w:rPr>
      </w:pPr>
      <w:r w:rsidRPr="0048161B">
        <w:rPr>
          <w:rFonts w:eastAsia="Times New Roman" w:cstheme="minorHAnsi"/>
          <w:szCs w:val="24"/>
          <w:lang w:eastAsia="en-AU"/>
        </w:rPr>
        <w:t xml:space="preserve">NGRBs are bodies approved by the Minister under section 91 of the </w:t>
      </w:r>
      <w:r w:rsidRPr="003159BA">
        <w:rPr>
          <w:rFonts w:eastAsia="Times New Roman" w:cstheme="minorHAnsi"/>
          <w:i/>
          <w:iCs/>
          <w:szCs w:val="24"/>
          <w:lang w:eastAsia="en-AU"/>
        </w:rPr>
        <w:t>Australian Education Act 2013</w:t>
      </w:r>
      <w:r w:rsidRPr="0048161B">
        <w:rPr>
          <w:rFonts w:eastAsia="Times New Roman" w:cstheme="minorHAnsi"/>
          <w:szCs w:val="24"/>
          <w:lang w:eastAsia="en-AU"/>
        </w:rPr>
        <w:t xml:space="preserve"> (the Act</w:t>
      </w:r>
      <w:r w:rsidRPr="0016476F">
        <w:rPr>
          <w:rFonts w:eastAsia="Times New Roman" w:cstheme="minorHAnsi"/>
          <w:szCs w:val="24"/>
          <w:lang w:eastAsia="en-AU"/>
        </w:rPr>
        <w:t xml:space="preserve">). </w:t>
      </w:r>
    </w:p>
    <w:p w14:paraId="502C196E" w14:textId="5B182688" w:rsidR="00957095" w:rsidRPr="0048161B" w:rsidRDefault="00EF4731" w:rsidP="0080489E">
      <w:pPr>
        <w:spacing w:after="120" w:line="240" w:lineRule="auto"/>
        <w:rPr>
          <w:rFonts w:eastAsia="Times New Roman" w:cstheme="minorHAnsi"/>
          <w:szCs w:val="24"/>
          <w:lang w:eastAsia="en-AU"/>
        </w:rPr>
      </w:pPr>
      <w:r w:rsidRPr="0048161B">
        <w:rPr>
          <w:rFonts w:eastAsia="Times New Roman" w:cstheme="minorHAnsi"/>
          <w:szCs w:val="24"/>
          <w:lang w:eastAsia="en-AU"/>
        </w:rPr>
        <w:t>Section 31 of the Australian Education Regulation 2013 (the Regulation) states that</w:t>
      </w:r>
      <w:r w:rsidR="00957095" w:rsidRPr="0048161B">
        <w:rPr>
          <w:rFonts w:eastAsia="Times New Roman" w:cstheme="minorHAnsi"/>
          <w:szCs w:val="24"/>
          <w:lang w:eastAsia="en-AU"/>
        </w:rPr>
        <w:t xml:space="preserve"> financial assistance that is payable to an NGRB under Division 4 of Part 5 of the Act (funding for NGRBs)</w:t>
      </w:r>
      <w:r w:rsidR="0080489E" w:rsidRPr="0048161B">
        <w:rPr>
          <w:rFonts w:eastAsia="Times New Roman" w:cstheme="minorHAnsi"/>
          <w:szCs w:val="24"/>
          <w:lang w:eastAsia="en-AU"/>
        </w:rPr>
        <w:t xml:space="preserve"> </w:t>
      </w:r>
      <w:r w:rsidRPr="0048161B">
        <w:rPr>
          <w:rFonts w:eastAsia="Times New Roman" w:cstheme="minorHAnsi"/>
          <w:szCs w:val="24"/>
          <w:lang w:eastAsia="en-AU"/>
        </w:rPr>
        <w:t>must be used by NGRBs for the purposes of supporting school education and in accordance with these Guidelines.</w:t>
      </w:r>
      <w:r w:rsidR="00264C72" w:rsidRPr="0048161B">
        <w:rPr>
          <w:rFonts w:eastAsia="Times New Roman" w:cstheme="minorHAnsi"/>
          <w:szCs w:val="24"/>
          <w:lang w:eastAsia="en-AU"/>
        </w:rPr>
        <w:t xml:space="preserve"> </w:t>
      </w:r>
      <w:r w:rsidR="00AB1E9A" w:rsidRPr="0048161B">
        <w:rPr>
          <w:rFonts w:eastAsia="Times New Roman" w:cstheme="minorHAnsi"/>
          <w:szCs w:val="24"/>
          <w:lang w:eastAsia="en-AU"/>
        </w:rPr>
        <w:t>The</w:t>
      </w:r>
      <w:r w:rsidR="00CE0091" w:rsidRPr="0048161B">
        <w:rPr>
          <w:rFonts w:eastAsia="Times New Roman" w:cstheme="minorHAnsi"/>
          <w:szCs w:val="24"/>
          <w:lang w:eastAsia="en-AU"/>
        </w:rPr>
        <w:t>se</w:t>
      </w:r>
      <w:r w:rsidR="00AB1E9A" w:rsidRPr="0048161B">
        <w:rPr>
          <w:rFonts w:eastAsia="Times New Roman" w:cstheme="minorHAnsi"/>
          <w:szCs w:val="24"/>
          <w:lang w:eastAsia="en-AU"/>
        </w:rPr>
        <w:t xml:space="preserve"> Guidelines </w:t>
      </w:r>
      <w:r w:rsidR="00264C72" w:rsidRPr="0048161B">
        <w:rPr>
          <w:rFonts w:eastAsia="Times New Roman" w:cstheme="minorHAnsi"/>
          <w:szCs w:val="24"/>
          <w:lang w:eastAsia="en-AU"/>
        </w:rPr>
        <w:t xml:space="preserve">take effect </w:t>
      </w:r>
      <w:r w:rsidR="00753319" w:rsidRPr="0048161B">
        <w:rPr>
          <w:rFonts w:eastAsia="Times New Roman" w:cstheme="minorHAnsi"/>
          <w:szCs w:val="24"/>
          <w:lang w:eastAsia="en-AU"/>
        </w:rPr>
        <w:t>from the date of approval by the Minister</w:t>
      </w:r>
      <w:r w:rsidR="0020662D" w:rsidRPr="0048161B">
        <w:rPr>
          <w:rFonts w:eastAsia="Times New Roman" w:cstheme="minorHAnsi"/>
          <w:szCs w:val="24"/>
          <w:lang w:eastAsia="en-AU"/>
        </w:rPr>
        <w:t xml:space="preserve"> and </w:t>
      </w:r>
      <w:r w:rsidR="00C937BA" w:rsidRPr="00C83DC7">
        <w:rPr>
          <w:rFonts w:eastAsia="Times New Roman" w:cstheme="minorHAnsi"/>
          <w:color w:val="000000" w:themeColor="text1"/>
          <w:szCs w:val="24"/>
          <w:lang w:eastAsia="en-AU"/>
        </w:rPr>
        <w:t xml:space="preserve">apply to the remaining activity under the Reform Support Fund. </w:t>
      </w:r>
      <w:r w:rsidR="0020662D" w:rsidRPr="00C83DC7">
        <w:rPr>
          <w:rFonts w:eastAsia="Times New Roman" w:cstheme="minorHAnsi"/>
          <w:color w:val="000000" w:themeColor="text1"/>
          <w:szCs w:val="24"/>
          <w:lang w:eastAsia="en-AU"/>
        </w:rPr>
        <w:t xml:space="preserve"> </w:t>
      </w:r>
      <w:r w:rsidR="00950A80" w:rsidRPr="0048161B">
        <w:rPr>
          <w:rFonts w:eastAsia="Times New Roman" w:cstheme="minorHAnsi"/>
          <w:szCs w:val="24"/>
          <w:lang w:eastAsia="en-AU"/>
        </w:rPr>
        <w:t>They</w:t>
      </w:r>
      <w:r w:rsidR="0020662D" w:rsidRPr="0048161B">
        <w:rPr>
          <w:rFonts w:eastAsia="Times New Roman" w:cstheme="minorHAnsi"/>
          <w:szCs w:val="24"/>
          <w:lang w:eastAsia="en-AU"/>
        </w:rPr>
        <w:t xml:space="preserve"> </w:t>
      </w:r>
      <w:r w:rsidR="00AB1E9A" w:rsidRPr="0048161B">
        <w:rPr>
          <w:rFonts w:eastAsia="Times New Roman" w:cstheme="minorHAnsi"/>
          <w:szCs w:val="24"/>
          <w:lang w:eastAsia="en-AU"/>
        </w:rPr>
        <w:t>set out the Australian Government’s requirements in relation to the administration, use and reporting of the Reform Support Fund.</w:t>
      </w:r>
      <w:r w:rsidR="002A427E" w:rsidRPr="0048161B">
        <w:rPr>
          <w:rFonts w:eastAsia="Times New Roman" w:cstheme="minorHAnsi"/>
          <w:szCs w:val="24"/>
          <w:lang w:eastAsia="en-AU"/>
        </w:rPr>
        <w:t xml:space="preserve"> </w:t>
      </w:r>
      <w:r w:rsidR="00DE0212" w:rsidRPr="0048161B">
        <w:rPr>
          <w:rFonts w:eastAsia="Times New Roman" w:cstheme="minorHAnsi"/>
          <w:szCs w:val="24"/>
          <w:lang w:eastAsia="en-AU"/>
        </w:rPr>
        <w:t xml:space="preserve">These Guidelines only apply to funding received from the Reform Support Fund. </w:t>
      </w:r>
    </w:p>
    <w:p w14:paraId="6EF1957B" w14:textId="3BF05C37" w:rsidR="00AB1E9A" w:rsidRPr="0048161B" w:rsidRDefault="00AB1E9A" w:rsidP="00264C72">
      <w:pPr>
        <w:spacing w:after="120" w:line="240" w:lineRule="auto"/>
        <w:rPr>
          <w:rFonts w:eastAsia="Times New Roman" w:cstheme="minorHAnsi"/>
          <w:szCs w:val="24"/>
          <w:lang w:eastAsia="en-AU"/>
        </w:rPr>
      </w:pPr>
      <w:r w:rsidRPr="0048161B">
        <w:rPr>
          <w:rFonts w:eastAsia="Times New Roman" w:cstheme="minorHAnsi"/>
          <w:szCs w:val="24"/>
          <w:lang w:eastAsia="en-AU"/>
        </w:rPr>
        <w:t xml:space="preserve">The </w:t>
      </w:r>
      <w:r w:rsidR="00FE3113" w:rsidRPr="0048161B">
        <w:rPr>
          <w:rFonts w:eastAsia="Times New Roman" w:cstheme="minorHAnsi"/>
          <w:szCs w:val="24"/>
          <w:lang w:eastAsia="en-AU"/>
        </w:rPr>
        <w:t>Department of Education</w:t>
      </w:r>
      <w:r w:rsidR="008D676B" w:rsidRPr="0048161B">
        <w:rPr>
          <w:rFonts w:eastAsia="Times New Roman" w:cstheme="minorHAnsi"/>
          <w:szCs w:val="24"/>
          <w:lang w:eastAsia="en-AU"/>
        </w:rPr>
        <w:t xml:space="preserve">, </w:t>
      </w:r>
      <w:proofErr w:type="gramStart"/>
      <w:r w:rsidR="008D676B" w:rsidRPr="0048161B">
        <w:rPr>
          <w:rFonts w:eastAsia="Times New Roman" w:cstheme="minorHAnsi"/>
          <w:szCs w:val="24"/>
          <w:lang w:eastAsia="en-AU"/>
        </w:rPr>
        <w:t>Skills</w:t>
      </w:r>
      <w:proofErr w:type="gramEnd"/>
      <w:r w:rsidR="008D676B" w:rsidRPr="0048161B">
        <w:rPr>
          <w:rFonts w:eastAsia="Times New Roman" w:cstheme="minorHAnsi"/>
          <w:szCs w:val="24"/>
          <w:lang w:eastAsia="en-AU"/>
        </w:rPr>
        <w:t xml:space="preserve"> and Employment</w:t>
      </w:r>
      <w:r w:rsidR="00FE3113" w:rsidRPr="0048161B">
        <w:rPr>
          <w:rFonts w:eastAsia="Times New Roman" w:cstheme="minorHAnsi"/>
          <w:szCs w:val="24"/>
          <w:lang w:eastAsia="en-AU"/>
        </w:rPr>
        <w:t xml:space="preserve"> (the </w:t>
      </w:r>
      <w:r w:rsidR="003159BA">
        <w:rPr>
          <w:rFonts w:eastAsia="Times New Roman" w:cstheme="minorHAnsi"/>
          <w:szCs w:val="24"/>
          <w:lang w:eastAsia="en-AU"/>
        </w:rPr>
        <w:t>d</w:t>
      </w:r>
      <w:r w:rsidRPr="0048161B">
        <w:rPr>
          <w:rFonts w:eastAsia="Times New Roman" w:cstheme="minorHAnsi"/>
          <w:szCs w:val="24"/>
          <w:lang w:eastAsia="en-AU"/>
        </w:rPr>
        <w:t>epartment</w:t>
      </w:r>
      <w:r w:rsidR="00FE3113" w:rsidRPr="0048161B">
        <w:rPr>
          <w:rFonts w:eastAsia="Times New Roman" w:cstheme="minorHAnsi"/>
          <w:szCs w:val="24"/>
          <w:lang w:eastAsia="en-AU"/>
        </w:rPr>
        <w:t>)</w:t>
      </w:r>
      <w:r w:rsidRPr="0048161B">
        <w:rPr>
          <w:rFonts w:eastAsia="Times New Roman" w:cstheme="minorHAnsi"/>
          <w:szCs w:val="24"/>
          <w:lang w:eastAsia="en-AU"/>
        </w:rPr>
        <w:t xml:space="preserve"> may review and update the Guidelines as require</w:t>
      </w:r>
      <w:r w:rsidR="00264C72" w:rsidRPr="0048161B">
        <w:rPr>
          <w:rFonts w:eastAsia="Times New Roman" w:cstheme="minorHAnsi"/>
          <w:szCs w:val="24"/>
          <w:lang w:eastAsia="en-AU"/>
        </w:rPr>
        <w:t>d</w:t>
      </w:r>
      <w:r w:rsidRPr="0048161B">
        <w:rPr>
          <w:rFonts w:eastAsia="Times New Roman" w:cstheme="minorHAnsi"/>
          <w:szCs w:val="24"/>
          <w:lang w:eastAsia="en-AU"/>
        </w:rPr>
        <w:t>. The d</w:t>
      </w:r>
      <w:r w:rsidR="00264C72" w:rsidRPr="0048161B">
        <w:rPr>
          <w:rFonts w:eastAsia="Times New Roman" w:cstheme="minorHAnsi"/>
          <w:szCs w:val="24"/>
          <w:lang w:eastAsia="en-AU"/>
        </w:rPr>
        <w:t>epartment will consult with NGRBs</w:t>
      </w:r>
      <w:r w:rsidRPr="0048161B">
        <w:rPr>
          <w:rFonts w:eastAsia="Times New Roman" w:cstheme="minorHAnsi"/>
          <w:szCs w:val="24"/>
          <w:lang w:eastAsia="en-AU"/>
        </w:rPr>
        <w:t xml:space="preserve"> </w:t>
      </w:r>
      <w:r w:rsidR="00D66CA7" w:rsidRPr="0048161B">
        <w:rPr>
          <w:rFonts w:eastAsia="Times New Roman" w:cstheme="minorHAnsi"/>
          <w:szCs w:val="24"/>
          <w:lang w:eastAsia="en-AU"/>
        </w:rPr>
        <w:t xml:space="preserve">and states </w:t>
      </w:r>
      <w:r w:rsidR="00AD7D8F" w:rsidRPr="0048161B">
        <w:rPr>
          <w:rFonts w:eastAsia="Times New Roman" w:cstheme="minorHAnsi"/>
          <w:szCs w:val="24"/>
          <w:lang w:eastAsia="en-AU"/>
        </w:rPr>
        <w:t xml:space="preserve">and </w:t>
      </w:r>
      <w:r w:rsidR="006639AE" w:rsidRPr="0048161B">
        <w:rPr>
          <w:rFonts w:eastAsia="Times New Roman" w:cstheme="minorHAnsi"/>
          <w:szCs w:val="24"/>
          <w:lang w:eastAsia="en-AU"/>
        </w:rPr>
        <w:t xml:space="preserve">territories </w:t>
      </w:r>
      <w:r w:rsidRPr="0048161B">
        <w:rPr>
          <w:rFonts w:eastAsia="Times New Roman" w:cstheme="minorHAnsi"/>
          <w:szCs w:val="24"/>
          <w:lang w:eastAsia="en-AU"/>
        </w:rPr>
        <w:t>prior to making any amendments.</w:t>
      </w:r>
    </w:p>
    <w:p w14:paraId="45008300" w14:textId="77777777" w:rsidR="00AB1E9A" w:rsidRPr="00D81402" w:rsidRDefault="002B0F8E" w:rsidP="00264C72">
      <w:pPr>
        <w:spacing w:after="120" w:line="240" w:lineRule="auto"/>
        <w:rPr>
          <w:rFonts w:eastAsia="Times New Roman" w:cstheme="minorHAnsi"/>
          <w:lang w:eastAsia="en-AU"/>
        </w:rPr>
      </w:pPr>
      <w:r w:rsidRPr="00D81402">
        <w:rPr>
          <w:rFonts w:eastAsia="Times New Roman" w:cstheme="minorHAnsi"/>
          <w:lang w:eastAsia="en-AU"/>
        </w:rPr>
        <w:t xml:space="preserve">The </w:t>
      </w:r>
      <w:r w:rsidR="00AB1E9A" w:rsidRPr="00D81402">
        <w:rPr>
          <w:rFonts w:eastAsia="Times New Roman" w:cstheme="minorHAnsi"/>
          <w:lang w:eastAsia="en-AU"/>
        </w:rPr>
        <w:t xml:space="preserve">current </w:t>
      </w:r>
      <w:r w:rsidR="00D66CA7" w:rsidRPr="00D81402">
        <w:rPr>
          <w:rFonts w:eastAsia="Times New Roman" w:cstheme="minorHAnsi"/>
          <w:lang w:eastAsia="en-AU"/>
        </w:rPr>
        <w:t xml:space="preserve">version </w:t>
      </w:r>
      <w:r w:rsidR="00AB1E9A" w:rsidRPr="00D81402">
        <w:rPr>
          <w:rFonts w:eastAsia="Times New Roman" w:cstheme="minorHAnsi"/>
          <w:lang w:eastAsia="en-AU"/>
        </w:rPr>
        <w:t xml:space="preserve">of the Guidelines </w:t>
      </w:r>
      <w:r w:rsidR="00573BB8" w:rsidRPr="00D81402">
        <w:rPr>
          <w:rFonts w:eastAsia="Times New Roman" w:cstheme="minorHAnsi"/>
          <w:lang w:eastAsia="en-AU"/>
        </w:rPr>
        <w:t>is</w:t>
      </w:r>
      <w:r w:rsidR="00AB1E9A" w:rsidRPr="00D81402">
        <w:rPr>
          <w:rFonts w:eastAsia="Times New Roman" w:cstheme="minorHAnsi"/>
          <w:lang w:eastAsia="en-AU"/>
        </w:rPr>
        <w:t xml:space="preserve"> published on the department’s website.</w:t>
      </w:r>
    </w:p>
    <w:p w14:paraId="3FAE5F75" w14:textId="0482F12C" w:rsidR="00AB1E9A" w:rsidRPr="00D81402" w:rsidRDefault="00AB1E9A" w:rsidP="00264C72">
      <w:pPr>
        <w:spacing w:after="120" w:line="240" w:lineRule="auto"/>
        <w:rPr>
          <w:rFonts w:eastAsia="Times New Roman" w:cstheme="minorHAnsi"/>
          <w:lang w:eastAsia="en-AU"/>
        </w:rPr>
      </w:pPr>
      <w:r w:rsidRPr="00D81402">
        <w:rPr>
          <w:rFonts w:eastAsia="Times New Roman" w:cstheme="minorHAnsi"/>
          <w:lang w:eastAsia="en-AU"/>
        </w:rPr>
        <w:t>A reference to the Minister in the Guidelines includes a reference to a delegate of the Minister under the Act.</w:t>
      </w:r>
    </w:p>
    <w:p w14:paraId="1F90D7C9" w14:textId="4266E5C1" w:rsidR="00D5035F" w:rsidRPr="00D81402" w:rsidRDefault="0005044C" w:rsidP="00264C72">
      <w:pPr>
        <w:spacing w:after="120" w:line="240" w:lineRule="auto"/>
        <w:rPr>
          <w:rFonts w:eastAsia="Times New Roman" w:cstheme="minorHAnsi"/>
          <w:lang w:eastAsia="en-AU"/>
        </w:rPr>
      </w:pPr>
      <w:r w:rsidRPr="00D81402">
        <w:rPr>
          <w:rFonts w:eastAsia="Times New Roman" w:cstheme="minorHAnsi"/>
          <w:lang w:eastAsia="en-AU"/>
        </w:rPr>
        <w:t xml:space="preserve">In accordance with the principles outlined in the </w:t>
      </w:r>
      <w:r w:rsidRPr="001E21AA">
        <w:rPr>
          <w:rFonts w:eastAsia="Times New Roman" w:cstheme="minorHAnsi"/>
          <w:lang w:eastAsia="en-AU"/>
        </w:rPr>
        <w:t>Schools Funding Assurance Framework</w:t>
      </w:r>
      <w:r w:rsidR="0001492B">
        <w:rPr>
          <w:rFonts w:eastAsia="Times New Roman" w:cstheme="minorHAnsi"/>
          <w:lang w:eastAsia="en-AU"/>
        </w:rPr>
        <w:t xml:space="preserve"> </w:t>
      </w:r>
      <w:r w:rsidR="008F6A7F" w:rsidRPr="00DC26A0">
        <w:t>(available on the department</w:t>
      </w:r>
      <w:r w:rsidR="00FB7CB9" w:rsidRPr="00DC26A0">
        <w:t>’</w:t>
      </w:r>
      <w:r w:rsidR="008F6A7F" w:rsidRPr="00DC26A0">
        <w:t>s website)</w:t>
      </w:r>
      <w:r w:rsidRPr="005265E4">
        <w:rPr>
          <w:rFonts w:eastAsia="Times New Roman" w:cstheme="minorHAnsi"/>
          <w:lang w:eastAsia="en-AU"/>
        </w:rPr>
        <w:t>, t</w:t>
      </w:r>
      <w:r w:rsidR="00127121" w:rsidRPr="005265E4">
        <w:rPr>
          <w:rFonts w:eastAsia="Times New Roman" w:cstheme="minorHAnsi"/>
          <w:lang w:eastAsia="en-AU"/>
        </w:rPr>
        <w:t xml:space="preserve">he department </w:t>
      </w:r>
      <w:r w:rsidR="00DC26A0">
        <w:rPr>
          <w:rFonts w:eastAsia="Times New Roman" w:cstheme="minorHAnsi"/>
          <w:lang w:eastAsia="en-AU"/>
        </w:rPr>
        <w:t>may take measures</w:t>
      </w:r>
      <w:r w:rsidR="00127121" w:rsidRPr="005265E4">
        <w:rPr>
          <w:rFonts w:eastAsia="Times New Roman" w:cstheme="minorHAnsi"/>
          <w:lang w:eastAsia="en-AU"/>
        </w:rPr>
        <w:t xml:space="preserve"> to ensure </w:t>
      </w:r>
      <w:r w:rsidR="009E3126" w:rsidRPr="005265E4">
        <w:rPr>
          <w:rFonts w:eastAsia="Times New Roman" w:cstheme="minorHAnsi"/>
          <w:lang w:eastAsia="en-AU"/>
        </w:rPr>
        <w:t>Australian Government schools</w:t>
      </w:r>
      <w:r w:rsidR="0080489E">
        <w:rPr>
          <w:rFonts w:eastAsia="Times New Roman" w:cstheme="minorHAnsi"/>
          <w:lang w:eastAsia="en-AU"/>
        </w:rPr>
        <w:t>’</w:t>
      </w:r>
      <w:r w:rsidR="009E3126" w:rsidRPr="005265E4">
        <w:rPr>
          <w:rFonts w:eastAsia="Times New Roman" w:cstheme="minorHAnsi"/>
          <w:lang w:eastAsia="en-AU"/>
        </w:rPr>
        <w:t xml:space="preserve"> funding is </w:t>
      </w:r>
      <w:r w:rsidR="00127121" w:rsidRPr="00D81402">
        <w:rPr>
          <w:rFonts w:eastAsia="Times New Roman" w:cstheme="minorHAnsi"/>
          <w:lang w:eastAsia="en-AU"/>
        </w:rPr>
        <w:t>expended in accordance with the Guidelines</w:t>
      </w:r>
      <w:r w:rsidR="00556382">
        <w:rPr>
          <w:rFonts w:eastAsia="Times New Roman" w:cstheme="minorHAnsi"/>
          <w:lang w:eastAsia="en-AU"/>
        </w:rPr>
        <w:t xml:space="preserve">, </w:t>
      </w:r>
      <w:r w:rsidR="00556382" w:rsidRPr="00DC26A0">
        <w:rPr>
          <w:rFonts w:eastAsia="Times New Roman" w:cstheme="minorHAnsi"/>
          <w:lang w:eastAsia="en-AU"/>
        </w:rPr>
        <w:t>the Act and Regulations</w:t>
      </w:r>
      <w:r w:rsidR="00556382">
        <w:rPr>
          <w:rFonts w:eastAsia="Times New Roman" w:cstheme="minorHAnsi"/>
          <w:lang w:eastAsia="en-AU"/>
        </w:rPr>
        <w:t xml:space="preserve">, </w:t>
      </w:r>
      <w:r w:rsidR="00127121" w:rsidRPr="00D81402">
        <w:rPr>
          <w:rFonts w:eastAsia="Times New Roman" w:cstheme="minorHAnsi"/>
          <w:lang w:eastAsia="en-AU"/>
        </w:rPr>
        <w:t xml:space="preserve">and that the </w:t>
      </w:r>
      <w:r w:rsidR="00E36D6F">
        <w:rPr>
          <w:rFonts w:eastAsia="Times New Roman" w:cstheme="minorHAnsi"/>
          <w:lang w:eastAsia="en-AU"/>
        </w:rPr>
        <w:t xml:space="preserve">Minister’s </w:t>
      </w:r>
      <w:r w:rsidR="00127121" w:rsidRPr="00D81402">
        <w:rPr>
          <w:rFonts w:eastAsia="Times New Roman" w:cstheme="minorHAnsi"/>
          <w:lang w:eastAsia="en-AU"/>
        </w:rPr>
        <w:t>priorities are being met</w:t>
      </w:r>
      <w:r w:rsidRPr="00D81402">
        <w:rPr>
          <w:rFonts w:eastAsia="Times New Roman" w:cstheme="minorHAnsi"/>
          <w:lang w:eastAsia="en-AU"/>
        </w:rPr>
        <w:t xml:space="preserve">. </w:t>
      </w:r>
    </w:p>
    <w:p w14:paraId="2047EFC4" w14:textId="7BE3FCCD" w:rsidR="00232144" w:rsidRPr="0016476F" w:rsidRDefault="00232144" w:rsidP="0016476F">
      <w:pPr>
        <w:spacing w:after="120" w:line="240" w:lineRule="auto"/>
        <w:rPr>
          <w:rFonts w:eastAsia="Times New Roman" w:cstheme="minorHAnsi"/>
          <w:lang w:eastAsia="en-AU"/>
        </w:rPr>
      </w:pPr>
      <w:r w:rsidRPr="0016476F">
        <w:rPr>
          <w:rFonts w:ascii="Calibri" w:eastAsia="Times New Roman" w:hAnsi="Calibri" w:cs="Calibri"/>
          <w:color w:val="000000" w:themeColor="text1"/>
          <w:lang w:eastAsia="en-AU"/>
        </w:rPr>
        <w:t xml:space="preserve">As 2022 is the last year of funding, the department is undertaking an evaluation to determine the effectiveness and efficiency of the Reform Support Fund in supporting the implementation of existing and new national policy initiatives and state-specific reforms in non-government schools. </w:t>
      </w:r>
    </w:p>
    <w:p w14:paraId="74C9B8C1" w14:textId="77777777" w:rsidR="00AB1E9A" w:rsidRPr="001E21AA" w:rsidRDefault="00AB1E9A" w:rsidP="001E21AA">
      <w:pPr>
        <w:pStyle w:val="Heading2"/>
        <w:rPr>
          <w:rFonts w:ascii="Calibri" w:hAnsi="Calibri" w:cs="Calibri"/>
          <w:b/>
          <w:bCs/>
          <w:color w:val="000000" w:themeColor="text1"/>
          <w:sz w:val="22"/>
          <w:szCs w:val="22"/>
        </w:rPr>
      </w:pPr>
      <w:bookmarkStart w:id="3" w:name="_Toc16756166"/>
      <w:bookmarkStart w:id="4" w:name="_Toc84413372"/>
      <w:bookmarkStart w:id="5" w:name="_Toc387676546"/>
      <w:r w:rsidRPr="001E21AA">
        <w:rPr>
          <w:rFonts w:ascii="Calibri" w:hAnsi="Calibri" w:cs="Calibri"/>
          <w:b/>
          <w:bCs/>
          <w:color w:val="000000" w:themeColor="text1"/>
          <w:sz w:val="22"/>
          <w:szCs w:val="22"/>
        </w:rPr>
        <w:t>Objective</w:t>
      </w:r>
      <w:bookmarkEnd w:id="3"/>
      <w:bookmarkEnd w:id="4"/>
    </w:p>
    <w:p w14:paraId="79C1C19D" w14:textId="59C99AEA" w:rsidR="006A1B4B" w:rsidRPr="00D81402" w:rsidRDefault="006A1B4B" w:rsidP="00F158E9">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The objective of the Reform Support Fund is to provide support for NGRBs to assist the </w:t>
      </w:r>
      <w:r w:rsidR="00221F0C" w:rsidRPr="00D81402">
        <w:rPr>
          <w:rFonts w:eastAsia="Times New Roman" w:cstheme="minorHAnsi"/>
          <w:lang w:eastAsia="en-AU"/>
        </w:rPr>
        <w:br/>
      </w:r>
      <w:r w:rsidRPr="00D81402">
        <w:rPr>
          <w:rFonts w:eastAsia="Times New Roman" w:cstheme="minorHAnsi"/>
          <w:lang w:eastAsia="en-AU"/>
        </w:rPr>
        <w:t>non-government schools they represent to implement agreed national and state-based reform initiatives. These agreed initiatives will generally be the national policy initiatives set out in the</w:t>
      </w:r>
      <w:r w:rsidR="00534E5A" w:rsidRPr="00D81402">
        <w:rPr>
          <w:rFonts w:eastAsia="Times New Roman" w:cstheme="minorHAnsi"/>
          <w:lang w:eastAsia="en-AU"/>
        </w:rPr>
        <w:t xml:space="preserve"> </w:t>
      </w:r>
      <w:r w:rsidRPr="00D81402">
        <w:rPr>
          <w:rFonts w:eastAsia="Times New Roman" w:cstheme="minorHAnsi"/>
          <w:lang w:eastAsia="en-AU"/>
        </w:rPr>
        <w:t>National School Reform Agreement</w:t>
      </w:r>
      <w:r w:rsidR="00957D70" w:rsidRPr="00D81402">
        <w:rPr>
          <w:rFonts w:eastAsia="Times New Roman" w:cstheme="minorHAnsi"/>
          <w:lang w:eastAsia="en-AU"/>
        </w:rPr>
        <w:t>,</w:t>
      </w:r>
      <w:r w:rsidRPr="00D81402">
        <w:rPr>
          <w:rFonts w:eastAsia="Times New Roman" w:cstheme="minorHAnsi"/>
          <w:lang w:eastAsia="en-AU"/>
        </w:rPr>
        <w:t xml:space="preserve"> the state reform actions set out in each state’s bilateral reform agreement with the Commonwealth</w:t>
      </w:r>
      <w:r w:rsidR="00E36D6F">
        <w:rPr>
          <w:rFonts w:eastAsia="Times New Roman" w:cstheme="minorHAnsi"/>
          <w:lang w:eastAsia="en-AU"/>
        </w:rPr>
        <w:t>,</w:t>
      </w:r>
      <w:r w:rsidR="00957D70" w:rsidRPr="00D81402">
        <w:rPr>
          <w:rFonts w:eastAsia="Times New Roman" w:cstheme="minorHAnsi"/>
          <w:lang w:eastAsia="en-AU"/>
        </w:rPr>
        <w:t xml:space="preserve"> and</w:t>
      </w:r>
      <w:r w:rsidR="009114ED">
        <w:rPr>
          <w:rFonts w:eastAsia="Times New Roman" w:cstheme="minorHAnsi"/>
          <w:lang w:eastAsia="en-AU"/>
        </w:rPr>
        <w:t xml:space="preserve"> </w:t>
      </w:r>
      <w:r w:rsidR="00E36D6F">
        <w:rPr>
          <w:rFonts w:eastAsia="Times New Roman" w:cstheme="minorHAnsi"/>
          <w:lang w:eastAsia="en-AU"/>
        </w:rPr>
        <w:t>include</w:t>
      </w:r>
      <w:r w:rsidR="00E36D6F" w:rsidRPr="005265E4">
        <w:rPr>
          <w:rFonts w:eastAsia="Times New Roman" w:cstheme="minorHAnsi"/>
          <w:lang w:eastAsia="en-AU"/>
        </w:rPr>
        <w:t xml:space="preserve"> </w:t>
      </w:r>
      <w:r w:rsidR="00957D70" w:rsidRPr="005265E4">
        <w:rPr>
          <w:rFonts w:eastAsia="Times New Roman" w:cstheme="minorHAnsi"/>
          <w:lang w:eastAsia="en-AU"/>
        </w:rPr>
        <w:t>the national priorities identified in paragraph 7 below</w:t>
      </w:r>
      <w:r w:rsidRPr="00D81402">
        <w:rPr>
          <w:rFonts w:eastAsia="Times New Roman" w:cstheme="minorHAnsi"/>
          <w:lang w:eastAsia="en-AU"/>
        </w:rPr>
        <w:t>.</w:t>
      </w:r>
    </w:p>
    <w:p w14:paraId="192DADD5" w14:textId="385D2076" w:rsidR="00025772" w:rsidRPr="00D81402" w:rsidRDefault="006A1B4B" w:rsidP="00F158E9">
      <w:pPr>
        <w:numPr>
          <w:ilvl w:val="0"/>
          <w:numId w:val="11"/>
        </w:numPr>
        <w:spacing w:after="120" w:line="240" w:lineRule="auto"/>
        <w:ind w:left="709" w:hanging="709"/>
        <w:rPr>
          <w:rFonts w:eastAsia="Times New Roman" w:cstheme="minorHAnsi"/>
          <w:lang w:eastAsia="en-AU"/>
        </w:rPr>
      </w:pPr>
      <w:r w:rsidRPr="005265E4">
        <w:rPr>
          <w:rFonts w:eastAsia="Times New Roman" w:cstheme="minorHAnsi"/>
          <w:lang w:eastAsia="en-AU"/>
        </w:rPr>
        <w:t xml:space="preserve">This objective aligns with section 77(2A) of the Act, which sets out an ongoing policy </w:t>
      </w:r>
      <w:r w:rsidRPr="009114ED">
        <w:rPr>
          <w:rFonts w:eastAsia="Times New Roman" w:cstheme="minorHAnsi"/>
          <w:lang w:eastAsia="en-AU"/>
        </w:rPr>
        <w:t xml:space="preserve">requirement </w:t>
      </w:r>
      <w:r w:rsidR="008018C9" w:rsidRPr="009114ED">
        <w:rPr>
          <w:rFonts w:eastAsia="Times New Roman" w:cstheme="minorHAnsi"/>
          <w:lang w:eastAsia="en-AU"/>
        </w:rPr>
        <w:t>for non-government schools</w:t>
      </w:r>
      <w:r w:rsidRPr="009114ED">
        <w:rPr>
          <w:rFonts w:eastAsia="Times New Roman" w:cstheme="minorHAnsi"/>
          <w:lang w:eastAsia="en-AU"/>
        </w:rPr>
        <w:t xml:space="preserve"> to</w:t>
      </w:r>
      <w:r w:rsidRPr="005265E4">
        <w:rPr>
          <w:rFonts w:eastAsia="Times New Roman" w:cstheme="minorHAnsi"/>
          <w:lang w:eastAsia="en-AU"/>
        </w:rPr>
        <w:t xml:space="preserve"> cooperate with relevant states and territories to implement national and state policy initiatives and they are therefore required to consult and contribute accordingly</w:t>
      </w:r>
      <w:r w:rsidRPr="00D81402">
        <w:rPr>
          <w:rFonts w:eastAsia="Times New Roman" w:cstheme="minorHAnsi"/>
          <w:lang w:eastAsia="en-AU"/>
        </w:rPr>
        <w:t xml:space="preserve">. </w:t>
      </w:r>
    </w:p>
    <w:p w14:paraId="0872795B" w14:textId="77777777" w:rsidR="006A1B4B" w:rsidRPr="00D81402" w:rsidRDefault="00025772" w:rsidP="00F158E9">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NGRBs are expected to support the implementation of national and state policy initiatives in the schools they represent. Accordingly, in the context of development of the national policy initiatives in the National School Reform Agreement, NGRBs may be asked to facilitate consultation with schools or prepare for implementation of these initiatives.</w:t>
      </w:r>
    </w:p>
    <w:p w14:paraId="2AA65BA5" w14:textId="2648E4CB" w:rsidR="00FB60B1" w:rsidRPr="00D81402" w:rsidRDefault="00FB60B1" w:rsidP="00FB60B1">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lastRenderedPageBreak/>
        <w:t xml:space="preserve">Each NGRB will work with their relevant state or territory education department to ensure the objectives and outcomes of the National School Reform Agreement are achieved. </w:t>
      </w:r>
      <w:r w:rsidR="006D19D1" w:rsidRPr="00D81402">
        <w:rPr>
          <w:rFonts w:eastAsia="Times New Roman" w:cstheme="minorHAnsi"/>
          <w:lang w:eastAsia="en-AU"/>
        </w:rPr>
        <w:t>NGRBs</w:t>
      </w:r>
      <w:r w:rsidRPr="00D81402">
        <w:rPr>
          <w:rFonts w:eastAsia="Times New Roman" w:cstheme="minorHAnsi"/>
          <w:lang w:eastAsia="en-AU"/>
        </w:rPr>
        <w:t xml:space="preserve"> will:</w:t>
      </w:r>
    </w:p>
    <w:p w14:paraId="4B169CA3" w14:textId="77777777" w:rsidR="00FB60B1" w:rsidRPr="00D81402" w:rsidRDefault="00FB60B1" w:rsidP="00FB60B1">
      <w:pPr>
        <w:numPr>
          <w:ilvl w:val="1"/>
          <w:numId w:val="11"/>
        </w:numPr>
        <w:spacing w:after="120" w:line="240" w:lineRule="auto"/>
        <w:rPr>
          <w:rFonts w:eastAsia="Times New Roman" w:cstheme="minorHAnsi"/>
          <w:lang w:eastAsia="en-AU"/>
        </w:rPr>
      </w:pPr>
      <w:r w:rsidRPr="00D81402">
        <w:rPr>
          <w:rFonts w:eastAsia="Times New Roman" w:cstheme="minorHAnsi"/>
          <w:lang w:eastAsia="en-AU"/>
        </w:rPr>
        <w:t>support the implementation of the eight national policy initiatives set out at clause 44 of the National School Reform Agreement</w:t>
      </w:r>
    </w:p>
    <w:p w14:paraId="3D83EEEF" w14:textId="311F8E0B" w:rsidR="00FB60B1" w:rsidRPr="00D81402" w:rsidRDefault="00FB712A" w:rsidP="00FB60B1">
      <w:pPr>
        <w:numPr>
          <w:ilvl w:val="1"/>
          <w:numId w:val="11"/>
        </w:numPr>
        <w:spacing w:after="120" w:line="240" w:lineRule="auto"/>
        <w:rPr>
          <w:rFonts w:eastAsia="Times New Roman" w:cstheme="minorHAnsi"/>
          <w:lang w:eastAsia="en-AU"/>
        </w:rPr>
      </w:pPr>
      <w:r w:rsidRPr="00D81402">
        <w:rPr>
          <w:rFonts w:eastAsia="Times New Roman" w:cstheme="minorHAnsi"/>
          <w:lang w:eastAsia="en-AU"/>
        </w:rPr>
        <w:t>continue to track and monitor the</w:t>
      </w:r>
      <w:r w:rsidR="00FB60B1" w:rsidRPr="00D81402">
        <w:rPr>
          <w:rFonts w:eastAsia="Times New Roman" w:cstheme="minorHAnsi"/>
          <w:lang w:eastAsia="en-AU"/>
        </w:rPr>
        <w:t xml:space="preserve"> education </w:t>
      </w:r>
      <w:r w:rsidR="00CC12A7" w:rsidRPr="00D81402">
        <w:rPr>
          <w:rFonts w:eastAsia="Times New Roman" w:cstheme="minorHAnsi"/>
          <w:lang w:eastAsia="en-AU"/>
        </w:rPr>
        <w:t xml:space="preserve">outcomes of </w:t>
      </w:r>
      <w:r w:rsidR="00FB60B1" w:rsidRPr="00D81402">
        <w:rPr>
          <w:rFonts w:eastAsia="Times New Roman" w:cstheme="minorHAnsi"/>
          <w:lang w:eastAsia="en-AU"/>
        </w:rPr>
        <w:t>student</w:t>
      </w:r>
      <w:r w:rsidR="00CC12A7" w:rsidRPr="00D81402">
        <w:rPr>
          <w:rFonts w:eastAsia="Times New Roman" w:cstheme="minorHAnsi"/>
          <w:lang w:eastAsia="en-AU"/>
        </w:rPr>
        <w:t xml:space="preserve">s </w:t>
      </w:r>
      <w:r w:rsidRPr="00D81402">
        <w:rPr>
          <w:rFonts w:eastAsia="Times New Roman" w:cstheme="minorHAnsi"/>
          <w:lang w:eastAsia="en-AU"/>
        </w:rPr>
        <w:t>in the schools they represent</w:t>
      </w:r>
      <w:r w:rsidR="00CC12A7" w:rsidRPr="00D81402">
        <w:rPr>
          <w:rFonts w:eastAsia="Times New Roman" w:cstheme="minorHAnsi"/>
          <w:lang w:eastAsia="en-AU"/>
        </w:rPr>
        <w:t xml:space="preserve"> consistent with </w:t>
      </w:r>
      <w:r w:rsidR="00FB60B1" w:rsidRPr="00D81402">
        <w:rPr>
          <w:rFonts w:eastAsia="Times New Roman" w:cstheme="minorHAnsi"/>
          <w:lang w:eastAsia="en-AU"/>
        </w:rPr>
        <w:t>clause 37 of the N</w:t>
      </w:r>
      <w:r w:rsidR="00CC12A7" w:rsidRPr="00D81402">
        <w:rPr>
          <w:rFonts w:eastAsia="Times New Roman" w:cstheme="minorHAnsi"/>
          <w:lang w:eastAsia="en-AU"/>
        </w:rPr>
        <w:t>ational School Reform Agreement</w:t>
      </w:r>
      <w:r w:rsidR="00FB60B1" w:rsidRPr="00D81402">
        <w:rPr>
          <w:rFonts w:eastAsia="Times New Roman" w:cstheme="minorHAnsi"/>
          <w:lang w:eastAsia="en-AU"/>
        </w:rPr>
        <w:t xml:space="preserve">. This includes tracking </w:t>
      </w:r>
      <w:r w:rsidRPr="00D81402">
        <w:rPr>
          <w:rFonts w:eastAsia="Times New Roman" w:cstheme="minorHAnsi"/>
          <w:lang w:eastAsia="en-AU"/>
        </w:rPr>
        <w:t xml:space="preserve">and monitoring </w:t>
      </w:r>
      <w:r w:rsidR="00FB60B1" w:rsidRPr="00D81402">
        <w:rPr>
          <w:rFonts w:eastAsia="Times New Roman" w:cstheme="minorHAnsi"/>
          <w:lang w:eastAsia="en-AU"/>
        </w:rPr>
        <w:t xml:space="preserve">student improvement in the: </w:t>
      </w:r>
    </w:p>
    <w:p w14:paraId="097218E0" w14:textId="77777777" w:rsidR="00FB60B1" w:rsidRPr="00D81402" w:rsidRDefault="00FB60B1" w:rsidP="00FB60B1">
      <w:pPr>
        <w:numPr>
          <w:ilvl w:val="2"/>
          <w:numId w:val="11"/>
        </w:numPr>
        <w:spacing w:after="120" w:line="240" w:lineRule="auto"/>
        <w:rPr>
          <w:rFonts w:eastAsia="Times New Roman" w:cstheme="minorHAnsi"/>
          <w:lang w:eastAsia="en-AU"/>
        </w:rPr>
      </w:pPr>
      <w:r w:rsidRPr="00D81402">
        <w:rPr>
          <w:rFonts w:eastAsia="Times New Roman" w:cstheme="minorHAnsi"/>
          <w:lang w:eastAsia="en-AU"/>
        </w:rPr>
        <w:t>National Assessment Program – Literacy and Numeracy (NAPLAN) Literacy and Numeracy outcomes for Years 3, 5, 7 and 9; and</w:t>
      </w:r>
    </w:p>
    <w:p w14:paraId="7930F8E0" w14:textId="77777777" w:rsidR="00FB60B1" w:rsidRPr="00D81402" w:rsidRDefault="00FB60B1" w:rsidP="00FB60B1">
      <w:pPr>
        <w:numPr>
          <w:ilvl w:val="2"/>
          <w:numId w:val="11"/>
        </w:numPr>
        <w:spacing w:after="120" w:line="240" w:lineRule="auto"/>
        <w:rPr>
          <w:rFonts w:eastAsia="Times New Roman" w:cstheme="minorHAnsi"/>
          <w:lang w:eastAsia="en-AU"/>
        </w:rPr>
      </w:pPr>
      <w:r w:rsidRPr="00D81402">
        <w:rPr>
          <w:rFonts w:eastAsia="Times New Roman" w:cstheme="minorHAnsi"/>
          <w:lang w:eastAsia="en-AU"/>
        </w:rPr>
        <w:t xml:space="preserve">Organisation for Economic Cooperation and Development’s (OECD) Programme for International Student Assessment (PISA) testing in reading, </w:t>
      </w:r>
      <w:proofErr w:type="gramStart"/>
      <w:r w:rsidRPr="00D81402">
        <w:rPr>
          <w:rFonts w:eastAsia="Times New Roman" w:cstheme="minorHAnsi"/>
          <w:lang w:eastAsia="en-AU"/>
        </w:rPr>
        <w:t>mathematics</w:t>
      </w:r>
      <w:proofErr w:type="gramEnd"/>
      <w:r w:rsidRPr="00D81402">
        <w:rPr>
          <w:rFonts w:eastAsia="Times New Roman" w:cstheme="minorHAnsi"/>
          <w:lang w:eastAsia="en-AU"/>
        </w:rPr>
        <w:t xml:space="preserve"> and science. </w:t>
      </w:r>
    </w:p>
    <w:p w14:paraId="66C8AFB8" w14:textId="19BFCD30" w:rsidR="00531F2F" w:rsidRPr="00D81402" w:rsidRDefault="004578A9" w:rsidP="00531F2F">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NGRBs are expected to work with their state or territory education department to continue to implement the state-based reform actions in the relevant bilateral reform agreement in </w:t>
      </w:r>
      <w:r w:rsidR="00875EF0" w:rsidRPr="00D81402">
        <w:rPr>
          <w:rFonts w:eastAsia="Times New Roman" w:cstheme="minorHAnsi"/>
          <w:lang w:eastAsia="en-AU"/>
        </w:rPr>
        <w:t>202</w:t>
      </w:r>
      <w:r w:rsidR="00875EF0">
        <w:rPr>
          <w:rFonts w:eastAsia="Times New Roman" w:cstheme="minorHAnsi"/>
          <w:lang w:eastAsia="en-AU"/>
        </w:rPr>
        <w:t>2</w:t>
      </w:r>
      <w:r w:rsidRPr="00D81402">
        <w:rPr>
          <w:rFonts w:eastAsia="Times New Roman" w:cstheme="minorHAnsi"/>
          <w:lang w:eastAsia="en-AU"/>
        </w:rPr>
        <w:t>.</w:t>
      </w:r>
    </w:p>
    <w:p w14:paraId="3C0A19E9" w14:textId="37518743" w:rsidR="006A1B4B" w:rsidRPr="00D81402" w:rsidRDefault="006A1B4B" w:rsidP="00F158E9">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The three national priorities </w:t>
      </w:r>
      <w:r w:rsidR="005E3589" w:rsidRPr="00D81402">
        <w:rPr>
          <w:rFonts w:eastAsia="Times New Roman" w:cstheme="minorHAnsi"/>
          <w:lang w:eastAsia="en-AU"/>
        </w:rPr>
        <w:t xml:space="preserve">for funding under the Reform Support Fund </w:t>
      </w:r>
      <w:r w:rsidRPr="00D81402">
        <w:rPr>
          <w:rFonts w:eastAsia="Times New Roman" w:cstheme="minorHAnsi"/>
          <w:lang w:eastAsia="en-AU"/>
        </w:rPr>
        <w:t>for 20</w:t>
      </w:r>
      <w:r w:rsidR="00615B79" w:rsidRPr="00D81402">
        <w:rPr>
          <w:rFonts w:eastAsia="Times New Roman" w:cstheme="minorHAnsi"/>
          <w:lang w:eastAsia="en-AU"/>
        </w:rPr>
        <w:t>2</w:t>
      </w:r>
      <w:r w:rsidR="002E1783">
        <w:rPr>
          <w:rFonts w:eastAsia="Times New Roman" w:cstheme="minorHAnsi"/>
          <w:lang w:eastAsia="en-AU"/>
        </w:rPr>
        <w:t>1</w:t>
      </w:r>
      <w:r w:rsidRPr="00D81402">
        <w:rPr>
          <w:rFonts w:eastAsia="Times New Roman" w:cstheme="minorHAnsi"/>
          <w:lang w:eastAsia="en-AU"/>
        </w:rPr>
        <w:t xml:space="preserve"> continue to be priorities for the Commonwealth in </w:t>
      </w:r>
      <w:r w:rsidR="00875EF0" w:rsidRPr="00D81402">
        <w:rPr>
          <w:rFonts w:eastAsia="Times New Roman" w:cstheme="minorHAnsi"/>
          <w:lang w:eastAsia="en-AU"/>
        </w:rPr>
        <w:t>202</w:t>
      </w:r>
      <w:r w:rsidR="00875EF0">
        <w:rPr>
          <w:rFonts w:eastAsia="Times New Roman" w:cstheme="minorHAnsi"/>
          <w:lang w:eastAsia="en-AU"/>
        </w:rPr>
        <w:t>2</w:t>
      </w:r>
      <w:r w:rsidRPr="00D81402">
        <w:rPr>
          <w:rFonts w:eastAsia="Times New Roman" w:cstheme="minorHAnsi"/>
          <w:lang w:eastAsia="en-AU"/>
        </w:rPr>
        <w:t xml:space="preserve">. </w:t>
      </w:r>
    </w:p>
    <w:p w14:paraId="36D1A247" w14:textId="77777777" w:rsidR="009F3B6D" w:rsidRDefault="009F3B6D" w:rsidP="009F3B6D">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Accordingly, the priorities for </w:t>
      </w:r>
      <w:r w:rsidRPr="00463376">
        <w:rPr>
          <w:rFonts w:eastAsia="Times New Roman" w:cstheme="minorHAnsi"/>
          <w:lang w:eastAsia="en-AU"/>
        </w:rPr>
        <w:t>2022 are</w:t>
      </w:r>
      <w:r>
        <w:rPr>
          <w:rFonts w:eastAsia="Times New Roman" w:cstheme="minorHAnsi"/>
          <w:lang w:eastAsia="en-AU"/>
        </w:rPr>
        <w:t xml:space="preserve">: </w:t>
      </w:r>
    </w:p>
    <w:p w14:paraId="39122B49" w14:textId="77777777" w:rsidR="00463376" w:rsidRPr="0048161B" w:rsidRDefault="00463376" w:rsidP="0053752F">
      <w:pPr>
        <w:pStyle w:val="ListParagraph"/>
        <w:numPr>
          <w:ilvl w:val="0"/>
          <w:numId w:val="38"/>
        </w:numPr>
        <w:spacing w:before="120" w:after="120" w:line="240" w:lineRule="auto"/>
        <w:contextualSpacing w:val="0"/>
        <w:rPr>
          <w:rFonts w:eastAsia="Times New Roman" w:cstheme="minorHAnsi"/>
          <w:lang w:eastAsia="en-AU"/>
        </w:rPr>
      </w:pPr>
      <w:r>
        <w:rPr>
          <w:rFonts w:eastAsia="Times New Roman" w:cstheme="minorHAnsi"/>
          <w:lang w:eastAsia="en-AU"/>
        </w:rPr>
        <w:t>NGRBs continue strengthening the three national priorities and supporting the schools they represent as follows:</w:t>
      </w:r>
    </w:p>
    <w:p w14:paraId="09136398" w14:textId="77777777" w:rsidR="00463376" w:rsidRPr="0016476F" w:rsidRDefault="00463376" w:rsidP="00463376">
      <w:pPr>
        <w:pStyle w:val="ListParagraph"/>
        <w:numPr>
          <w:ilvl w:val="2"/>
          <w:numId w:val="11"/>
        </w:numPr>
        <w:spacing w:before="120" w:after="120" w:line="240" w:lineRule="auto"/>
        <w:ind w:hanging="181"/>
        <w:contextualSpacing w:val="0"/>
        <w:rPr>
          <w:lang w:eastAsia="en-AU"/>
        </w:rPr>
      </w:pPr>
      <w:r w:rsidRPr="0016476F">
        <w:rPr>
          <w:lang w:eastAsia="en-AU"/>
        </w:rPr>
        <w:t xml:space="preserve">improve the quality of information on the Nationally Consistent Collection of Data on School Students with Disability and to improve the efficiency and integrity of the data </w:t>
      </w:r>
      <w:proofErr w:type="gramStart"/>
      <w:r w:rsidRPr="0016476F">
        <w:rPr>
          <w:lang w:eastAsia="en-AU"/>
        </w:rPr>
        <w:t>collection</w:t>
      </w:r>
      <w:proofErr w:type="gramEnd"/>
    </w:p>
    <w:p w14:paraId="47E06A0D" w14:textId="77777777" w:rsidR="00463376" w:rsidRPr="0048161B" w:rsidRDefault="00463376" w:rsidP="00463376">
      <w:pPr>
        <w:numPr>
          <w:ilvl w:val="2"/>
          <w:numId w:val="11"/>
        </w:numPr>
        <w:spacing w:after="120" w:line="240" w:lineRule="auto"/>
        <w:ind w:hanging="181"/>
        <w:rPr>
          <w:rFonts w:eastAsia="Times New Roman" w:cstheme="minorHAnsi"/>
          <w:szCs w:val="24"/>
          <w:lang w:eastAsia="en-AU"/>
        </w:rPr>
      </w:pPr>
      <w:r w:rsidRPr="0048161B">
        <w:rPr>
          <w:rFonts w:eastAsia="Times New Roman" w:cstheme="minorHAnsi"/>
          <w:szCs w:val="24"/>
          <w:lang w:eastAsia="en-AU"/>
        </w:rPr>
        <w:t>transition of NAPLAN to online delivery</w:t>
      </w:r>
    </w:p>
    <w:p w14:paraId="07515888" w14:textId="77777777" w:rsidR="00463376" w:rsidRPr="0048161B" w:rsidRDefault="00463376" w:rsidP="00463376">
      <w:pPr>
        <w:numPr>
          <w:ilvl w:val="2"/>
          <w:numId w:val="11"/>
        </w:numPr>
        <w:spacing w:before="120" w:after="120" w:line="240" w:lineRule="auto"/>
        <w:rPr>
          <w:rFonts w:eastAsia="Times New Roman" w:cstheme="minorHAnsi"/>
          <w:szCs w:val="24"/>
          <w:lang w:eastAsia="en-AU"/>
        </w:rPr>
      </w:pPr>
      <w:r w:rsidRPr="0048161B">
        <w:rPr>
          <w:rFonts w:eastAsia="Times New Roman" w:cstheme="minorHAnsi"/>
          <w:szCs w:val="24"/>
          <w:lang w:eastAsia="en-AU"/>
        </w:rPr>
        <w:t>improv</w:t>
      </w:r>
      <w:r>
        <w:rPr>
          <w:rFonts w:eastAsia="Times New Roman" w:cstheme="minorHAnsi"/>
          <w:szCs w:val="24"/>
          <w:lang w:eastAsia="en-AU"/>
        </w:rPr>
        <w:t>e</w:t>
      </w:r>
      <w:r w:rsidRPr="0048161B">
        <w:rPr>
          <w:rFonts w:eastAsia="Times New Roman" w:cstheme="minorHAnsi"/>
          <w:szCs w:val="24"/>
          <w:lang w:eastAsia="en-AU"/>
        </w:rPr>
        <w:t xml:space="preserve"> governance and financial management practices in non-government schools to strengthen financial viability, improve business decision making and build resilience to mitigate unforeseen circumstances.</w:t>
      </w:r>
    </w:p>
    <w:p w14:paraId="38D4E665" w14:textId="317DA4E0" w:rsidR="00F158E9" w:rsidRPr="00D81402" w:rsidRDefault="00F158E9" w:rsidP="0053752F">
      <w:pPr>
        <w:pStyle w:val="ListParagraph"/>
        <w:numPr>
          <w:ilvl w:val="0"/>
          <w:numId w:val="38"/>
        </w:numPr>
        <w:spacing w:before="120" w:after="120" w:line="240" w:lineRule="auto"/>
        <w:contextualSpacing w:val="0"/>
        <w:rPr>
          <w:rFonts w:eastAsia="Times New Roman" w:cstheme="minorHAnsi"/>
          <w:szCs w:val="24"/>
          <w:lang w:eastAsia="en-AU"/>
        </w:rPr>
      </w:pPr>
      <w:r w:rsidRPr="00D81402">
        <w:rPr>
          <w:rFonts w:eastAsia="Times New Roman" w:cstheme="minorHAnsi"/>
          <w:szCs w:val="24"/>
          <w:lang w:eastAsia="en-AU"/>
        </w:rPr>
        <w:t>State b</w:t>
      </w:r>
      <w:r w:rsidR="00EF76B7">
        <w:rPr>
          <w:rFonts w:eastAsia="Times New Roman" w:cstheme="minorHAnsi"/>
          <w:szCs w:val="24"/>
          <w:lang w:eastAsia="en-AU"/>
        </w:rPr>
        <w:t>a</w:t>
      </w:r>
      <w:r w:rsidRPr="00D81402">
        <w:rPr>
          <w:rFonts w:eastAsia="Times New Roman" w:cstheme="minorHAnsi"/>
          <w:szCs w:val="24"/>
          <w:lang w:eastAsia="en-AU"/>
        </w:rPr>
        <w:t xml:space="preserve">sed initiatives as agreed in the relevant bilateral </w:t>
      </w:r>
      <w:proofErr w:type="gramStart"/>
      <w:r w:rsidRPr="00D81402">
        <w:rPr>
          <w:rFonts w:eastAsia="Times New Roman" w:cstheme="minorHAnsi"/>
          <w:szCs w:val="24"/>
          <w:lang w:eastAsia="en-AU"/>
        </w:rPr>
        <w:t>agreement</w:t>
      </w:r>
      <w:proofErr w:type="gramEnd"/>
    </w:p>
    <w:p w14:paraId="5A9792EC" w14:textId="77777777" w:rsidR="004D27FA" w:rsidRPr="00D81402" w:rsidRDefault="00F158E9" w:rsidP="0053752F">
      <w:pPr>
        <w:pStyle w:val="ListParagraph"/>
        <w:numPr>
          <w:ilvl w:val="0"/>
          <w:numId w:val="38"/>
        </w:numPr>
        <w:spacing w:before="120" w:after="120" w:line="240" w:lineRule="auto"/>
        <w:contextualSpacing w:val="0"/>
        <w:rPr>
          <w:rFonts w:eastAsia="Times New Roman" w:cstheme="minorHAnsi"/>
          <w:szCs w:val="24"/>
          <w:lang w:eastAsia="en-AU"/>
        </w:rPr>
      </w:pPr>
      <w:r w:rsidRPr="00D81402">
        <w:rPr>
          <w:rFonts w:eastAsia="Times New Roman" w:cstheme="minorHAnsi"/>
          <w:szCs w:val="24"/>
          <w:lang w:eastAsia="en-AU"/>
        </w:rPr>
        <w:t>L</w:t>
      </w:r>
      <w:r w:rsidR="00646303" w:rsidRPr="00D81402">
        <w:rPr>
          <w:rFonts w:eastAsia="Times New Roman" w:cstheme="minorHAnsi"/>
          <w:szCs w:val="24"/>
          <w:lang w:eastAsia="en-AU"/>
        </w:rPr>
        <w:t>ocal priorities</w:t>
      </w:r>
      <w:r w:rsidRPr="00D81402">
        <w:rPr>
          <w:rFonts w:eastAsia="Times New Roman" w:cstheme="minorHAnsi"/>
          <w:szCs w:val="24"/>
          <w:lang w:eastAsia="en-AU"/>
        </w:rPr>
        <w:t xml:space="preserve"> </w:t>
      </w:r>
      <w:proofErr w:type="gramStart"/>
      <w:r w:rsidRPr="00D81402">
        <w:rPr>
          <w:rFonts w:eastAsia="Times New Roman" w:cstheme="minorHAnsi"/>
          <w:szCs w:val="24"/>
          <w:lang w:eastAsia="en-AU"/>
        </w:rPr>
        <w:t>where</w:t>
      </w:r>
      <w:proofErr w:type="gramEnd"/>
      <w:r w:rsidR="00646303" w:rsidRPr="00D81402">
        <w:rPr>
          <w:rFonts w:eastAsia="Times New Roman" w:cstheme="minorHAnsi"/>
          <w:szCs w:val="24"/>
          <w:lang w:eastAsia="en-AU"/>
        </w:rPr>
        <w:t xml:space="preserve"> aligned broadly </w:t>
      </w:r>
      <w:r w:rsidRPr="00D81402">
        <w:rPr>
          <w:rFonts w:eastAsia="Times New Roman" w:cstheme="minorHAnsi"/>
          <w:szCs w:val="24"/>
          <w:lang w:eastAsia="en-AU"/>
        </w:rPr>
        <w:t>with the Quality Schools agenda (provided NGRBs have funding remaining after meeting their obligations under (a) and (b)</w:t>
      </w:r>
    </w:p>
    <w:p w14:paraId="03EC4699" w14:textId="251A59D3" w:rsidR="00531F2F" w:rsidRPr="00F068D3" w:rsidRDefault="004D27FA" w:rsidP="0053752F">
      <w:pPr>
        <w:pStyle w:val="ListParagraph"/>
        <w:numPr>
          <w:ilvl w:val="0"/>
          <w:numId w:val="38"/>
        </w:numPr>
        <w:spacing w:before="120" w:after="120" w:line="240" w:lineRule="auto"/>
        <w:contextualSpacing w:val="0"/>
        <w:rPr>
          <w:rFonts w:eastAsia="Times New Roman" w:cstheme="minorHAnsi"/>
          <w:lang w:eastAsia="en-AU"/>
        </w:rPr>
      </w:pPr>
      <w:r w:rsidRPr="00D81402">
        <w:rPr>
          <w:rFonts w:eastAsia="Times New Roman" w:cstheme="minorHAnsi"/>
          <w:szCs w:val="24"/>
          <w:lang w:eastAsia="en-AU"/>
        </w:rPr>
        <w:t xml:space="preserve">Other priorities identified by the Minister from time to time. </w:t>
      </w:r>
    </w:p>
    <w:p w14:paraId="7EF4B25D" w14:textId="406DD5C2" w:rsidR="00F068D3" w:rsidRPr="00F068D3" w:rsidRDefault="00F068D3" w:rsidP="00F068D3">
      <w:pPr>
        <w:pStyle w:val="ListParagraph"/>
        <w:numPr>
          <w:ilvl w:val="0"/>
          <w:numId w:val="11"/>
        </w:numPr>
        <w:spacing w:before="120" w:after="120" w:line="240" w:lineRule="auto"/>
        <w:ind w:left="709" w:hanging="709"/>
        <w:rPr>
          <w:rFonts w:eastAsia="Times New Roman" w:cstheme="minorHAnsi"/>
          <w:lang w:eastAsia="en-AU"/>
        </w:rPr>
      </w:pPr>
      <w:r>
        <w:rPr>
          <w:rFonts w:eastAsia="Times New Roman" w:cstheme="minorHAnsi"/>
          <w:lang w:eastAsia="en-AU"/>
        </w:rPr>
        <w:t xml:space="preserve">NGRBs should ensure that, where Reform Support Fund workplan projects are also supported through funding from the Choice and Affordability Fund (and spending on the reform priorities is in accordance with the Choice and Affordability Fund Guidelines), the support is separately identified in Reform Support Fund workplans and annual reports. </w:t>
      </w:r>
    </w:p>
    <w:p w14:paraId="7ED846F6" w14:textId="77777777" w:rsidR="00AB1E9A" w:rsidRPr="001E21AA" w:rsidRDefault="00AB1E9A" w:rsidP="001E21AA">
      <w:pPr>
        <w:pStyle w:val="Heading2"/>
        <w:rPr>
          <w:rFonts w:ascii="Calibri" w:hAnsi="Calibri" w:cs="Calibri"/>
          <w:b/>
          <w:bCs/>
          <w:color w:val="000000" w:themeColor="text1"/>
          <w:sz w:val="22"/>
          <w:szCs w:val="22"/>
        </w:rPr>
      </w:pPr>
      <w:bookmarkStart w:id="6" w:name="_Toc16756167"/>
      <w:bookmarkStart w:id="7" w:name="_Toc84413373"/>
      <w:bookmarkEnd w:id="0"/>
      <w:bookmarkEnd w:id="5"/>
      <w:r w:rsidRPr="001E21AA">
        <w:rPr>
          <w:rFonts w:ascii="Calibri" w:hAnsi="Calibri" w:cs="Calibri"/>
          <w:b/>
          <w:bCs/>
          <w:color w:val="000000" w:themeColor="text1"/>
          <w:sz w:val="22"/>
          <w:szCs w:val="22"/>
        </w:rPr>
        <w:t>Strategic plan</w:t>
      </w:r>
      <w:bookmarkEnd w:id="6"/>
      <w:bookmarkEnd w:id="7"/>
      <w:r w:rsidR="001E0D78" w:rsidRPr="001E21AA">
        <w:rPr>
          <w:rFonts w:ascii="Calibri" w:hAnsi="Calibri" w:cs="Calibri"/>
          <w:b/>
          <w:bCs/>
          <w:color w:val="000000" w:themeColor="text1"/>
          <w:sz w:val="22"/>
          <w:szCs w:val="22"/>
        </w:rPr>
        <w:t xml:space="preserve"> </w:t>
      </w:r>
    </w:p>
    <w:p w14:paraId="4A27590E" w14:textId="77777777" w:rsidR="00AB1E9A" w:rsidRPr="0048161B" w:rsidRDefault="00E43873"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In 2019, each </w:t>
      </w:r>
      <w:r w:rsidR="001E0D78" w:rsidRPr="002C67EB">
        <w:rPr>
          <w:rFonts w:eastAsia="Times New Roman" w:cstheme="minorHAnsi"/>
          <w:lang w:eastAsia="en-AU"/>
        </w:rPr>
        <w:t xml:space="preserve">NGRB </w:t>
      </w:r>
      <w:r w:rsidRPr="0048161B">
        <w:rPr>
          <w:rFonts w:eastAsia="Times New Roman" w:cstheme="minorHAnsi"/>
          <w:lang w:eastAsia="en-AU"/>
        </w:rPr>
        <w:t>provided</w:t>
      </w:r>
      <w:r w:rsidR="00AB1E9A" w:rsidRPr="0048161B">
        <w:rPr>
          <w:rFonts w:eastAsia="Times New Roman" w:cstheme="minorHAnsi"/>
          <w:lang w:eastAsia="en-AU"/>
        </w:rPr>
        <w:t xml:space="preserve"> the Minister a strategic plan for the years 2019 to 2022</w:t>
      </w:r>
      <w:r w:rsidRPr="0048161B">
        <w:rPr>
          <w:rFonts w:eastAsia="Times New Roman" w:cstheme="minorHAnsi"/>
          <w:lang w:eastAsia="en-AU"/>
        </w:rPr>
        <w:t xml:space="preserve">. </w:t>
      </w:r>
      <w:r w:rsidR="00F158E9" w:rsidRPr="0048161B">
        <w:rPr>
          <w:rFonts w:eastAsia="Times New Roman" w:cstheme="minorHAnsi"/>
          <w:lang w:eastAsia="en-AU"/>
        </w:rPr>
        <w:t>The strategic plan</w:t>
      </w:r>
      <w:r w:rsidR="00E52768" w:rsidRPr="0048161B">
        <w:rPr>
          <w:rFonts w:eastAsia="Times New Roman" w:cstheme="minorHAnsi"/>
          <w:lang w:eastAsia="en-AU"/>
        </w:rPr>
        <w:t>s</w:t>
      </w:r>
      <w:r w:rsidR="009E294F" w:rsidRPr="0048161B">
        <w:rPr>
          <w:rFonts w:eastAsia="Times New Roman" w:cstheme="minorHAnsi"/>
          <w:lang w:eastAsia="en-AU"/>
        </w:rPr>
        <w:t xml:space="preserve"> </w:t>
      </w:r>
      <w:r w:rsidR="00E52768" w:rsidRPr="0048161B">
        <w:rPr>
          <w:rFonts w:eastAsia="Times New Roman" w:cstheme="minorHAnsi"/>
          <w:lang w:eastAsia="en-AU"/>
        </w:rPr>
        <w:t>were</w:t>
      </w:r>
      <w:r w:rsidR="009E294F" w:rsidRPr="0048161B">
        <w:rPr>
          <w:rFonts w:eastAsia="Times New Roman" w:cstheme="minorHAnsi"/>
          <w:lang w:eastAsia="en-AU"/>
        </w:rPr>
        <w:t xml:space="preserve"> provided in the template approved by the Minister.</w:t>
      </w:r>
    </w:p>
    <w:p w14:paraId="62905A81" w14:textId="77777777" w:rsidR="00AE18E8" w:rsidRPr="0048161B"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The strategic plan</w:t>
      </w:r>
      <w:r w:rsidR="00FC0463" w:rsidRPr="0048161B">
        <w:rPr>
          <w:rFonts w:eastAsia="Times New Roman" w:cstheme="minorHAnsi"/>
          <w:lang w:eastAsia="en-AU"/>
        </w:rPr>
        <w:t>s</w:t>
      </w:r>
      <w:r w:rsidRPr="0048161B">
        <w:rPr>
          <w:rFonts w:eastAsia="Times New Roman" w:cstheme="minorHAnsi"/>
          <w:lang w:eastAsia="en-AU"/>
        </w:rPr>
        <w:t xml:space="preserve"> focus on reform activities to support state efforts under the national and bilateral agreements. </w:t>
      </w:r>
    </w:p>
    <w:p w14:paraId="56ED00B2" w14:textId="77777777" w:rsidR="00AB1E9A" w:rsidRPr="0048161B"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CD1456" w:rsidRPr="0048161B">
        <w:rPr>
          <w:rFonts w:eastAsia="Times New Roman" w:cstheme="minorHAnsi"/>
          <w:lang w:eastAsia="en-AU"/>
        </w:rPr>
        <w:t>NGRB</w:t>
      </w:r>
      <w:r w:rsidRPr="0048161B">
        <w:rPr>
          <w:rFonts w:eastAsia="Times New Roman" w:cstheme="minorHAnsi"/>
          <w:lang w:eastAsia="en-AU"/>
        </w:rPr>
        <w:t xml:space="preserve"> will need to work collaboratively with the relevant state </w:t>
      </w:r>
      <w:r w:rsidR="00AE18E8" w:rsidRPr="0048161B">
        <w:rPr>
          <w:rFonts w:eastAsia="Times New Roman" w:cstheme="minorHAnsi"/>
          <w:lang w:eastAsia="en-AU"/>
        </w:rPr>
        <w:t>or territory government</w:t>
      </w:r>
      <w:r w:rsidRPr="0048161B">
        <w:rPr>
          <w:rFonts w:eastAsia="Times New Roman" w:cstheme="minorHAnsi"/>
          <w:lang w:eastAsia="en-AU"/>
        </w:rPr>
        <w:t xml:space="preserve"> to support local priorities and cross-sectoral reforms.</w:t>
      </w:r>
    </w:p>
    <w:p w14:paraId="5D4093D7" w14:textId="79C53D17" w:rsidR="00AB1E9A" w:rsidRPr="0048161B" w:rsidRDefault="00E52768"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The</w:t>
      </w:r>
      <w:r w:rsidR="00AB1E9A" w:rsidRPr="0048161B">
        <w:rPr>
          <w:rFonts w:eastAsia="Times New Roman" w:cstheme="minorHAnsi"/>
          <w:lang w:eastAsia="en-AU"/>
        </w:rPr>
        <w:t xml:space="preserve"> approved </w:t>
      </w:r>
      <w:r w:rsidR="00AE18E8" w:rsidRPr="0048161B">
        <w:rPr>
          <w:rFonts w:eastAsia="Times New Roman" w:cstheme="minorHAnsi"/>
          <w:lang w:eastAsia="en-AU"/>
        </w:rPr>
        <w:t>strategic</w:t>
      </w:r>
      <w:r w:rsidR="00AB1E9A" w:rsidRPr="0048161B">
        <w:rPr>
          <w:rFonts w:eastAsia="Times New Roman" w:cstheme="minorHAnsi"/>
          <w:lang w:eastAsia="en-AU"/>
        </w:rPr>
        <w:t xml:space="preserve"> plan</w:t>
      </w:r>
      <w:r w:rsidRPr="0048161B">
        <w:rPr>
          <w:rFonts w:eastAsia="Times New Roman" w:cstheme="minorHAnsi"/>
          <w:lang w:eastAsia="en-AU"/>
        </w:rPr>
        <w:t>s</w:t>
      </w:r>
      <w:r w:rsidR="00AB1E9A" w:rsidRPr="0048161B">
        <w:rPr>
          <w:rFonts w:eastAsia="Times New Roman" w:cstheme="minorHAnsi"/>
          <w:lang w:eastAsia="en-AU"/>
        </w:rPr>
        <w:t xml:space="preserve"> form an attachment to, a</w:t>
      </w:r>
      <w:r w:rsidR="00F65C25" w:rsidRPr="0048161B">
        <w:rPr>
          <w:rFonts w:eastAsia="Times New Roman" w:cstheme="minorHAnsi"/>
          <w:lang w:eastAsia="en-AU"/>
        </w:rPr>
        <w:t xml:space="preserve">nd </w:t>
      </w:r>
      <w:r w:rsidR="00EA0C7A" w:rsidRPr="0048161B">
        <w:rPr>
          <w:rFonts w:eastAsia="Times New Roman" w:cstheme="minorHAnsi"/>
          <w:lang w:eastAsia="en-AU"/>
        </w:rPr>
        <w:t xml:space="preserve">are </w:t>
      </w:r>
      <w:r w:rsidR="00F65C25" w:rsidRPr="0048161B">
        <w:rPr>
          <w:rFonts w:eastAsia="Times New Roman" w:cstheme="minorHAnsi"/>
          <w:lang w:eastAsia="en-AU"/>
        </w:rPr>
        <w:t xml:space="preserve">part of, these Guidelines, </w:t>
      </w:r>
      <w:r w:rsidR="003159BA">
        <w:rPr>
          <w:rFonts w:eastAsia="Times New Roman" w:cstheme="minorHAnsi"/>
          <w:lang w:eastAsia="en-AU"/>
        </w:rPr>
        <w:t>and</w:t>
      </w:r>
      <w:r w:rsidR="00F65C25" w:rsidRPr="0048161B">
        <w:rPr>
          <w:rFonts w:eastAsia="Times New Roman" w:cstheme="minorHAnsi"/>
          <w:lang w:eastAsia="en-AU"/>
        </w:rPr>
        <w:t xml:space="preserve"> </w:t>
      </w:r>
      <w:r w:rsidRPr="0048161B">
        <w:rPr>
          <w:rFonts w:eastAsia="Times New Roman" w:cstheme="minorHAnsi"/>
          <w:lang w:eastAsia="en-AU"/>
        </w:rPr>
        <w:t xml:space="preserve">are </w:t>
      </w:r>
      <w:r w:rsidR="00F65C25" w:rsidRPr="0048161B">
        <w:rPr>
          <w:rFonts w:eastAsia="Times New Roman" w:cstheme="minorHAnsi"/>
          <w:lang w:eastAsia="en-AU"/>
        </w:rPr>
        <w:t>published on the Department of Education</w:t>
      </w:r>
      <w:r w:rsidR="002D3E07" w:rsidRPr="0048161B">
        <w:rPr>
          <w:rFonts w:eastAsia="Times New Roman" w:cstheme="minorHAnsi"/>
          <w:lang w:eastAsia="en-AU"/>
        </w:rPr>
        <w:t xml:space="preserve">, </w:t>
      </w:r>
      <w:proofErr w:type="gramStart"/>
      <w:r w:rsidR="002D3E07" w:rsidRPr="0048161B">
        <w:rPr>
          <w:rFonts w:eastAsia="Times New Roman" w:cstheme="minorHAnsi"/>
          <w:lang w:eastAsia="en-AU"/>
        </w:rPr>
        <w:t>Skills</w:t>
      </w:r>
      <w:proofErr w:type="gramEnd"/>
      <w:r w:rsidR="002D3E07" w:rsidRPr="0048161B">
        <w:rPr>
          <w:rFonts w:eastAsia="Times New Roman" w:cstheme="minorHAnsi"/>
          <w:lang w:eastAsia="en-AU"/>
        </w:rPr>
        <w:t xml:space="preserve"> and Employment</w:t>
      </w:r>
      <w:r w:rsidR="00F65C25" w:rsidRPr="0048161B">
        <w:rPr>
          <w:rFonts w:eastAsia="Times New Roman" w:cstheme="minorHAnsi"/>
          <w:lang w:eastAsia="en-AU"/>
        </w:rPr>
        <w:t xml:space="preserve"> website.</w:t>
      </w:r>
    </w:p>
    <w:p w14:paraId="11747D85" w14:textId="4497B271" w:rsidR="00AB1E9A"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lastRenderedPageBreak/>
        <w:t xml:space="preserve">Any variation to an approved strategic plan must be agreed by both the Minister and relevant </w:t>
      </w:r>
      <w:r w:rsidR="00CD1456" w:rsidRPr="0048161B">
        <w:rPr>
          <w:rFonts w:eastAsia="Times New Roman" w:cstheme="minorHAnsi"/>
          <w:lang w:eastAsia="en-AU"/>
        </w:rPr>
        <w:t>NGRB</w:t>
      </w:r>
      <w:r w:rsidRPr="0048161B">
        <w:rPr>
          <w:rFonts w:eastAsia="Times New Roman" w:cstheme="minorHAnsi"/>
          <w:lang w:eastAsia="en-AU"/>
        </w:rPr>
        <w:t xml:space="preserve"> in writing.</w:t>
      </w:r>
    </w:p>
    <w:p w14:paraId="0AA56029" w14:textId="20441F77" w:rsidR="00F7200E" w:rsidRPr="0016476F" w:rsidRDefault="00F7200E" w:rsidP="00F7200E">
      <w:pPr>
        <w:numPr>
          <w:ilvl w:val="0"/>
          <w:numId w:val="11"/>
        </w:numPr>
        <w:spacing w:after="120" w:line="240" w:lineRule="auto"/>
        <w:ind w:left="709" w:hanging="709"/>
        <w:rPr>
          <w:rFonts w:eastAsia="Times New Roman" w:cstheme="minorHAnsi"/>
          <w:lang w:eastAsia="en-AU"/>
        </w:rPr>
      </w:pPr>
      <w:r w:rsidRPr="0016476F">
        <w:rPr>
          <w:rFonts w:eastAsia="Times New Roman" w:cstheme="minorHAnsi"/>
          <w:lang w:eastAsia="en-AU"/>
        </w:rPr>
        <w:t xml:space="preserve">The strategic plan of each NGRB </w:t>
      </w:r>
      <w:proofErr w:type="gramStart"/>
      <w:r w:rsidRPr="0016476F">
        <w:rPr>
          <w:rFonts w:eastAsia="Times New Roman" w:cstheme="minorHAnsi"/>
          <w:lang w:eastAsia="en-AU"/>
        </w:rPr>
        <w:t>are</w:t>
      </w:r>
      <w:proofErr w:type="gramEnd"/>
      <w:r w:rsidRPr="0016476F">
        <w:rPr>
          <w:rFonts w:eastAsia="Times New Roman" w:cstheme="minorHAnsi"/>
          <w:lang w:eastAsia="en-AU"/>
        </w:rPr>
        <w:t xml:space="preserve"> also required to be published on the NGRB’s website.</w:t>
      </w:r>
    </w:p>
    <w:p w14:paraId="3D0005B3" w14:textId="77777777" w:rsidR="00AB1E9A" w:rsidRPr="00951C18" w:rsidRDefault="00CD1456" w:rsidP="00951C18">
      <w:pPr>
        <w:pStyle w:val="Heading2"/>
        <w:rPr>
          <w:rFonts w:ascii="Calibri" w:hAnsi="Calibri" w:cs="Calibri"/>
          <w:b/>
          <w:bCs/>
          <w:color w:val="000000" w:themeColor="text1"/>
          <w:sz w:val="22"/>
          <w:szCs w:val="22"/>
        </w:rPr>
      </w:pPr>
      <w:bookmarkStart w:id="8" w:name="_Toc16756168"/>
      <w:bookmarkStart w:id="9" w:name="_Toc84413374"/>
      <w:r w:rsidRPr="00951C18">
        <w:rPr>
          <w:rFonts w:ascii="Calibri" w:hAnsi="Calibri" w:cs="Calibri"/>
          <w:b/>
          <w:bCs/>
          <w:color w:val="000000" w:themeColor="text1"/>
          <w:sz w:val="22"/>
          <w:szCs w:val="22"/>
        </w:rPr>
        <w:t>W</w:t>
      </w:r>
      <w:r w:rsidR="00FB5C85" w:rsidRPr="00951C18">
        <w:rPr>
          <w:rFonts w:ascii="Calibri" w:hAnsi="Calibri" w:cs="Calibri"/>
          <w:b/>
          <w:bCs/>
          <w:color w:val="000000" w:themeColor="text1"/>
          <w:sz w:val="22"/>
          <w:szCs w:val="22"/>
        </w:rPr>
        <w:t>ork</w:t>
      </w:r>
      <w:r w:rsidR="00AB1E9A" w:rsidRPr="00951C18">
        <w:rPr>
          <w:rFonts w:ascii="Calibri" w:hAnsi="Calibri" w:cs="Calibri"/>
          <w:b/>
          <w:bCs/>
          <w:color w:val="000000" w:themeColor="text1"/>
          <w:sz w:val="22"/>
          <w:szCs w:val="22"/>
        </w:rPr>
        <w:t>plan</w:t>
      </w:r>
      <w:bookmarkEnd w:id="8"/>
      <w:bookmarkEnd w:id="9"/>
    </w:p>
    <w:p w14:paraId="44E76836" w14:textId="72A43C23" w:rsidR="00AB1E9A" w:rsidRPr="00D81402" w:rsidRDefault="00FB5C85" w:rsidP="00047D1D">
      <w:pPr>
        <w:numPr>
          <w:ilvl w:val="0"/>
          <w:numId w:val="11"/>
        </w:numPr>
        <w:spacing w:after="120" w:line="240" w:lineRule="auto"/>
        <w:ind w:left="709" w:hanging="709"/>
        <w:rPr>
          <w:rFonts w:ascii="Calibri" w:eastAsia="Times New Roman" w:hAnsi="Calibri" w:cs="Times New Roman"/>
          <w:lang w:eastAsia="en-AU"/>
        </w:rPr>
      </w:pPr>
      <w:r w:rsidRPr="00D81402">
        <w:rPr>
          <w:rFonts w:eastAsia="Times New Roman" w:cstheme="minorHAnsi"/>
          <w:lang w:eastAsia="en-AU"/>
        </w:rPr>
        <w:t>A work</w:t>
      </w:r>
      <w:r w:rsidR="00AB1E9A" w:rsidRPr="00D81402">
        <w:rPr>
          <w:rFonts w:eastAsia="Times New Roman" w:cstheme="minorHAnsi"/>
          <w:lang w:eastAsia="en-AU"/>
        </w:rPr>
        <w:t xml:space="preserve">plan for a </w:t>
      </w:r>
      <w:r w:rsidR="001E1894">
        <w:rPr>
          <w:rFonts w:eastAsia="Times New Roman" w:cstheme="minorHAnsi"/>
          <w:lang w:eastAsia="en-AU"/>
        </w:rPr>
        <w:t xml:space="preserve">calendar </w:t>
      </w:r>
      <w:r w:rsidR="00AB1E9A" w:rsidRPr="00D81402">
        <w:rPr>
          <w:rFonts w:eastAsia="Times New Roman" w:cstheme="minorHAnsi"/>
          <w:lang w:eastAsia="en-AU"/>
        </w:rPr>
        <w:t>year must be provided in the template approved by the Minister</w:t>
      </w:r>
      <w:r w:rsidR="009E1EE6" w:rsidRPr="00D81402">
        <w:rPr>
          <w:rFonts w:eastAsia="Times New Roman" w:cstheme="minorHAnsi"/>
          <w:lang w:eastAsia="en-AU"/>
        </w:rPr>
        <w:t xml:space="preserve"> and</w:t>
      </w:r>
      <w:r w:rsidR="009E1EE6" w:rsidRPr="00D81402">
        <w:rPr>
          <w:rFonts w:ascii="Calibri" w:eastAsia="Times New Roman" w:hAnsi="Calibri" w:cs="Times New Roman"/>
          <w:lang w:eastAsia="en-AU"/>
        </w:rPr>
        <w:t xml:space="preserve"> submitted to </w:t>
      </w:r>
      <w:r w:rsidR="0003754A" w:rsidRPr="001E21AA">
        <w:rPr>
          <w:rFonts w:eastAsia="Times New Roman" w:cs="Times New Roman"/>
          <w:b/>
          <w:bCs/>
          <w:szCs w:val="24"/>
        </w:rPr>
        <w:t>reformsupportfund@dese.</w:t>
      </w:r>
      <w:r w:rsidR="0003754A" w:rsidRPr="005921EE">
        <w:rPr>
          <w:rFonts w:eastAsia="Times New Roman" w:cs="Times New Roman"/>
          <w:b/>
          <w:bCs/>
          <w:szCs w:val="24"/>
        </w:rPr>
        <w:t>gov</w:t>
      </w:r>
      <w:r w:rsidR="0003754A" w:rsidRPr="0048161B">
        <w:rPr>
          <w:rFonts w:eastAsia="Times New Roman" w:cs="Times New Roman"/>
          <w:b/>
          <w:bCs/>
          <w:szCs w:val="24"/>
        </w:rPr>
        <w:t>.au</w:t>
      </w:r>
      <w:r w:rsidR="0003754A" w:rsidRPr="00D81402">
        <w:rPr>
          <w:rFonts w:eastAsia="Times New Roman" w:cs="Times New Roman"/>
          <w:szCs w:val="24"/>
        </w:rPr>
        <w:t xml:space="preserve"> in Microsoft Word </w:t>
      </w:r>
      <w:r w:rsidR="00783018">
        <w:rPr>
          <w:rFonts w:eastAsia="Times New Roman" w:cs="Times New Roman"/>
          <w:szCs w:val="24"/>
        </w:rPr>
        <w:t>and</w:t>
      </w:r>
      <w:r w:rsidR="0003754A" w:rsidRPr="00D81402">
        <w:rPr>
          <w:rFonts w:eastAsia="Times New Roman" w:cs="Times New Roman"/>
          <w:szCs w:val="24"/>
        </w:rPr>
        <w:t xml:space="preserve"> PDF formats.</w:t>
      </w:r>
    </w:p>
    <w:p w14:paraId="7C95C4B1" w14:textId="04E13E20" w:rsidR="00415C62" w:rsidRPr="00D81402" w:rsidRDefault="00415C62" w:rsidP="005451D5">
      <w:pPr>
        <w:numPr>
          <w:ilvl w:val="0"/>
          <w:numId w:val="11"/>
        </w:numPr>
        <w:spacing w:after="120" w:line="240" w:lineRule="auto"/>
        <w:ind w:left="709" w:hanging="709"/>
        <w:rPr>
          <w:rFonts w:ascii="Calibri" w:eastAsia="Times New Roman" w:hAnsi="Calibri" w:cs="Times New Roman"/>
          <w:lang w:eastAsia="en-AU"/>
        </w:rPr>
      </w:pPr>
      <w:r w:rsidRPr="00D81402">
        <w:rPr>
          <w:rFonts w:eastAsia="Times New Roman" w:cstheme="minorHAnsi"/>
          <w:lang w:eastAsia="en-AU"/>
        </w:rPr>
        <w:t xml:space="preserve">For </w:t>
      </w:r>
      <w:r w:rsidR="00E43873" w:rsidRPr="00D81402">
        <w:rPr>
          <w:rFonts w:eastAsia="Times New Roman" w:cstheme="minorHAnsi"/>
          <w:lang w:eastAsia="en-AU"/>
        </w:rPr>
        <w:t>202</w:t>
      </w:r>
      <w:r w:rsidR="006C6B85">
        <w:rPr>
          <w:rFonts w:eastAsia="Times New Roman" w:cstheme="minorHAnsi"/>
          <w:lang w:eastAsia="en-AU"/>
        </w:rPr>
        <w:t>2</w:t>
      </w:r>
      <w:r w:rsidRPr="00D81402">
        <w:rPr>
          <w:rFonts w:eastAsia="Times New Roman" w:cstheme="minorHAnsi"/>
          <w:lang w:eastAsia="en-AU"/>
        </w:rPr>
        <w:t xml:space="preserve">, </w:t>
      </w:r>
      <w:r w:rsidR="00534E5A" w:rsidRPr="00D81402">
        <w:rPr>
          <w:rFonts w:eastAsia="Times New Roman" w:cstheme="minorHAnsi"/>
          <w:lang w:eastAsia="en-AU"/>
        </w:rPr>
        <w:t>the</w:t>
      </w:r>
      <w:r w:rsidR="00FB5C85" w:rsidRPr="00D81402">
        <w:rPr>
          <w:rFonts w:eastAsia="Times New Roman" w:cstheme="minorHAnsi"/>
          <w:lang w:eastAsia="en-AU"/>
        </w:rPr>
        <w:t xml:space="preserve"> work</w:t>
      </w:r>
      <w:r w:rsidR="00A14F72" w:rsidRPr="00D81402">
        <w:rPr>
          <w:rFonts w:eastAsia="Times New Roman" w:cstheme="minorHAnsi"/>
          <w:lang w:eastAsia="en-AU"/>
        </w:rPr>
        <w:t xml:space="preserve">plan </w:t>
      </w:r>
      <w:r w:rsidR="00F158E9" w:rsidRPr="00D81402">
        <w:rPr>
          <w:rFonts w:eastAsia="Times New Roman" w:cstheme="minorHAnsi"/>
          <w:lang w:eastAsia="en-AU"/>
        </w:rPr>
        <w:t>must be</w:t>
      </w:r>
      <w:r w:rsidR="00A14F72" w:rsidRPr="00D81402">
        <w:rPr>
          <w:rFonts w:eastAsia="Times New Roman" w:cstheme="minorHAnsi"/>
          <w:lang w:eastAsia="en-AU"/>
        </w:rPr>
        <w:t xml:space="preserve"> submitted by </w:t>
      </w:r>
      <w:r w:rsidR="00FE3064">
        <w:rPr>
          <w:rFonts w:eastAsia="Times New Roman" w:cstheme="minorHAnsi"/>
          <w:lang w:eastAsia="en-AU"/>
        </w:rPr>
        <w:t>30 November</w:t>
      </w:r>
      <w:r w:rsidR="006C6B85" w:rsidRPr="00D81402">
        <w:rPr>
          <w:rFonts w:eastAsia="Times New Roman" w:cstheme="minorHAnsi"/>
          <w:lang w:eastAsia="en-AU"/>
        </w:rPr>
        <w:t xml:space="preserve"> </w:t>
      </w:r>
      <w:r w:rsidR="00534E5A" w:rsidRPr="00D81402">
        <w:rPr>
          <w:rFonts w:eastAsia="Times New Roman" w:cstheme="minorHAnsi"/>
          <w:lang w:eastAsia="en-AU"/>
        </w:rPr>
        <w:t>20</w:t>
      </w:r>
      <w:r w:rsidR="00C415E4" w:rsidRPr="00D81402">
        <w:rPr>
          <w:rFonts w:eastAsia="Times New Roman" w:cstheme="minorHAnsi"/>
          <w:lang w:eastAsia="en-AU"/>
        </w:rPr>
        <w:t>2</w:t>
      </w:r>
      <w:r w:rsidR="006C6B85">
        <w:rPr>
          <w:rFonts w:eastAsia="Times New Roman" w:cstheme="minorHAnsi"/>
          <w:lang w:eastAsia="en-AU"/>
        </w:rPr>
        <w:t>1</w:t>
      </w:r>
      <w:r w:rsidR="00A14F72" w:rsidRPr="00D81402">
        <w:rPr>
          <w:rFonts w:eastAsia="Times New Roman" w:cstheme="minorHAnsi"/>
          <w:lang w:eastAsia="en-AU"/>
        </w:rPr>
        <w:t>, unless the Minister approves a later date.</w:t>
      </w:r>
    </w:p>
    <w:p w14:paraId="18A7BBC8" w14:textId="3E839602" w:rsidR="00AB1E9A" w:rsidRPr="0048161B" w:rsidRDefault="00FB5C85" w:rsidP="005451D5">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The work</w:t>
      </w:r>
      <w:r w:rsidR="00AB1E9A" w:rsidRPr="0048161B">
        <w:rPr>
          <w:rFonts w:eastAsia="Times New Roman" w:cstheme="minorHAnsi"/>
          <w:lang w:eastAsia="en-AU"/>
        </w:rPr>
        <w:t xml:space="preserve">plan for </w:t>
      </w:r>
      <w:r w:rsidR="00E43873" w:rsidRPr="0048161B">
        <w:rPr>
          <w:rFonts w:eastAsia="Times New Roman" w:cstheme="minorHAnsi"/>
          <w:lang w:eastAsia="en-AU"/>
        </w:rPr>
        <w:t>202</w:t>
      </w:r>
      <w:r w:rsidR="006C6B85" w:rsidRPr="0048161B">
        <w:rPr>
          <w:rFonts w:eastAsia="Times New Roman" w:cstheme="minorHAnsi"/>
          <w:lang w:eastAsia="en-AU"/>
        </w:rPr>
        <w:t>2</w:t>
      </w:r>
      <w:r w:rsidR="00E43873" w:rsidRPr="0048161B">
        <w:rPr>
          <w:rFonts w:eastAsia="Times New Roman" w:cstheme="minorHAnsi"/>
          <w:lang w:eastAsia="en-AU"/>
        </w:rPr>
        <w:t xml:space="preserve"> </w:t>
      </w:r>
      <w:r w:rsidR="00AB1E9A" w:rsidRPr="0048161B">
        <w:rPr>
          <w:rFonts w:eastAsia="Times New Roman" w:cstheme="minorHAnsi"/>
          <w:lang w:eastAsia="en-AU"/>
        </w:rPr>
        <w:t>must:</w:t>
      </w:r>
    </w:p>
    <w:p w14:paraId="75DB9655" w14:textId="77777777" w:rsidR="00AB1E9A" w:rsidRPr="0048161B" w:rsidRDefault="00AB1E9A" w:rsidP="005451D5">
      <w:pPr>
        <w:numPr>
          <w:ilvl w:val="0"/>
          <w:numId w:val="31"/>
        </w:numPr>
        <w:spacing w:after="120" w:line="240" w:lineRule="auto"/>
        <w:rPr>
          <w:rFonts w:eastAsia="Times New Roman" w:cstheme="minorHAnsi"/>
          <w:lang w:eastAsia="en-AU"/>
        </w:rPr>
      </w:pPr>
      <w:r w:rsidRPr="0048161B">
        <w:rPr>
          <w:rFonts w:eastAsia="Times New Roman" w:cstheme="minorHAnsi"/>
          <w:lang w:eastAsia="en-AU"/>
        </w:rPr>
        <w:t xml:space="preserve">be developed in consultation with the relevant state </w:t>
      </w:r>
      <w:r w:rsidR="00573BB8" w:rsidRPr="0048161B">
        <w:rPr>
          <w:rFonts w:eastAsia="Times New Roman" w:cstheme="minorHAnsi"/>
          <w:lang w:eastAsia="en-AU"/>
        </w:rPr>
        <w:t xml:space="preserve">or territory </w:t>
      </w:r>
      <w:r w:rsidRPr="0048161B">
        <w:rPr>
          <w:rFonts w:eastAsia="Times New Roman" w:cstheme="minorHAnsi"/>
          <w:lang w:eastAsia="en-AU"/>
        </w:rPr>
        <w:t>government.</w:t>
      </w:r>
    </w:p>
    <w:p w14:paraId="0423414E" w14:textId="77777777" w:rsidR="00AB1E9A" w:rsidRPr="0048161B" w:rsidRDefault="00AB1E9A" w:rsidP="005451D5">
      <w:pPr>
        <w:numPr>
          <w:ilvl w:val="0"/>
          <w:numId w:val="31"/>
        </w:numPr>
        <w:spacing w:after="120" w:line="240" w:lineRule="auto"/>
        <w:rPr>
          <w:rFonts w:eastAsia="Times New Roman" w:cstheme="minorHAnsi"/>
          <w:lang w:eastAsia="en-AU"/>
        </w:rPr>
      </w:pPr>
      <w:r w:rsidRPr="0048161B">
        <w:rPr>
          <w:rFonts w:eastAsia="Times New Roman" w:cstheme="minorHAnsi"/>
          <w:lang w:eastAsia="en-AU"/>
        </w:rPr>
        <w:t xml:space="preserve">include the activities the </w:t>
      </w:r>
      <w:r w:rsidR="00CD1456" w:rsidRPr="002C67EB">
        <w:rPr>
          <w:rFonts w:eastAsia="Times New Roman" w:cstheme="minorHAnsi"/>
          <w:szCs w:val="24"/>
          <w:lang w:eastAsia="en-AU"/>
        </w:rPr>
        <w:t>NGRB</w:t>
      </w:r>
      <w:r w:rsidRPr="0048161B">
        <w:rPr>
          <w:rFonts w:eastAsia="Times New Roman" w:cstheme="minorHAnsi"/>
          <w:lang w:eastAsia="en-AU"/>
        </w:rPr>
        <w:t xml:space="preserve"> will undertake for the year to support the implementation of school education reforms, detailed in the agreements referenced in subsection 22(2) of the Act</w:t>
      </w:r>
      <w:r w:rsidR="00227BA8" w:rsidRPr="0048161B">
        <w:rPr>
          <w:rFonts w:eastAsia="Times New Roman" w:cstheme="minorHAnsi"/>
          <w:lang w:eastAsia="en-AU"/>
        </w:rPr>
        <w:t>, the three national priorities outlined in paragraph 7 above</w:t>
      </w:r>
      <w:r w:rsidRPr="0048161B">
        <w:rPr>
          <w:rFonts w:eastAsia="Times New Roman" w:cstheme="minorHAnsi"/>
          <w:lang w:eastAsia="en-AU"/>
        </w:rPr>
        <w:t xml:space="preserve"> or as notified to the </w:t>
      </w:r>
      <w:r w:rsidR="001E0D78" w:rsidRPr="002C67EB">
        <w:rPr>
          <w:rFonts w:eastAsia="Times New Roman" w:cstheme="minorHAnsi"/>
          <w:szCs w:val="24"/>
          <w:lang w:eastAsia="en-AU"/>
        </w:rPr>
        <w:t xml:space="preserve">NGRB </w:t>
      </w:r>
      <w:r w:rsidRPr="0048161B">
        <w:rPr>
          <w:rFonts w:eastAsia="Times New Roman" w:cstheme="minorHAnsi"/>
          <w:lang w:eastAsia="en-AU"/>
        </w:rPr>
        <w:t>in writing by the Minister, in relation to the non</w:t>
      </w:r>
      <w:r w:rsidRPr="0048161B">
        <w:rPr>
          <w:rFonts w:eastAsia="Times New Roman" w:cstheme="minorHAnsi"/>
          <w:lang w:eastAsia="en-AU"/>
        </w:rPr>
        <w:noBreakHyphen/>
        <w:t>government school sector.</w:t>
      </w:r>
    </w:p>
    <w:p w14:paraId="578CFBB7" w14:textId="1C52811E" w:rsidR="00AB1E9A" w:rsidRPr="0048161B" w:rsidRDefault="00AB1E9A" w:rsidP="005451D5">
      <w:pPr>
        <w:numPr>
          <w:ilvl w:val="0"/>
          <w:numId w:val="31"/>
        </w:numPr>
        <w:spacing w:after="120" w:line="240" w:lineRule="auto"/>
        <w:rPr>
          <w:rFonts w:eastAsia="Times New Roman" w:cstheme="minorHAnsi"/>
          <w:szCs w:val="24"/>
          <w:lang w:eastAsia="en-AU"/>
        </w:rPr>
      </w:pPr>
      <w:r w:rsidRPr="0048161B">
        <w:rPr>
          <w:rFonts w:eastAsia="Times New Roman" w:cstheme="minorHAnsi"/>
          <w:szCs w:val="24"/>
          <w:lang w:eastAsia="en-AU"/>
        </w:rPr>
        <w:t xml:space="preserve">include a </w:t>
      </w:r>
      <w:r w:rsidR="00D261A5" w:rsidRPr="0048161B">
        <w:rPr>
          <w:rFonts w:eastAsia="Times New Roman" w:cstheme="minorHAnsi"/>
          <w:szCs w:val="24"/>
          <w:lang w:eastAsia="en-AU"/>
        </w:rPr>
        <w:t>breakdown of funding</w:t>
      </w:r>
      <w:r w:rsidRPr="0048161B">
        <w:rPr>
          <w:rFonts w:eastAsia="Times New Roman" w:cstheme="minorHAnsi"/>
          <w:szCs w:val="24"/>
          <w:lang w:eastAsia="en-AU"/>
        </w:rPr>
        <w:t xml:space="preserve"> for each activity, including all funding sources, and the expected amount of that funding</w:t>
      </w:r>
      <w:r w:rsidR="003728D6" w:rsidRPr="0048161B">
        <w:rPr>
          <w:rFonts w:eastAsia="Times New Roman" w:cstheme="minorHAnsi"/>
          <w:szCs w:val="24"/>
          <w:lang w:eastAsia="en-AU"/>
        </w:rPr>
        <w:t>.</w:t>
      </w:r>
      <w:r w:rsidRPr="0048161B">
        <w:rPr>
          <w:rFonts w:eastAsia="Times New Roman" w:cstheme="minorHAnsi"/>
          <w:szCs w:val="24"/>
          <w:lang w:eastAsia="en-AU"/>
        </w:rPr>
        <w:t xml:space="preserve"> </w:t>
      </w:r>
      <w:r w:rsidR="003728D6" w:rsidRPr="0048161B">
        <w:rPr>
          <w:rFonts w:eastAsia="Times New Roman" w:cstheme="minorHAnsi"/>
          <w:szCs w:val="24"/>
          <w:lang w:eastAsia="en-AU"/>
        </w:rPr>
        <w:t>For</w:t>
      </w:r>
      <w:r w:rsidRPr="0048161B">
        <w:rPr>
          <w:rFonts w:eastAsia="Times New Roman" w:cstheme="minorHAnsi"/>
          <w:szCs w:val="24"/>
          <w:lang w:eastAsia="en-AU"/>
        </w:rPr>
        <w:t xml:space="preserve"> example, funding provided </w:t>
      </w:r>
      <w:r w:rsidR="003728D6" w:rsidRPr="0048161B">
        <w:rPr>
          <w:rFonts w:eastAsia="Times New Roman" w:cstheme="minorHAnsi"/>
          <w:szCs w:val="24"/>
          <w:lang w:eastAsia="en-AU"/>
        </w:rPr>
        <w:t xml:space="preserve">through the Choice and Affordability Fund, </w:t>
      </w:r>
      <w:r w:rsidRPr="0048161B">
        <w:rPr>
          <w:rFonts w:eastAsia="Times New Roman" w:cstheme="minorHAnsi"/>
          <w:szCs w:val="24"/>
          <w:lang w:eastAsia="en-AU"/>
        </w:rPr>
        <w:t xml:space="preserve">by the state or </w:t>
      </w:r>
      <w:r w:rsidR="00573BB8" w:rsidRPr="0048161B">
        <w:rPr>
          <w:rFonts w:eastAsia="Times New Roman" w:cstheme="minorHAnsi"/>
          <w:szCs w:val="24"/>
          <w:lang w:eastAsia="en-AU"/>
        </w:rPr>
        <w:t>territory</w:t>
      </w:r>
      <w:r w:rsidRPr="0048161B">
        <w:rPr>
          <w:rFonts w:eastAsia="Times New Roman" w:cstheme="minorHAnsi"/>
          <w:szCs w:val="24"/>
          <w:lang w:eastAsia="en-AU"/>
        </w:rPr>
        <w:t xml:space="preserve"> or other organisations, or where participants covered their own travel and/or accommodation costs to attend workshops.</w:t>
      </w:r>
    </w:p>
    <w:p w14:paraId="56A18607" w14:textId="6E12FD77" w:rsidR="00AB1E9A" w:rsidRPr="0048161B"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The department will assess </w:t>
      </w:r>
      <w:r w:rsidR="00FB5C85" w:rsidRPr="0048161B">
        <w:rPr>
          <w:rFonts w:eastAsia="Times New Roman" w:cstheme="minorHAnsi"/>
          <w:lang w:eastAsia="en-AU"/>
        </w:rPr>
        <w:t>the work</w:t>
      </w:r>
      <w:r w:rsidR="00CD1456" w:rsidRPr="0048161B">
        <w:rPr>
          <w:rFonts w:eastAsia="Times New Roman" w:cstheme="minorHAnsi"/>
          <w:lang w:eastAsia="en-AU"/>
        </w:rPr>
        <w:t>plan</w:t>
      </w:r>
      <w:r w:rsidRPr="0048161B">
        <w:rPr>
          <w:rFonts w:eastAsia="Times New Roman" w:cstheme="minorHAnsi"/>
          <w:lang w:eastAsia="en-AU"/>
        </w:rPr>
        <w:t xml:space="preserve"> against the r</w:t>
      </w:r>
      <w:r w:rsidR="00F65C25" w:rsidRPr="0048161B">
        <w:rPr>
          <w:rFonts w:eastAsia="Times New Roman" w:cstheme="minorHAnsi"/>
          <w:lang w:eastAsia="en-AU"/>
        </w:rPr>
        <w:t xml:space="preserve">equirements in these Guidelines, which </w:t>
      </w:r>
      <w:r w:rsidR="003159BA">
        <w:rPr>
          <w:rFonts w:eastAsia="Times New Roman" w:cstheme="minorHAnsi"/>
          <w:lang w:eastAsia="en-AU"/>
        </w:rPr>
        <w:t>are</w:t>
      </w:r>
      <w:r w:rsidR="00F65C25" w:rsidRPr="0048161B">
        <w:rPr>
          <w:rFonts w:eastAsia="Times New Roman" w:cstheme="minorHAnsi"/>
          <w:lang w:eastAsia="en-AU"/>
        </w:rPr>
        <w:t xml:space="preserve"> published on the </w:t>
      </w:r>
      <w:r w:rsidR="00207358" w:rsidRPr="0048161B">
        <w:rPr>
          <w:rFonts w:eastAsia="Times New Roman" w:cstheme="minorHAnsi"/>
          <w:lang w:eastAsia="en-AU"/>
        </w:rPr>
        <w:t>d</w:t>
      </w:r>
      <w:r w:rsidR="00F65C25" w:rsidRPr="0048161B">
        <w:rPr>
          <w:rFonts w:eastAsia="Times New Roman" w:cstheme="minorHAnsi"/>
          <w:lang w:eastAsia="en-AU"/>
        </w:rPr>
        <w:t>epartment</w:t>
      </w:r>
      <w:r w:rsidR="00207358" w:rsidRPr="0048161B">
        <w:rPr>
          <w:rFonts w:eastAsia="Times New Roman" w:cstheme="minorHAnsi"/>
          <w:lang w:eastAsia="en-AU"/>
        </w:rPr>
        <w:t>’s</w:t>
      </w:r>
      <w:r w:rsidR="00F65C25" w:rsidRPr="0048161B">
        <w:rPr>
          <w:rFonts w:eastAsia="Times New Roman" w:cstheme="minorHAnsi"/>
          <w:lang w:eastAsia="en-AU"/>
        </w:rPr>
        <w:t xml:space="preserve"> website.</w:t>
      </w:r>
    </w:p>
    <w:p w14:paraId="0D9F9FA0" w14:textId="6AF2F2BF" w:rsidR="00AB1E9A" w:rsidRPr="0016476F" w:rsidRDefault="00895748" w:rsidP="00203206">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T</w:t>
      </w:r>
      <w:r w:rsidR="00AB1E9A" w:rsidRPr="0048161B">
        <w:rPr>
          <w:rFonts w:eastAsia="Times New Roman" w:cstheme="minorHAnsi"/>
          <w:lang w:eastAsia="en-AU"/>
        </w:rPr>
        <w:t xml:space="preserve">he </w:t>
      </w:r>
      <w:r w:rsidRPr="0048161B">
        <w:rPr>
          <w:rFonts w:eastAsia="Times New Roman" w:cstheme="minorHAnsi"/>
          <w:lang w:eastAsia="en-AU"/>
        </w:rPr>
        <w:t>approved</w:t>
      </w:r>
      <w:r w:rsidR="00067A61" w:rsidRPr="0048161B">
        <w:rPr>
          <w:rFonts w:eastAsia="Times New Roman" w:cstheme="minorHAnsi"/>
          <w:lang w:eastAsia="en-AU"/>
        </w:rPr>
        <w:t xml:space="preserve"> </w:t>
      </w:r>
      <w:r w:rsidR="00FB5C85" w:rsidRPr="0048161B">
        <w:rPr>
          <w:rFonts w:eastAsia="Times New Roman" w:cstheme="minorHAnsi"/>
          <w:lang w:eastAsia="en-AU"/>
        </w:rPr>
        <w:t>work</w:t>
      </w:r>
      <w:r w:rsidR="00CD1456" w:rsidRPr="0048161B">
        <w:rPr>
          <w:rFonts w:eastAsia="Times New Roman" w:cstheme="minorHAnsi"/>
          <w:lang w:eastAsia="en-AU"/>
        </w:rPr>
        <w:t>plan</w:t>
      </w:r>
      <w:r w:rsidR="00067A61" w:rsidRPr="0048161B">
        <w:rPr>
          <w:rFonts w:eastAsia="Times New Roman" w:cstheme="minorHAnsi"/>
          <w:lang w:eastAsia="en-AU"/>
        </w:rPr>
        <w:t>s</w:t>
      </w:r>
      <w:r w:rsidR="00CD1456" w:rsidRPr="0048161B">
        <w:rPr>
          <w:rFonts w:eastAsia="Times New Roman" w:cstheme="minorHAnsi"/>
          <w:lang w:eastAsia="en-AU"/>
        </w:rPr>
        <w:t xml:space="preserve"> </w:t>
      </w:r>
      <w:r w:rsidR="00AB1E9A" w:rsidRPr="009D2F40">
        <w:rPr>
          <w:rFonts w:eastAsia="Times New Roman" w:cstheme="minorHAnsi"/>
          <w:lang w:eastAsia="en-AU"/>
        </w:rPr>
        <w:t xml:space="preserve">form an attachment to, and </w:t>
      </w:r>
      <w:r w:rsidRPr="009D2F40">
        <w:rPr>
          <w:rFonts w:eastAsia="Times New Roman" w:cstheme="minorHAnsi"/>
          <w:lang w:eastAsia="en-AU"/>
        </w:rPr>
        <w:t>are</w:t>
      </w:r>
      <w:r w:rsidR="00AB1E9A" w:rsidRPr="009D2F40">
        <w:rPr>
          <w:rFonts w:eastAsia="Times New Roman" w:cstheme="minorHAnsi"/>
          <w:lang w:eastAsia="en-AU"/>
        </w:rPr>
        <w:t xml:space="preserve"> part of, these Guidelines</w:t>
      </w:r>
      <w:r w:rsidR="00ED2C5E" w:rsidRPr="009D2F40">
        <w:rPr>
          <w:rFonts w:eastAsia="Times New Roman" w:cstheme="minorHAnsi"/>
          <w:lang w:eastAsia="en-AU"/>
        </w:rPr>
        <w:t xml:space="preserve">, </w:t>
      </w:r>
      <w:r w:rsidR="003159BA">
        <w:rPr>
          <w:rFonts w:eastAsia="Times New Roman" w:cstheme="minorHAnsi"/>
          <w:lang w:eastAsia="en-AU"/>
        </w:rPr>
        <w:t>and</w:t>
      </w:r>
      <w:r w:rsidR="00ED2C5E" w:rsidRPr="009D2F40">
        <w:rPr>
          <w:rFonts w:eastAsia="Times New Roman" w:cstheme="minorHAnsi"/>
          <w:lang w:eastAsia="en-AU"/>
        </w:rPr>
        <w:t xml:space="preserve"> </w:t>
      </w:r>
      <w:r w:rsidR="00D11867" w:rsidRPr="009D2F40">
        <w:rPr>
          <w:rFonts w:eastAsia="Times New Roman" w:cstheme="minorHAnsi"/>
          <w:lang w:eastAsia="en-AU"/>
        </w:rPr>
        <w:t xml:space="preserve">are </w:t>
      </w:r>
      <w:r w:rsidR="00ED2C5E" w:rsidRPr="009D2F40">
        <w:rPr>
          <w:rFonts w:eastAsia="Times New Roman" w:cstheme="minorHAnsi"/>
          <w:lang w:eastAsia="en-AU"/>
        </w:rPr>
        <w:t xml:space="preserve">published on the </w:t>
      </w:r>
      <w:r w:rsidR="00207358" w:rsidRPr="009D2F40">
        <w:rPr>
          <w:rFonts w:eastAsia="Times New Roman" w:cstheme="minorHAnsi"/>
          <w:lang w:eastAsia="en-AU"/>
        </w:rPr>
        <w:t>d</w:t>
      </w:r>
      <w:r w:rsidR="00ED2C5E" w:rsidRPr="009D2F40">
        <w:rPr>
          <w:rFonts w:eastAsia="Times New Roman" w:cstheme="minorHAnsi"/>
          <w:lang w:eastAsia="en-AU"/>
        </w:rPr>
        <w:t>epartment</w:t>
      </w:r>
      <w:r w:rsidR="00207358" w:rsidRPr="009D2F40">
        <w:rPr>
          <w:rFonts w:eastAsia="Times New Roman" w:cstheme="minorHAnsi"/>
          <w:lang w:eastAsia="en-AU"/>
        </w:rPr>
        <w:t xml:space="preserve">’s </w:t>
      </w:r>
      <w:r w:rsidR="00ED2C5E" w:rsidRPr="009D2F40">
        <w:rPr>
          <w:rFonts w:eastAsia="Times New Roman" w:cstheme="minorHAnsi"/>
          <w:lang w:eastAsia="en-AU"/>
        </w:rPr>
        <w:t>website</w:t>
      </w:r>
      <w:r w:rsidR="00ED2C5E" w:rsidRPr="0016476F">
        <w:rPr>
          <w:rFonts w:eastAsia="Times New Roman" w:cstheme="minorHAnsi"/>
          <w:lang w:eastAsia="en-AU"/>
        </w:rPr>
        <w:t>.</w:t>
      </w:r>
      <w:r w:rsidR="00985621" w:rsidRPr="0016476F">
        <w:rPr>
          <w:rFonts w:eastAsia="Times New Roman" w:cstheme="minorHAnsi"/>
          <w:lang w:eastAsia="en-AU"/>
        </w:rPr>
        <w:t xml:space="preserve"> </w:t>
      </w:r>
      <w:r w:rsidR="00203206" w:rsidRPr="0016476F">
        <w:rPr>
          <w:rFonts w:eastAsia="Times New Roman" w:cstheme="minorHAnsi"/>
          <w:lang w:eastAsia="en-AU"/>
        </w:rPr>
        <w:t>NGRBs are also required to publish the approved workplans on their website.</w:t>
      </w:r>
    </w:p>
    <w:p w14:paraId="3FBB71E0" w14:textId="1AE83E95" w:rsidR="00AB1E9A" w:rsidRPr="0016476F" w:rsidRDefault="00163DCF" w:rsidP="00047D1D">
      <w:pPr>
        <w:numPr>
          <w:ilvl w:val="0"/>
          <w:numId w:val="11"/>
        </w:numPr>
        <w:spacing w:after="120" w:line="240" w:lineRule="auto"/>
        <w:ind w:left="709" w:hanging="709"/>
        <w:rPr>
          <w:rFonts w:eastAsia="Times New Roman" w:cstheme="minorHAnsi"/>
          <w:lang w:eastAsia="en-AU"/>
        </w:rPr>
      </w:pPr>
      <w:r w:rsidRPr="0016476F">
        <w:rPr>
          <w:rFonts w:eastAsia="Times New Roman" w:cstheme="minorHAnsi"/>
          <w:lang w:eastAsia="en-AU"/>
        </w:rPr>
        <w:t xml:space="preserve">The NGRB must undertake its activities in accordance with the workplan. </w:t>
      </w:r>
      <w:r w:rsidR="00AB1E9A" w:rsidRPr="0016476F">
        <w:rPr>
          <w:rFonts w:eastAsia="Times New Roman" w:cstheme="minorHAnsi"/>
          <w:lang w:eastAsia="en-AU"/>
        </w:rPr>
        <w:t>An</w:t>
      </w:r>
      <w:r w:rsidR="00FB5C85" w:rsidRPr="0016476F">
        <w:rPr>
          <w:rFonts w:eastAsia="Times New Roman" w:cstheme="minorHAnsi"/>
          <w:lang w:eastAsia="en-AU"/>
        </w:rPr>
        <w:t>y variation to an approved work</w:t>
      </w:r>
      <w:r w:rsidR="00AB1E9A" w:rsidRPr="0016476F">
        <w:rPr>
          <w:rFonts w:eastAsia="Times New Roman" w:cstheme="minorHAnsi"/>
          <w:lang w:eastAsia="en-AU"/>
        </w:rPr>
        <w:t xml:space="preserve">plan that results in a significant redirection of resources or a significant impact on intended outcomes must be agreed by both the Minister and relevant </w:t>
      </w:r>
      <w:r w:rsidR="00CD1456" w:rsidRPr="0016476F">
        <w:rPr>
          <w:rFonts w:eastAsia="Times New Roman" w:cstheme="minorHAnsi"/>
          <w:lang w:eastAsia="en-AU"/>
        </w:rPr>
        <w:t>NGRB</w:t>
      </w:r>
      <w:r w:rsidR="00AB1E9A" w:rsidRPr="0016476F">
        <w:rPr>
          <w:rFonts w:eastAsia="Times New Roman" w:cstheme="minorHAnsi"/>
          <w:lang w:eastAsia="en-AU"/>
        </w:rPr>
        <w:t xml:space="preserve"> in writing.</w:t>
      </w:r>
    </w:p>
    <w:p w14:paraId="150C736C" w14:textId="77777777" w:rsidR="00AB1E9A" w:rsidRPr="0016476F" w:rsidRDefault="00AB1E9A" w:rsidP="001E21AA">
      <w:pPr>
        <w:pStyle w:val="Heading2"/>
        <w:rPr>
          <w:rFonts w:ascii="Calibri" w:hAnsi="Calibri" w:cs="Calibri"/>
          <w:b/>
          <w:bCs/>
          <w:color w:val="000000" w:themeColor="text1"/>
          <w:sz w:val="22"/>
          <w:szCs w:val="22"/>
        </w:rPr>
      </w:pPr>
      <w:bookmarkStart w:id="10" w:name="_Toc16756169"/>
      <w:bookmarkStart w:id="11" w:name="_Toc84413375"/>
      <w:r w:rsidRPr="0016476F">
        <w:rPr>
          <w:rFonts w:ascii="Calibri" w:hAnsi="Calibri" w:cs="Calibri"/>
          <w:b/>
          <w:bCs/>
          <w:color w:val="000000" w:themeColor="text1"/>
          <w:sz w:val="22"/>
          <w:szCs w:val="22"/>
        </w:rPr>
        <w:t>Annual report</w:t>
      </w:r>
      <w:bookmarkEnd w:id="10"/>
      <w:bookmarkEnd w:id="11"/>
    </w:p>
    <w:p w14:paraId="19B4AFEF" w14:textId="0448D05E" w:rsidR="00AB1E9A" w:rsidRPr="0016476F" w:rsidRDefault="00A0486B" w:rsidP="00047D1D">
      <w:pPr>
        <w:numPr>
          <w:ilvl w:val="0"/>
          <w:numId w:val="11"/>
        </w:numPr>
        <w:spacing w:after="120" w:line="240" w:lineRule="auto"/>
        <w:ind w:left="709" w:hanging="709"/>
        <w:rPr>
          <w:rFonts w:eastAsia="Times New Roman" w:cstheme="minorHAnsi"/>
          <w:szCs w:val="24"/>
          <w:lang w:eastAsia="en-AU"/>
        </w:rPr>
      </w:pPr>
      <w:r>
        <w:rPr>
          <w:rFonts w:eastAsia="Times New Roman" w:cstheme="minorHAnsi"/>
          <w:szCs w:val="24"/>
          <w:lang w:eastAsia="en-AU"/>
        </w:rPr>
        <w:t>For 2022, the annual report must be submitted by</w:t>
      </w:r>
      <w:r w:rsidR="004B3675">
        <w:rPr>
          <w:rFonts w:eastAsia="Times New Roman" w:cstheme="minorHAnsi"/>
          <w:szCs w:val="24"/>
          <w:lang w:eastAsia="en-AU"/>
        </w:rPr>
        <w:t xml:space="preserve"> 30 June</w:t>
      </w:r>
      <w:r>
        <w:rPr>
          <w:rFonts w:eastAsia="Times New Roman" w:cstheme="minorHAnsi"/>
          <w:szCs w:val="24"/>
          <w:lang w:eastAsia="en-AU"/>
        </w:rPr>
        <w:t xml:space="preserve"> 2022</w:t>
      </w:r>
      <w:r w:rsidR="00AB1E9A" w:rsidRPr="0016476F">
        <w:rPr>
          <w:rFonts w:eastAsia="Times New Roman" w:cstheme="minorHAnsi"/>
          <w:szCs w:val="24"/>
          <w:lang w:eastAsia="en-AU"/>
        </w:rPr>
        <w:t xml:space="preserve">, unless </w:t>
      </w:r>
      <w:r>
        <w:rPr>
          <w:rFonts w:eastAsia="Times New Roman" w:cstheme="minorHAnsi"/>
          <w:szCs w:val="24"/>
          <w:lang w:eastAsia="en-AU"/>
        </w:rPr>
        <w:t>the Minister approves an alternate date.</w:t>
      </w:r>
      <w:r w:rsidR="00AB1E9A" w:rsidRPr="0016476F">
        <w:rPr>
          <w:rFonts w:eastAsia="Times New Roman" w:cstheme="minorHAnsi"/>
          <w:szCs w:val="24"/>
          <w:lang w:eastAsia="en-AU"/>
        </w:rPr>
        <w:t xml:space="preserve"> </w:t>
      </w:r>
      <w:r w:rsidR="001B114A" w:rsidRPr="0016476F">
        <w:rPr>
          <w:rFonts w:eastAsia="Times New Roman" w:cstheme="minorHAnsi"/>
          <w:szCs w:val="24"/>
          <w:lang w:eastAsia="en-AU"/>
        </w:rPr>
        <w:t>NGRBs</w:t>
      </w:r>
      <w:r w:rsidR="00AB1E9A" w:rsidRPr="0016476F">
        <w:rPr>
          <w:rFonts w:eastAsia="Times New Roman" w:cstheme="minorHAnsi"/>
          <w:szCs w:val="24"/>
          <w:lang w:eastAsia="en-AU"/>
        </w:rPr>
        <w:t xml:space="preserve"> must provide the Minister </w:t>
      </w:r>
      <w:r w:rsidR="001B114A" w:rsidRPr="0016476F">
        <w:rPr>
          <w:rFonts w:eastAsia="Times New Roman" w:cstheme="minorHAnsi"/>
          <w:szCs w:val="24"/>
          <w:lang w:eastAsia="en-AU"/>
        </w:rPr>
        <w:t xml:space="preserve">with </w:t>
      </w:r>
      <w:r w:rsidR="00AB1E9A" w:rsidRPr="0016476F">
        <w:rPr>
          <w:rFonts w:eastAsia="Times New Roman" w:cstheme="minorHAnsi"/>
          <w:szCs w:val="24"/>
          <w:lang w:eastAsia="en-AU"/>
        </w:rPr>
        <w:t xml:space="preserve">a report in relation to </w:t>
      </w:r>
      <w:r w:rsidR="001B114A" w:rsidRPr="0016476F">
        <w:rPr>
          <w:rFonts w:eastAsia="Times New Roman" w:cstheme="minorHAnsi"/>
          <w:szCs w:val="24"/>
          <w:lang w:eastAsia="en-AU"/>
        </w:rPr>
        <w:t>its</w:t>
      </w:r>
      <w:r w:rsidR="00AB1E9A" w:rsidRPr="0016476F">
        <w:rPr>
          <w:rFonts w:eastAsia="Times New Roman" w:cstheme="minorHAnsi"/>
          <w:szCs w:val="24"/>
          <w:lang w:eastAsia="en-AU"/>
        </w:rPr>
        <w:t xml:space="preserve"> activities for the previous </w:t>
      </w:r>
      <w:r w:rsidR="00573BB8" w:rsidRPr="0016476F">
        <w:rPr>
          <w:rFonts w:eastAsia="Times New Roman" w:cstheme="minorHAnsi"/>
          <w:szCs w:val="24"/>
          <w:lang w:eastAsia="en-AU"/>
        </w:rPr>
        <w:t>calendar</w:t>
      </w:r>
      <w:r w:rsidR="00AB1E9A" w:rsidRPr="0016476F">
        <w:rPr>
          <w:rFonts w:eastAsia="Times New Roman" w:cstheme="minorHAnsi"/>
          <w:szCs w:val="24"/>
          <w:lang w:eastAsia="en-AU"/>
        </w:rPr>
        <w:t xml:space="preserve"> year (</w:t>
      </w:r>
      <w:r w:rsidR="00AD5DA0" w:rsidRPr="0016476F">
        <w:rPr>
          <w:rFonts w:eastAsia="Times New Roman" w:cstheme="minorHAnsi"/>
          <w:szCs w:val="24"/>
          <w:lang w:eastAsia="en-AU"/>
        </w:rPr>
        <w:t>Annual Report</w:t>
      </w:r>
      <w:r w:rsidR="00AB1E9A" w:rsidRPr="0016476F">
        <w:rPr>
          <w:rFonts w:eastAsia="Times New Roman" w:cstheme="minorHAnsi"/>
          <w:szCs w:val="24"/>
          <w:lang w:eastAsia="en-AU"/>
        </w:rPr>
        <w:t>).</w:t>
      </w:r>
      <w:r w:rsidR="009E1EE6" w:rsidRPr="0016476F">
        <w:rPr>
          <w:rFonts w:eastAsia="Times New Roman" w:cstheme="minorHAnsi"/>
          <w:szCs w:val="24"/>
          <w:lang w:eastAsia="en-AU"/>
        </w:rPr>
        <w:t xml:space="preserve"> Annual Reports must be submitted to </w:t>
      </w:r>
      <w:r w:rsidR="0003754A" w:rsidRPr="0016476F">
        <w:rPr>
          <w:rFonts w:eastAsia="Times New Roman" w:cstheme="minorHAnsi"/>
          <w:b/>
          <w:bCs/>
          <w:szCs w:val="24"/>
        </w:rPr>
        <w:t>reformsupportfund@dese.gov.au</w:t>
      </w:r>
      <w:r w:rsidR="0003754A" w:rsidRPr="0016476F">
        <w:rPr>
          <w:rFonts w:eastAsia="Times New Roman" w:cstheme="minorHAnsi"/>
          <w:szCs w:val="24"/>
        </w:rPr>
        <w:t xml:space="preserve"> in Microsoft Word </w:t>
      </w:r>
      <w:r w:rsidR="00783018" w:rsidRPr="0016476F">
        <w:rPr>
          <w:rFonts w:eastAsia="Times New Roman" w:cstheme="minorHAnsi"/>
          <w:szCs w:val="24"/>
        </w:rPr>
        <w:t>and</w:t>
      </w:r>
      <w:r w:rsidR="0003754A" w:rsidRPr="0016476F">
        <w:rPr>
          <w:rFonts w:eastAsia="Times New Roman" w:cstheme="minorHAnsi"/>
          <w:szCs w:val="24"/>
        </w:rPr>
        <w:t xml:space="preserve"> PDF formats</w:t>
      </w:r>
      <w:r w:rsidR="00FB7CB9" w:rsidRPr="0016476F">
        <w:rPr>
          <w:rFonts w:eastAsia="Times New Roman" w:cstheme="minorHAnsi"/>
          <w:szCs w:val="24"/>
        </w:rPr>
        <w:t xml:space="preserve"> and in the form (template)</w:t>
      </w:r>
      <w:r w:rsidR="00BA15DC" w:rsidRPr="0016476F">
        <w:rPr>
          <w:rFonts w:eastAsia="Times New Roman" w:cstheme="minorHAnsi"/>
          <w:szCs w:val="24"/>
        </w:rPr>
        <w:t xml:space="preserve"> approved by the Minister</w:t>
      </w:r>
      <w:r w:rsidR="00FB7CB9" w:rsidRPr="0016476F">
        <w:rPr>
          <w:rFonts w:eastAsia="Times New Roman" w:cstheme="minorHAnsi"/>
          <w:szCs w:val="24"/>
        </w:rPr>
        <w:t>.</w:t>
      </w:r>
    </w:p>
    <w:p w14:paraId="43CE120E" w14:textId="3808D751" w:rsidR="00AB1E9A" w:rsidRPr="0016476F" w:rsidRDefault="00FB4208" w:rsidP="00047D1D">
      <w:pPr>
        <w:numPr>
          <w:ilvl w:val="0"/>
          <w:numId w:val="11"/>
        </w:numPr>
        <w:spacing w:before="120" w:after="120" w:line="240" w:lineRule="auto"/>
        <w:ind w:left="709" w:hanging="709"/>
        <w:rPr>
          <w:rFonts w:eastAsia="Times New Roman" w:cstheme="minorHAnsi"/>
          <w:lang w:eastAsia="en-AU"/>
        </w:rPr>
      </w:pPr>
      <w:r w:rsidRPr="0016476F">
        <w:rPr>
          <w:rFonts w:eastAsia="Times New Roman" w:cstheme="minorHAnsi"/>
          <w:szCs w:val="24"/>
          <w:lang w:eastAsia="en-AU"/>
        </w:rPr>
        <w:t>The</w:t>
      </w:r>
      <w:r w:rsidR="00AB1E9A" w:rsidRPr="0016476F">
        <w:rPr>
          <w:rFonts w:eastAsia="Times New Roman" w:cstheme="minorHAnsi"/>
          <w:szCs w:val="24"/>
          <w:lang w:eastAsia="en-AU"/>
        </w:rPr>
        <w:t xml:space="preserve"> </w:t>
      </w:r>
      <w:r w:rsidR="00623DD8" w:rsidRPr="0016476F">
        <w:rPr>
          <w:rFonts w:eastAsia="Times New Roman" w:cstheme="minorHAnsi"/>
          <w:szCs w:val="24"/>
          <w:lang w:eastAsia="en-AU"/>
        </w:rPr>
        <w:t>A</w:t>
      </w:r>
      <w:r w:rsidR="00AB1E9A" w:rsidRPr="0016476F">
        <w:rPr>
          <w:rFonts w:eastAsia="Times New Roman" w:cstheme="minorHAnsi"/>
          <w:szCs w:val="24"/>
          <w:lang w:eastAsia="en-AU"/>
        </w:rPr>
        <w:t xml:space="preserve">nnual </w:t>
      </w:r>
      <w:r w:rsidR="00623DD8" w:rsidRPr="0016476F">
        <w:rPr>
          <w:rFonts w:eastAsia="Times New Roman" w:cstheme="minorHAnsi"/>
          <w:szCs w:val="24"/>
          <w:lang w:eastAsia="en-AU"/>
        </w:rPr>
        <w:t>R</w:t>
      </w:r>
      <w:r w:rsidR="00AB1E9A" w:rsidRPr="0016476F">
        <w:rPr>
          <w:rFonts w:eastAsia="Times New Roman" w:cstheme="minorHAnsi"/>
          <w:szCs w:val="24"/>
          <w:lang w:eastAsia="en-AU"/>
        </w:rPr>
        <w:t xml:space="preserve">eport must </w:t>
      </w:r>
      <w:r w:rsidR="00FB7CB9" w:rsidRPr="0016476F">
        <w:rPr>
          <w:rFonts w:eastAsia="Times New Roman" w:cstheme="minorHAnsi"/>
          <w:szCs w:val="24"/>
          <w:lang w:eastAsia="en-AU"/>
        </w:rPr>
        <w:t>reflect</w:t>
      </w:r>
      <w:r w:rsidR="00FB5C85" w:rsidRPr="0016476F">
        <w:rPr>
          <w:rFonts w:eastAsia="Times New Roman" w:cstheme="minorHAnsi"/>
          <w:szCs w:val="24"/>
          <w:lang w:eastAsia="en-AU"/>
        </w:rPr>
        <w:t xml:space="preserve"> the approved work</w:t>
      </w:r>
      <w:r w:rsidR="007B5917" w:rsidRPr="0016476F">
        <w:rPr>
          <w:rFonts w:eastAsia="Times New Roman" w:cstheme="minorHAnsi"/>
          <w:szCs w:val="24"/>
          <w:lang w:eastAsia="en-AU"/>
        </w:rPr>
        <w:t xml:space="preserve">plan from the </w:t>
      </w:r>
      <w:r w:rsidR="00FB7CB9" w:rsidRPr="0016476F">
        <w:rPr>
          <w:rFonts w:eastAsia="Times New Roman" w:cstheme="minorHAnsi"/>
          <w:szCs w:val="24"/>
          <w:lang w:eastAsia="en-AU"/>
        </w:rPr>
        <w:t>year to which it relates</w:t>
      </w:r>
      <w:r w:rsidR="006B404B" w:rsidRPr="0016476F">
        <w:rPr>
          <w:rFonts w:eastAsia="Times New Roman" w:cstheme="minorHAnsi"/>
          <w:szCs w:val="24"/>
          <w:lang w:eastAsia="en-AU"/>
        </w:rPr>
        <w:t xml:space="preserve"> and</w:t>
      </w:r>
      <w:r w:rsidR="007B5917" w:rsidRPr="0016476F">
        <w:rPr>
          <w:rFonts w:eastAsia="Times New Roman" w:cstheme="minorHAnsi"/>
          <w:szCs w:val="24"/>
          <w:lang w:eastAsia="en-AU"/>
        </w:rPr>
        <w:t xml:space="preserve"> </w:t>
      </w:r>
      <w:r w:rsidR="00AB1E9A" w:rsidRPr="0016476F">
        <w:rPr>
          <w:rFonts w:eastAsia="Times New Roman" w:cstheme="minorHAnsi"/>
          <w:szCs w:val="24"/>
          <w:lang w:eastAsia="en-AU"/>
        </w:rPr>
        <w:t>include an account of actual activities undertaken and the outcomes demonstrating t</w:t>
      </w:r>
      <w:r w:rsidR="00B1471E" w:rsidRPr="0016476F">
        <w:rPr>
          <w:rFonts w:eastAsia="Times New Roman" w:cstheme="minorHAnsi"/>
          <w:szCs w:val="24"/>
          <w:lang w:eastAsia="en-AU"/>
        </w:rPr>
        <w:t>he change from these activities.</w:t>
      </w:r>
    </w:p>
    <w:p w14:paraId="2595712F" w14:textId="6E880E83" w:rsidR="00FC2D54" w:rsidRPr="0016476F" w:rsidRDefault="00701C85" w:rsidP="00875EF0">
      <w:pPr>
        <w:numPr>
          <w:ilvl w:val="0"/>
          <w:numId w:val="11"/>
        </w:numPr>
        <w:spacing w:after="120" w:line="240" w:lineRule="auto"/>
        <w:ind w:left="709" w:hanging="709"/>
        <w:rPr>
          <w:rFonts w:eastAsia="Times New Roman" w:cstheme="minorHAnsi"/>
          <w:lang w:eastAsia="en-AU"/>
        </w:rPr>
      </w:pPr>
      <w:r w:rsidRPr="0016476F">
        <w:rPr>
          <w:rFonts w:eastAsia="Times New Roman" w:cstheme="minorHAnsi"/>
          <w:szCs w:val="24"/>
          <w:lang w:eastAsia="en-AU"/>
        </w:rPr>
        <w:t>Approved Annual Reports</w:t>
      </w:r>
      <w:r w:rsidRPr="0016476F">
        <w:rPr>
          <w:rFonts w:cstheme="minorHAnsi"/>
        </w:rPr>
        <w:t xml:space="preserve"> </w:t>
      </w:r>
      <w:r w:rsidR="00CF75FC" w:rsidRPr="0016476F">
        <w:rPr>
          <w:rFonts w:cstheme="minorHAnsi"/>
        </w:rPr>
        <w:t xml:space="preserve">form an attachment to, and are part of, these Guidelines, </w:t>
      </w:r>
      <w:r w:rsidR="003159BA" w:rsidRPr="0016476F">
        <w:rPr>
          <w:rFonts w:cstheme="minorHAnsi"/>
        </w:rPr>
        <w:t>and</w:t>
      </w:r>
      <w:r w:rsidR="00CF75FC" w:rsidRPr="0016476F">
        <w:rPr>
          <w:rFonts w:cstheme="minorHAnsi"/>
        </w:rPr>
        <w:t xml:space="preserve"> are published on the </w:t>
      </w:r>
      <w:r w:rsidR="00CF75FC" w:rsidRPr="0016476F">
        <w:rPr>
          <w:rFonts w:eastAsia="Times New Roman" w:cstheme="minorHAnsi"/>
          <w:szCs w:val="24"/>
          <w:lang w:eastAsia="en-AU"/>
        </w:rPr>
        <w:t>department’s</w:t>
      </w:r>
      <w:r w:rsidR="00CF75FC" w:rsidRPr="0016476F">
        <w:rPr>
          <w:rFonts w:cstheme="minorHAnsi"/>
        </w:rPr>
        <w:t xml:space="preserve"> website.</w:t>
      </w:r>
      <w:r w:rsidR="00985621" w:rsidRPr="0016476F">
        <w:rPr>
          <w:rFonts w:cstheme="minorHAnsi"/>
        </w:rPr>
        <w:t xml:space="preserve"> </w:t>
      </w:r>
      <w:r w:rsidR="00FC2D54" w:rsidRPr="0016476F">
        <w:rPr>
          <w:rFonts w:eastAsia="Times New Roman" w:cstheme="minorHAnsi"/>
          <w:lang w:eastAsia="en-AU"/>
        </w:rPr>
        <w:t>NGRBs are also required to publish the approved Annual Report on their website.</w:t>
      </w:r>
    </w:p>
    <w:p w14:paraId="5F1A6BE1" w14:textId="0A5CCF9D" w:rsidR="00701C85" w:rsidRPr="00FC2D54" w:rsidRDefault="00B135BD" w:rsidP="00FC2D54">
      <w:pPr>
        <w:spacing w:after="120" w:line="240" w:lineRule="auto"/>
        <w:rPr>
          <w:rFonts w:ascii="Calibri" w:hAnsi="Calibri" w:cs="Calibri"/>
          <w:b/>
          <w:bCs/>
          <w:color w:val="000000" w:themeColor="text1"/>
        </w:rPr>
      </w:pPr>
      <w:r w:rsidRPr="00FC2D54">
        <w:rPr>
          <w:rFonts w:ascii="Calibri" w:hAnsi="Calibri" w:cs="Calibri"/>
          <w:b/>
          <w:bCs/>
          <w:color w:val="000000" w:themeColor="text1"/>
        </w:rPr>
        <w:t>Audited f</w:t>
      </w:r>
      <w:r w:rsidR="00491C8E" w:rsidRPr="00FC2D54">
        <w:rPr>
          <w:rFonts w:ascii="Calibri" w:hAnsi="Calibri" w:cs="Calibri"/>
          <w:b/>
          <w:bCs/>
          <w:color w:val="000000" w:themeColor="text1"/>
        </w:rPr>
        <w:t>inancial</w:t>
      </w:r>
      <w:r w:rsidRPr="00FC2D54">
        <w:rPr>
          <w:rFonts w:ascii="Calibri" w:hAnsi="Calibri" w:cs="Calibri"/>
          <w:b/>
          <w:bCs/>
          <w:color w:val="000000" w:themeColor="text1"/>
        </w:rPr>
        <w:t xml:space="preserve">, statements, acquittals and </w:t>
      </w:r>
      <w:proofErr w:type="gramStart"/>
      <w:r w:rsidRPr="00FC2D54">
        <w:rPr>
          <w:rFonts w:ascii="Calibri" w:hAnsi="Calibri" w:cs="Calibri"/>
          <w:b/>
          <w:bCs/>
          <w:color w:val="000000" w:themeColor="text1"/>
        </w:rPr>
        <w:t>reporting</w:t>
      </w:r>
      <w:proofErr w:type="gramEnd"/>
    </w:p>
    <w:p w14:paraId="13A98795" w14:textId="77777777" w:rsidR="00E74C93" w:rsidRPr="0048161B" w:rsidRDefault="00E74C93" w:rsidP="00E74C93">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1E0D78" w:rsidRPr="0048161B">
        <w:rPr>
          <w:rFonts w:eastAsia="Times New Roman" w:cstheme="minorHAnsi"/>
          <w:lang w:eastAsia="en-AU"/>
        </w:rPr>
        <w:t xml:space="preserve">NGRB </w:t>
      </w:r>
      <w:r w:rsidRPr="0048161B">
        <w:rPr>
          <w:rFonts w:eastAsia="Times New Roman" w:cstheme="minorHAnsi"/>
          <w:lang w:eastAsia="en-AU"/>
        </w:rPr>
        <w:t xml:space="preserve">must comply with the </w:t>
      </w:r>
      <w:r w:rsidR="00916534" w:rsidRPr="0048161B">
        <w:rPr>
          <w:rFonts w:eastAsia="Times New Roman" w:cstheme="minorHAnsi"/>
          <w:lang w:eastAsia="en-AU"/>
        </w:rPr>
        <w:t xml:space="preserve">Regulation sections 34, 36 and 38 that specify the requirements for </w:t>
      </w:r>
      <w:r w:rsidR="00623DD8" w:rsidRPr="0048161B">
        <w:rPr>
          <w:rFonts w:eastAsia="Times New Roman" w:cstheme="minorHAnsi"/>
          <w:b/>
          <w:lang w:eastAsia="en-AU"/>
        </w:rPr>
        <w:t>audited</w:t>
      </w:r>
      <w:r w:rsidR="00623DD8" w:rsidRPr="0048161B">
        <w:rPr>
          <w:rFonts w:eastAsia="Times New Roman" w:cstheme="minorHAnsi"/>
          <w:lang w:eastAsia="en-AU"/>
        </w:rPr>
        <w:t xml:space="preserve"> </w:t>
      </w:r>
      <w:r w:rsidRPr="0048161B">
        <w:rPr>
          <w:rFonts w:eastAsia="Times New Roman" w:cstheme="minorHAnsi"/>
          <w:lang w:eastAsia="en-AU"/>
        </w:rPr>
        <w:t>financial statement</w:t>
      </w:r>
      <w:r w:rsidR="00916534" w:rsidRPr="0048161B">
        <w:rPr>
          <w:rFonts w:eastAsia="Times New Roman" w:cstheme="minorHAnsi"/>
          <w:lang w:eastAsia="en-AU"/>
        </w:rPr>
        <w:t>s</w:t>
      </w:r>
      <w:r w:rsidR="009122A8" w:rsidRPr="0048161B">
        <w:rPr>
          <w:rFonts w:eastAsia="Times New Roman" w:cstheme="minorHAnsi"/>
          <w:lang w:eastAsia="en-AU"/>
        </w:rPr>
        <w:t xml:space="preserve">, </w:t>
      </w:r>
      <w:proofErr w:type="gramStart"/>
      <w:r w:rsidRPr="0048161B">
        <w:rPr>
          <w:rFonts w:eastAsia="Times New Roman" w:cstheme="minorHAnsi"/>
          <w:lang w:eastAsia="en-AU"/>
        </w:rPr>
        <w:t>acquittal</w:t>
      </w:r>
      <w:r w:rsidR="00916534" w:rsidRPr="0048161B">
        <w:rPr>
          <w:rFonts w:eastAsia="Times New Roman" w:cstheme="minorHAnsi"/>
          <w:lang w:eastAsia="en-AU"/>
        </w:rPr>
        <w:t>s</w:t>
      </w:r>
      <w:proofErr w:type="gramEnd"/>
      <w:r w:rsidR="009122A8" w:rsidRPr="0048161B">
        <w:rPr>
          <w:rFonts w:eastAsia="Times New Roman" w:cstheme="minorHAnsi"/>
          <w:lang w:eastAsia="en-AU"/>
        </w:rPr>
        <w:t xml:space="preserve"> and reporting</w:t>
      </w:r>
      <w:r w:rsidRPr="0048161B">
        <w:rPr>
          <w:rFonts w:eastAsia="Times New Roman" w:cstheme="minorHAnsi"/>
          <w:lang w:eastAsia="en-AU"/>
        </w:rPr>
        <w:t>.</w:t>
      </w:r>
      <w:r w:rsidR="00F0425E" w:rsidRPr="0048161B">
        <w:rPr>
          <w:rFonts w:eastAsia="Times New Roman" w:cstheme="minorHAnsi"/>
          <w:lang w:eastAsia="en-AU"/>
        </w:rPr>
        <w:t xml:space="preserve"> </w:t>
      </w:r>
    </w:p>
    <w:p w14:paraId="69C327BB" w14:textId="77777777" w:rsidR="00AB1E9A" w:rsidRPr="001E21AA" w:rsidRDefault="00AB1E9A" w:rsidP="001E21AA">
      <w:pPr>
        <w:pStyle w:val="Heading2"/>
        <w:rPr>
          <w:rFonts w:ascii="Calibri" w:hAnsi="Calibri" w:cs="Calibri"/>
          <w:b/>
          <w:bCs/>
          <w:color w:val="000000" w:themeColor="text1"/>
          <w:sz w:val="22"/>
          <w:szCs w:val="22"/>
        </w:rPr>
      </w:pPr>
      <w:bookmarkStart w:id="12" w:name="_Toc16756170"/>
      <w:bookmarkStart w:id="13" w:name="_Toc84413376"/>
      <w:r w:rsidRPr="001E21AA">
        <w:rPr>
          <w:rFonts w:ascii="Calibri" w:hAnsi="Calibri" w:cs="Calibri"/>
          <w:b/>
          <w:bCs/>
          <w:color w:val="000000" w:themeColor="text1"/>
          <w:sz w:val="22"/>
          <w:szCs w:val="22"/>
        </w:rPr>
        <w:t>Amount of funding and payment schedule</w:t>
      </w:r>
      <w:bookmarkEnd w:id="12"/>
      <w:bookmarkEnd w:id="13"/>
      <w:r w:rsidRPr="001E21AA">
        <w:rPr>
          <w:rFonts w:ascii="Calibri" w:hAnsi="Calibri" w:cs="Calibri"/>
          <w:b/>
          <w:bCs/>
          <w:color w:val="000000" w:themeColor="text1"/>
          <w:sz w:val="22"/>
          <w:szCs w:val="22"/>
        </w:rPr>
        <w:t xml:space="preserve"> </w:t>
      </w:r>
    </w:p>
    <w:p w14:paraId="7ED83182" w14:textId="1C39D41E" w:rsidR="0007363F" w:rsidRDefault="00AB1E9A" w:rsidP="00047D1D">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The amount of funding allocated </w:t>
      </w:r>
      <w:r w:rsidRPr="00CB4E57">
        <w:rPr>
          <w:rFonts w:eastAsia="Times New Roman" w:cstheme="minorHAnsi"/>
          <w:lang w:eastAsia="en-AU"/>
        </w:rPr>
        <w:t xml:space="preserve">annually </w:t>
      </w:r>
      <w:r w:rsidR="000F1157" w:rsidRPr="00CB4E57">
        <w:rPr>
          <w:rFonts w:eastAsia="Times New Roman" w:cstheme="minorHAnsi"/>
          <w:lang w:eastAsia="en-AU"/>
        </w:rPr>
        <w:t xml:space="preserve">for </w:t>
      </w:r>
      <w:r w:rsidR="00CB4E57" w:rsidRPr="00CB4E57">
        <w:rPr>
          <w:rFonts w:eastAsia="Times New Roman" w:cstheme="minorHAnsi"/>
          <w:lang w:eastAsia="en-AU"/>
        </w:rPr>
        <w:t>an</w:t>
      </w:r>
      <w:r w:rsidRPr="00CB4E57">
        <w:rPr>
          <w:rFonts w:eastAsia="Times New Roman" w:cstheme="minorHAnsi"/>
          <w:lang w:eastAsia="en-AU"/>
        </w:rPr>
        <w:t xml:space="preserve"> </w:t>
      </w:r>
      <w:r w:rsidR="001B114A" w:rsidRPr="00CB4E57">
        <w:rPr>
          <w:rFonts w:eastAsia="Times New Roman" w:cstheme="minorHAnsi"/>
          <w:lang w:eastAsia="en-AU"/>
        </w:rPr>
        <w:t>NGRB</w:t>
      </w:r>
      <w:r w:rsidRPr="00CB4E57">
        <w:rPr>
          <w:rFonts w:eastAsia="Times New Roman" w:cstheme="minorHAnsi"/>
          <w:lang w:eastAsia="en-AU"/>
        </w:rPr>
        <w:t xml:space="preserve"> </w:t>
      </w:r>
      <w:r w:rsidRPr="00D81402">
        <w:rPr>
          <w:rFonts w:eastAsia="Times New Roman" w:cstheme="minorHAnsi"/>
          <w:lang w:eastAsia="en-AU"/>
        </w:rPr>
        <w:t>is notionally based on enrolment share of students at non-government schools</w:t>
      </w:r>
      <w:r w:rsidR="00CB4E57">
        <w:rPr>
          <w:rFonts w:eastAsia="Times New Roman" w:cstheme="minorHAnsi"/>
          <w:lang w:eastAsia="en-AU"/>
        </w:rPr>
        <w:t xml:space="preserve"> the NGRB represents</w:t>
      </w:r>
      <w:r w:rsidRPr="00D81402">
        <w:rPr>
          <w:rFonts w:eastAsia="Times New Roman" w:cstheme="minorHAnsi"/>
          <w:lang w:eastAsia="en-AU"/>
        </w:rPr>
        <w:t xml:space="preserve">. For the purposes of determining </w:t>
      </w:r>
      <w:r w:rsidRPr="00D81402">
        <w:rPr>
          <w:rFonts w:eastAsia="Times New Roman" w:cstheme="minorHAnsi"/>
          <w:lang w:eastAsia="en-AU"/>
        </w:rPr>
        <w:lastRenderedPageBreak/>
        <w:t xml:space="preserve">state allocation of Reform Support funding to </w:t>
      </w:r>
      <w:r w:rsidR="001E0D78" w:rsidRPr="00D81402">
        <w:rPr>
          <w:rFonts w:eastAsia="Times New Roman" w:cstheme="minorHAnsi"/>
          <w:lang w:eastAsia="en-AU"/>
        </w:rPr>
        <w:t>NGRBs</w:t>
      </w:r>
      <w:r w:rsidRPr="00D81402">
        <w:rPr>
          <w:rFonts w:eastAsia="Times New Roman" w:cstheme="minorHAnsi"/>
          <w:lang w:eastAsia="en-AU"/>
        </w:rPr>
        <w:t xml:space="preserve">, the Minister may have regard to the recommendations of Independent </w:t>
      </w:r>
      <w:r w:rsidR="0016027D" w:rsidRPr="00D81402">
        <w:rPr>
          <w:rFonts w:eastAsia="Times New Roman" w:cstheme="minorHAnsi"/>
          <w:lang w:eastAsia="en-AU"/>
        </w:rPr>
        <w:t>Schools Australia</w:t>
      </w:r>
      <w:r w:rsidRPr="00D81402">
        <w:rPr>
          <w:rFonts w:eastAsia="Times New Roman" w:cstheme="minorHAnsi"/>
          <w:lang w:eastAsia="en-AU"/>
        </w:rPr>
        <w:t xml:space="preserve"> and National Catholic Education </w:t>
      </w:r>
      <w:r w:rsidRPr="0016476F">
        <w:rPr>
          <w:rFonts w:eastAsia="Times New Roman" w:cstheme="minorHAnsi"/>
          <w:lang w:eastAsia="en-AU"/>
        </w:rPr>
        <w:t xml:space="preserve">Commission on their preferred distribution to </w:t>
      </w:r>
      <w:r w:rsidR="001E0D78" w:rsidRPr="0016476F">
        <w:rPr>
          <w:rFonts w:eastAsia="Times New Roman" w:cstheme="minorHAnsi"/>
          <w:lang w:eastAsia="en-AU"/>
        </w:rPr>
        <w:t>NGRBs</w:t>
      </w:r>
      <w:r w:rsidRPr="0016476F">
        <w:rPr>
          <w:rFonts w:eastAsia="Times New Roman" w:cstheme="minorHAnsi"/>
          <w:lang w:eastAsia="en-AU"/>
        </w:rPr>
        <w:t>.</w:t>
      </w:r>
    </w:p>
    <w:p w14:paraId="7FB42C9D" w14:textId="00A90CE9" w:rsidR="0007363F" w:rsidRDefault="0007363F" w:rsidP="00CD46A9">
      <w:pPr>
        <w:pStyle w:val="ListParagraph"/>
        <w:numPr>
          <w:ilvl w:val="0"/>
          <w:numId w:val="11"/>
        </w:numPr>
        <w:spacing w:after="120" w:line="240" w:lineRule="auto"/>
        <w:ind w:left="709" w:hanging="709"/>
        <w:rPr>
          <w:lang w:eastAsia="en-AU"/>
        </w:rPr>
      </w:pPr>
      <w:r>
        <w:rPr>
          <w:lang w:eastAsia="en-AU"/>
        </w:rPr>
        <w:t>In 2022, the annual allocation for each NGRB will be paid as follows:</w:t>
      </w:r>
    </w:p>
    <w:p w14:paraId="3E208C61" w14:textId="77777777" w:rsidR="0007363F" w:rsidRDefault="0007363F" w:rsidP="0007363F">
      <w:pPr>
        <w:numPr>
          <w:ilvl w:val="1"/>
          <w:numId w:val="11"/>
        </w:numPr>
        <w:spacing w:after="120" w:line="240" w:lineRule="auto"/>
        <w:rPr>
          <w:rFonts w:eastAsia="Times New Roman"/>
          <w:lang w:eastAsia="en-AU"/>
        </w:rPr>
      </w:pPr>
      <w:r>
        <w:rPr>
          <w:rFonts w:eastAsia="Times New Roman"/>
          <w:lang w:eastAsia="en-AU"/>
        </w:rPr>
        <w:t>70 per cent will be paid in January following approval by the Minister of the 2022 Workplan.</w:t>
      </w:r>
    </w:p>
    <w:p w14:paraId="01B63D22" w14:textId="77777777" w:rsidR="0007363F" w:rsidRDefault="0007363F" w:rsidP="0007363F">
      <w:pPr>
        <w:numPr>
          <w:ilvl w:val="1"/>
          <w:numId w:val="11"/>
        </w:numPr>
        <w:spacing w:after="120" w:line="240" w:lineRule="auto"/>
        <w:rPr>
          <w:rFonts w:eastAsia="Times New Roman"/>
          <w:lang w:eastAsia="en-AU"/>
        </w:rPr>
      </w:pPr>
      <w:r>
        <w:rPr>
          <w:rFonts w:eastAsia="Times New Roman"/>
          <w:lang w:eastAsia="en-AU"/>
        </w:rPr>
        <w:t>25 per cent will be paid in August on approval by the Minister of the 2021 Annual Report.</w:t>
      </w:r>
    </w:p>
    <w:p w14:paraId="4753F74D" w14:textId="395399BF" w:rsidR="0007363F" w:rsidRDefault="0007363F" w:rsidP="0007363F">
      <w:pPr>
        <w:numPr>
          <w:ilvl w:val="1"/>
          <w:numId w:val="11"/>
        </w:numPr>
        <w:spacing w:after="120" w:line="240" w:lineRule="auto"/>
        <w:rPr>
          <w:rFonts w:eastAsia="Times New Roman"/>
          <w:lang w:eastAsia="en-AU"/>
        </w:rPr>
      </w:pPr>
      <w:r>
        <w:rPr>
          <w:rFonts w:eastAsia="Times New Roman"/>
          <w:lang w:eastAsia="en-AU"/>
        </w:rPr>
        <w:t>5 per cent final payment will made in August. This recognises the program terminates on 31 December 2022 and the 2022 allocation must be spent or committed by this date.</w:t>
      </w:r>
    </w:p>
    <w:p w14:paraId="66A87425" w14:textId="77777777" w:rsidR="0057516E" w:rsidRPr="0076541A" w:rsidRDefault="0057516E" w:rsidP="00CD46A9">
      <w:pPr>
        <w:pStyle w:val="ListParagraph"/>
        <w:numPr>
          <w:ilvl w:val="0"/>
          <w:numId w:val="11"/>
        </w:numPr>
        <w:ind w:left="709" w:hanging="709"/>
        <w:rPr>
          <w:b/>
          <w:color w:val="000000" w:themeColor="text1"/>
          <w:szCs w:val="24"/>
          <w:lang w:eastAsia="en-AU"/>
        </w:rPr>
      </w:pPr>
      <w:r w:rsidRPr="0076541A">
        <w:rPr>
          <w:color w:val="000000" w:themeColor="text1"/>
          <w:szCs w:val="24"/>
          <w:lang w:eastAsia="en-AU"/>
        </w:rPr>
        <w:t>Unless otherwise agreed in writing by the Minister, NGRBs will submit documentation according to the following schedule:</w:t>
      </w:r>
    </w:p>
    <w:p w14:paraId="677CA347" w14:textId="77777777" w:rsidR="0057516E" w:rsidRPr="0076541A" w:rsidRDefault="0057516E" w:rsidP="008809DF">
      <w:pPr>
        <w:spacing w:before="120" w:after="120" w:line="240" w:lineRule="auto"/>
        <w:ind w:left="709"/>
        <w:rPr>
          <w:rFonts w:eastAsia="Times New Roman" w:cstheme="minorHAnsi"/>
          <w:color w:val="000000" w:themeColor="text1"/>
          <w:szCs w:val="24"/>
          <w:lang w:eastAsia="en-AU"/>
        </w:rPr>
      </w:pPr>
      <w:r w:rsidRPr="0076541A">
        <w:rPr>
          <w:rFonts w:eastAsia="Times New Roman" w:cstheme="minorHAnsi"/>
          <w:b/>
          <w:color w:val="000000" w:themeColor="text1"/>
          <w:szCs w:val="24"/>
          <w:lang w:eastAsia="en-AU"/>
        </w:rPr>
        <w:t>Table 1</w:t>
      </w:r>
      <w:r w:rsidRPr="0076541A">
        <w:rPr>
          <w:rFonts w:eastAsia="Times New Roman" w:cstheme="minorHAnsi"/>
          <w:color w:val="000000" w:themeColor="text1"/>
          <w:szCs w:val="24"/>
          <w:lang w:eastAsia="en-AU"/>
        </w:rPr>
        <w:t>. Reporting schedule for the final year of the Reform Support Fund.</w:t>
      </w:r>
    </w:p>
    <w:tbl>
      <w:tblPr>
        <w:tblStyle w:val="MediumShading1-Accent12"/>
        <w:tblpPr w:leftFromText="180" w:rightFromText="180" w:vertAnchor="text" w:tblpX="699"/>
        <w:tblW w:w="3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Reporting and payment schedule for each of the Reform Support funding years "/>
        <w:tblDescription w:val="This table outlines reporting and payment dates for Reform Support funding. Payments are scheduled to be made in January, May, and July each year."/>
      </w:tblPr>
      <w:tblGrid>
        <w:gridCol w:w="3227"/>
        <w:gridCol w:w="3998"/>
      </w:tblGrid>
      <w:tr w:rsidR="0057516E" w:rsidRPr="0076541A" w14:paraId="25A4E05E" w14:textId="77777777" w:rsidTr="008809D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3" w:type="pct"/>
            <w:tcBorders>
              <w:top w:val="single" w:sz="4" w:space="0" w:color="auto"/>
              <w:left w:val="single" w:sz="4" w:space="0" w:color="auto"/>
              <w:bottom w:val="single" w:sz="4" w:space="0" w:color="auto"/>
              <w:right w:val="single" w:sz="4" w:space="0" w:color="auto"/>
            </w:tcBorders>
            <w:shd w:val="clear" w:color="auto" w:fill="auto"/>
          </w:tcPr>
          <w:p w14:paraId="3390D3F4" w14:textId="77777777" w:rsidR="0057516E" w:rsidRPr="0076541A" w:rsidRDefault="0057516E" w:rsidP="008809DF">
            <w:pPr>
              <w:autoSpaceDE w:val="0"/>
              <w:autoSpaceDN w:val="0"/>
              <w:adjustRightInd w:val="0"/>
              <w:spacing w:before="60" w:after="120"/>
              <w:ind w:hanging="676"/>
              <w:jc w:val="center"/>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Report/Description</w:t>
            </w:r>
          </w:p>
        </w:tc>
        <w:tc>
          <w:tcPr>
            <w:tcW w:w="2767" w:type="pct"/>
            <w:tcBorders>
              <w:top w:val="single" w:sz="4" w:space="0" w:color="auto"/>
              <w:left w:val="single" w:sz="4" w:space="0" w:color="auto"/>
              <w:bottom w:val="single" w:sz="4" w:space="0" w:color="auto"/>
              <w:right w:val="single" w:sz="4" w:space="0" w:color="auto"/>
            </w:tcBorders>
            <w:shd w:val="clear" w:color="auto" w:fill="auto"/>
          </w:tcPr>
          <w:p w14:paraId="56200677" w14:textId="77777777" w:rsidR="0057516E" w:rsidRPr="0076541A" w:rsidRDefault="0057516E" w:rsidP="008809DF">
            <w:pPr>
              <w:autoSpaceDE w:val="0"/>
              <w:autoSpaceDN w:val="0"/>
              <w:adjustRightInd w:val="0"/>
              <w:spacing w:before="60" w:after="120"/>
              <w:jc w:val="cente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Submission Date</w:t>
            </w:r>
          </w:p>
        </w:tc>
      </w:tr>
      <w:tr w:rsidR="0057516E" w:rsidRPr="0076541A" w14:paraId="7E0F65DF" w14:textId="77777777" w:rsidTr="0088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pct"/>
            <w:tcBorders>
              <w:top w:val="single" w:sz="4" w:space="0" w:color="auto"/>
              <w:right w:val="single" w:sz="4" w:space="0" w:color="auto"/>
            </w:tcBorders>
            <w:shd w:val="clear" w:color="auto" w:fill="auto"/>
          </w:tcPr>
          <w:p w14:paraId="41404785" w14:textId="77777777" w:rsidR="0057516E" w:rsidRPr="0076541A" w:rsidRDefault="0057516E" w:rsidP="008809DF">
            <w:pPr>
              <w:autoSpaceDE w:val="0"/>
              <w:autoSpaceDN w:val="0"/>
              <w:adjustRightInd w:val="0"/>
              <w:spacing w:before="60" w:after="12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2022 workplan</w:t>
            </w:r>
          </w:p>
        </w:tc>
        <w:tc>
          <w:tcPr>
            <w:tcW w:w="2767" w:type="pct"/>
            <w:tcBorders>
              <w:top w:val="single" w:sz="4" w:space="0" w:color="auto"/>
              <w:left w:val="single" w:sz="4" w:space="0" w:color="auto"/>
            </w:tcBorders>
            <w:shd w:val="clear" w:color="auto" w:fill="auto"/>
          </w:tcPr>
          <w:p w14:paraId="5A049D32" w14:textId="77777777" w:rsidR="0057516E" w:rsidRPr="0076541A" w:rsidRDefault="0057516E" w:rsidP="008809DF">
            <w:pPr>
              <w:autoSpaceDE w:val="0"/>
              <w:autoSpaceDN w:val="0"/>
              <w:adjustRightInd w:val="0"/>
              <w:spacing w:before="6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By 30 November 2021</w:t>
            </w:r>
          </w:p>
        </w:tc>
      </w:tr>
      <w:tr w:rsidR="0057516E" w:rsidRPr="0076541A" w14:paraId="267925AC" w14:textId="77777777" w:rsidTr="008809D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pct"/>
            <w:tcBorders>
              <w:bottom w:val="single" w:sz="4" w:space="0" w:color="auto"/>
              <w:right w:val="single" w:sz="4" w:space="0" w:color="auto"/>
            </w:tcBorders>
          </w:tcPr>
          <w:p w14:paraId="2FC40CA1" w14:textId="77777777" w:rsidR="0057516E" w:rsidRPr="0076541A" w:rsidRDefault="0057516E" w:rsidP="008809DF">
            <w:pPr>
              <w:autoSpaceDE w:val="0"/>
              <w:autoSpaceDN w:val="0"/>
              <w:adjustRightInd w:val="0"/>
              <w:spacing w:before="60" w:after="12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2021 Annual Report</w:t>
            </w:r>
          </w:p>
        </w:tc>
        <w:tc>
          <w:tcPr>
            <w:tcW w:w="2767" w:type="pct"/>
            <w:tcBorders>
              <w:left w:val="single" w:sz="4" w:space="0" w:color="auto"/>
              <w:bottom w:val="single" w:sz="4" w:space="0" w:color="auto"/>
            </w:tcBorders>
          </w:tcPr>
          <w:p w14:paraId="0F2556A1" w14:textId="77777777" w:rsidR="0057516E" w:rsidRPr="0076541A" w:rsidRDefault="0057516E" w:rsidP="008809DF">
            <w:pPr>
              <w:autoSpaceDE w:val="0"/>
              <w:autoSpaceDN w:val="0"/>
              <w:adjustRightInd w:val="0"/>
              <w:spacing w:before="60" w:after="120"/>
              <w:cnfStyle w:val="000000010000" w:firstRow="0" w:lastRow="0" w:firstColumn="0" w:lastColumn="0" w:oddVBand="0" w:evenVBand="0" w:oddHBand="0" w:evenHBand="1" w:firstRowFirstColumn="0" w:firstRowLastColumn="0" w:lastRowFirstColumn="0" w:lastRowLastColumn="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By 30 June 2022</w:t>
            </w:r>
          </w:p>
        </w:tc>
      </w:tr>
      <w:tr w:rsidR="0057516E" w:rsidRPr="0076541A" w14:paraId="728EF2C0" w14:textId="77777777" w:rsidTr="00880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pct"/>
            <w:tcBorders>
              <w:right w:val="single" w:sz="4" w:space="0" w:color="auto"/>
            </w:tcBorders>
            <w:shd w:val="clear" w:color="auto" w:fill="FFFFFF" w:themeFill="background1"/>
          </w:tcPr>
          <w:p w14:paraId="10A70065" w14:textId="77777777" w:rsidR="0057516E" w:rsidRPr="0076541A" w:rsidRDefault="0057516E" w:rsidP="008809DF">
            <w:pPr>
              <w:autoSpaceDE w:val="0"/>
              <w:autoSpaceDN w:val="0"/>
              <w:adjustRightInd w:val="0"/>
              <w:spacing w:before="60" w:after="12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2022 Annual Report</w:t>
            </w:r>
          </w:p>
        </w:tc>
        <w:tc>
          <w:tcPr>
            <w:tcW w:w="2767" w:type="pct"/>
            <w:tcBorders>
              <w:left w:val="single" w:sz="4" w:space="0" w:color="auto"/>
              <w:right w:val="single" w:sz="4" w:space="0" w:color="auto"/>
            </w:tcBorders>
            <w:shd w:val="clear" w:color="auto" w:fill="FFFFFF" w:themeFill="background1"/>
          </w:tcPr>
          <w:p w14:paraId="71C6CC0D" w14:textId="77777777" w:rsidR="0057516E" w:rsidRPr="0076541A" w:rsidRDefault="0057516E" w:rsidP="008809DF">
            <w:pPr>
              <w:autoSpaceDE w:val="0"/>
              <w:autoSpaceDN w:val="0"/>
              <w:adjustRightInd w:val="0"/>
              <w:spacing w:before="60" w:after="120"/>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000000" w:themeColor="text1"/>
              </w:rPr>
            </w:pPr>
            <w:r w:rsidRPr="0076541A">
              <w:rPr>
                <w:rFonts w:asciiTheme="minorHAnsi" w:eastAsia="Calibri" w:hAnsiTheme="minorHAnsi" w:cstheme="minorHAnsi"/>
                <w:color w:val="000000" w:themeColor="text1"/>
              </w:rPr>
              <w:t>By 31 May 2023</w:t>
            </w:r>
          </w:p>
        </w:tc>
      </w:tr>
    </w:tbl>
    <w:p w14:paraId="1C7E40E8" w14:textId="175CB77D" w:rsidR="00D8167E" w:rsidRDefault="00D8167E" w:rsidP="00FB54B1">
      <w:pPr>
        <w:pStyle w:val="Heading2"/>
        <w:spacing w:before="120"/>
        <w:rPr>
          <w:rFonts w:eastAsia="Times New Roman" w:cs="Times New Roman"/>
          <w:sz w:val="16"/>
          <w:szCs w:val="16"/>
          <w:lang w:eastAsia="en-AU"/>
        </w:rPr>
      </w:pPr>
    </w:p>
    <w:p w14:paraId="3EDFDC8D" w14:textId="2D1CEB8F" w:rsidR="0057516E" w:rsidRDefault="0057516E" w:rsidP="00FB54B1">
      <w:pPr>
        <w:pStyle w:val="Heading2"/>
        <w:spacing w:before="120"/>
        <w:rPr>
          <w:lang w:eastAsia="en-AU"/>
        </w:rPr>
      </w:pPr>
    </w:p>
    <w:p w14:paraId="49859AB9" w14:textId="258D99E1" w:rsidR="0057516E" w:rsidRDefault="0057516E" w:rsidP="00FB54B1">
      <w:pPr>
        <w:pStyle w:val="Heading2"/>
        <w:spacing w:before="120"/>
        <w:rPr>
          <w:lang w:eastAsia="en-AU"/>
        </w:rPr>
      </w:pPr>
    </w:p>
    <w:p w14:paraId="44550B14" w14:textId="0D96DCE7" w:rsidR="0057516E" w:rsidRDefault="0057516E" w:rsidP="00FB54B1">
      <w:pPr>
        <w:pStyle w:val="Heading2"/>
        <w:spacing w:before="120"/>
        <w:rPr>
          <w:lang w:eastAsia="en-AU"/>
        </w:rPr>
      </w:pPr>
    </w:p>
    <w:p w14:paraId="504E21B1" w14:textId="77777777" w:rsidR="00BB2090" w:rsidRPr="00B145FC" w:rsidRDefault="00BB2090" w:rsidP="00BB2090">
      <w:pPr>
        <w:pStyle w:val="Heading2"/>
        <w:spacing w:before="120"/>
        <w:rPr>
          <w:rFonts w:ascii="Calibri" w:hAnsi="Calibri" w:cs="Calibri"/>
          <w:b/>
          <w:bCs/>
          <w:color w:val="000000" w:themeColor="text1"/>
          <w:sz w:val="22"/>
          <w:szCs w:val="22"/>
        </w:rPr>
      </w:pPr>
      <w:bookmarkStart w:id="14" w:name="_Toc84413377"/>
      <w:bookmarkStart w:id="15" w:name="_Toc16756171"/>
      <w:r w:rsidRPr="00B145FC">
        <w:rPr>
          <w:rFonts w:ascii="Calibri" w:hAnsi="Calibri" w:cs="Calibri"/>
          <w:b/>
          <w:bCs/>
          <w:color w:val="000000" w:themeColor="text1"/>
          <w:sz w:val="22"/>
          <w:szCs w:val="22"/>
        </w:rPr>
        <w:t>Use of funding</w:t>
      </w:r>
      <w:bookmarkEnd w:id="14"/>
    </w:p>
    <w:p w14:paraId="606F7424" w14:textId="77777777" w:rsidR="00BB2090" w:rsidRPr="000342DA" w:rsidRDefault="00BB2090" w:rsidP="008165E3">
      <w:pPr>
        <w:pStyle w:val="ListParagraph"/>
        <w:numPr>
          <w:ilvl w:val="0"/>
          <w:numId w:val="11"/>
        </w:numPr>
        <w:spacing w:after="120" w:line="240" w:lineRule="auto"/>
        <w:ind w:left="709" w:hanging="709"/>
        <w:rPr>
          <w:rFonts w:eastAsia="Times New Roman" w:cstheme="minorHAnsi"/>
          <w:szCs w:val="24"/>
          <w:lang w:eastAsia="en-AU"/>
        </w:rPr>
      </w:pPr>
      <w:r w:rsidRPr="000342DA">
        <w:rPr>
          <w:rFonts w:eastAsia="Times New Roman" w:cstheme="minorHAnsi"/>
          <w:szCs w:val="24"/>
          <w:lang w:eastAsia="en-AU"/>
        </w:rPr>
        <w:t>An NGRB must only spend, or commit to spend, funding provided under the Act for a calendar year for the purposes of:</w:t>
      </w:r>
    </w:p>
    <w:p w14:paraId="2EC7780C" w14:textId="77777777" w:rsidR="00BB2090" w:rsidRPr="00391393" w:rsidRDefault="00BB2090" w:rsidP="00BB2090">
      <w:pPr>
        <w:pStyle w:val="ListParagraph"/>
        <w:numPr>
          <w:ilvl w:val="0"/>
          <w:numId w:val="41"/>
        </w:numPr>
        <w:spacing w:after="120" w:line="240" w:lineRule="auto"/>
        <w:ind w:hanging="371"/>
        <w:rPr>
          <w:rFonts w:eastAsia="Times New Roman" w:cstheme="minorHAnsi"/>
          <w:szCs w:val="24"/>
          <w:lang w:eastAsia="en-AU"/>
        </w:rPr>
      </w:pPr>
      <w:r w:rsidRPr="00391393">
        <w:rPr>
          <w:rFonts w:eastAsia="Times New Roman" w:cstheme="minorHAnsi"/>
          <w:szCs w:val="24"/>
          <w:lang w:eastAsia="en-AU"/>
        </w:rPr>
        <w:t xml:space="preserve">implementing the activities specified in the NGRB’s approved workplan for the calendar </w:t>
      </w:r>
      <w:proofErr w:type="gramStart"/>
      <w:r w:rsidRPr="00391393">
        <w:rPr>
          <w:rFonts w:eastAsia="Times New Roman" w:cstheme="minorHAnsi"/>
          <w:szCs w:val="24"/>
          <w:lang w:eastAsia="en-AU"/>
        </w:rPr>
        <w:t>year</w:t>
      </w:r>
      <w:proofErr w:type="gramEnd"/>
    </w:p>
    <w:p w14:paraId="35553E93" w14:textId="77777777" w:rsidR="00BB2090" w:rsidRPr="0016476F" w:rsidRDefault="00BB2090" w:rsidP="00BB2090">
      <w:pPr>
        <w:numPr>
          <w:ilvl w:val="0"/>
          <w:numId w:val="41"/>
        </w:numPr>
        <w:spacing w:after="120" w:line="240" w:lineRule="auto"/>
        <w:ind w:hanging="371"/>
        <w:rPr>
          <w:rFonts w:eastAsia="Times New Roman" w:cstheme="minorHAnsi"/>
          <w:szCs w:val="24"/>
          <w:lang w:eastAsia="en-AU"/>
        </w:rPr>
      </w:pPr>
      <w:r w:rsidRPr="0048161B">
        <w:rPr>
          <w:rFonts w:eastAsia="Times New Roman" w:cstheme="minorHAnsi"/>
          <w:szCs w:val="24"/>
          <w:lang w:eastAsia="en-AU"/>
        </w:rPr>
        <w:t xml:space="preserve">administration and operational costs of the NGRB directly associated with compliance with the Act </w:t>
      </w:r>
      <w:r w:rsidRPr="0016476F">
        <w:rPr>
          <w:rFonts w:eastAsia="Times New Roman" w:cstheme="minorHAnsi"/>
          <w:szCs w:val="24"/>
          <w:lang w:eastAsia="en-AU"/>
        </w:rPr>
        <w:t>and the Regulation, including these Guidelines.</w:t>
      </w:r>
    </w:p>
    <w:p w14:paraId="224E5B8E" w14:textId="7455B3AC" w:rsidR="00BB2090" w:rsidRPr="000342DA" w:rsidRDefault="00BB2090" w:rsidP="008165E3">
      <w:pPr>
        <w:pStyle w:val="ListParagraph"/>
        <w:numPr>
          <w:ilvl w:val="0"/>
          <w:numId w:val="11"/>
        </w:numPr>
        <w:spacing w:after="120" w:line="240" w:lineRule="auto"/>
        <w:ind w:left="709" w:hanging="709"/>
        <w:contextualSpacing w:val="0"/>
        <w:rPr>
          <w:rFonts w:eastAsia="Times New Roman" w:cstheme="minorHAnsi"/>
          <w:szCs w:val="24"/>
          <w:lang w:eastAsia="en-AU"/>
        </w:rPr>
      </w:pPr>
      <w:r w:rsidRPr="000342DA">
        <w:rPr>
          <w:rFonts w:eastAsia="Times New Roman" w:cstheme="minorHAnsi"/>
          <w:szCs w:val="24"/>
          <w:lang w:eastAsia="en-AU"/>
        </w:rPr>
        <w:t xml:space="preserve">An NGRB must spend, or commit, </w:t>
      </w:r>
      <w:r>
        <w:rPr>
          <w:rFonts w:eastAsia="Times New Roman" w:cstheme="minorHAnsi"/>
          <w:szCs w:val="24"/>
          <w:lang w:eastAsia="en-AU"/>
        </w:rPr>
        <w:t>all funding provided under the Act in the same calendar year that the funding was paid, unless the Minister directs otherwise in writing under section 31(1)(e) of the Regulation.</w:t>
      </w:r>
      <w:r w:rsidRPr="000342DA">
        <w:rPr>
          <w:rFonts w:eastAsia="Times New Roman" w:cstheme="minorHAnsi"/>
          <w:szCs w:val="24"/>
          <w:lang w:eastAsia="en-AU"/>
        </w:rPr>
        <w:t xml:space="preserve"> </w:t>
      </w:r>
    </w:p>
    <w:p w14:paraId="331B1B5F" w14:textId="16DAC60C" w:rsidR="00BB2090" w:rsidRDefault="00BB2090" w:rsidP="008165E3">
      <w:pPr>
        <w:pStyle w:val="ListParagraph"/>
        <w:numPr>
          <w:ilvl w:val="0"/>
          <w:numId w:val="11"/>
        </w:numPr>
        <w:spacing w:after="120" w:line="240" w:lineRule="auto"/>
        <w:ind w:left="709" w:hanging="709"/>
        <w:rPr>
          <w:color w:val="000000"/>
        </w:rPr>
      </w:pPr>
      <w:r>
        <w:t xml:space="preserve">Where an NGRB is unable to spend, or commit to spend, all funding provided under the Act in the same calendar year, an NGRB must, in writing, request approval from the Minister to carry over any unspent funds to the following calendar </w:t>
      </w:r>
      <w:proofErr w:type="gramStart"/>
      <w:r>
        <w:t>year, and</w:t>
      </w:r>
      <w:proofErr w:type="gramEnd"/>
      <w:r>
        <w:t xml:space="preserve"> must provide any supporting information required by the Minister. The request and supporting information must be provided </w:t>
      </w:r>
      <w:r>
        <w:rPr>
          <w:color w:val="000000"/>
        </w:rPr>
        <w:t xml:space="preserve">to the Minister within the calendar year at a date that ensures there is sufficient time for the Minister’s consideration before the end of 2022. </w:t>
      </w:r>
    </w:p>
    <w:p w14:paraId="31F5DB9C" w14:textId="47BFAB16" w:rsidR="00BB2090" w:rsidRPr="0016476F" w:rsidRDefault="00BB2090" w:rsidP="008165E3">
      <w:pPr>
        <w:numPr>
          <w:ilvl w:val="0"/>
          <w:numId w:val="11"/>
        </w:numPr>
        <w:spacing w:after="120" w:line="240" w:lineRule="auto"/>
        <w:ind w:left="709" w:hanging="709"/>
        <w:rPr>
          <w:rFonts w:eastAsia="Times New Roman" w:cstheme="minorHAnsi"/>
          <w:szCs w:val="24"/>
          <w:lang w:eastAsia="en-AU"/>
        </w:rPr>
      </w:pPr>
      <w:r w:rsidRPr="0016476F">
        <w:rPr>
          <w:rFonts w:eastAsia="Times New Roman" w:cstheme="minorHAnsi"/>
          <w:szCs w:val="24"/>
          <w:lang w:eastAsia="en-AU"/>
        </w:rPr>
        <w:t xml:space="preserve">As the Reform Support Fund ceases on 31 December 2022, the Minister will only consider </w:t>
      </w:r>
      <w:r>
        <w:rPr>
          <w:rFonts w:eastAsia="Times New Roman" w:cstheme="minorHAnsi"/>
          <w:szCs w:val="24"/>
          <w:lang w:eastAsia="en-AU"/>
        </w:rPr>
        <w:t xml:space="preserve">for </w:t>
      </w:r>
      <w:r w:rsidRPr="0016476F">
        <w:rPr>
          <w:rFonts w:eastAsia="Times New Roman" w:cstheme="minorHAnsi"/>
          <w:szCs w:val="24"/>
          <w:lang w:eastAsia="en-AU"/>
        </w:rPr>
        <w:t>an NGRB to spend or commit to spend funding provided under the Act outside of the 2022 calendar year in exceptional circumstances</w:t>
      </w:r>
      <w:r>
        <w:rPr>
          <w:rFonts w:eastAsia="Times New Roman" w:cstheme="minorHAnsi"/>
          <w:szCs w:val="24"/>
          <w:lang w:eastAsia="en-AU"/>
        </w:rPr>
        <w:t>.</w:t>
      </w:r>
    </w:p>
    <w:bookmarkEnd w:id="15"/>
    <w:p w14:paraId="5A491F70" w14:textId="66130105" w:rsidR="00AB1E9A" w:rsidRPr="009628E2" w:rsidRDefault="00E74C93" w:rsidP="000C7852">
      <w:pPr>
        <w:pStyle w:val="ListParagraph"/>
        <w:numPr>
          <w:ilvl w:val="0"/>
          <w:numId w:val="11"/>
        </w:numPr>
        <w:spacing w:after="0"/>
        <w:ind w:left="709" w:hanging="709"/>
        <w:rPr>
          <w:rFonts w:eastAsia="Times New Roman" w:cstheme="minorHAnsi"/>
          <w:szCs w:val="24"/>
          <w:lang w:eastAsia="en-AU"/>
        </w:rPr>
      </w:pPr>
      <w:r w:rsidRPr="009628E2">
        <w:rPr>
          <w:rFonts w:eastAsia="Times New Roman" w:cstheme="minorHAnsi"/>
          <w:szCs w:val="24"/>
          <w:lang w:eastAsia="en-AU"/>
        </w:rPr>
        <w:t>Notwithstanding paragraph</w:t>
      </w:r>
      <w:r w:rsidR="00FE6B21" w:rsidRPr="009628E2">
        <w:rPr>
          <w:rFonts w:eastAsia="Times New Roman" w:cstheme="minorHAnsi"/>
          <w:szCs w:val="24"/>
          <w:lang w:eastAsia="en-AU"/>
        </w:rPr>
        <w:t>s</w:t>
      </w:r>
      <w:r w:rsidRPr="009628E2">
        <w:rPr>
          <w:rFonts w:eastAsia="Times New Roman" w:cstheme="minorHAnsi"/>
          <w:szCs w:val="24"/>
          <w:lang w:eastAsia="en-AU"/>
        </w:rPr>
        <w:t xml:space="preserve"> </w:t>
      </w:r>
      <w:r w:rsidR="00C91895" w:rsidRPr="009628E2">
        <w:rPr>
          <w:rFonts w:eastAsia="Times New Roman" w:cstheme="minorHAnsi"/>
          <w:szCs w:val="24"/>
          <w:lang w:eastAsia="en-AU"/>
        </w:rPr>
        <w:t>2</w:t>
      </w:r>
      <w:r w:rsidR="005F23D5" w:rsidRPr="009628E2">
        <w:rPr>
          <w:rFonts w:eastAsia="Times New Roman" w:cstheme="minorHAnsi"/>
          <w:szCs w:val="24"/>
          <w:lang w:eastAsia="en-AU"/>
        </w:rPr>
        <w:t>7</w:t>
      </w:r>
      <w:r w:rsidR="00386758" w:rsidRPr="009628E2">
        <w:rPr>
          <w:rFonts w:eastAsia="Times New Roman" w:cstheme="minorHAnsi"/>
          <w:szCs w:val="24"/>
          <w:lang w:eastAsia="en-AU"/>
        </w:rPr>
        <w:t>, 2</w:t>
      </w:r>
      <w:r w:rsidR="005F23D5" w:rsidRPr="009628E2">
        <w:rPr>
          <w:rFonts w:eastAsia="Times New Roman" w:cstheme="minorHAnsi"/>
          <w:szCs w:val="24"/>
          <w:lang w:eastAsia="en-AU"/>
        </w:rPr>
        <w:t>8</w:t>
      </w:r>
      <w:r w:rsidR="002338B5">
        <w:rPr>
          <w:rFonts w:eastAsia="Times New Roman" w:cstheme="minorHAnsi"/>
          <w:szCs w:val="24"/>
          <w:lang w:eastAsia="en-AU"/>
        </w:rPr>
        <w:t xml:space="preserve">, </w:t>
      </w:r>
      <w:r w:rsidR="00FE6B21" w:rsidRPr="009628E2">
        <w:rPr>
          <w:rFonts w:eastAsia="Times New Roman" w:cstheme="minorHAnsi"/>
          <w:szCs w:val="24"/>
          <w:lang w:eastAsia="en-AU"/>
        </w:rPr>
        <w:t>2</w:t>
      </w:r>
      <w:r w:rsidR="005F23D5" w:rsidRPr="009628E2">
        <w:rPr>
          <w:rFonts w:eastAsia="Times New Roman" w:cstheme="minorHAnsi"/>
          <w:szCs w:val="24"/>
          <w:lang w:eastAsia="en-AU"/>
        </w:rPr>
        <w:t>9</w:t>
      </w:r>
      <w:r w:rsidR="002338B5">
        <w:rPr>
          <w:rFonts w:eastAsia="Times New Roman" w:cstheme="minorHAnsi"/>
          <w:szCs w:val="24"/>
          <w:lang w:eastAsia="en-AU"/>
        </w:rPr>
        <w:t xml:space="preserve"> and 30</w:t>
      </w:r>
      <w:r w:rsidR="00FE6B21" w:rsidRPr="009628E2">
        <w:rPr>
          <w:rFonts w:eastAsia="Times New Roman" w:cstheme="minorHAnsi"/>
          <w:szCs w:val="24"/>
          <w:lang w:eastAsia="en-AU"/>
        </w:rPr>
        <w:t xml:space="preserve"> an NGRB </w:t>
      </w:r>
      <w:r w:rsidR="00AB1E9A" w:rsidRPr="009628E2">
        <w:rPr>
          <w:rFonts w:eastAsia="Times New Roman" w:cstheme="minorHAnsi"/>
          <w:szCs w:val="24"/>
          <w:lang w:eastAsia="en-AU"/>
        </w:rPr>
        <w:t>must not spend, or commit, funding provided under the Act for:</w:t>
      </w:r>
    </w:p>
    <w:p w14:paraId="4247FF9A" w14:textId="77777777" w:rsidR="00AB1E9A" w:rsidRPr="009628E2" w:rsidRDefault="00AB1E9A" w:rsidP="000C7852">
      <w:pPr>
        <w:numPr>
          <w:ilvl w:val="0"/>
          <w:numId w:val="12"/>
        </w:numPr>
        <w:tabs>
          <w:tab w:val="left" w:pos="1134"/>
        </w:tabs>
        <w:spacing w:after="120" w:line="240" w:lineRule="auto"/>
        <w:ind w:hanging="361"/>
        <w:rPr>
          <w:rFonts w:eastAsia="Calibri" w:cstheme="minorHAnsi"/>
          <w:szCs w:val="24"/>
        </w:rPr>
      </w:pPr>
      <w:r w:rsidRPr="009628E2">
        <w:rPr>
          <w:rFonts w:eastAsia="Calibri" w:cstheme="minorHAnsi"/>
          <w:szCs w:val="24"/>
        </w:rPr>
        <w:t>study tours</w:t>
      </w:r>
      <w:bookmarkStart w:id="16" w:name="_Ref73861718"/>
    </w:p>
    <w:p w14:paraId="5F2590B5" w14:textId="77777777" w:rsidR="00AB1E9A" w:rsidRPr="009628E2" w:rsidRDefault="00AB1E9A" w:rsidP="000C7852">
      <w:pPr>
        <w:numPr>
          <w:ilvl w:val="0"/>
          <w:numId w:val="12"/>
        </w:numPr>
        <w:tabs>
          <w:tab w:val="left" w:pos="1134"/>
        </w:tabs>
        <w:spacing w:before="120" w:after="0" w:line="240" w:lineRule="auto"/>
        <w:ind w:hanging="361"/>
        <w:rPr>
          <w:rFonts w:eastAsia="Calibri" w:cstheme="minorHAnsi"/>
          <w:szCs w:val="24"/>
        </w:rPr>
      </w:pPr>
      <w:r w:rsidRPr="009628E2">
        <w:rPr>
          <w:rFonts w:eastAsia="Calibri" w:cstheme="minorHAnsi"/>
          <w:szCs w:val="24"/>
        </w:rPr>
        <w:t>international travel of any kind</w:t>
      </w:r>
    </w:p>
    <w:p w14:paraId="3F2D60D2" w14:textId="77777777" w:rsidR="00AB1E9A" w:rsidRPr="009628E2" w:rsidRDefault="00AB1E9A" w:rsidP="00BB2090">
      <w:pPr>
        <w:numPr>
          <w:ilvl w:val="0"/>
          <w:numId w:val="12"/>
        </w:numPr>
        <w:tabs>
          <w:tab w:val="left" w:pos="1134"/>
        </w:tabs>
        <w:spacing w:before="120" w:after="120" w:line="240" w:lineRule="auto"/>
        <w:ind w:hanging="361"/>
        <w:rPr>
          <w:rFonts w:eastAsia="Calibri" w:cstheme="minorHAnsi"/>
          <w:szCs w:val="24"/>
        </w:rPr>
      </w:pPr>
      <w:r w:rsidRPr="009628E2">
        <w:rPr>
          <w:rFonts w:eastAsia="Calibri" w:cstheme="minorHAnsi"/>
          <w:szCs w:val="24"/>
        </w:rPr>
        <w:lastRenderedPageBreak/>
        <w:t>capital expenditure of any kind</w:t>
      </w:r>
    </w:p>
    <w:p w14:paraId="4AE835CD" w14:textId="77777777" w:rsidR="00AB1E9A" w:rsidRPr="009628E2" w:rsidRDefault="00AB1E9A" w:rsidP="000C7852">
      <w:pPr>
        <w:tabs>
          <w:tab w:val="left" w:pos="1134"/>
        </w:tabs>
        <w:spacing w:before="120" w:line="240" w:lineRule="auto"/>
        <w:ind w:left="1070" w:hanging="687"/>
        <w:rPr>
          <w:rFonts w:eastAsia="Calibri" w:cstheme="minorHAnsi"/>
          <w:iCs/>
          <w:szCs w:val="24"/>
        </w:rPr>
      </w:pPr>
      <w:r w:rsidRPr="009628E2">
        <w:rPr>
          <w:rFonts w:eastAsia="Calibri" w:cstheme="minorHAnsi"/>
          <w:iCs/>
          <w:szCs w:val="24"/>
        </w:rPr>
        <w:t>Note: capital expenditure is defined in the Act</w:t>
      </w:r>
    </w:p>
    <w:p w14:paraId="4964C753" w14:textId="77777777" w:rsidR="00AB1E9A" w:rsidRPr="009628E2" w:rsidRDefault="00AB1E9A" w:rsidP="000C7852">
      <w:pPr>
        <w:numPr>
          <w:ilvl w:val="0"/>
          <w:numId w:val="12"/>
        </w:numPr>
        <w:tabs>
          <w:tab w:val="left" w:pos="1134"/>
        </w:tabs>
        <w:spacing w:after="120" w:line="240" w:lineRule="auto"/>
        <w:rPr>
          <w:rFonts w:eastAsia="Calibri" w:cstheme="minorHAnsi"/>
          <w:szCs w:val="24"/>
        </w:rPr>
      </w:pPr>
      <w:r w:rsidRPr="009628E2">
        <w:rPr>
          <w:rFonts w:eastAsia="Calibri" w:cstheme="minorHAnsi"/>
          <w:szCs w:val="24"/>
        </w:rPr>
        <w:t xml:space="preserve">security for any form of loan, credit, </w:t>
      </w:r>
      <w:proofErr w:type="gramStart"/>
      <w:r w:rsidRPr="009628E2">
        <w:rPr>
          <w:rFonts w:eastAsia="Calibri" w:cstheme="minorHAnsi"/>
          <w:szCs w:val="24"/>
        </w:rPr>
        <w:t>payment</w:t>
      </w:r>
      <w:proofErr w:type="gramEnd"/>
      <w:r w:rsidRPr="009628E2">
        <w:rPr>
          <w:rFonts w:eastAsia="Calibri" w:cstheme="minorHAnsi"/>
          <w:szCs w:val="24"/>
        </w:rPr>
        <w:t xml:space="preserve"> or other interest</w:t>
      </w:r>
      <w:bookmarkEnd w:id="16"/>
    </w:p>
    <w:p w14:paraId="3A3F8A6D" w14:textId="77777777" w:rsidR="00AB1E9A" w:rsidRPr="009628E2" w:rsidRDefault="00AB1E9A" w:rsidP="00415C62">
      <w:pPr>
        <w:numPr>
          <w:ilvl w:val="0"/>
          <w:numId w:val="12"/>
        </w:numPr>
        <w:tabs>
          <w:tab w:val="left" w:pos="1134"/>
        </w:tabs>
        <w:spacing w:before="120" w:after="120" w:line="240" w:lineRule="auto"/>
        <w:rPr>
          <w:rFonts w:eastAsia="Calibri" w:cstheme="minorHAnsi"/>
          <w:szCs w:val="24"/>
        </w:rPr>
      </w:pPr>
      <w:r w:rsidRPr="009628E2">
        <w:rPr>
          <w:rFonts w:eastAsia="Calibri" w:cstheme="minorHAnsi"/>
          <w:szCs w:val="24"/>
        </w:rPr>
        <w:t xml:space="preserve">the preparation of, or in the course of, any litigation, except litigation by a state to recover a debt from the </w:t>
      </w:r>
      <w:r w:rsidR="001E0D78" w:rsidRPr="009628E2">
        <w:rPr>
          <w:rFonts w:eastAsia="Calibri" w:cstheme="minorHAnsi"/>
          <w:szCs w:val="24"/>
        </w:rPr>
        <w:t xml:space="preserve">NGRB </w:t>
      </w:r>
      <w:r w:rsidRPr="009628E2">
        <w:rPr>
          <w:rFonts w:eastAsia="Calibri" w:cstheme="minorHAnsi"/>
          <w:szCs w:val="24"/>
        </w:rPr>
        <w:t xml:space="preserve">arising under the operation of the </w:t>
      </w:r>
      <w:proofErr w:type="gramStart"/>
      <w:r w:rsidRPr="009628E2">
        <w:rPr>
          <w:rFonts w:eastAsia="Calibri" w:cstheme="minorHAnsi"/>
          <w:szCs w:val="24"/>
        </w:rPr>
        <w:t>Act</w:t>
      </w:r>
      <w:proofErr w:type="gramEnd"/>
    </w:p>
    <w:p w14:paraId="32AE582E" w14:textId="0B775A37" w:rsidR="00AB1E9A" w:rsidRPr="009628E2" w:rsidRDefault="00AB1E9A" w:rsidP="00415C62">
      <w:pPr>
        <w:numPr>
          <w:ilvl w:val="0"/>
          <w:numId w:val="12"/>
        </w:numPr>
        <w:tabs>
          <w:tab w:val="left" w:pos="1134"/>
        </w:tabs>
        <w:spacing w:before="120" w:after="120" w:line="240" w:lineRule="auto"/>
        <w:rPr>
          <w:rFonts w:eastAsia="Calibri" w:cstheme="minorHAnsi"/>
          <w:szCs w:val="24"/>
        </w:rPr>
      </w:pPr>
      <w:r w:rsidRPr="009628E2">
        <w:rPr>
          <w:rFonts w:eastAsia="Calibri" w:cstheme="minorHAnsi"/>
          <w:szCs w:val="24"/>
        </w:rPr>
        <w:t xml:space="preserve">administration and operational costs of the </w:t>
      </w:r>
      <w:r w:rsidR="005C578B" w:rsidRPr="009628E2">
        <w:rPr>
          <w:rFonts w:eastAsia="Calibri" w:cstheme="minorHAnsi"/>
          <w:szCs w:val="24"/>
        </w:rPr>
        <w:t>NGRB</w:t>
      </w:r>
      <w:r w:rsidRPr="009628E2">
        <w:rPr>
          <w:rFonts w:eastAsia="Calibri" w:cstheme="minorHAnsi"/>
          <w:szCs w:val="24"/>
        </w:rPr>
        <w:t xml:space="preserve"> not </w:t>
      </w:r>
      <w:r w:rsidR="005C578B" w:rsidRPr="009628E2">
        <w:rPr>
          <w:rFonts w:eastAsia="Calibri" w:cstheme="minorHAnsi"/>
          <w:szCs w:val="24"/>
        </w:rPr>
        <w:t>otherwise covered by paragraph 2</w:t>
      </w:r>
      <w:r w:rsidR="005F23D5" w:rsidRPr="009628E2">
        <w:rPr>
          <w:rFonts w:eastAsia="Calibri" w:cstheme="minorHAnsi"/>
          <w:szCs w:val="24"/>
        </w:rPr>
        <w:t>7</w:t>
      </w:r>
      <w:r w:rsidRPr="009628E2">
        <w:rPr>
          <w:rFonts w:eastAsia="Calibri" w:cstheme="minorHAnsi"/>
          <w:szCs w:val="24"/>
        </w:rPr>
        <w:t>.</w:t>
      </w:r>
    </w:p>
    <w:p w14:paraId="6579BBB8" w14:textId="77777777" w:rsidR="00AB1E9A" w:rsidRPr="00D42B72" w:rsidRDefault="00AB1E9A" w:rsidP="00D42B72">
      <w:pPr>
        <w:pStyle w:val="Heading2"/>
        <w:rPr>
          <w:rFonts w:ascii="Calibri" w:hAnsi="Calibri" w:cs="Calibri"/>
          <w:b/>
          <w:bCs/>
          <w:color w:val="000000" w:themeColor="text1"/>
          <w:sz w:val="22"/>
          <w:szCs w:val="22"/>
        </w:rPr>
      </w:pPr>
      <w:bookmarkStart w:id="17" w:name="_Toc16756172"/>
      <w:bookmarkStart w:id="18" w:name="_Toc84413378"/>
      <w:bookmarkStart w:id="19" w:name="_Toc387676557"/>
      <w:r w:rsidRPr="00D42B72">
        <w:rPr>
          <w:rFonts w:ascii="Calibri" w:hAnsi="Calibri" w:cs="Calibri"/>
          <w:b/>
          <w:bCs/>
          <w:color w:val="000000" w:themeColor="text1"/>
          <w:sz w:val="22"/>
          <w:szCs w:val="22"/>
        </w:rPr>
        <w:t>Other requirements</w:t>
      </w:r>
      <w:bookmarkEnd w:id="17"/>
      <w:bookmarkEnd w:id="18"/>
    </w:p>
    <w:p w14:paraId="0A2367FA" w14:textId="77777777" w:rsidR="00AA1487" w:rsidRPr="00D42B72" w:rsidRDefault="00AA1487" w:rsidP="00D42B72">
      <w:pPr>
        <w:pStyle w:val="Heading2"/>
        <w:rPr>
          <w:rFonts w:ascii="Calibri" w:hAnsi="Calibri" w:cs="Calibri"/>
          <w:b/>
          <w:bCs/>
          <w:color w:val="000000" w:themeColor="text1"/>
          <w:sz w:val="22"/>
          <w:szCs w:val="22"/>
        </w:rPr>
      </w:pPr>
      <w:bookmarkStart w:id="20" w:name="_Toc84413379"/>
      <w:r w:rsidRPr="00D42B72">
        <w:rPr>
          <w:rFonts w:ascii="Calibri" w:hAnsi="Calibri" w:cs="Calibri"/>
          <w:b/>
          <w:bCs/>
          <w:color w:val="000000" w:themeColor="text1"/>
          <w:sz w:val="22"/>
          <w:szCs w:val="22"/>
        </w:rPr>
        <w:t>Identifying Commonwealth funding</w:t>
      </w:r>
      <w:bookmarkEnd w:id="20"/>
    </w:p>
    <w:p w14:paraId="0B58850A" w14:textId="2ACA4237" w:rsidR="00AA1487" w:rsidRDefault="005C578B" w:rsidP="00047D1D">
      <w:pPr>
        <w:numPr>
          <w:ilvl w:val="0"/>
          <w:numId w:val="11"/>
        </w:numPr>
        <w:spacing w:after="120" w:line="240" w:lineRule="auto"/>
        <w:ind w:left="709" w:hanging="709"/>
        <w:rPr>
          <w:rFonts w:eastAsia="Times New Roman" w:cs="Times New Roman"/>
          <w:szCs w:val="24"/>
          <w:lang w:eastAsia="en-AU"/>
        </w:rPr>
      </w:pPr>
      <w:r w:rsidRPr="00D81402">
        <w:rPr>
          <w:rFonts w:eastAsia="Times New Roman" w:cs="Times New Roman"/>
          <w:szCs w:val="24"/>
          <w:lang w:eastAsia="en-AU"/>
        </w:rPr>
        <w:t xml:space="preserve">When an NGRB </w:t>
      </w:r>
      <w:r w:rsidR="00AA1487" w:rsidRPr="00D81402">
        <w:rPr>
          <w:rFonts w:eastAsia="Times New Roman" w:cs="Times New Roman"/>
          <w:szCs w:val="24"/>
          <w:lang w:eastAsia="en-AU"/>
        </w:rPr>
        <w:t>undertakes an activity</w:t>
      </w:r>
      <w:r w:rsidR="00FB5C85" w:rsidRPr="00D81402">
        <w:rPr>
          <w:rFonts w:eastAsia="Times New Roman" w:cs="Times New Roman"/>
          <w:szCs w:val="24"/>
          <w:lang w:eastAsia="en-AU"/>
        </w:rPr>
        <w:t xml:space="preserve"> specified in </w:t>
      </w:r>
      <w:r w:rsidR="000C7852" w:rsidRPr="00D81402">
        <w:rPr>
          <w:rFonts w:eastAsia="Times New Roman" w:cs="Times New Roman"/>
          <w:szCs w:val="24"/>
          <w:lang w:eastAsia="en-AU"/>
        </w:rPr>
        <w:t>it</w:t>
      </w:r>
      <w:r w:rsidR="000C7852">
        <w:rPr>
          <w:rFonts w:eastAsia="Times New Roman" w:cs="Times New Roman"/>
          <w:szCs w:val="24"/>
          <w:lang w:eastAsia="en-AU"/>
        </w:rPr>
        <w:t>s</w:t>
      </w:r>
      <w:r w:rsidR="00FB5C85" w:rsidRPr="00D81402">
        <w:rPr>
          <w:rFonts w:eastAsia="Times New Roman" w:cs="Times New Roman"/>
          <w:szCs w:val="24"/>
          <w:lang w:eastAsia="en-AU"/>
        </w:rPr>
        <w:t xml:space="preserve"> approved work</w:t>
      </w:r>
      <w:r w:rsidR="00AA1487" w:rsidRPr="00D81402">
        <w:rPr>
          <w:rFonts w:eastAsia="Times New Roman" w:cs="Times New Roman"/>
          <w:szCs w:val="24"/>
          <w:lang w:eastAsia="en-AU"/>
        </w:rPr>
        <w:t xml:space="preserve">plan, the Australian Government requires the </w:t>
      </w:r>
      <w:r w:rsidR="001E0D78" w:rsidRPr="00D81402">
        <w:rPr>
          <w:rFonts w:eastAsia="Times New Roman" w:cs="Times New Roman"/>
          <w:szCs w:val="24"/>
          <w:lang w:eastAsia="en-AU"/>
        </w:rPr>
        <w:t xml:space="preserve">NGRB </w:t>
      </w:r>
      <w:r w:rsidR="00AA1487" w:rsidRPr="00D81402">
        <w:rPr>
          <w:rFonts w:eastAsia="Times New Roman" w:cs="Times New Roman"/>
          <w:szCs w:val="24"/>
          <w:lang w:eastAsia="en-AU"/>
        </w:rPr>
        <w:t xml:space="preserve">to acknowledge, in all publicly available materials, Australian Government funding through the Reform Support Fund as having provided partial or complete funding for the activity with the following words </w:t>
      </w:r>
      <w:r w:rsidR="00DB7857" w:rsidRPr="00D81402">
        <w:rPr>
          <w:rFonts w:eastAsia="Times New Roman" w:cs="Times New Roman"/>
          <w:szCs w:val="24"/>
          <w:lang w:eastAsia="en-AU"/>
        </w:rPr>
        <w:t>‘</w:t>
      </w:r>
      <w:r w:rsidR="00AA1487" w:rsidRPr="00B145FC">
        <w:rPr>
          <w:rFonts w:eastAsia="Times New Roman" w:cs="Times New Roman"/>
          <w:iCs/>
          <w:szCs w:val="24"/>
          <w:lang w:eastAsia="en-AU"/>
        </w:rPr>
        <w:t>This project is funded/partially funded by the Australian Government through the Non-Government Reform Support Fund</w:t>
      </w:r>
      <w:r w:rsidR="00DB7857" w:rsidRPr="00B145FC">
        <w:rPr>
          <w:rFonts w:eastAsia="Times New Roman" w:cs="Times New Roman"/>
          <w:iCs/>
          <w:szCs w:val="24"/>
          <w:lang w:eastAsia="en-AU"/>
        </w:rPr>
        <w:t>’</w:t>
      </w:r>
      <w:r w:rsidR="00AA1487" w:rsidRPr="00B145FC">
        <w:rPr>
          <w:rFonts w:eastAsia="Times New Roman" w:cs="Times New Roman"/>
          <w:iCs/>
          <w:szCs w:val="24"/>
          <w:lang w:eastAsia="en-AU"/>
        </w:rPr>
        <w:t>.</w:t>
      </w:r>
      <w:r w:rsidR="00AA1487" w:rsidRPr="00D81402">
        <w:rPr>
          <w:rFonts w:eastAsia="Times New Roman" w:cs="Times New Roman"/>
          <w:szCs w:val="24"/>
          <w:lang w:eastAsia="en-AU"/>
        </w:rPr>
        <w:t xml:space="preserve"> </w:t>
      </w:r>
    </w:p>
    <w:p w14:paraId="5DF49258" w14:textId="77777777" w:rsidR="00AB1E9A" w:rsidRPr="00552520" w:rsidRDefault="00AB1E9A" w:rsidP="00552520">
      <w:pPr>
        <w:pStyle w:val="Heading2"/>
        <w:rPr>
          <w:rFonts w:ascii="Calibri" w:hAnsi="Calibri" w:cs="Calibri"/>
          <w:b/>
          <w:bCs/>
          <w:color w:val="000000" w:themeColor="text1"/>
          <w:sz w:val="22"/>
          <w:szCs w:val="22"/>
        </w:rPr>
      </w:pPr>
      <w:bookmarkStart w:id="21" w:name="_Toc84413380"/>
      <w:r w:rsidRPr="00552520">
        <w:rPr>
          <w:rFonts w:ascii="Calibri" w:hAnsi="Calibri" w:cs="Calibri"/>
          <w:b/>
          <w:bCs/>
          <w:color w:val="000000" w:themeColor="text1"/>
          <w:sz w:val="22"/>
          <w:szCs w:val="22"/>
        </w:rPr>
        <w:t>Record keeping</w:t>
      </w:r>
      <w:bookmarkEnd w:id="21"/>
    </w:p>
    <w:p w14:paraId="0A9F1F46" w14:textId="77777777" w:rsidR="00AB1E9A" w:rsidRPr="0048161B" w:rsidRDefault="00AB1E9A" w:rsidP="000C7852">
      <w:pPr>
        <w:numPr>
          <w:ilvl w:val="0"/>
          <w:numId w:val="11"/>
        </w:numPr>
        <w:spacing w:after="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5C578B" w:rsidRPr="0048161B">
        <w:rPr>
          <w:rFonts w:eastAsia="Times New Roman" w:cstheme="minorHAnsi"/>
          <w:lang w:eastAsia="en-AU"/>
        </w:rPr>
        <w:t>NGRB</w:t>
      </w:r>
      <w:r w:rsidRPr="0048161B">
        <w:rPr>
          <w:rFonts w:eastAsia="Times New Roman" w:cstheme="minorHAnsi"/>
          <w:lang w:eastAsia="en-AU"/>
        </w:rPr>
        <w:t xml:space="preserve"> must keep records as specified in section 37 of the Regulation, including but not limited to records:</w:t>
      </w:r>
    </w:p>
    <w:p w14:paraId="157F8A16" w14:textId="77777777" w:rsidR="00AB1E9A" w:rsidRPr="0048161B" w:rsidRDefault="00AB1E9A" w:rsidP="00047D1D">
      <w:pPr>
        <w:numPr>
          <w:ilvl w:val="0"/>
          <w:numId w:val="19"/>
        </w:numPr>
        <w:tabs>
          <w:tab w:val="left" w:pos="1134"/>
        </w:tabs>
        <w:spacing w:after="120" w:line="240" w:lineRule="auto"/>
        <w:rPr>
          <w:rFonts w:eastAsia="Calibri" w:cstheme="minorHAnsi"/>
        </w:rPr>
      </w:pPr>
      <w:r w:rsidRPr="0048161B">
        <w:rPr>
          <w:rFonts w:eastAsia="Calibri" w:cstheme="minorHAnsi"/>
        </w:rPr>
        <w:t xml:space="preserve">identifying all expenditure of funding provided under the </w:t>
      </w:r>
      <w:proofErr w:type="gramStart"/>
      <w:r w:rsidRPr="0048161B">
        <w:rPr>
          <w:rFonts w:eastAsia="Calibri" w:cstheme="minorHAnsi"/>
        </w:rPr>
        <w:t>Act</w:t>
      </w:r>
      <w:proofErr w:type="gramEnd"/>
    </w:p>
    <w:p w14:paraId="58E136AC" w14:textId="77777777" w:rsidR="00AB1E9A" w:rsidRPr="0048161B" w:rsidRDefault="00AB1E9A" w:rsidP="00047D1D">
      <w:pPr>
        <w:numPr>
          <w:ilvl w:val="0"/>
          <w:numId w:val="19"/>
        </w:numPr>
        <w:tabs>
          <w:tab w:val="left" w:pos="1134"/>
        </w:tabs>
        <w:spacing w:after="120" w:line="240" w:lineRule="auto"/>
        <w:rPr>
          <w:rFonts w:eastAsia="Calibri" w:cstheme="minorHAnsi"/>
        </w:rPr>
      </w:pPr>
      <w:r w:rsidRPr="002C67EB">
        <w:rPr>
          <w:rFonts w:eastAsia="Calibri" w:cstheme="minorHAnsi"/>
        </w:rPr>
        <w:t xml:space="preserve">demonstrating the </w:t>
      </w:r>
      <w:r w:rsidR="005C578B" w:rsidRPr="002C67EB">
        <w:rPr>
          <w:rFonts w:eastAsia="Calibri" w:cstheme="minorHAnsi"/>
        </w:rPr>
        <w:t>NGRB</w:t>
      </w:r>
      <w:r w:rsidRPr="002C67EB">
        <w:rPr>
          <w:rFonts w:eastAsia="Calibri" w:cstheme="minorHAnsi"/>
        </w:rPr>
        <w:t xml:space="preserve"> is meeting its obligations under the Act, the Regulation and these </w:t>
      </w:r>
      <w:proofErr w:type="gramStart"/>
      <w:r w:rsidRPr="002C67EB">
        <w:rPr>
          <w:rFonts w:eastAsia="Calibri" w:cstheme="minorHAnsi"/>
        </w:rPr>
        <w:t>Guidelines</w:t>
      </w:r>
      <w:proofErr w:type="gramEnd"/>
    </w:p>
    <w:p w14:paraId="52FB45AA" w14:textId="07D7EFDD" w:rsidR="00AB1E9A" w:rsidRPr="0048161B" w:rsidRDefault="00AB1E9A" w:rsidP="00047D1D">
      <w:pPr>
        <w:numPr>
          <w:ilvl w:val="0"/>
          <w:numId w:val="19"/>
        </w:numPr>
        <w:tabs>
          <w:tab w:val="left" w:pos="1134"/>
        </w:tabs>
        <w:spacing w:after="120" w:line="240" w:lineRule="auto"/>
        <w:rPr>
          <w:rFonts w:eastAsia="Calibri" w:cstheme="minorHAnsi"/>
        </w:rPr>
      </w:pPr>
      <w:r w:rsidRPr="002C67EB">
        <w:rPr>
          <w:rFonts w:eastAsia="Calibri" w:cstheme="minorHAnsi"/>
        </w:rPr>
        <w:t xml:space="preserve">demonstrating </w:t>
      </w:r>
      <w:r w:rsidR="00053D05" w:rsidRPr="002C67EB">
        <w:rPr>
          <w:rFonts w:eastAsia="Calibri" w:cstheme="minorHAnsi"/>
        </w:rPr>
        <w:t xml:space="preserve">an </w:t>
      </w:r>
      <w:r w:rsidR="005C578B" w:rsidRPr="002C67EB">
        <w:rPr>
          <w:rFonts w:eastAsia="Calibri" w:cstheme="minorHAnsi"/>
        </w:rPr>
        <w:t>NGRB</w:t>
      </w:r>
      <w:r w:rsidR="00053D05" w:rsidRPr="009628E2">
        <w:rPr>
          <w:rFonts w:eastAsia="Calibri" w:cstheme="minorHAnsi"/>
        </w:rPr>
        <w:t>’s</w:t>
      </w:r>
      <w:r w:rsidRPr="009628E2">
        <w:rPr>
          <w:rFonts w:eastAsia="Calibri" w:cstheme="minorHAnsi"/>
        </w:rPr>
        <w:t xml:space="preserve"> financial administration and governance</w:t>
      </w:r>
      <w:r w:rsidR="00C14C14" w:rsidRPr="009628E2">
        <w:rPr>
          <w:rFonts w:eastAsia="Calibri" w:cstheme="minorHAnsi"/>
        </w:rPr>
        <w:t xml:space="preserve"> of </w:t>
      </w:r>
      <w:r w:rsidR="00D9081F" w:rsidRPr="009628E2">
        <w:rPr>
          <w:rFonts w:eastAsia="Calibri" w:cstheme="minorHAnsi"/>
        </w:rPr>
        <w:t xml:space="preserve">activities and </w:t>
      </w:r>
      <w:r w:rsidR="00C14C14" w:rsidRPr="009628E2">
        <w:rPr>
          <w:rFonts w:eastAsia="Calibri" w:cstheme="minorHAnsi"/>
        </w:rPr>
        <w:t>funding provided under the Act</w:t>
      </w:r>
      <w:r w:rsidRPr="009628E2">
        <w:rPr>
          <w:rFonts w:eastAsia="Calibri" w:cstheme="minorHAnsi"/>
        </w:rPr>
        <w:t>.</w:t>
      </w:r>
    </w:p>
    <w:p w14:paraId="0CAC7B27" w14:textId="77777777" w:rsidR="00417F6C" w:rsidRPr="0048161B" w:rsidRDefault="00AB1E9A" w:rsidP="00917C5E">
      <w:pPr>
        <w:tabs>
          <w:tab w:val="left" w:pos="1134"/>
        </w:tabs>
        <w:spacing w:after="120" w:line="240" w:lineRule="auto"/>
        <w:ind w:left="710"/>
        <w:rPr>
          <w:rFonts w:eastAsia="Calibri" w:cstheme="minorHAnsi"/>
          <w:i/>
        </w:rPr>
      </w:pPr>
      <w:r w:rsidRPr="0048161B">
        <w:rPr>
          <w:rFonts w:eastAsia="Calibri" w:cstheme="minorHAnsi"/>
          <w:iCs/>
        </w:rPr>
        <w:t>Note: records must be kept for 7 years</w:t>
      </w:r>
      <w:r w:rsidRPr="0048161B">
        <w:rPr>
          <w:rFonts w:eastAsia="Calibri" w:cstheme="minorHAnsi"/>
          <w:i/>
        </w:rPr>
        <w:t>.</w:t>
      </w:r>
    </w:p>
    <w:p w14:paraId="4FFD4C53" w14:textId="77777777" w:rsidR="00AB1E9A" w:rsidRPr="00552520" w:rsidRDefault="00AB1E9A" w:rsidP="00552520">
      <w:pPr>
        <w:pStyle w:val="Heading2"/>
        <w:rPr>
          <w:rFonts w:ascii="Calibri" w:hAnsi="Calibri" w:cs="Calibri"/>
          <w:b/>
          <w:bCs/>
          <w:color w:val="000000" w:themeColor="text1"/>
          <w:sz w:val="22"/>
          <w:szCs w:val="22"/>
        </w:rPr>
      </w:pPr>
      <w:bookmarkStart w:id="22" w:name="_Toc84413381"/>
      <w:r w:rsidRPr="00552520">
        <w:rPr>
          <w:rFonts w:ascii="Calibri" w:hAnsi="Calibri" w:cs="Calibri"/>
          <w:b/>
          <w:bCs/>
          <w:color w:val="000000" w:themeColor="text1"/>
          <w:sz w:val="22"/>
          <w:szCs w:val="22"/>
        </w:rPr>
        <w:t>Access to premises and records, and the provision of information and records</w:t>
      </w:r>
      <w:bookmarkEnd w:id="22"/>
    </w:p>
    <w:p w14:paraId="4365FF18" w14:textId="77777777" w:rsidR="00AB1E9A" w:rsidRPr="0048161B"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1E0D78" w:rsidRPr="0048161B">
        <w:rPr>
          <w:rFonts w:eastAsia="Times New Roman" w:cstheme="minorHAnsi"/>
          <w:lang w:eastAsia="en-AU"/>
        </w:rPr>
        <w:t xml:space="preserve">NGRB </w:t>
      </w:r>
      <w:r w:rsidRPr="0048161B">
        <w:rPr>
          <w:rFonts w:eastAsia="Times New Roman" w:cstheme="minorHAnsi"/>
          <w:lang w:eastAsia="en-AU"/>
        </w:rPr>
        <w:t xml:space="preserve">must provide an authorised person access to premises and records of the </w:t>
      </w:r>
      <w:r w:rsidR="001E0D78" w:rsidRPr="0048161B">
        <w:rPr>
          <w:rFonts w:eastAsia="Times New Roman" w:cstheme="minorHAnsi"/>
          <w:lang w:eastAsia="en-AU"/>
        </w:rPr>
        <w:t>NGRB</w:t>
      </w:r>
      <w:r w:rsidR="004253CD" w:rsidRPr="0048161B">
        <w:rPr>
          <w:rFonts w:eastAsia="Times New Roman" w:cstheme="minorHAnsi"/>
          <w:lang w:eastAsia="en-AU"/>
        </w:rPr>
        <w:t xml:space="preserve"> </w:t>
      </w:r>
      <w:r w:rsidRPr="0048161B">
        <w:rPr>
          <w:rFonts w:eastAsia="Times New Roman" w:cstheme="minorHAnsi"/>
          <w:lang w:eastAsia="en-AU"/>
        </w:rPr>
        <w:t>in accordance with section 39 of the Regulation.</w:t>
      </w:r>
    </w:p>
    <w:p w14:paraId="3AF8079F" w14:textId="2A69EB79" w:rsidR="00AB1E9A" w:rsidRPr="009628E2" w:rsidRDefault="00AB1E9A" w:rsidP="00047D1D">
      <w:pPr>
        <w:spacing w:after="120" w:line="240" w:lineRule="auto"/>
        <w:ind w:left="709"/>
        <w:rPr>
          <w:rFonts w:eastAsiaTheme="majorEastAsia" w:cstheme="minorHAnsi"/>
          <w:bCs/>
          <w:iCs/>
          <w:lang w:eastAsia="en-AU"/>
        </w:rPr>
      </w:pPr>
      <w:r w:rsidRPr="002C67EB">
        <w:rPr>
          <w:rFonts w:eastAsiaTheme="majorEastAsia" w:cstheme="minorHAnsi"/>
          <w:bCs/>
          <w:iCs/>
          <w:lang w:eastAsia="en-AU"/>
        </w:rPr>
        <w:t xml:space="preserve">For example, from time to time, the </w:t>
      </w:r>
      <w:r w:rsidR="00FE3113" w:rsidRPr="002C67EB">
        <w:rPr>
          <w:rFonts w:eastAsiaTheme="majorEastAsia" w:cstheme="minorHAnsi"/>
          <w:bCs/>
          <w:iCs/>
          <w:lang w:eastAsia="en-AU"/>
        </w:rPr>
        <w:t>d</w:t>
      </w:r>
      <w:r w:rsidRPr="002C67EB">
        <w:rPr>
          <w:rFonts w:eastAsiaTheme="majorEastAsia" w:cstheme="minorHAnsi"/>
          <w:bCs/>
          <w:iCs/>
          <w:lang w:eastAsia="en-AU"/>
        </w:rPr>
        <w:t>epartment may un</w:t>
      </w:r>
      <w:r w:rsidRPr="009628E2">
        <w:rPr>
          <w:rFonts w:eastAsiaTheme="majorEastAsia" w:cstheme="minorHAnsi"/>
          <w:bCs/>
          <w:iCs/>
          <w:lang w:eastAsia="en-AU"/>
        </w:rPr>
        <w:t>dertake an audit of the financial and administrative procedures of a</w:t>
      </w:r>
      <w:r w:rsidR="00534E5A" w:rsidRPr="009628E2">
        <w:rPr>
          <w:rFonts w:eastAsiaTheme="majorEastAsia" w:cstheme="minorHAnsi"/>
          <w:bCs/>
          <w:iCs/>
          <w:lang w:eastAsia="en-AU"/>
        </w:rPr>
        <w:t>n</w:t>
      </w:r>
      <w:r w:rsidRPr="009628E2">
        <w:rPr>
          <w:rFonts w:eastAsiaTheme="majorEastAsia" w:cstheme="minorHAnsi"/>
          <w:bCs/>
          <w:iCs/>
          <w:lang w:eastAsia="en-AU"/>
        </w:rPr>
        <w:t xml:space="preserve"> </w:t>
      </w:r>
      <w:r w:rsidR="001E0D78" w:rsidRPr="009628E2">
        <w:rPr>
          <w:rFonts w:eastAsiaTheme="majorEastAsia" w:cstheme="minorHAnsi"/>
          <w:bCs/>
          <w:iCs/>
          <w:lang w:eastAsia="en-AU"/>
        </w:rPr>
        <w:t>NGRB</w:t>
      </w:r>
      <w:r w:rsidRPr="009628E2">
        <w:rPr>
          <w:rFonts w:eastAsiaTheme="majorEastAsia" w:cstheme="minorHAnsi"/>
          <w:bCs/>
          <w:iCs/>
          <w:lang w:eastAsia="en-AU"/>
        </w:rPr>
        <w:t xml:space="preserve">. Such audit may be undertaken by </w:t>
      </w:r>
      <w:r w:rsidR="005910C8" w:rsidRPr="009628E2">
        <w:rPr>
          <w:rFonts w:eastAsiaTheme="majorEastAsia" w:cstheme="minorHAnsi"/>
          <w:bCs/>
          <w:iCs/>
          <w:lang w:eastAsia="en-AU"/>
        </w:rPr>
        <w:t xml:space="preserve">an authorised officer within </w:t>
      </w:r>
      <w:r w:rsidRPr="009628E2">
        <w:rPr>
          <w:rFonts w:eastAsiaTheme="majorEastAsia" w:cstheme="minorHAnsi"/>
          <w:bCs/>
          <w:iCs/>
          <w:lang w:eastAsia="en-AU"/>
        </w:rPr>
        <w:t xml:space="preserve">the department or </w:t>
      </w:r>
      <w:r w:rsidR="005910C8" w:rsidRPr="009628E2">
        <w:rPr>
          <w:rFonts w:eastAsiaTheme="majorEastAsia" w:cstheme="minorHAnsi"/>
          <w:bCs/>
          <w:iCs/>
          <w:lang w:eastAsia="en-AU"/>
        </w:rPr>
        <w:t xml:space="preserve">who is </w:t>
      </w:r>
      <w:r w:rsidRPr="009628E2">
        <w:rPr>
          <w:rFonts w:eastAsiaTheme="majorEastAsia" w:cstheme="minorHAnsi"/>
          <w:bCs/>
          <w:iCs/>
          <w:lang w:eastAsia="en-AU"/>
        </w:rPr>
        <w:t>an independent auditor engaged by the department.</w:t>
      </w:r>
    </w:p>
    <w:p w14:paraId="584938AD" w14:textId="77777777" w:rsidR="00AB1E9A" w:rsidRPr="009628E2" w:rsidRDefault="00AB1E9A" w:rsidP="000C7852">
      <w:pPr>
        <w:spacing w:after="0" w:line="240" w:lineRule="auto"/>
        <w:ind w:left="709"/>
        <w:rPr>
          <w:rFonts w:eastAsiaTheme="majorEastAsia" w:cstheme="minorHAnsi"/>
          <w:bCs/>
          <w:iCs/>
          <w:lang w:eastAsia="en-AU"/>
        </w:rPr>
      </w:pPr>
      <w:r w:rsidRPr="009628E2">
        <w:rPr>
          <w:rFonts w:eastAsiaTheme="majorEastAsia" w:cstheme="minorHAnsi"/>
          <w:bCs/>
          <w:iCs/>
          <w:lang w:eastAsia="en-AU"/>
        </w:rPr>
        <w:t>Matters to be audited will be determined by the department, but without limitation, may include:</w:t>
      </w:r>
    </w:p>
    <w:p w14:paraId="0C101D7E" w14:textId="77777777" w:rsidR="00AB1E9A" w:rsidRPr="009628E2" w:rsidRDefault="00AB1E9A" w:rsidP="00047D1D">
      <w:pPr>
        <w:numPr>
          <w:ilvl w:val="0"/>
          <w:numId w:val="20"/>
        </w:numPr>
        <w:tabs>
          <w:tab w:val="left" w:pos="1134"/>
        </w:tabs>
        <w:spacing w:after="120" w:line="240" w:lineRule="auto"/>
        <w:rPr>
          <w:rFonts w:eastAsia="Calibri" w:cstheme="minorHAnsi"/>
        </w:rPr>
      </w:pPr>
      <w:r w:rsidRPr="009628E2">
        <w:rPr>
          <w:rFonts w:eastAsia="Calibri" w:cstheme="minorHAnsi"/>
        </w:rPr>
        <w:t xml:space="preserve">compliance by the </w:t>
      </w:r>
      <w:r w:rsidR="001E0D78" w:rsidRPr="009628E2">
        <w:rPr>
          <w:rFonts w:eastAsia="Calibri" w:cstheme="minorHAnsi"/>
        </w:rPr>
        <w:t xml:space="preserve">NGRB </w:t>
      </w:r>
      <w:r w:rsidRPr="009628E2">
        <w:rPr>
          <w:rFonts w:eastAsia="Calibri" w:cstheme="minorHAnsi"/>
        </w:rPr>
        <w:t xml:space="preserve">with the Act and the Regulation, including these </w:t>
      </w:r>
      <w:proofErr w:type="gramStart"/>
      <w:r w:rsidRPr="009628E2">
        <w:rPr>
          <w:rFonts w:eastAsia="Calibri" w:cstheme="minorHAnsi"/>
        </w:rPr>
        <w:t>Guidelines</w:t>
      </w:r>
      <w:proofErr w:type="gramEnd"/>
    </w:p>
    <w:p w14:paraId="614819AD" w14:textId="77777777" w:rsidR="00AB1E9A" w:rsidRPr="009628E2" w:rsidRDefault="00AB1E9A" w:rsidP="00047D1D">
      <w:pPr>
        <w:numPr>
          <w:ilvl w:val="0"/>
          <w:numId w:val="20"/>
        </w:numPr>
        <w:tabs>
          <w:tab w:val="left" w:pos="1134"/>
        </w:tabs>
        <w:spacing w:after="120" w:line="240" w:lineRule="auto"/>
        <w:rPr>
          <w:rFonts w:eastAsia="Calibri" w:cstheme="minorHAnsi"/>
        </w:rPr>
      </w:pPr>
      <w:r w:rsidRPr="009628E2">
        <w:rPr>
          <w:rFonts w:eastAsia="Calibri" w:cstheme="minorHAnsi"/>
        </w:rPr>
        <w:t xml:space="preserve">the financial administration of the </w:t>
      </w:r>
      <w:r w:rsidR="001E0D78" w:rsidRPr="009628E2">
        <w:rPr>
          <w:rFonts w:eastAsia="Calibri" w:cstheme="minorHAnsi"/>
        </w:rPr>
        <w:t>NGRB</w:t>
      </w:r>
      <w:r w:rsidRPr="009628E2">
        <w:rPr>
          <w:rFonts w:eastAsia="Calibri" w:cstheme="minorHAnsi"/>
        </w:rPr>
        <w:t>.</w:t>
      </w:r>
    </w:p>
    <w:p w14:paraId="260DF6D0" w14:textId="5FD024F4" w:rsidR="00AB1E9A" w:rsidRPr="0048161B"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1E0D78" w:rsidRPr="0048161B">
        <w:rPr>
          <w:rFonts w:eastAsia="Times New Roman" w:cstheme="minorHAnsi"/>
          <w:lang w:eastAsia="en-AU"/>
        </w:rPr>
        <w:t xml:space="preserve">NGRB </w:t>
      </w:r>
      <w:r w:rsidRPr="0048161B">
        <w:rPr>
          <w:rFonts w:eastAsia="Times New Roman" w:cstheme="minorHAnsi"/>
          <w:lang w:eastAsia="en-AU"/>
        </w:rPr>
        <w:t xml:space="preserve">must provide the Minister, or an authorised person, </w:t>
      </w:r>
      <w:proofErr w:type="gramStart"/>
      <w:r w:rsidRPr="0048161B">
        <w:rPr>
          <w:rFonts w:eastAsia="Times New Roman" w:cstheme="minorHAnsi"/>
          <w:lang w:eastAsia="en-AU"/>
        </w:rPr>
        <w:t>information</w:t>
      </w:r>
      <w:proofErr w:type="gramEnd"/>
      <w:r w:rsidRPr="0048161B">
        <w:rPr>
          <w:rFonts w:eastAsia="Times New Roman" w:cstheme="minorHAnsi"/>
          <w:lang w:eastAsia="en-AU"/>
        </w:rPr>
        <w:t xml:space="preserve"> and records in accordance with section 39</w:t>
      </w:r>
      <w:r w:rsidR="00B755DE" w:rsidRPr="0048161B">
        <w:rPr>
          <w:rFonts w:eastAsia="Times New Roman" w:cstheme="minorHAnsi"/>
          <w:lang w:eastAsia="en-AU"/>
        </w:rPr>
        <w:t>A</w:t>
      </w:r>
      <w:r w:rsidRPr="0048161B">
        <w:rPr>
          <w:rFonts w:eastAsia="Times New Roman" w:cstheme="minorHAnsi"/>
          <w:lang w:eastAsia="en-AU"/>
        </w:rPr>
        <w:t xml:space="preserve"> of the Regulation.</w:t>
      </w:r>
    </w:p>
    <w:p w14:paraId="00C251CC" w14:textId="77777777" w:rsidR="00AB1E9A" w:rsidRPr="00552520" w:rsidRDefault="00AB1E9A" w:rsidP="00552520">
      <w:pPr>
        <w:pStyle w:val="Heading2"/>
        <w:rPr>
          <w:rFonts w:ascii="Calibri" w:hAnsi="Calibri" w:cs="Calibri"/>
          <w:b/>
          <w:bCs/>
          <w:color w:val="000000" w:themeColor="text1"/>
          <w:sz w:val="22"/>
          <w:szCs w:val="22"/>
        </w:rPr>
      </w:pPr>
      <w:bookmarkStart w:id="23" w:name="_Toc84413382"/>
      <w:r w:rsidRPr="00552520">
        <w:rPr>
          <w:rFonts w:ascii="Calibri" w:hAnsi="Calibri" w:cs="Calibri"/>
          <w:b/>
          <w:bCs/>
          <w:color w:val="000000" w:themeColor="text1"/>
          <w:sz w:val="22"/>
          <w:szCs w:val="22"/>
        </w:rPr>
        <w:t xml:space="preserve">Keeping the </w:t>
      </w:r>
      <w:r w:rsidR="005C578B" w:rsidRPr="00552520">
        <w:rPr>
          <w:rFonts w:ascii="Calibri" w:hAnsi="Calibri" w:cs="Calibri"/>
          <w:b/>
          <w:bCs/>
          <w:color w:val="000000" w:themeColor="text1"/>
          <w:sz w:val="22"/>
          <w:szCs w:val="22"/>
        </w:rPr>
        <w:t>Minister</w:t>
      </w:r>
      <w:r w:rsidRPr="00552520">
        <w:rPr>
          <w:rFonts w:ascii="Calibri" w:hAnsi="Calibri" w:cs="Calibri"/>
          <w:b/>
          <w:bCs/>
          <w:color w:val="000000" w:themeColor="text1"/>
          <w:sz w:val="22"/>
          <w:szCs w:val="22"/>
        </w:rPr>
        <w:t xml:space="preserve"> informed</w:t>
      </w:r>
      <w:bookmarkEnd w:id="23"/>
    </w:p>
    <w:p w14:paraId="39C8B67B" w14:textId="78681DFD" w:rsidR="00AB1E9A" w:rsidRDefault="00AB1E9A" w:rsidP="00047D1D">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Each </w:t>
      </w:r>
      <w:r w:rsidR="001E0D78" w:rsidRPr="0048161B">
        <w:rPr>
          <w:rFonts w:eastAsia="Times New Roman" w:cstheme="minorHAnsi"/>
          <w:lang w:eastAsia="en-AU"/>
        </w:rPr>
        <w:t xml:space="preserve">NGRB </w:t>
      </w:r>
      <w:r w:rsidRPr="0048161B">
        <w:rPr>
          <w:rFonts w:eastAsia="Times New Roman" w:cstheme="minorHAnsi"/>
          <w:lang w:eastAsia="en-AU"/>
        </w:rPr>
        <w:t xml:space="preserve">must keep the </w:t>
      </w:r>
      <w:r w:rsidR="005C578B" w:rsidRPr="0048161B">
        <w:rPr>
          <w:rFonts w:eastAsia="Times New Roman" w:cstheme="minorHAnsi"/>
          <w:lang w:eastAsia="en-AU"/>
        </w:rPr>
        <w:t>Minister</w:t>
      </w:r>
      <w:r w:rsidRPr="0048161B">
        <w:rPr>
          <w:rFonts w:eastAsia="Times New Roman" w:cstheme="minorHAnsi"/>
          <w:lang w:eastAsia="en-AU"/>
        </w:rPr>
        <w:t xml:space="preserve"> informed of changes to its operations as specified in </w:t>
      </w:r>
      <w:r w:rsidR="005F23D5" w:rsidRPr="0048161B">
        <w:rPr>
          <w:rFonts w:eastAsia="Times New Roman" w:cstheme="minorHAnsi"/>
          <w:lang w:eastAsia="en-AU"/>
        </w:rPr>
        <w:br/>
      </w:r>
      <w:r w:rsidRPr="0048161B">
        <w:rPr>
          <w:rFonts w:eastAsia="Times New Roman" w:cstheme="minorHAnsi"/>
          <w:lang w:eastAsia="en-AU"/>
        </w:rPr>
        <w:t xml:space="preserve">section 40 of the Regulation, including but not limited to any change in the key individuals </w:t>
      </w:r>
      <w:r w:rsidR="005F23D5" w:rsidRPr="0048161B">
        <w:rPr>
          <w:rFonts w:eastAsia="Times New Roman" w:cstheme="minorHAnsi"/>
          <w:lang w:eastAsia="en-AU"/>
        </w:rPr>
        <w:br/>
      </w:r>
      <w:r w:rsidRPr="0048161B">
        <w:rPr>
          <w:rFonts w:eastAsia="Times New Roman" w:cstheme="minorHAnsi"/>
          <w:lang w:eastAsia="en-AU"/>
        </w:rPr>
        <w:t xml:space="preserve">(as defined in section 4 of the Regulation) of the </w:t>
      </w:r>
      <w:r w:rsidR="005C578B" w:rsidRPr="0048161B">
        <w:rPr>
          <w:rFonts w:eastAsia="Times New Roman" w:cstheme="minorHAnsi"/>
          <w:lang w:eastAsia="en-AU"/>
        </w:rPr>
        <w:t>NGRB</w:t>
      </w:r>
      <w:r w:rsidRPr="0048161B">
        <w:rPr>
          <w:rFonts w:eastAsia="Times New Roman" w:cstheme="minorHAnsi"/>
          <w:lang w:eastAsia="en-AU"/>
        </w:rPr>
        <w:t>.</w:t>
      </w:r>
    </w:p>
    <w:p w14:paraId="697BCA96" w14:textId="1E75AAD2" w:rsidR="00C83DC7" w:rsidRPr="00C83DC7" w:rsidRDefault="00C83DC7" w:rsidP="00CF6695">
      <w:pPr>
        <w:pStyle w:val="ListParagraph"/>
        <w:numPr>
          <w:ilvl w:val="0"/>
          <w:numId w:val="11"/>
        </w:numPr>
        <w:spacing w:after="120" w:line="240" w:lineRule="auto"/>
        <w:ind w:left="709" w:hanging="709"/>
        <w:rPr>
          <w:rFonts w:eastAsia="Times New Roman" w:cstheme="minorHAnsi"/>
          <w:szCs w:val="24"/>
          <w:lang w:eastAsia="en-AU"/>
        </w:rPr>
      </w:pPr>
      <w:r w:rsidRPr="00C83DC7">
        <w:rPr>
          <w:rFonts w:eastAsia="Times New Roman" w:cstheme="minorHAnsi"/>
          <w:szCs w:val="24"/>
          <w:lang w:eastAsia="en-AU"/>
        </w:rPr>
        <w:t xml:space="preserve">If an NGRB needs to vary its approval to add or remove a </w:t>
      </w:r>
      <w:proofErr w:type="gramStart"/>
      <w:r w:rsidRPr="00C83DC7">
        <w:rPr>
          <w:rFonts w:eastAsia="Times New Roman" w:cstheme="minorHAnsi"/>
          <w:szCs w:val="24"/>
          <w:lang w:eastAsia="en-AU"/>
        </w:rPr>
        <w:t>Non-Government</w:t>
      </w:r>
      <w:proofErr w:type="gramEnd"/>
      <w:r w:rsidRPr="00C83DC7">
        <w:rPr>
          <w:rFonts w:eastAsia="Times New Roman" w:cstheme="minorHAnsi"/>
          <w:szCs w:val="24"/>
          <w:lang w:eastAsia="en-AU"/>
        </w:rPr>
        <w:t xml:space="preserve"> school from its </w:t>
      </w:r>
      <w:r w:rsidR="00EC47C0">
        <w:rPr>
          <w:rFonts w:eastAsia="Times New Roman" w:cstheme="minorHAnsi"/>
          <w:szCs w:val="24"/>
          <w:lang w:eastAsia="en-AU"/>
        </w:rPr>
        <w:t>list</w:t>
      </w:r>
      <w:r w:rsidRPr="00C83DC7">
        <w:rPr>
          <w:rFonts w:eastAsia="Times New Roman" w:cstheme="minorHAnsi"/>
          <w:szCs w:val="24"/>
          <w:lang w:eastAsia="en-AU"/>
        </w:rPr>
        <w:t>, then the NGRB must apply to do so. This is a requirement of section 95(1) of the Act. The Minister may only vary the NGRB’s approval if the Minister is satisfied the NGRB meets and will continue to meet the basic and ongoing requirements for approval contained in section 92 and section 93 of the Act.</w:t>
      </w:r>
    </w:p>
    <w:p w14:paraId="640D6F70" w14:textId="77777777" w:rsidR="00AB1E9A" w:rsidRPr="00552520" w:rsidRDefault="00AB1E9A" w:rsidP="00552520">
      <w:pPr>
        <w:pStyle w:val="Heading2"/>
        <w:rPr>
          <w:rFonts w:ascii="Calibri" w:hAnsi="Calibri" w:cs="Calibri"/>
          <w:b/>
          <w:bCs/>
          <w:color w:val="000000" w:themeColor="text1"/>
          <w:sz w:val="22"/>
          <w:szCs w:val="22"/>
        </w:rPr>
      </w:pPr>
      <w:bookmarkStart w:id="24" w:name="_Toc84413383"/>
      <w:r w:rsidRPr="00552520">
        <w:rPr>
          <w:rFonts w:ascii="Calibri" w:hAnsi="Calibri" w:cs="Calibri"/>
          <w:b/>
          <w:bCs/>
          <w:color w:val="000000" w:themeColor="text1"/>
          <w:sz w:val="22"/>
          <w:szCs w:val="22"/>
        </w:rPr>
        <w:lastRenderedPageBreak/>
        <w:t>Information to the public</w:t>
      </w:r>
      <w:r w:rsidR="005C578B" w:rsidRPr="00552520">
        <w:rPr>
          <w:rFonts w:ascii="Calibri" w:hAnsi="Calibri" w:cs="Calibri"/>
          <w:b/>
          <w:bCs/>
          <w:color w:val="000000" w:themeColor="text1"/>
          <w:sz w:val="22"/>
          <w:szCs w:val="22"/>
        </w:rPr>
        <w:t xml:space="preserve"> about financial assistance</w:t>
      </w:r>
      <w:bookmarkEnd w:id="24"/>
    </w:p>
    <w:p w14:paraId="7279106C" w14:textId="59A84332" w:rsidR="00936920" w:rsidRPr="0048161B" w:rsidRDefault="00E2300A" w:rsidP="00936920">
      <w:pPr>
        <w:numPr>
          <w:ilvl w:val="0"/>
          <w:numId w:val="11"/>
        </w:numPr>
        <w:spacing w:after="120" w:line="240" w:lineRule="auto"/>
        <w:ind w:left="709" w:hanging="709"/>
        <w:rPr>
          <w:rFonts w:eastAsia="Times New Roman" w:cstheme="minorHAnsi"/>
          <w:lang w:eastAsia="en-AU"/>
        </w:rPr>
      </w:pPr>
      <w:r w:rsidRPr="0048161B">
        <w:rPr>
          <w:rFonts w:eastAsia="Times New Roman" w:cstheme="minorHAnsi"/>
          <w:lang w:eastAsia="en-AU"/>
        </w:rPr>
        <w:t xml:space="preserve">As set out in </w:t>
      </w:r>
      <w:r w:rsidR="00B135BD" w:rsidRPr="0048161B">
        <w:rPr>
          <w:rFonts w:eastAsia="Times New Roman" w:cstheme="minorHAnsi"/>
          <w:lang w:eastAsia="en-AU"/>
        </w:rPr>
        <w:t xml:space="preserve">sections </w:t>
      </w:r>
      <w:r w:rsidRPr="0048161B">
        <w:rPr>
          <w:rFonts w:eastAsia="Times New Roman" w:cstheme="minorHAnsi"/>
          <w:lang w:eastAsia="en-AU"/>
        </w:rPr>
        <w:t>62</w:t>
      </w:r>
      <w:r w:rsidR="005C578B" w:rsidRPr="0048161B">
        <w:rPr>
          <w:rFonts w:eastAsia="Times New Roman" w:cstheme="minorHAnsi"/>
          <w:lang w:eastAsia="en-AU"/>
        </w:rPr>
        <w:t>(1)</w:t>
      </w:r>
      <w:r w:rsidRPr="0048161B">
        <w:rPr>
          <w:rFonts w:eastAsia="Times New Roman" w:cstheme="minorHAnsi"/>
          <w:lang w:eastAsia="en-AU"/>
        </w:rPr>
        <w:t>(b), (c)</w:t>
      </w:r>
      <w:r w:rsidR="00441BE5" w:rsidRPr="0048161B">
        <w:rPr>
          <w:rFonts w:eastAsia="Times New Roman" w:cstheme="minorHAnsi"/>
          <w:lang w:eastAsia="en-AU"/>
        </w:rPr>
        <w:t xml:space="preserve"> and</w:t>
      </w:r>
      <w:r w:rsidRPr="0048161B">
        <w:rPr>
          <w:rFonts w:eastAsia="Times New Roman" w:cstheme="minorHAnsi"/>
          <w:lang w:eastAsia="en-AU"/>
        </w:rPr>
        <w:t xml:space="preserve"> (d) of the Regulation, </w:t>
      </w:r>
      <w:r w:rsidR="00B755DE" w:rsidRPr="0048161B">
        <w:rPr>
          <w:rFonts w:eastAsia="Times New Roman" w:cstheme="minorHAnsi"/>
          <w:lang w:eastAsia="en-AU"/>
        </w:rPr>
        <w:t>an</w:t>
      </w:r>
      <w:r w:rsidR="005C578B" w:rsidRPr="0048161B">
        <w:rPr>
          <w:rFonts w:eastAsia="Times New Roman" w:cstheme="minorHAnsi"/>
          <w:lang w:eastAsia="en-AU"/>
        </w:rPr>
        <w:t xml:space="preserve"> NGRB </w:t>
      </w:r>
      <w:r w:rsidR="00AB1E9A" w:rsidRPr="0048161B">
        <w:rPr>
          <w:rFonts w:eastAsia="Times New Roman" w:cstheme="minorHAnsi"/>
          <w:lang w:eastAsia="en-AU"/>
        </w:rPr>
        <w:t>must</w:t>
      </w:r>
      <w:r w:rsidR="00AB59E1" w:rsidRPr="0048161B">
        <w:rPr>
          <w:rFonts w:eastAsia="Times New Roman" w:cstheme="minorHAnsi"/>
          <w:lang w:eastAsia="en-AU"/>
        </w:rPr>
        <w:t xml:space="preserve">, each year, </w:t>
      </w:r>
      <w:r w:rsidR="00CE40CA" w:rsidRPr="0048161B">
        <w:rPr>
          <w:rFonts w:eastAsia="Times New Roman" w:cstheme="minorHAnsi"/>
          <w:lang w:eastAsia="en-AU"/>
        </w:rPr>
        <w:t>publish information</w:t>
      </w:r>
      <w:r w:rsidR="002A25BF" w:rsidRPr="0048161B">
        <w:rPr>
          <w:rFonts w:eastAsia="Times New Roman" w:cstheme="minorHAnsi"/>
          <w:lang w:eastAsia="en-AU"/>
        </w:rPr>
        <w:t xml:space="preserve"> about</w:t>
      </w:r>
      <w:r w:rsidR="00AB1E9A" w:rsidRPr="0048161B">
        <w:rPr>
          <w:rFonts w:eastAsia="Times New Roman" w:cstheme="minorHAnsi"/>
          <w:lang w:eastAsia="en-AU"/>
        </w:rPr>
        <w:t xml:space="preserve"> </w:t>
      </w:r>
      <w:r w:rsidRPr="0048161B">
        <w:rPr>
          <w:rFonts w:eastAsia="Times New Roman" w:cstheme="minorHAnsi"/>
          <w:lang w:eastAsia="en-AU"/>
        </w:rPr>
        <w:t xml:space="preserve">the financial assistance it receives from the </w:t>
      </w:r>
      <w:r w:rsidR="00F942AF" w:rsidRPr="0048161B">
        <w:rPr>
          <w:rFonts w:eastAsia="Times New Roman" w:cstheme="minorHAnsi"/>
          <w:lang w:eastAsia="en-AU"/>
        </w:rPr>
        <w:t>Commonwealth,</w:t>
      </w:r>
      <w:r w:rsidRPr="0048161B">
        <w:rPr>
          <w:rFonts w:eastAsia="Times New Roman" w:cstheme="minorHAnsi"/>
          <w:lang w:eastAsia="en-AU"/>
        </w:rPr>
        <w:t xml:space="preserve"> including this fund</w:t>
      </w:r>
      <w:r w:rsidR="00B755DE" w:rsidRPr="0048161B">
        <w:rPr>
          <w:rFonts w:eastAsia="Times New Roman" w:cstheme="minorHAnsi"/>
          <w:lang w:eastAsia="en-AU"/>
        </w:rPr>
        <w:t>.</w:t>
      </w:r>
      <w:r w:rsidRPr="0048161B">
        <w:rPr>
          <w:rFonts w:eastAsia="Times New Roman" w:cstheme="minorHAnsi"/>
          <w:lang w:eastAsia="en-AU"/>
        </w:rPr>
        <w:t xml:space="preserve"> </w:t>
      </w:r>
      <w:r w:rsidR="00B755DE" w:rsidRPr="0048161B">
        <w:rPr>
          <w:rFonts w:eastAsia="Times New Roman" w:cstheme="minorHAnsi"/>
          <w:lang w:eastAsia="en-AU"/>
        </w:rPr>
        <w:t xml:space="preserve">The information that must be published </w:t>
      </w:r>
      <w:r w:rsidRPr="0048161B">
        <w:rPr>
          <w:rFonts w:eastAsia="Times New Roman" w:cstheme="minorHAnsi"/>
          <w:lang w:eastAsia="en-AU"/>
        </w:rPr>
        <w:t>includ</w:t>
      </w:r>
      <w:r w:rsidR="00B755DE" w:rsidRPr="0048161B">
        <w:rPr>
          <w:rFonts w:eastAsia="Times New Roman" w:cstheme="minorHAnsi"/>
          <w:lang w:eastAsia="en-AU"/>
        </w:rPr>
        <w:t>es</w:t>
      </w:r>
      <w:r w:rsidRPr="0048161B">
        <w:rPr>
          <w:rFonts w:eastAsia="Times New Roman" w:cstheme="minorHAnsi"/>
          <w:lang w:eastAsia="en-AU"/>
        </w:rPr>
        <w:t xml:space="preserve"> how a school applies for assistance and how decisions of the body to </w:t>
      </w:r>
      <w:r w:rsidR="00936920" w:rsidRPr="0048161B">
        <w:rPr>
          <w:rFonts w:eastAsia="Times New Roman" w:cstheme="minorHAnsi"/>
          <w:lang w:eastAsia="en-AU"/>
        </w:rPr>
        <w:t>allocate funding are reviewed.</w:t>
      </w:r>
    </w:p>
    <w:p w14:paraId="52991629" w14:textId="638CFD99" w:rsidR="00424FF7" w:rsidRPr="0048161B" w:rsidRDefault="00AB1E9A" w:rsidP="00CE40CA">
      <w:pPr>
        <w:numPr>
          <w:ilvl w:val="0"/>
          <w:numId w:val="11"/>
        </w:numPr>
        <w:spacing w:after="120" w:line="240" w:lineRule="auto"/>
        <w:ind w:left="709" w:hanging="709"/>
        <w:rPr>
          <w:rFonts w:cstheme="minorHAnsi"/>
          <w:i/>
        </w:rPr>
      </w:pPr>
      <w:r w:rsidRPr="0048161B">
        <w:rPr>
          <w:rFonts w:eastAsia="Times New Roman" w:cstheme="minorHAnsi"/>
          <w:lang w:eastAsia="en-AU"/>
        </w:rPr>
        <w:t xml:space="preserve">Each </w:t>
      </w:r>
      <w:r w:rsidR="005C578B" w:rsidRPr="0048161B">
        <w:rPr>
          <w:rFonts w:eastAsia="Times New Roman" w:cstheme="minorHAnsi"/>
          <w:lang w:eastAsia="en-AU"/>
        </w:rPr>
        <w:t>NGRB</w:t>
      </w:r>
      <w:r w:rsidRPr="0048161B">
        <w:rPr>
          <w:rFonts w:eastAsia="Times New Roman" w:cstheme="minorHAnsi"/>
          <w:lang w:eastAsia="en-AU"/>
        </w:rPr>
        <w:t xml:space="preserve"> must ensure that it makes its st</w:t>
      </w:r>
      <w:r w:rsidR="00505806" w:rsidRPr="0048161B">
        <w:rPr>
          <w:rFonts w:eastAsia="Times New Roman" w:cstheme="minorHAnsi"/>
          <w:lang w:eastAsia="en-AU"/>
        </w:rPr>
        <w:t xml:space="preserve">rategic plan, </w:t>
      </w:r>
      <w:r w:rsidR="00FB5C85" w:rsidRPr="0048161B">
        <w:rPr>
          <w:rFonts w:eastAsia="Times New Roman" w:cstheme="minorHAnsi"/>
          <w:lang w:eastAsia="en-AU"/>
        </w:rPr>
        <w:t>approved work</w:t>
      </w:r>
      <w:r w:rsidRPr="0048161B">
        <w:rPr>
          <w:rFonts w:eastAsia="Times New Roman" w:cstheme="minorHAnsi"/>
          <w:lang w:eastAsia="en-AU"/>
        </w:rPr>
        <w:t>plan, and annual reports publicly available</w:t>
      </w:r>
      <w:r w:rsidR="00E47746" w:rsidRPr="0048161B">
        <w:rPr>
          <w:rFonts w:eastAsia="Times New Roman" w:cstheme="minorHAnsi"/>
          <w:lang w:eastAsia="en-AU"/>
        </w:rPr>
        <w:t xml:space="preserve"> on </w:t>
      </w:r>
      <w:r w:rsidR="006D1DE8">
        <w:rPr>
          <w:rFonts w:eastAsia="Times New Roman" w:cstheme="minorHAnsi"/>
          <w:lang w:eastAsia="en-AU"/>
        </w:rPr>
        <w:t xml:space="preserve">its </w:t>
      </w:r>
      <w:r w:rsidR="00E47746" w:rsidRPr="0048161B">
        <w:rPr>
          <w:rFonts w:eastAsia="Times New Roman" w:cstheme="minorHAnsi"/>
          <w:lang w:eastAsia="en-AU"/>
        </w:rPr>
        <w:t>website</w:t>
      </w:r>
      <w:r w:rsidR="006D1DE8">
        <w:rPr>
          <w:rFonts w:eastAsia="Times New Roman" w:cstheme="minorHAnsi"/>
          <w:lang w:eastAsia="en-AU"/>
        </w:rPr>
        <w:t xml:space="preserve"> and provide a hard copy upon request.</w:t>
      </w:r>
    </w:p>
    <w:p w14:paraId="7B897DB1" w14:textId="5627DEBF" w:rsidR="00AB1E9A" w:rsidRPr="00552520" w:rsidRDefault="008D1520" w:rsidP="00D916A2">
      <w:pPr>
        <w:pStyle w:val="Heading2"/>
        <w:rPr>
          <w:rFonts w:ascii="Calibri" w:hAnsi="Calibri" w:cs="Calibri"/>
          <w:b/>
          <w:bCs/>
          <w:color w:val="000000" w:themeColor="text1"/>
          <w:sz w:val="22"/>
          <w:szCs w:val="22"/>
        </w:rPr>
      </w:pPr>
      <w:bookmarkStart w:id="25" w:name="_Toc84413384"/>
      <w:r w:rsidRPr="00552520">
        <w:rPr>
          <w:rFonts w:ascii="Calibri" w:hAnsi="Calibri" w:cs="Calibri"/>
          <w:b/>
          <w:bCs/>
          <w:color w:val="000000" w:themeColor="text1"/>
          <w:sz w:val="22"/>
          <w:szCs w:val="22"/>
        </w:rPr>
        <w:t>Other applicable legislation</w:t>
      </w:r>
      <w:bookmarkEnd w:id="25"/>
    </w:p>
    <w:p w14:paraId="64A7D7E6" w14:textId="0695683E" w:rsidR="008D1520" w:rsidRPr="00D81402" w:rsidRDefault="008D1520" w:rsidP="000C7852">
      <w:pPr>
        <w:numPr>
          <w:ilvl w:val="0"/>
          <w:numId w:val="11"/>
        </w:numPr>
        <w:spacing w:after="0" w:line="240" w:lineRule="auto"/>
        <w:ind w:left="709" w:hanging="709"/>
        <w:rPr>
          <w:rFonts w:eastAsia="Times New Roman" w:cstheme="minorHAnsi"/>
          <w:lang w:eastAsia="en-AU"/>
        </w:rPr>
      </w:pPr>
      <w:r w:rsidRPr="00D81402">
        <w:rPr>
          <w:rFonts w:eastAsia="Times New Roman" w:cstheme="minorHAnsi"/>
          <w:lang w:eastAsia="en-AU"/>
        </w:rPr>
        <w:t xml:space="preserve">NGRBs will comply with any relevant statutes, regulations, by-laws and requirements of any Commonwealth, </w:t>
      </w:r>
      <w:r w:rsidR="00DB7857" w:rsidRPr="00D81402">
        <w:rPr>
          <w:rFonts w:eastAsia="Times New Roman" w:cstheme="minorHAnsi"/>
          <w:lang w:eastAsia="en-AU"/>
        </w:rPr>
        <w:t>s</w:t>
      </w:r>
      <w:r w:rsidRPr="00D81402">
        <w:rPr>
          <w:rFonts w:eastAsia="Times New Roman" w:cstheme="minorHAnsi"/>
          <w:lang w:eastAsia="en-AU"/>
        </w:rPr>
        <w:t xml:space="preserve">tate, </w:t>
      </w:r>
      <w:proofErr w:type="gramStart"/>
      <w:r w:rsidR="00DB7857" w:rsidRPr="00D81402">
        <w:rPr>
          <w:rFonts w:eastAsia="Times New Roman" w:cstheme="minorHAnsi"/>
          <w:lang w:eastAsia="en-AU"/>
        </w:rPr>
        <w:t>t</w:t>
      </w:r>
      <w:r w:rsidRPr="00D81402">
        <w:rPr>
          <w:rFonts w:eastAsia="Times New Roman" w:cstheme="minorHAnsi"/>
          <w:lang w:eastAsia="en-AU"/>
        </w:rPr>
        <w:t>erritory</w:t>
      </w:r>
      <w:proofErr w:type="gramEnd"/>
      <w:r w:rsidRPr="00D81402">
        <w:rPr>
          <w:rFonts w:eastAsia="Times New Roman" w:cstheme="minorHAnsi"/>
          <w:lang w:eastAsia="en-AU"/>
        </w:rPr>
        <w:t xml:space="preserve"> or local authority, including, where applicable, relevant </w:t>
      </w:r>
      <w:r w:rsidR="00F942AF">
        <w:rPr>
          <w:rFonts w:eastAsia="Times New Roman" w:cstheme="minorHAnsi"/>
          <w:lang w:eastAsia="en-AU"/>
        </w:rPr>
        <w:br/>
      </w:r>
      <w:r w:rsidRPr="00D81402">
        <w:rPr>
          <w:rFonts w:eastAsia="Times New Roman" w:cstheme="minorHAnsi"/>
          <w:lang w:eastAsia="en-AU"/>
        </w:rPr>
        <w:t>anti-discrimination laws and the:</w:t>
      </w:r>
    </w:p>
    <w:p w14:paraId="16128247" w14:textId="77777777" w:rsidR="008D1520" w:rsidRPr="0048161B" w:rsidRDefault="008D1520" w:rsidP="00C10534">
      <w:pPr>
        <w:numPr>
          <w:ilvl w:val="0"/>
          <w:numId w:val="35"/>
        </w:numPr>
        <w:tabs>
          <w:tab w:val="left" w:pos="1134"/>
        </w:tabs>
        <w:spacing w:after="120" w:line="240" w:lineRule="auto"/>
        <w:rPr>
          <w:rFonts w:eastAsia="Calibri" w:cstheme="minorHAnsi"/>
        </w:rPr>
      </w:pPr>
      <w:r w:rsidRPr="0048161B">
        <w:rPr>
          <w:rFonts w:eastAsia="Calibri" w:cstheme="minorHAnsi"/>
          <w:i/>
        </w:rPr>
        <w:t>Fair Work Act 2009 (</w:t>
      </w:r>
      <w:proofErr w:type="spellStart"/>
      <w:r w:rsidRPr="0048161B">
        <w:rPr>
          <w:rFonts w:eastAsia="Calibri" w:cstheme="minorHAnsi"/>
          <w:i/>
        </w:rPr>
        <w:t>Cth</w:t>
      </w:r>
      <w:proofErr w:type="spellEnd"/>
      <w:r w:rsidRPr="0048161B">
        <w:rPr>
          <w:rFonts w:eastAsia="Calibri" w:cstheme="minorHAnsi"/>
          <w:i/>
        </w:rPr>
        <w:t>)</w:t>
      </w:r>
    </w:p>
    <w:p w14:paraId="5F1C8A99" w14:textId="77777777" w:rsidR="008D1520" w:rsidRPr="0048161B" w:rsidRDefault="008D1520" w:rsidP="00C10534">
      <w:pPr>
        <w:numPr>
          <w:ilvl w:val="0"/>
          <w:numId w:val="35"/>
        </w:numPr>
        <w:tabs>
          <w:tab w:val="left" w:pos="1134"/>
        </w:tabs>
        <w:spacing w:after="120" w:line="240" w:lineRule="auto"/>
        <w:rPr>
          <w:rFonts w:eastAsia="Calibri" w:cstheme="minorHAnsi"/>
        </w:rPr>
      </w:pPr>
      <w:r w:rsidRPr="0048161B">
        <w:rPr>
          <w:rFonts w:eastAsia="Calibri" w:cstheme="minorHAnsi"/>
          <w:i/>
        </w:rPr>
        <w:t>Privacy Act 1988 (</w:t>
      </w:r>
      <w:proofErr w:type="spellStart"/>
      <w:r w:rsidRPr="0048161B">
        <w:rPr>
          <w:rFonts w:eastAsia="Calibri" w:cstheme="minorHAnsi"/>
          <w:i/>
        </w:rPr>
        <w:t>Cth</w:t>
      </w:r>
      <w:proofErr w:type="spellEnd"/>
      <w:r w:rsidRPr="0048161B">
        <w:rPr>
          <w:rFonts w:eastAsia="Calibri" w:cstheme="minorHAnsi"/>
          <w:i/>
        </w:rPr>
        <w:t>)</w:t>
      </w:r>
    </w:p>
    <w:p w14:paraId="64FE013F" w14:textId="77777777" w:rsidR="008D1520" w:rsidRPr="0048161B" w:rsidRDefault="008D1520" w:rsidP="00C10534">
      <w:pPr>
        <w:numPr>
          <w:ilvl w:val="0"/>
          <w:numId w:val="35"/>
        </w:numPr>
        <w:tabs>
          <w:tab w:val="left" w:pos="1134"/>
        </w:tabs>
        <w:spacing w:after="120" w:line="240" w:lineRule="auto"/>
        <w:rPr>
          <w:rFonts w:eastAsia="Calibri" w:cstheme="minorHAnsi"/>
        </w:rPr>
      </w:pPr>
      <w:r w:rsidRPr="0048161B">
        <w:rPr>
          <w:rFonts w:eastAsia="Calibri" w:cstheme="minorHAnsi"/>
          <w:i/>
        </w:rPr>
        <w:t>Criminal Code Act</w:t>
      </w:r>
      <w:r w:rsidRPr="0048161B">
        <w:rPr>
          <w:rFonts w:eastAsia="Calibri" w:cstheme="minorHAnsi"/>
        </w:rPr>
        <w:t xml:space="preserve"> </w:t>
      </w:r>
      <w:r w:rsidRPr="0048161B">
        <w:rPr>
          <w:rFonts w:eastAsia="Calibri" w:cstheme="minorHAnsi"/>
          <w:i/>
        </w:rPr>
        <w:t>1995 (</w:t>
      </w:r>
      <w:proofErr w:type="spellStart"/>
      <w:r w:rsidRPr="0048161B">
        <w:rPr>
          <w:rFonts w:eastAsia="Calibri" w:cstheme="minorHAnsi"/>
          <w:i/>
        </w:rPr>
        <w:t>Cth</w:t>
      </w:r>
      <w:proofErr w:type="spellEnd"/>
      <w:r w:rsidRPr="0048161B">
        <w:rPr>
          <w:rFonts w:eastAsia="Calibri" w:cstheme="minorHAnsi"/>
          <w:i/>
        </w:rPr>
        <w:t>)</w:t>
      </w:r>
    </w:p>
    <w:p w14:paraId="7F82BCC7" w14:textId="77777777" w:rsidR="00AB1E9A" w:rsidRPr="00FD1CB5" w:rsidRDefault="00AB1E9A" w:rsidP="00FD1CB5">
      <w:pPr>
        <w:pStyle w:val="Heading2"/>
        <w:rPr>
          <w:rFonts w:ascii="Calibri" w:hAnsi="Calibri" w:cs="Calibri"/>
          <w:b/>
          <w:bCs/>
          <w:color w:val="000000" w:themeColor="text1"/>
          <w:sz w:val="22"/>
          <w:szCs w:val="22"/>
        </w:rPr>
      </w:pPr>
      <w:bookmarkStart w:id="26" w:name="_Toc84413385"/>
      <w:r w:rsidRPr="00FD1CB5">
        <w:rPr>
          <w:rFonts w:ascii="Calibri" w:hAnsi="Calibri" w:cs="Calibri"/>
          <w:b/>
          <w:bCs/>
          <w:color w:val="000000" w:themeColor="text1"/>
          <w:sz w:val="22"/>
          <w:szCs w:val="22"/>
        </w:rPr>
        <w:t>Criminal Code</w:t>
      </w:r>
      <w:bookmarkEnd w:id="26"/>
    </w:p>
    <w:p w14:paraId="559117E7" w14:textId="77777777" w:rsidR="00AB1E9A" w:rsidRPr="00D81402" w:rsidRDefault="001E0D78" w:rsidP="00047D1D">
      <w:pPr>
        <w:numPr>
          <w:ilvl w:val="0"/>
          <w:numId w:val="11"/>
        </w:numPr>
        <w:spacing w:after="120" w:line="240" w:lineRule="auto"/>
        <w:ind w:left="709" w:hanging="709"/>
        <w:rPr>
          <w:rFonts w:eastAsia="Times New Roman" w:cstheme="minorHAnsi"/>
          <w:lang w:eastAsia="en-AU"/>
        </w:rPr>
      </w:pPr>
      <w:r w:rsidRPr="00D81402">
        <w:rPr>
          <w:rFonts w:eastAsia="Times New Roman" w:cstheme="minorHAnsi"/>
          <w:lang w:eastAsia="en-AU"/>
        </w:rPr>
        <w:t xml:space="preserve">NGRBs </w:t>
      </w:r>
      <w:r w:rsidR="00AB1E9A" w:rsidRPr="00D81402">
        <w:rPr>
          <w:rFonts w:eastAsia="Times New Roman" w:cstheme="minorHAnsi"/>
          <w:lang w:eastAsia="en-AU"/>
        </w:rPr>
        <w:t xml:space="preserve">should note that in providing any information to the department, giving false or misleading information is a serious offence under section 137.1 of the </w:t>
      </w:r>
      <w:r w:rsidR="00221F0C" w:rsidRPr="00D81402">
        <w:rPr>
          <w:rFonts w:eastAsia="Times New Roman" w:cstheme="minorHAnsi"/>
          <w:lang w:eastAsia="en-AU"/>
        </w:rPr>
        <w:br/>
      </w:r>
      <w:r w:rsidR="00AB1E9A" w:rsidRPr="005765C6">
        <w:rPr>
          <w:rFonts w:eastAsia="Times New Roman" w:cstheme="minorHAnsi"/>
          <w:iCs/>
          <w:lang w:eastAsia="en-AU"/>
        </w:rPr>
        <w:t>Criminal Code Act 1995</w:t>
      </w:r>
      <w:r w:rsidR="00AB1E9A" w:rsidRPr="00D81402">
        <w:rPr>
          <w:rFonts w:eastAsia="Times New Roman" w:cstheme="minorHAnsi"/>
          <w:i/>
          <w:lang w:eastAsia="en-AU"/>
        </w:rPr>
        <w:t xml:space="preserve"> </w:t>
      </w:r>
      <w:r w:rsidR="00AB1E9A" w:rsidRPr="00D81402">
        <w:rPr>
          <w:rFonts w:eastAsia="Times New Roman" w:cstheme="minorHAnsi"/>
          <w:lang w:eastAsia="en-AU"/>
        </w:rPr>
        <w:t>(</w:t>
      </w:r>
      <w:proofErr w:type="spellStart"/>
      <w:r w:rsidR="00AB1E9A" w:rsidRPr="00D81402">
        <w:rPr>
          <w:rFonts w:eastAsia="Times New Roman" w:cstheme="minorHAnsi"/>
          <w:lang w:eastAsia="en-AU"/>
        </w:rPr>
        <w:t>Cth</w:t>
      </w:r>
      <w:proofErr w:type="spellEnd"/>
      <w:r w:rsidR="00AB1E9A" w:rsidRPr="00D81402">
        <w:rPr>
          <w:rFonts w:eastAsia="Times New Roman" w:cstheme="minorHAnsi"/>
          <w:lang w:eastAsia="en-AU"/>
        </w:rPr>
        <w:t>).</w:t>
      </w:r>
    </w:p>
    <w:p w14:paraId="3A4ECB44" w14:textId="77777777" w:rsidR="00AB1E9A" w:rsidRPr="00FD1CB5" w:rsidRDefault="00AB1E9A" w:rsidP="00FD1CB5">
      <w:pPr>
        <w:pStyle w:val="Heading2"/>
        <w:rPr>
          <w:rFonts w:ascii="Calibri" w:hAnsi="Calibri" w:cs="Calibri"/>
          <w:b/>
          <w:bCs/>
          <w:color w:val="000000" w:themeColor="text1"/>
          <w:sz w:val="22"/>
          <w:szCs w:val="22"/>
        </w:rPr>
      </w:pPr>
      <w:bookmarkStart w:id="27" w:name="_Toc16756173"/>
      <w:bookmarkStart w:id="28" w:name="_Toc84413386"/>
      <w:r w:rsidRPr="00FD1CB5">
        <w:rPr>
          <w:rFonts w:ascii="Calibri" w:hAnsi="Calibri" w:cs="Calibri"/>
          <w:b/>
          <w:bCs/>
          <w:color w:val="000000" w:themeColor="text1"/>
          <w:sz w:val="22"/>
          <w:szCs w:val="22"/>
        </w:rPr>
        <w:t xml:space="preserve">Consequences for not complying with the Act, the Regulation or these </w:t>
      </w:r>
      <w:proofErr w:type="gramStart"/>
      <w:r w:rsidRPr="00FD1CB5">
        <w:rPr>
          <w:rFonts w:ascii="Calibri" w:hAnsi="Calibri" w:cs="Calibri"/>
          <w:b/>
          <w:bCs/>
          <w:color w:val="000000" w:themeColor="text1"/>
          <w:sz w:val="22"/>
          <w:szCs w:val="22"/>
        </w:rPr>
        <w:t>Guideline</w:t>
      </w:r>
      <w:bookmarkEnd w:id="19"/>
      <w:r w:rsidRPr="00FD1CB5">
        <w:rPr>
          <w:rFonts w:ascii="Calibri" w:hAnsi="Calibri" w:cs="Calibri"/>
          <w:b/>
          <w:bCs/>
          <w:color w:val="000000" w:themeColor="text1"/>
          <w:sz w:val="22"/>
          <w:szCs w:val="22"/>
        </w:rPr>
        <w:t>s</w:t>
      </w:r>
      <w:bookmarkEnd w:id="27"/>
      <w:bookmarkEnd w:id="28"/>
      <w:proofErr w:type="gramEnd"/>
    </w:p>
    <w:p w14:paraId="7BD8BB14" w14:textId="6ACB35BF" w:rsidR="00AB1E9A" w:rsidRPr="005664E0" w:rsidRDefault="00423B7E" w:rsidP="00047D1D">
      <w:pPr>
        <w:numPr>
          <w:ilvl w:val="0"/>
          <w:numId w:val="11"/>
        </w:numPr>
        <w:spacing w:after="120" w:line="240" w:lineRule="auto"/>
        <w:ind w:left="709" w:hanging="709"/>
        <w:rPr>
          <w:rFonts w:ascii="Calibri" w:eastAsia="Times New Roman" w:hAnsi="Calibri" w:cs="Times New Roman"/>
          <w:color w:val="000000" w:themeColor="text1"/>
          <w:szCs w:val="24"/>
          <w:lang w:eastAsia="en-AU"/>
        </w:rPr>
      </w:pPr>
      <w:r w:rsidRPr="00CE40CA">
        <w:rPr>
          <w:rFonts w:eastAsia="Times New Roman" w:cstheme="minorHAnsi"/>
          <w:szCs w:val="24"/>
          <w:lang w:eastAsia="en-AU"/>
        </w:rPr>
        <w:t xml:space="preserve">If an NGRB </w:t>
      </w:r>
      <w:r w:rsidR="00AB1E9A" w:rsidRPr="00CE40CA">
        <w:rPr>
          <w:rFonts w:eastAsia="Times New Roman" w:cstheme="minorHAnsi"/>
          <w:szCs w:val="24"/>
          <w:lang w:eastAsia="en-AU"/>
        </w:rPr>
        <w:t xml:space="preserve">does not comply with any of its requirements in the Act, the </w:t>
      </w:r>
      <w:proofErr w:type="gramStart"/>
      <w:r w:rsidR="00AB1E9A" w:rsidRPr="00CE40CA">
        <w:rPr>
          <w:rFonts w:eastAsia="Times New Roman" w:cstheme="minorHAnsi"/>
          <w:szCs w:val="24"/>
          <w:lang w:eastAsia="en-AU"/>
        </w:rPr>
        <w:t>Regulation</w:t>
      </w:r>
      <w:proofErr w:type="gramEnd"/>
      <w:r w:rsidR="00AB1E9A" w:rsidRPr="00CE40CA">
        <w:rPr>
          <w:rFonts w:eastAsia="Times New Roman" w:cstheme="minorHAnsi"/>
          <w:szCs w:val="24"/>
          <w:lang w:eastAsia="en-AU"/>
        </w:rPr>
        <w:t xml:space="preserve"> or these Guidelines,</w:t>
      </w:r>
      <w:r w:rsidR="002C3EA8" w:rsidRPr="00CE40CA">
        <w:rPr>
          <w:rFonts w:eastAsia="Times New Roman" w:cstheme="minorHAnsi"/>
          <w:szCs w:val="24"/>
          <w:lang w:eastAsia="en-AU"/>
        </w:rPr>
        <w:t xml:space="preserve"> for example, by spending funding other than for the purposes set out in section 31 of the Regulation,</w:t>
      </w:r>
      <w:r w:rsidR="00AB1E9A" w:rsidRPr="00CE40CA">
        <w:rPr>
          <w:rFonts w:eastAsia="Times New Roman" w:cstheme="minorHAnsi"/>
          <w:szCs w:val="24"/>
          <w:lang w:eastAsia="en-AU"/>
        </w:rPr>
        <w:t xml:space="preserve"> the Minister may consider taking one or more compliance actions against that </w:t>
      </w:r>
      <w:r w:rsidRPr="00CE40CA">
        <w:rPr>
          <w:rFonts w:eastAsia="Times New Roman" w:cstheme="minorHAnsi"/>
          <w:szCs w:val="24"/>
          <w:lang w:eastAsia="en-AU"/>
        </w:rPr>
        <w:t>NGRB</w:t>
      </w:r>
      <w:r w:rsidR="002C3EA8" w:rsidRPr="00CE40CA">
        <w:rPr>
          <w:rFonts w:eastAsia="Times New Roman" w:cstheme="minorHAnsi"/>
          <w:szCs w:val="24"/>
          <w:lang w:eastAsia="en-AU"/>
        </w:rPr>
        <w:t>.</w:t>
      </w:r>
      <w:r w:rsidR="00AB1E9A" w:rsidRPr="00CE40CA">
        <w:rPr>
          <w:rFonts w:eastAsia="Times New Roman" w:cstheme="minorHAnsi"/>
          <w:szCs w:val="24"/>
          <w:lang w:eastAsia="en-AU"/>
        </w:rPr>
        <w:t xml:space="preserve"> </w:t>
      </w:r>
    </w:p>
    <w:p w14:paraId="448DE421" w14:textId="2CFF979A" w:rsidR="00AB1E9A" w:rsidRPr="00CE40CA" w:rsidRDefault="00AB1E9A" w:rsidP="00047D1D">
      <w:pPr>
        <w:numPr>
          <w:ilvl w:val="0"/>
          <w:numId w:val="11"/>
        </w:numPr>
        <w:spacing w:after="120" w:line="240" w:lineRule="auto"/>
        <w:ind w:left="709" w:hanging="709"/>
        <w:rPr>
          <w:rFonts w:ascii="Calibri" w:eastAsia="Times New Roman" w:hAnsi="Calibri" w:cs="Times New Roman"/>
          <w:color w:val="FF0000"/>
          <w:szCs w:val="24"/>
          <w:lang w:eastAsia="en-AU"/>
        </w:rPr>
      </w:pPr>
      <w:r w:rsidRPr="00CE40CA">
        <w:rPr>
          <w:rFonts w:eastAsia="Times New Roman" w:cstheme="minorHAnsi"/>
          <w:szCs w:val="24"/>
          <w:lang w:eastAsia="en-AU"/>
        </w:rPr>
        <w:t xml:space="preserve">These include imposing conditions on the approval of the </w:t>
      </w:r>
      <w:r w:rsidR="00423B7E" w:rsidRPr="00CE40CA">
        <w:rPr>
          <w:rFonts w:eastAsia="Times New Roman" w:cstheme="minorHAnsi"/>
          <w:szCs w:val="24"/>
          <w:lang w:eastAsia="en-AU"/>
        </w:rPr>
        <w:t>NGRB</w:t>
      </w:r>
      <w:r w:rsidRPr="00CE40CA">
        <w:rPr>
          <w:rFonts w:eastAsia="Times New Roman" w:cstheme="minorHAnsi"/>
          <w:szCs w:val="24"/>
          <w:lang w:eastAsia="en-AU"/>
        </w:rPr>
        <w:t xml:space="preserve"> under the Act (section 96 of the Act). Further, under section 110 of the Act, the Minister may </w:t>
      </w:r>
      <w:r w:rsidR="005C266E" w:rsidRPr="00CE40CA">
        <w:rPr>
          <w:rFonts w:eastAsia="Times New Roman" w:cstheme="minorHAnsi"/>
          <w:szCs w:val="24"/>
          <w:lang w:eastAsia="en-AU"/>
        </w:rPr>
        <w:t>take compliance action</w:t>
      </w:r>
      <w:r w:rsidR="00053D05" w:rsidRPr="00CE40CA">
        <w:rPr>
          <w:rFonts w:eastAsia="Times New Roman" w:cstheme="minorHAnsi"/>
          <w:szCs w:val="24"/>
          <w:lang w:eastAsia="en-AU"/>
        </w:rPr>
        <w:t>s</w:t>
      </w:r>
      <w:r w:rsidRPr="00CE40CA">
        <w:rPr>
          <w:rFonts w:eastAsia="Times New Roman" w:cstheme="minorHAnsi"/>
          <w:szCs w:val="24"/>
          <w:lang w:eastAsia="en-AU"/>
        </w:rPr>
        <w:t>.</w:t>
      </w:r>
    </w:p>
    <w:p w14:paraId="12759531" w14:textId="77777777" w:rsidR="00AB1E9A" w:rsidRPr="00493955" w:rsidRDefault="00AB1E9A" w:rsidP="00493955">
      <w:pPr>
        <w:pStyle w:val="Heading2"/>
        <w:rPr>
          <w:rFonts w:ascii="Calibri" w:hAnsi="Calibri" w:cs="Calibri"/>
          <w:b/>
          <w:bCs/>
          <w:color w:val="000000" w:themeColor="text1"/>
          <w:sz w:val="22"/>
          <w:szCs w:val="22"/>
        </w:rPr>
      </w:pPr>
      <w:bookmarkStart w:id="29" w:name="_Toc16756174"/>
      <w:bookmarkStart w:id="30" w:name="_Toc84413387"/>
      <w:r w:rsidRPr="00493955">
        <w:rPr>
          <w:rFonts w:ascii="Calibri" w:hAnsi="Calibri" w:cs="Calibri"/>
          <w:b/>
          <w:bCs/>
          <w:color w:val="000000" w:themeColor="text1"/>
          <w:sz w:val="22"/>
          <w:szCs w:val="22"/>
        </w:rPr>
        <w:t>Information management</w:t>
      </w:r>
      <w:bookmarkEnd w:id="29"/>
      <w:bookmarkEnd w:id="30"/>
    </w:p>
    <w:p w14:paraId="43E92C0D" w14:textId="39277BCC" w:rsidR="00AB1E9A" w:rsidRPr="00D81402" w:rsidRDefault="00AB1E9A" w:rsidP="00047D1D">
      <w:pPr>
        <w:numPr>
          <w:ilvl w:val="0"/>
          <w:numId w:val="11"/>
        </w:numPr>
        <w:spacing w:after="120" w:line="240" w:lineRule="auto"/>
        <w:ind w:left="709" w:hanging="709"/>
        <w:rPr>
          <w:rFonts w:eastAsia="Times New Roman" w:cstheme="minorHAnsi"/>
          <w:szCs w:val="24"/>
          <w:lang w:eastAsia="en-AU"/>
        </w:rPr>
      </w:pPr>
      <w:r w:rsidRPr="00D81402">
        <w:rPr>
          <w:rFonts w:eastAsia="Times New Roman" w:cstheme="minorHAnsi"/>
          <w:szCs w:val="24"/>
          <w:lang w:eastAsia="en-AU"/>
        </w:rPr>
        <w:t xml:space="preserve">Information created or provided for the purposes of the Act, including information, plans, and reports provided by </w:t>
      </w:r>
      <w:r w:rsidR="001E0D78" w:rsidRPr="00D81402">
        <w:rPr>
          <w:rFonts w:eastAsia="Times New Roman" w:cstheme="minorHAnsi"/>
          <w:szCs w:val="24"/>
          <w:lang w:eastAsia="en-AU"/>
        </w:rPr>
        <w:t xml:space="preserve">NGRBs </w:t>
      </w:r>
      <w:r w:rsidRPr="00D81402">
        <w:rPr>
          <w:rFonts w:eastAsia="Times New Roman" w:cstheme="minorHAnsi"/>
          <w:szCs w:val="24"/>
          <w:lang w:eastAsia="en-AU"/>
        </w:rPr>
        <w:t xml:space="preserve">in accordance with the Regulation and these Guidelines, is </w:t>
      </w:r>
      <w:r w:rsidR="00DB7857" w:rsidRPr="00D81402">
        <w:rPr>
          <w:rFonts w:eastAsia="Times New Roman" w:cstheme="minorHAnsi"/>
          <w:szCs w:val="24"/>
          <w:lang w:eastAsia="en-AU"/>
        </w:rPr>
        <w:t>‘</w:t>
      </w:r>
      <w:r w:rsidRPr="00D81402">
        <w:rPr>
          <w:rFonts w:eastAsia="Times New Roman" w:cstheme="minorHAnsi"/>
          <w:szCs w:val="24"/>
          <w:lang w:eastAsia="en-AU"/>
        </w:rPr>
        <w:t>school education information</w:t>
      </w:r>
      <w:r w:rsidR="00DB7857" w:rsidRPr="00D81402">
        <w:rPr>
          <w:rFonts w:eastAsia="Times New Roman" w:cstheme="minorHAnsi"/>
          <w:szCs w:val="24"/>
          <w:lang w:eastAsia="en-AU"/>
        </w:rPr>
        <w:t>’</w:t>
      </w:r>
      <w:r w:rsidRPr="00D81402">
        <w:rPr>
          <w:rFonts w:eastAsia="Times New Roman" w:cstheme="minorHAnsi"/>
          <w:szCs w:val="24"/>
          <w:lang w:eastAsia="en-AU"/>
        </w:rPr>
        <w:t xml:space="preserve"> under the Act.  It can therefore be used, </w:t>
      </w:r>
      <w:proofErr w:type="gramStart"/>
      <w:r w:rsidRPr="00D81402">
        <w:rPr>
          <w:rFonts w:eastAsia="Times New Roman" w:cstheme="minorHAnsi"/>
          <w:szCs w:val="24"/>
          <w:lang w:eastAsia="en-AU"/>
        </w:rPr>
        <w:t>disclosed</w:t>
      </w:r>
      <w:proofErr w:type="gramEnd"/>
      <w:r w:rsidRPr="00D81402">
        <w:rPr>
          <w:rFonts w:eastAsia="Times New Roman" w:cstheme="minorHAnsi"/>
          <w:szCs w:val="24"/>
          <w:lang w:eastAsia="en-AU"/>
        </w:rPr>
        <w:t xml:space="preserve"> and published in accordance with section 125 of the Act and section 65 of the Regulation.</w:t>
      </w:r>
    </w:p>
    <w:p w14:paraId="634BD1DA" w14:textId="77777777" w:rsidR="00AB1E9A" w:rsidRPr="00D81402" w:rsidRDefault="00AB1E9A" w:rsidP="00047D1D">
      <w:pPr>
        <w:numPr>
          <w:ilvl w:val="0"/>
          <w:numId w:val="11"/>
        </w:numPr>
        <w:spacing w:after="120" w:line="240" w:lineRule="auto"/>
        <w:ind w:left="709" w:hanging="709"/>
        <w:rPr>
          <w:rFonts w:eastAsia="Times New Roman" w:cstheme="minorHAnsi"/>
          <w:szCs w:val="24"/>
          <w:lang w:eastAsia="en-AU"/>
        </w:rPr>
      </w:pPr>
      <w:r w:rsidRPr="00D81402">
        <w:rPr>
          <w:rFonts w:eastAsia="Times New Roman" w:cstheme="minorHAnsi"/>
          <w:szCs w:val="24"/>
          <w:lang w:eastAsia="en-AU"/>
        </w:rPr>
        <w:t xml:space="preserve">The department is subject to the </w:t>
      </w:r>
      <w:r w:rsidRPr="005765C6">
        <w:rPr>
          <w:rFonts w:eastAsia="Times New Roman" w:cstheme="minorHAnsi"/>
          <w:szCs w:val="24"/>
          <w:lang w:eastAsia="en-AU"/>
        </w:rPr>
        <w:t>Freedom of Information Act 1982</w:t>
      </w:r>
      <w:r w:rsidRPr="00D81402">
        <w:rPr>
          <w:rFonts w:eastAsia="Times New Roman" w:cstheme="minorHAnsi"/>
          <w:i/>
          <w:iCs/>
          <w:szCs w:val="24"/>
          <w:lang w:eastAsia="en-AU"/>
        </w:rPr>
        <w:t xml:space="preserve"> </w:t>
      </w:r>
      <w:r w:rsidRPr="00D81402">
        <w:rPr>
          <w:rFonts w:eastAsia="Times New Roman" w:cstheme="minorHAnsi"/>
          <w:iCs/>
          <w:szCs w:val="24"/>
          <w:lang w:eastAsia="en-AU"/>
        </w:rPr>
        <w:t>(</w:t>
      </w:r>
      <w:proofErr w:type="spellStart"/>
      <w:r w:rsidRPr="00D81402">
        <w:rPr>
          <w:rFonts w:eastAsia="Times New Roman" w:cstheme="minorHAnsi"/>
          <w:iCs/>
          <w:szCs w:val="24"/>
          <w:lang w:eastAsia="en-AU"/>
        </w:rPr>
        <w:t>Cth</w:t>
      </w:r>
      <w:proofErr w:type="spellEnd"/>
      <w:r w:rsidRPr="00D81402">
        <w:rPr>
          <w:rFonts w:eastAsia="Times New Roman" w:cstheme="minorHAnsi"/>
          <w:iCs/>
          <w:szCs w:val="24"/>
          <w:lang w:eastAsia="en-AU"/>
        </w:rPr>
        <w:t>)</w:t>
      </w:r>
      <w:r w:rsidRPr="00D81402">
        <w:rPr>
          <w:rFonts w:eastAsia="Times New Roman" w:cstheme="minorHAnsi"/>
          <w:szCs w:val="24"/>
          <w:lang w:eastAsia="en-AU"/>
        </w:rPr>
        <w:t xml:space="preserve"> and any information held by the department, including information, plans, and reports provided by </w:t>
      </w:r>
      <w:r w:rsidR="001E0D78" w:rsidRPr="00D81402">
        <w:rPr>
          <w:rFonts w:eastAsia="Times New Roman" w:cstheme="minorHAnsi"/>
          <w:szCs w:val="24"/>
          <w:lang w:eastAsia="en-AU"/>
        </w:rPr>
        <w:t xml:space="preserve">NGRBs </w:t>
      </w:r>
      <w:r w:rsidRPr="00D81402">
        <w:rPr>
          <w:rFonts w:eastAsia="Times New Roman" w:cstheme="minorHAnsi"/>
          <w:szCs w:val="24"/>
          <w:lang w:eastAsia="en-AU"/>
        </w:rPr>
        <w:t>in accordance with the Regulation and these Guidelines, may be subject to freedom of information applications.</w:t>
      </w:r>
    </w:p>
    <w:p w14:paraId="6EBE7DF2" w14:textId="77777777" w:rsidR="00AB1E9A" w:rsidRPr="00D916A2" w:rsidRDefault="00AB1E9A" w:rsidP="00493955">
      <w:pPr>
        <w:pStyle w:val="Heading2"/>
        <w:rPr>
          <w:rFonts w:ascii="Calibri" w:hAnsi="Calibri" w:cs="Calibri"/>
          <w:b/>
          <w:bCs/>
          <w:color w:val="000000" w:themeColor="text1"/>
          <w:sz w:val="22"/>
          <w:szCs w:val="22"/>
        </w:rPr>
      </w:pPr>
      <w:bookmarkStart w:id="31" w:name="_Toc16756175"/>
      <w:bookmarkStart w:id="32" w:name="_Toc84413388"/>
      <w:r w:rsidRPr="00D916A2">
        <w:rPr>
          <w:rFonts w:ascii="Calibri" w:hAnsi="Calibri" w:cs="Calibri"/>
          <w:b/>
          <w:bCs/>
          <w:color w:val="000000" w:themeColor="text1"/>
          <w:sz w:val="22"/>
          <w:szCs w:val="22"/>
        </w:rPr>
        <w:t xml:space="preserve">Department contact </w:t>
      </w:r>
      <w:proofErr w:type="gramStart"/>
      <w:r w:rsidRPr="00D916A2">
        <w:rPr>
          <w:rFonts w:ascii="Calibri" w:hAnsi="Calibri" w:cs="Calibri"/>
          <w:b/>
          <w:bCs/>
          <w:color w:val="000000" w:themeColor="text1"/>
          <w:sz w:val="22"/>
          <w:szCs w:val="22"/>
        </w:rPr>
        <w:t>information</w:t>
      </w:r>
      <w:bookmarkEnd w:id="31"/>
      <w:bookmarkEnd w:id="32"/>
      <w:proofErr w:type="gramEnd"/>
    </w:p>
    <w:p w14:paraId="12037011" w14:textId="77777777" w:rsidR="00493955" w:rsidRDefault="00AB1E9A" w:rsidP="00E8091A">
      <w:pPr>
        <w:spacing w:after="0" w:line="240" w:lineRule="exact"/>
        <w:ind w:left="720"/>
        <w:rPr>
          <w:rFonts w:eastAsia="Times New Roman" w:cstheme="minorHAnsi"/>
          <w:szCs w:val="24"/>
        </w:rPr>
      </w:pPr>
      <w:r w:rsidRPr="00D81402">
        <w:rPr>
          <w:rFonts w:eastAsia="Times New Roman" w:cstheme="minorHAnsi"/>
          <w:szCs w:val="24"/>
        </w:rPr>
        <w:t>Contact details fo</w:t>
      </w:r>
      <w:r w:rsidR="00415C62" w:rsidRPr="00D81402">
        <w:rPr>
          <w:rFonts w:eastAsia="Times New Roman" w:cstheme="minorHAnsi"/>
          <w:szCs w:val="24"/>
        </w:rPr>
        <w:t xml:space="preserve">r the department are as follows: </w:t>
      </w:r>
    </w:p>
    <w:p w14:paraId="1CF2A062" w14:textId="1A999C07" w:rsidR="00AB1E9A" w:rsidRPr="00D81402" w:rsidRDefault="00F230D4" w:rsidP="00493955">
      <w:pPr>
        <w:spacing w:before="240" w:after="0" w:line="240" w:lineRule="exact"/>
        <w:ind w:left="720"/>
        <w:rPr>
          <w:rFonts w:eastAsia="Times New Roman" w:cstheme="minorHAnsi"/>
          <w:szCs w:val="24"/>
        </w:rPr>
      </w:pPr>
      <w:r w:rsidRPr="00D81402">
        <w:rPr>
          <w:rFonts w:eastAsia="Times New Roman" w:cstheme="minorHAnsi"/>
          <w:szCs w:val="24"/>
        </w:rPr>
        <w:t>School Assurance</w:t>
      </w:r>
      <w:r w:rsidR="00AB1E9A" w:rsidRPr="00D81402">
        <w:rPr>
          <w:rFonts w:eastAsia="Times New Roman" w:cstheme="minorHAnsi"/>
          <w:szCs w:val="24"/>
        </w:rPr>
        <w:t xml:space="preserve"> Branch</w:t>
      </w:r>
    </w:p>
    <w:p w14:paraId="22FF7FA2" w14:textId="77777777" w:rsidR="00AB1E9A" w:rsidRPr="00D81402" w:rsidRDefault="00AB1E9A" w:rsidP="00AC48E2">
      <w:pPr>
        <w:spacing w:after="0" w:line="240" w:lineRule="exact"/>
        <w:ind w:left="720"/>
        <w:rPr>
          <w:rFonts w:eastAsia="Times New Roman" w:cstheme="minorHAnsi"/>
          <w:szCs w:val="24"/>
        </w:rPr>
      </w:pPr>
      <w:r w:rsidRPr="00D81402">
        <w:rPr>
          <w:rFonts w:eastAsia="Times New Roman" w:cstheme="minorHAnsi"/>
          <w:szCs w:val="24"/>
        </w:rPr>
        <w:t>Department of Education</w:t>
      </w:r>
      <w:r w:rsidR="009E1EE6" w:rsidRPr="00D81402">
        <w:rPr>
          <w:rFonts w:eastAsia="Times New Roman" w:cstheme="minorHAnsi"/>
          <w:szCs w:val="24"/>
        </w:rPr>
        <w:t xml:space="preserve">, </w:t>
      </w:r>
      <w:proofErr w:type="gramStart"/>
      <w:r w:rsidR="009E1EE6" w:rsidRPr="00D81402">
        <w:rPr>
          <w:rFonts w:eastAsia="Times New Roman" w:cstheme="minorHAnsi"/>
          <w:szCs w:val="24"/>
        </w:rPr>
        <w:t>Skills</w:t>
      </w:r>
      <w:proofErr w:type="gramEnd"/>
      <w:r w:rsidR="009E1EE6" w:rsidRPr="00D81402">
        <w:rPr>
          <w:rFonts w:eastAsia="Times New Roman" w:cstheme="minorHAnsi"/>
          <w:szCs w:val="24"/>
        </w:rPr>
        <w:t xml:space="preserve"> and Employment</w:t>
      </w:r>
      <w:r w:rsidRPr="00D81402">
        <w:rPr>
          <w:rFonts w:eastAsia="Times New Roman" w:cstheme="minorHAnsi"/>
          <w:szCs w:val="24"/>
        </w:rPr>
        <w:t xml:space="preserve"> </w:t>
      </w:r>
    </w:p>
    <w:p w14:paraId="3ED02DE3" w14:textId="77777777" w:rsidR="00C85294" w:rsidRPr="00D81402" w:rsidRDefault="00AB1E9A" w:rsidP="00AC48E2">
      <w:pPr>
        <w:spacing w:after="0" w:line="240" w:lineRule="exact"/>
        <w:ind w:left="720"/>
        <w:rPr>
          <w:rFonts w:eastAsia="Times New Roman" w:cstheme="minorHAnsi"/>
          <w:szCs w:val="24"/>
        </w:rPr>
      </w:pPr>
      <w:r w:rsidRPr="00D81402">
        <w:rPr>
          <w:rFonts w:eastAsia="Times New Roman" w:cstheme="minorHAnsi"/>
          <w:szCs w:val="24"/>
        </w:rPr>
        <w:t xml:space="preserve">GPO Box 9880 </w:t>
      </w:r>
    </w:p>
    <w:p w14:paraId="537D349B" w14:textId="77777777" w:rsidR="00B817EA" w:rsidRPr="00D81402" w:rsidRDefault="00AB1E9A" w:rsidP="005664E0">
      <w:pPr>
        <w:spacing w:after="120" w:line="240" w:lineRule="exact"/>
        <w:ind w:left="720"/>
        <w:rPr>
          <w:rFonts w:eastAsia="Times New Roman" w:cstheme="minorHAnsi"/>
          <w:szCs w:val="24"/>
        </w:rPr>
      </w:pPr>
      <w:r w:rsidRPr="00D81402">
        <w:rPr>
          <w:rFonts w:eastAsia="Times New Roman" w:cstheme="minorHAnsi"/>
          <w:szCs w:val="24"/>
        </w:rPr>
        <w:t>CANBERRA ACT 2601</w:t>
      </w:r>
    </w:p>
    <w:p w14:paraId="4B849FD9" w14:textId="0160BC3A" w:rsidR="00E770A6" w:rsidRPr="00B817EA" w:rsidRDefault="00AB1E9A" w:rsidP="00AC48E2">
      <w:pPr>
        <w:spacing w:after="0" w:line="240" w:lineRule="exact"/>
        <w:ind w:firstLine="709"/>
        <w:rPr>
          <w:rFonts w:eastAsia="Times New Roman" w:cstheme="minorHAnsi"/>
          <w:szCs w:val="24"/>
        </w:rPr>
      </w:pPr>
      <w:r w:rsidRPr="00D81402">
        <w:rPr>
          <w:rFonts w:eastAsia="Times New Roman" w:cstheme="minorHAnsi"/>
          <w:szCs w:val="24"/>
        </w:rPr>
        <w:t>Email</w:t>
      </w:r>
      <w:r w:rsidR="00B817EA" w:rsidRPr="00D81402">
        <w:rPr>
          <w:rFonts w:eastAsia="Times New Roman" w:cstheme="minorHAnsi"/>
          <w:szCs w:val="24"/>
        </w:rPr>
        <w:t xml:space="preserve">: </w:t>
      </w:r>
      <w:hyperlink r:id="rId19" w:history="1">
        <w:r w:rsidR="00E770A6" w:rsidRPr="00F40CAE">
          <w:rPr>
            <w:rStyle w:val="Hyperlink"/>
            <w:rFonts w:eastAsia="Times New Roman" w:cs="Times New Roman"/>
            <w:szCs w:val="24"/>
          </w:rPr>
          <w:t>reformsupportfund@dese.gov.au</w:t>
        </w:r>
      </w:hyperlink>
    </w:p>
    <w:sectPr w:rsidR="00E770A6" w:rsidRPr="00B817EA" w:rsidSect="002D5733">
      <w:footerReference w:type="default" r:id="rId20"/>
      <w:pgSz w:w="11906" w:h="16838"/>
      <w:pgMar w:top="1418" w:right="1274" w:bottom="1418" w:left="1418" w:header="567"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05CA5" w14:textId="77777777" w:rsidR="00BD7AF8" w:rsidRDefault="00BD7AF8" w:rsidP="00AB1E9A">
      <w:pPr>
        <w:spacing w:after="0" w:line="240" w:lineRule="auto"/>
      </w:pPr>
      <w:r>
        <w:separator/>
      </w:r>
    </w:p>
  </w:endnote>
  <w:endnote w:type="continuationSeparator" w:id="0">
    <w:p w14:paraId="234720B6" w14:textId="77777777" w:rsidR="00BD7AF8" w:rsidRDefault="00BD7AF8" w:rsidP="00AB1E9A">
      <w:pPr>
        <w:spacing w:after="0" w:line="240" w:lineRule="auto"/>
      </w:pPr>
      <w:r>
        <w:continuationSeparator/>
      </w:r>
    </w:p>
  </w:endnote>
  <w:endnote w:type="continuationNotice" w:id="1">
    <w:p w14:paraId="026C9077" w14:textId="77777777" w:rsidR="00BD7AF8" w:rsidRDefault="00BD7A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9530" w14:textId="77777777" w:rsidR="00783018" w:rsidRDefault="00783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F0D6" w14:textId="77777777" w:rsidR="00783018" w:rsidRDefault="007830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C2B29" w14:textId="77777777" w:rsidR="00783018" w:rsidRPr="00E131BB" w:rsidRDefault="00783018" w:rsidP="00E43873">
    <w:pPr>
      <w:pStyle w:val="Footer"/>
      <w:rPr>
        <w:rFonts w:cstheme="minorHAnsi"/>
        <w:b/>
        <w:color w:val="EEECE1" w:themeColor="background2"/>
        <w:sz w:val="16"/>
        <w:szCs w:val="16"/>
      </w:rPr>
    </w:pPr>
    <w:r w:rsidRPr="00BA223B">
      <w:rPr>
        <w:rFonts w:cstheme="minorHAnsi"/>
        <w:b/>
        <w:color w:val="EEECE1" w:themeColor="background2"/>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D41B" w14:textId="77777777" w:rsidR="00783018" w:rsidRPr="00454019" w:rsidRDefault="00783018" w:rsidP="00E4387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D982" w14:textId="1AF12D0D" w:rsidR="00783018" w:rsidRDefault="0078301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9D3B6" w14:textId="77777777" w:rsidR="00BD7AF8" w:rsidRDefault="00BD7AF8" w:rsidP="00AB1E9A">
      <w:pPr>
        <w:spacing w:after="0" w:line="240" w:lineRule="auto"/>
      </w:pPr>
      <w:r>
        <w:separator/>
      </w:r>
    </w:p>
  </w:footnote>
  <w:footnote w:type="continuationSeparator" w:id="0">
    <w:p w14:paraId="3A5C8B7B" w14:textId="77777777" w:rsidR="00BD7AF8" w:rsidRDefault="00BD7AF8" w:rsidP="00AB1E9A">
      <w:pPr>
        <w:spacing w:after="0" w:line="240" w:lineRule="auto"/>
      </w:pPr>
      <w:r>
        <w:continuationSeparator/>
      </w:r>
    </w:p>
  </w:footnote>
  <w:footnote w:type="continuationNotice" w:id="1">
    <w:p w14:paraId="75172A1B" w14:textId="77777777" w:rsidR="00BD7AF8" w:rsidRDefault="00BD7A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9016" w14:textId="77777777" w:rsidR="00783018" w:rsidRDefault="00783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EA5D" w14:textId="77777777" w:rsidR="00783018" w:rsidRDefault="00783018" w:rsidP="00BA48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0DA2" w14:textId="147BF75D" w:rsidR="00783018" w:rsidRDefault="007830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EA702D"/>
    <w:multiLevelType w:val="hybridMultilevel"/>
    <w:tmpl w:val="81D07B16"/>
    <w:lvl w:ilvl="0" w:tplc="A358EB94">
      <w:start w:val="1"/>
      <w:numFmt w:val="lowerLetter"/>
      <w:lvlText w:val="(%1)"/>
      <w:lvlJc w:val="left"/>
      <w:pPr>
        <w:ind w:left="1069" w:hanging="360"/>
      </w:pPr>
      <w:rPr>
        <w:rFonts w:hint="default"/>
        <w:i w:val="0"/>
      </w:rPr>
    </w:lvl>
    <w:lvl w:ilvl="1" w:tplc="0C090019" w:tentative="1">
      <w:start w:val="1"/>
      <w:numFmt w:val="lowerLetter"/>
      <w:lvlText w:val="%2."/>
      <w:lvlJc w:val="left"/>
      <w:pPr>
        <w:ind w:left="1444" w:hanging="360"/>
      </w:pPr>
    </w:lvl>
    <w:lvl w:ilvl="2" w:tplc="0C09001B" w:tentative="1">
      <w:start w:val="1"/>
      <w:numFmt w:val="lowerRoman"/>
      <w:lvlText w:val="%3."/>
      <w:lvlJc w:val="right"/>
      <w:pPr>
        <w:ind w:left="2164" w:hanging="180"/>
      </w:pPr>
    </w:lvl>
    <w:lvl w:ilvl="3" w:tplc="0C09000F" w:tentative="1">
      <w:start w:val="1"/>
      <w:numFmt w:val="decimal"/>
      <w:lvlText w:val="%4."/>
      <w:lvlJc w:val="left"/>
      <w:pPr>
        <w:ind w:left="2884" w:hanging="360"/>
      </w:pPr>
    </w:lvl>
    <w:lvl w:ilvl="4" w:tplc="0C090019" w:tentative="1">
      <w:start w:val="1"/>
      <w:numFmt w:val="lowerLetter"/>
      <w:lvlText w:val="%5."/>
      <w:lvlJc w:val="left"/>
      <w:pPr>
        <w:ind w:left="3604" w:hanging="360"/>
      </w:pPr>
    </w:lvl>
    <w:lvl w:ilvl="5" w:tplc="0C09001B" w:tentative="1">
      <w:start w:val="1"/>
      <w:numFmt w:val="lowerRoman"/>
      <w:lvlText w:val="%6."/>
      <w:lvlJc w:val="right"/>
      <w:pPr>
        <w:ind w:left="4324" w:hanging="180"/>
      </w:pPr>
    </w:lvl>
    <w:lvl w:ilvl="6" w:tplc="0C09000F" w:tentative="1">
      <w:start w:val="1"/>
      <w:numFmt w:val="decimal"/>
      <w:lvlText w:val="%7."/>
      <w:lvlJc w:val="left"/>
      <w:pPr>
        <w:ind w:left="5044" w:hanging="360"/>
      </w:pPr>
    </w:lvl>
    <w:lvl w:ilvl="7" w:tplc="0C090019" w:tentative="1">
      <w:start w:val="1"/>
      <w:numFmt w:val="lowerLetter"/>
      <w:lvlText w:val="%8."/>
      <w:lvlJc w:val="left"/>
      <w:pPr>
        <w:ind w:left="5764" w:hanging="360"/>
      </w:pPr>
    </w:lvl>
    <w:lvl w:ilvl="8" w:tplc="0C09001B" w:tentative="1">
      <w:start w:val="1"/>
      <w:numFmt w:val="lowerRoman"/>
      <w:lvlText w:val="%9."/>
      <w:lvlJc w:val="right"/>
      <w:pPr>
        <w:ind w:left="6484" w:hanging="180"/>
      </w:pPr>
    </w:lvl>
  </w:abstractNum>
  <w:abstractNum w:abstractNumId="3"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F7075DA"/>
    <w:multiLevelType w:val="hybridMultilevel"/>
    <w:tmpl w:val="F2184DFE"/>
    <w:lvl w:ilvl="0" w:tplc="AA1EC9C4">
      <w:start w:val="2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7"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8" w15:restartNumberingAfterBreak="0">
    <w:nsid w:val="15A80B62"/>
    <w:multiLevelType w:val="hybridMultilevel"/>
    <w:tmpl w:val="E326EA44"/>
    <w:lvl w:ilvl="0" w:tplc="3934E8A2">
      <w:start w:val="3"/>
      <w:numFmt w:val="bullet"/>
      <w:lvlText w:val="-"/>
      <w:lvlJc w:val="left"/>
      <w:pPr>
        <w:ind w:left="2880" w:hanging="360"/>
      </w:pPr>
      <w:rPr>
        <w:rFonts w:ascii="Times New Roman" w:eastAsia="Times New Roman" w:hAnsi="Times New Roman"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9"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AB5DF7"/>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3F7B84"/>
    <w:multiLevelType w:val="hybridMultilevel"/>
    <w:tmpl w:val="8E3AE2D4"/>
    <w:lvl w:ilvl="0" w:tplc="EBA6EA0A">
      <w:start w:val="1"/>
      <w:numFmt w:val="lowerRoman"/>
      <w:lvlText w:val="%1."/>
      <w:lvlJc w:val="right"/>
      <w:pPr>
        <w:ind w:left="1053" w:hanging="360"/>
      </w:pPr>
      <w:rPr>
        <w:rFonts w:hint="default"/>
        <w:i w:val="0"/>
      </w:rPr>
    </w:lvl>
    <w:lvl w:ilvl="1" w:tplc="0C090019" w:tentative="1">
      <w:start w:val="1"/>
      <w:numFmt w:val="lowerLetter"/>
      <w:lvlText w:val="%2."/>
      <w:lvlJc w:val="left"/>
      <w:pPr>
        <w:ind w:left="1428" w:hanging="360"/>
      </w:pPr>
    </w:lvl>
    <w:lvl w:ilvl="2" w:tplc="0C09001B" w:tentative="1">
      <w:start w:val="1"/>
      <w:numFmt w:val="lowerRoman"/>
      <w:lvlText w:val="%3."/>
      <w:lvlJc w:val="right"/>
      <w:pPr>
        <w:ind w:left="2148" w:hanging="180"/>
      </w:pPr>
    </w:lvl>
    <w:lvl w:ilvl="3" w:tplc="0C09000F" w:tentative="1">
      <w:start w:val="1"/>
      <w:numFmt w:val="decimal"/>
      <w:lvlText w:val="%4."/>
      <w:lvlJc w:val="left"/>
      <w:pPr>
        <w:ind w:left="2868" w:hanging="360"/>
      </w:pPr>
    </w:lvl>
    <w:lvl w:ilvl="4" w:tplc="0C090019" w:tentative="1">
      <w:start w:val="1"/>
      <w:numFmt w:val="lowerLetter"/>
      <w:lvlText w:val="%5."/>
      <w:lvlJc w:val="left"/>
      <w:pPr>
        <w:ind w:left="3588" w:hanging="360"/>
      </w:pPr>
    </w:lvl>
    <w:lvl w:ilvl="5" w:tplc="0C09001B" w:tentative="1">
      <w:start w:val="1"/>
      <w:numFmt w:val="lowerRoman"/>
      <w:lvlText w:val="%6."/>
      <w:lvlJc w:val="right"/>
      <w:pPr>
        <w:ind w:left="4308" w:hanging="180"/>
      </w:pPr>
    </w:lvl>
    <w:lvl w:ilvl="6" w:tplc="0C09000F" w:tentative="1">
      <w:start w:val="1"/>
      <w:numFmt w:val="decimal"/>
      <w:lvlText w:val="%7."/>
      <w:lvlJc w:val="left"/>
      <w:pPr>
        <w:ind w:left="5028" w:hanging="360"/>
      </w:pPr>
    </w:lvl>
    <w:lvl w:ilvl="7" w:tplc="0C090019" w:tentative="1">
      <w:start w:val="1"/>
      <w:numFmt w:val="lowerLetter"/>
      <w:lvlText w:val="%8."/>
      <w:lvlJc w:val="left"/>
      <w:pPr>
        <w:ind w:left="5748" w:hanging="360"/>
      </w:pPr>
    </w:lvl>
    <w:lvl w:ilvl="8" w:tplc="0C09001B" w:tentative="1">
      <w:start w:val="1"/>
      <w:numFmt w:val="lowerRoman"/>
      <w:lvlText w:val="%9."/>
      <w:lvlJc w:val="right"/>
      <w:pPr>
        <w:ind w:left="6468" w:hanging="180"/>
      </w:pPr>
    </w:lvl>
  </w:abstractNum>
  <w:abstractNum w:abstractNumId="12" w15:restartNumberingAfterBreak="0">
    <w:nsid w:val="28143B7C"/>
    <w:multiLevelType w:val="hybridMultilevel"/>
    <w:tmpl w:val="951494F6"/>
    <w:lvl w:ilvl="0" w:tplc="15E0863C">
      <w:start w:val="1"/>
      <w:numFmt w:val="lowerLetter"/>
      <w:lvlText w:val="(%1)"/>
      <w:lvlJc w:val="left"/>
      <w:pPr>
        <w:ind w:left="144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4"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5" w15:restartNumberingAfterBreak="0">
    <w:nsid w:val="2F476A20"/>
    <w:multiLevelType w:val="hybridMultilevel"/>
    <w:tmpl w:val="4FB654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C194853"/>
    <w:multiLevelType w:val="hybridMultilevel"/>
    <w:tmpl w:val="D9DEA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9F2A7B"/>
    <w:multiLevelType w:val="hybridMultilevel"/>
    <w:tmpl w:val="B1103E78"/>
    <w:lvl w:ilvl="0" w:tplc="3934E8A2">
      <w:start w:val="3"/>
      <w:numFmt w:val="bullet"/>
      <w:lvlText w:val="-"/>
      <w:lvlJc w:val="left"/>
      <w:pPr>
        <w:ind w:left="1440" w:hanging="360"/>
      </w:pPr>
      <w:rPr>
        <w:rFonts w:ascii="Times New Roman" w:eastAsia="Times New Roman" w:hAnsi="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C552E3A"/>
    <w:multiLevelType w:val="hybridMultilevel"/>
    <w:tmpl w:val="48D8FB20"/>
    <w:lvl w:ilvl="0" w:tplc="0C090017">
      <w:start w:val="1"/>
      <w:numFmt w:val="lowerLetter"/>
      <w:lvlText w:val="%1)"/>
      <w:lvlJc w:val="left"/>
      <w:pPr>
        <w:ind w:left="720" w:hanging="360"/>
      </w:pPr>
      <w:rPr>
        <w:rFonts w:hint="default"/>
        <w:i w:val="0"/>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20"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2"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5427AA4"/>
    <w:multiLevelType w:val="hybridMultilevel"/>
    <w:tmpl w:val="8E3AE2D4"/>
    <w:lvl w:ilvl="0" w:tplc="EBA6EA0A">
      <w:start w:val="1"/>
      <w:numFmt w:val="lowerRoman"/>
      <w:lvlText w:val="%1."/>
      <w:lvlJc w:val="right"/>
      <w:pPr>
        <w:ind w:left="720" w:hanging="360"/>
      </w:pPr>
      <w:rPr>
        <w:rFonts w:hint="default"/>
        <w:i w:val="0"/>
      </w:rPr>
    </w:lvl>
    <w:lvl w:ilvl="1" w:tplc="0C090019" w:tentative="1">
      <w:start w:val="1"/>
      <w:numFmt w:val="lowerLetter"/>
      <w:lvlText w:val="%2."/>
      <w:lvlJc w:val="left"/>
      <w:pPr>
        <w:ind w:left="1095" w:hanging="360"/>
      </w:pPr>
    </w:lvl>
    <w:lvl w:ilvl="2" w:tplc="0C09001B" w:tentative="1">
      <w:start w:val="1"/>
      <w:numFmt w:val="lowerRoman"/>
      <w:lvlText w:val="%3."/>
      <w:lvlJc w:val="right"/>
      <w:pPr>
        <w:ind w:left="1815" w:hanging="180"/>
      </w:pPr>
    </w:lvl>
    <w:lvl w:ilvl="3" w:tplc="0C09000F" w:tentative="1">
      <w:start w:val="1"/>
      <w:numFmt w:val="decimal"/>
      <w:lvlText w:val="%4."/>
      <w:lvlJc w:val="left"/>
      <w:pPr>
        <w:ind w:left="2535" w:hanging="360"/>
      </w:pPr>
    </w:lvl>
    <w:lvl w:ilvl="4" w:tplc="0C090019" w:tentative="1">
      <w:start w:val="1"/>
      <w:numFmt w:val="lowerLetter"/>
      <w:lvlText w:val="%5."/>
      <w:lvlJc w:val="left"/>
      <w:pPr>
        <w:ind w:left="3255" w:hanging="360"/>
      </w:pPr>
    </w:lvl>
    <w:lvl w:ilvl="5" w:tplc="0C09001B" w:tentative="1">
      <w:start w:val="1"/>
      <w:numFmt w:val="lowerRoman"/>
      <w:lvlText w:val="%6."/>
      <w:lvlJc w:val="right"/>
      <w:pPr>
        <w:ind w:left="3975" w:hanging="180"/>
      </w:pPr>
    </w:lvl>
    <w:lvl w:ilvl="6" w:tplc="0C09000F" w:tentative="1">
      <w:start w:val="1"/>
      <w:numFmt w:val="decimal"/>
      <w:lvlText w:val="%7."/>
      <w:lvlJc w:val="left"/>
      <w:pPr>
        <w:ind w:left="4695" w:hanging="360"/>
      </w:pPr>
    </w:lvl>
    <w:lvl w:ilvl="7" w:tplc="0C090019" w:tentative="1">
      <w:start w:val="1"/>
      <w:numFmt w:val="lowerLetter"/>
      <w:lvlText w:val="%8."/>
      <w:lvlJc w:val="left"/>
      <w:pPr>
        <w:ind w:left="5415" w:hanging="360"/>
      </w:pPr>
    </w:lvl>
    <w:lvl w:ilvl="8" w:tplc="0C09001B" w:tentative="1">
      <w:start w:val="1"/>
      <w:numFmt w:val="lowerRoman"/>
      <w:lvlText w:val="%9."/>
      <w:lvlJc w:val="right"/>
      <w:pPr>
        <w:ind w:left="6135" w:hanging="180"/>
      </w:pPr>
    </w:lvl>
  </w:abstractNum>
  <w:abstractNum w:abstractNumId="24" w15:restartNumberingAfterBreak="0">
    <w:nsid w:val="586C69D3"/>
    <w:multiLevelType w:val="hybridMultilevel"/>
    <w:tmpl w:val="07604486"/>
    <w:lvl w:ilvl="0" w:tplc="4022E312">
      <w:start w:val="13"/>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98B789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7"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8" w15:restartNumberingAfterBreak="0">
    <w:nsid w:val="5DC77000"/>
    <w:multiLevelType w:val="hybridMultilevel"/>
    <w:tmpl w:val="FFB8F780"/>
    <w:lvl w:ilvl="0" w:tplc="0C09000F">
      <w:start w:val="1"/>
      <w:numFmt w:val="decimal"/>
      <w:lvlText w:val="%1."/>
      <w:lvlJc w:val="left"/>
      <w:pPr>
        <w:ind w:left="928" w:hanging="360"/>
      </w:pPr>
      <w:rPr>
        <w:rFonts w:hint="default"/>
        <w:b w:val="0"/>
        <w:i w:val="0"/>
        <w:color w:val="auto"/>
      </w:rPr>
    </w:lvl>
    <w:lvl w:ilvl="1" w:tplc="3398CE26">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1"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2"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3"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91B7B3D"/>
    <w:multiLevelType w:val="hybridMultilevel"/>
    <w:tmpl w:val="FDA663CC"/>
    <w:lvl w:ilvl="0" w:tplc="A4C4A0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15:restartNumberingAfterBreak="0">
    <w:nsid w:val="6C886531"/>
    <w:multiLevelType w:val="hybridMultilevel"/>
    <w:tmpl w:val="B6FEC7E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8854AAC"/>
    <w:multiLevelType w:val="hybridMultilevel"/>
    <w:tmpl w:val="42DA1948"/>
    <w:lvl w:ilvl="0" w:tplc="FFFFFFFF">
      <w:start w:val="1"/>
      <w:numFmt w:val="decimal"/>
      <w:pStyle w:val="Normalnumbered"/>
      <w:lvlText w:val="%1."/>
      <w:lvlJc w:val="left"/>
      <w:pPr>
        <w:tabs>
          <w:tab w:val="num" w:pos="851"/>
        </w:tabs>
        <w:ind w:left="851" w:hanging="567"/>
      </w:pPr>
      <w:rPr>
        <w:rFonts w:cs="Times New Roman" w:hint="default"/>
      </w:rPr>
    </w:lvl>
    <w:lvl w:ilvl="1" w:tplc="0C090017">
      <w:start w:val="1"/>
      <w:numFmt w:val="lowerLetter"/>
      <w:lvlText w:val="%2)"/>
      <w:lvlJc w:val="left"/>
      <w:pPr>
        <w:tabs>
          <w:tab w:val="num" w:pos="1440"/>
        </w:tabs>
        <w:ind w:left="1440" w:hanging="360"/>
      </w:pPr>
    </w:lvl>
    <w:lvl w:ilvl="2" w:tplc="C3D2FB00">
      <w:start w:val="1"/>
      <w:numFmt w:val="lowerRoman"/>
      <w:lvlText w:val="%3."/>
      <w:lvlJc w:val="left"/>
      <w:pPr>
        <w:tabs>
          <w:tab w:val="num" w:pos="2160"/>
        </w:tabs>
        <w:ind w:left="2160" w:hanging="180"/>
      </w:pPr>
      <w:rPr>
        <w:rFonts w:ascii="Corbel" w:eastAsia="Times New Roman" w:hAnsi="Corbel" w:cs="Corbel"/>
      </w:rPr>
    </w:lvl>
    <w:lvl w:ilvl="3" w:tplc="65445262">
      <w:start w:val="1"/>
      <w:numFmt w:val="decimal"/>
      <w:lvlText w:val="%4."/>
      <w:lvlJc w:val="right"/>
      <w:pPr>
        <w:tabs>
          <w:tab w:val="num" w:pos="2880"/>
        </w:tabs>
        <w:ind w:left="2880" w:hanging="360"/>
      </w:pPr>
      <w:rPr>
        <w:rFonts w:ascii="Corbel" w:eastAsia="Times New Roman" w:hAnsi="Corbel" w:cs="Corbel"/>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8"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39"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13809716">
    <w:abstractNumId w:val="27"/>
  </w:num>
  <w:num w:numId="2" w16cid:durableId="1747411621">
    <w:abstractNumId w:val="38"/>
  </w:num>
  <w:num w:numId="3" w16cid:durableId="1281064930">
    <w:abstractNumId w:val="7"/>
  </w:num>
  <w:num w:numId="4" w16cid:durableId="1292788286">
    <w:abstractNumId w:val="13"/>
  </w:num>
  <w:num w:numId="5" w16cid:durableId="464130361">
    <w:abstractNumId w:val="6"/>
  </w:num>
  <w:num w:numId="6" w16cid:durableId="251745638">
    <w:abstractNumId w:val="31"/>
  </w:num>
  <w:num w:numId="7" w16cid:durableId="1253660556">
    <w:abstractNumId w:val="22"/>
  </w:num>
  <w:num w:numId="8" w16cid:durableId="1673411778">
    <w:abstractNumId w:val="39"/>
  </w:num>
  <w:num w:numId="9" w16cid:durableId="1306548038">
    <w:abstractNumId w:val="9"/>
  </w:num>
  <w:num w:numId="10" w16cid:durableId="1261525548">
    <w:abstractNumId w:val="4"/>
  </w:num>
  <w:num w:numId="11" w16cid:durableId="1831558575">
    <w:abstractNumId w:val="28"/>
  </w:num>
  <w:num w:numId="12" w16cid:durableId="577248627">
    <w:abstractNumId w:val="30"/>
  </w:num>
  <w:num w:numId="13" w16cid:durableId="404912096">
    <w:abstractNumId w:val="3"/>
  </w:num>
  <w:num w:numId="14" w16cid:durableId="344139755">
    <w:abstractNumId w:val="26"/>
  </w:num>
  <w:num w:numId="15" w16cid:durableId="482740949">
    <w:abstractNumId w:val="14"/>
  </w:num>
  <w:num w:numId="16" w16cid:durableId="1389500758">
    <w:abstractNumId w:val="11"/>
  </w:num>
  <w:num w:numId="17" w16cid:durableId="1372338363">
    <w:abstractNumId w:val="20"/>
  </w:num>
  <w:num w:numId="18" w16cid:durableId="203979554">
    <w:abstractNumId w:val="0"/>
  </w:num>
  <w:num w:numId="19" w16cid:durableId="1664814483">
    <w:abstractNumId w:val="1"/>
  </w:num>
  <w:num w:numId="20" w16cid:durableId="1912230208">
    <w:abstractNumId w:val="32"/>
  </w:num>
  <w:num w:numId="21" w16cid:durableId="278532254">
    <w:abstractNumId w:val="21"/>
  </w:num>
  <w:num w:numId="22" w16cid:durableId="1976718159">
    <w:abstractNumId w:val="29"/>
  </w:num>
  <w:num w:numId="23" w16cid:durableId="1367559653">
    <w:abstractNumId w:val="36"/>
  </w:num>
  <w:num w:numId="24" w16cid:durableId="1554266292">
    <w:abstractNumId w:val="16"/>
  </w:num>
  <w:num w:numId="25" w16cid:durableId="879317808">
    <w:abstractNumId w:val="33"/>
  </w:num>
  <w:num w:numId="26" w16cid:durableId="1778796698">
    <w:abstractNumId w:val="24"/>
  </w:num>
  <w:num w:numId="27" w16cid:durableId="775322204">
    <w:abstractNumId w:val="37"/>
  </w:num>
  <w:num w:numId="28" w16cid:durableId="1995912575">
    <w:abstractNumId w:val="35"/>
  </w:num>
  <w:num w:numId="29" w16cid:durableId="1765565971">
    <w:abstractNumId w:val="23"/>
  </w:num>
  <w:num w:numId="30" w16cid:durableId="624433886">
    <w:abstractNumId w:val="19"/>
  </w:num>
  <w:num w:numId="31" w16cid:durableId="1376395809">
    <w:abstractNumId w:val="2"/>
  </w:num>
  <w:num w:numId="32" w16cid:durableId="635449557">
    <w:abstractNumId w:val="17"/>
  </w:num>
  <w:num w:numId="33" w16cid:durableId="2065713837">
    <w:abstractNumId w:val="15"/>
  </w:num>
  <w:num w:numId="34" w16cid:durableId="476069640">
    <w:abstractNumId w:val="10"/>
  </w:num>
  <w:num w:numId="35" w16cid:durableId="362639240">
    <w:abstractNumId w:val="25"/>
  </w:num>
  <w:num w:numId="36" w16cid:durableId="544030686">
    <w:abstractNumId w:val="8"/>
  </w:num>
  <w:num w:numId="37" w16cid:durableId="644507652">
    <w:abstractNumId w:val="18"/>
  </w:num>
  <w:num w:numId="38" w16cid:durableId="432210661">
    <w:abstractNumId w:val="12"/>
  </w:num>
  <w:num w:numId="39" w16cid:durableId="1366370861">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7444318">
    <w:abstractNumId w:val="5"/>
  </w:num>
  <w:num w:numId="41" w16cid:durableId="617839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07D96"/>
    <w:rsid w:val="0001492B"/>
    <w:rsid w:val="00021DF3"/>
    <w:rsid w:val="00022452"/>
    <w:rsid w:val="00022B75"/>
    <w:rsid w:val="00025772"/>
    <w:rsid w:val="00036F55"/>
    <w:rsid w:val="0003754A"/>
    <w:rsid w:val="000400A7"/>
    <w:rsid w:val="00040D8E"/>
    <w:rsid w:val="00047D1D"/>
    <w:rsid w:val="0005044C"/>
    <w:rsid w:val="00052BDF"/>
    <w:rsid w:val="00053D05"/>
    <w:rsid w:val="000566F6"/>
    <w:rsid w:val="0006392B"/>
    <w:rsid w:val="00067A61"/>
    <w:rsid w:val="00072BB9"/>
    <w:rsid w:val="0007363F"/>
    <w:rsid w:val="00073AFC"/>
    <w:rsid w:val="00074A1F"/>
    <w:rsid w:val="0007649D"/>
    <w:rsid w:val="00080608"/>
    <w:rsid w:val="000817B9"/>
    <w:rsid w:val="00090254"/>
    <w:rsid w:val="000A382D"/>
    <w:rsid w:val="000A4DDC"/>
    <w:rsid w:val="000A6BA0"/>
    <w:rsid w:val="000A711A"/>
    <w:rsid w:val="000A7776"/>
    <w:rsid w:val="000B2D5E"/>
    <w:rsid w:val="000B3987"/>
    <w:rsid w:val="000B733E"/>
    <w:rsid w:val="000C06D1"/>
    <w:rsid w:val="000C0ECB"/>
    <w:rsid w:val="000C259A"/>
    <w:rsid w:val="000C6192"/>
    <w:rsid w:val="000C6762"/>
    <w:rsid w:val="000C7852"/>
    <w:rsid w:val="000E6CD1"/>
    <w:rsid w:val="000F0E76"/>
    <w:rsid w:val="000F1157"/>
    <w:rsid w:val="000F1FFB"/>
    <w:rsid w:val="00101628"/>
    <w:rsid w:val="0010397F"/>
    <w:rsid w:val="001045AA"/>
    <w:rsid w:val="001067AE"/>
    <w:rsid w:val="001164AA"/>
    <w:rsid w:val="0012076D"/>
    <w:rsid w:val="00127121"/>
    <w:rsid w:val="001326ED"/>
    <w:rsid w:val="00134566"/>
    <w:rsid w:val="00147C5E"/>
    <w:rsid w:val="0015159D"/>
    <w:rsid w:val="0015438C"/>
    <w:rsid w:val="0016027D"/>
    <w:rsid w:val="001639EA"/>
    <w:rsid w:val="00163DCF"/>
    <w:rsid w:val="0016423F"/>
    <w:rsid w:val="0016476F"/>
    <w:rsid w:val="001772A0"/>
    <w:rsid w:val="00185A67"/>
    <w:rsid w:val="00186F82"/>
    <w:rsid w:val="00191130"/>
    <w:rsid w:val="001961F8"/>
    <w:rsid w:val="001A2784"/>
    <w:rsid w:val="001A5E92"/>
    <w:rsid w:val="001A61DD"/>
    <w:rsid w:val="001A66A1"/>
    <w:rsid w:val="001B114A"/>
    <w:rsid w:val="001B3C73"/>
    <w:rsid w:val="001B41B6"/>
    <w:rsid w:val="001B4806"/>
    <w:rsid w:val="001C2C80"/>
    <w:rsid w:val="001C36E2"/>
    <w:rsid w:val="001C6270"/>
    <w:rsid w:val="001C78FE"/>
    <w:rsid w:val="001D023F"/>
    <w:rsid w:val="001D0E28"/>
    <w:rsid w:val="001D24E2"/>
    <w:rsid w:val="001D37EE"/>
    <w:rsid w:val="001E0D78"/>
    <w:rsid w:val="001E1894"/>
    <w:rsid w:val="001E21AA"/>
    <w:rsid w:val="001E44B2"/>
    <w:rsid w:val="001E736D"/>
    <w:rsid w:val="001E7FA1"/>
    <w:rsid w:val="001F08F7"/>
    <w:rsid w:val="001F4355"/>
    <w:rsid w:val="001F4F1B"/>
    <w:rsid w:val="00203206"/>
    <w:rsid w:val="0020662D"/>
    <w:rsid w:val="00206F5D"/>
    <w:rsid w:val="00207312"/>
    <w:rsid w:val="00207358"/>
    <w:rsid w:val="00211EA5"/>
    <w:rsid w:val="00213735"/>
    <w:rsid w:val="00221F0C"/>
    <w:rsid w:val="00225014"/>
    <w:rsid w:val="00227BA8"/>
    <w:rsid w:val="00232144"/>
    <w:rsid w:val="002338B5"/>
    <w:rsid w:val="00237423"/>
    <w:rsid w:val="0025459F"/>
    <w:rsid w:val="0025598E"/>
    <w:rsid w:val="0025742B"/>
    <w:rsid w:val="00260F10"/>
    <w:rsid w:val="00264725"/>
    <w:rsid w:val="00264C72"/>
    <w:rsid w:val="002838C8"/>
    <w:rsid w:val="00290417"/>
    <w:rsid w:val="00290573"/>
    <w:rsid w:val="002925D5"/>
    <w:rsid w:val="00295D2C"/>
    <w:rsid w:val="002A25BF"/>
    <w:rsid w:val="002A427E"/>
    <w:rsid w:val="002B0635"/>
    <w:rsid w:val="002B0F8E"/>
    <w:rsid w:val="002B5015"/>
    <w:rsid w:val="002C22F7"/>
    <w:rsid w:val="002C3EA8"/>
    <w:rsid w:val="002C6775"/>
    <w:rsid w:val="002C67EB"/>
    <w:rsid w:val="002D202E"/>
    <w:rsid w:val="002D3E07"/>
    <w:rsid w:val="002D5733"/>
    <w:rsid w:val="002D7ACA"/>
    <w:rsid w:val="002E008D"/>
    <w:rsid w:val="002E1783"/>
    <w:rsid w:val="002E7111"/>
    <w:rsid w:val="002F1420"/>
    <w:rsid w:val="002F6FDE"/>
    <w:rsid w:val="0030339C"/>
    <w:rsid w:val="00311CCB"/>
    <w:rsid w:val="003159BA"/>
    <w:rsid w:val="00321547"/>
    <w:rsid w:val="00322586"/>
    <w:rsid w:val="00322646"/>
    <w:rsid w:val="00326E10"/>
    <w:rsid w:val="00336BDC"/>
    <w:rsid w:val="00341004"/>
    <w:rsid w:val="00341B71"/>
    <w:rsid w:val="00347301"/>
    <w:rsid w:val="003506AC"/>
    <w:rsid w:val="00352C89"/>
    <w:rsid w:val="00352F18"/>
    <w:rsid w:val="0035714A"/>
    <w:rsid w:val="0036096B"/>
    <w:rsid w:val="0036152D"/>
    <w:rsid w:val="00365D0D"/>
    <w:rsid w:val="0037074E"/>
    <w:rsid w:val="003728D6"/>
    <w:rsid w:val="00373372"/>
    <w:rsid w:val="00374921"/>
    <w:rsid w:val="00375A69"/>
    <w:rsid w:val="00376CCB"/>
    <w:rsid w:val="003810F2"/>
    <w:rsid w:val="00381BB1"/>
    <w:rsid w:val="00382918"/>
    <w:rsid w:val="00382AC9"/>
    <w:rsid w:val="00385CE2"/>
    <w:rsid w:val="00386758"/>
    <w:rsid w:val="00387FDB"/>
    <w:rsid w:val="00393F2F"/>
    <w:rsid w:val="00393F59"/>
    <w:rsid w:val="003B1062"/>
    <w:rsid w:val="003B4294"/>
    <w:rsid w:val="003B4CF3"/>
    <w:rsid w:val="003C33C0"/>
    <w:rsid w:val="003E2A74"/>
    <w:rsid w:val="003F0BD9"/>
    <w:rsid w:val="003F5AB1"/>
    <w:rsid w:val="00400AFC"/>
    <w:rsid w:val="00406040"/>
    <w:rsid w:val="00410A55"/>
    <w:rsid w:val="004115B5"/>
    <w:rsid w:val="00412D97"/>
    <w:rsid w:val="0041528F"/>
    <w:rsid w:val="00415C62"/>
    <w:rsid w:val="00416BB6"/>
    <w:rsid w:val="00417F6C"/>
    <w:rsid w:val="00422EF3"/>
    <w:rsid w:val="00423B7E"/>
    <w:rsid w:val="00424FF7"/>
    <w:rsid w:val="004253CD"/>
    <w:rsid w:val="00426F5B"/>
    <w:rsid w:val="00437737"/>
    <w:rsid w:val="00440A11"/>
    <w:rsid w:val="00441BE5"/>
    <w:rsid w:val="0044223C"/>
    <w:rsid w:val="004424EA"/>
    <w:rsid w:val="004458A7"/>
    <w:rsid w:val="00452112"/>
    <w:rsid w:val="004543B7"/>
    <w:rsid w:val="004567B2"/>
    <w:rsid w:val="00457097"/>
    <w:rsid w:val="004578A9"/>
    <w:rsid w:val="004630D4"/>
    <w:rsid w:val="00463376"/>
    <w:rsid w:val="00464695"/>
    <w:rsid w:val="00470CFE"/>
    <w:rsid w:val="00471D9D"/>
    <w:rsid w:val="00473702"/>
    <w:rsid w:val="00474691"/>
    <w:rsid w:val="004802B6"/>
    <w:rsid w:val="0048161B"/>
    <w:rsid w:val="004822DF"/>
    <w:rsid w:val="00482BBF"/>
    <w:rsid w:val="0049024A"/>
    <w:rsid w:val="00491C8E"/>
    <w:rsid w:val="00493955"/>
    <w:rsid w:val="004A2D62"/>
    <w:rsid w:val="004A448E"/>
    <w:rsid w:val="004B1012"/>
    <w:rsid w:val="004B1A38"/>
    <w:rsid w:val="004B3584"/>
    <w:rsid w:val="004B3675"/>
    <w:rsid w:val="004B3932"/>
    <w:rsid w:val="004B656D"/>
    <w:rsid w:val="004C18DA"/>
    <w:rsid w:val="004C2D3B"/>
    <w:rsid w:val="004C72D7"/>
    <w:rsid w:val="004C7F5E"/>
    <w:rsid w:val="004D00DE"/>
    <w:rsid w:val="004D1026"/>
    <w:rsid w:val="004D22E9"/>
    <w:rsid w:val="004D27FA"/>
    <w:rsid w:val="004D2A24"/>
    <w:rsid w:val="004E3E99"/>
    <w:rsid w:val="004F2B37"/>
    <w:rsid w:val="004F3FC9"/>
    <w:rsid w:val="004F6029"/>
    <w:rsid w:val="004F648A"/>
    <w:rsid w:val="004F7E20"/>
    <w:rsid w:val="00500978"/>
    <w:rsid w:val="00505806"/>
    <w:rsid w:val="00506102"/>
    <w:rsid w:val="00511512"/>
    <w:rsid w:val="00514DDA"/>
    <w:rsid w:val="005176CB"/>
    <w:rsid w:val="00520A5A"/>
    <w:rsid w:val="0052165F"/>
    <w:rsid w:val="00524A81"/>
    <w:rsid w:val="005265E4"/>
    <w:rsid w:val="005302F9"/>
    <w:rsid w:val="00530C08"/>
    <w:rsid w:val="00531F2F"/>
    <w:rsid w:val="00534E5A"/>
    <w:rsid w:val="00535FA3"/>
    <w:rsid w:val="0053752F"/>
    <w:rsid w:val="005451D5"/>
    <w:rsid w:val="00552520"/>
    <w:rsid w:val="00555950"/>
    <w:rsid w:val="00556382"/>
    <w:rsid w:val="00562F4C"/>
    <w:rsid w:val="00564660"/>
    <w:rsid w:val="005658C2"/>
    <w:rsid w:val="005664E0"/>
    <w:rsid w:val="005703C3"/>
    <w:rsid w:val="00573BB8"/>
    <w:rsid w:val="0057516E"/>
    <w:rsid w:val="005765C6"/>
    <w:rsid w:val="00577EB5"/>
    <w:rsid w:val="0058280F"/>
    <w:rsid w:val="00582B5C"/>
    <w:rsid w:val="0058309E"/>
    <w:rsid w:val="0058651F"/>
    <w:rsid w:val="005910C8"/>
    <w:rsid w:val="005921EE"/>
    <w:rsid w:val="00595C6A"/>
    <w:rsid w:val="00597A08"/>
    <w:rsid w:val="005A3A38"/>
    <w:rsid w:val="005B06E3"/>
    <w:rsid w:val="005B3739"/>
    <w:rsid w:val="005C0D77"/>
    <w:rsid w:val="005C1D87"/>
    <w:rsid w:val="005C266E"/>
    <w:rsid w:val="005C5124"/>
    <w:rsid w:val="005C578B"/>
    <w:rsid w:val="005C57DA"/>
    <w:rsid w:val="005D69F1"/>
    <w:rsid w:val="005E3589"/>
    <w:rsid w:val="005E5138"/>
    <w:rsid w:val="005E70BE"/>
    <w:rsid w:val="005F20FF"/>
    <w:rsid w:val="005F23D5"/>
    <w:rsid w:val="005F3D1D"/>
    <w:rsid w:val="00601A18"/>
    <w:rsid w:val="006032BB"/>
    <w:rsid w:val="006055E5"/>
    <w:rsid w:val="006101E7"/>
    <w:rsid w:val="006125FB"/>
    <w:rsid w:val="00615B79"/>
    <w:rsid w:val="006160FC"/>
    <w:rsid w:val="00616FF9"/>
    <w:rsid w:val="00622C1B"/>
    <w:rsid w:val="00623688"/>
    <w:rsid w:val="00623DD8"/>
    <w:rsid w:val="0063598A"/>
    <w:rsid w:val="00644FAE"/>
    <w:rsid w:val="00646303"/>
    <w:rsid w:val="0064736E"/>
    <w:rsid w:val="00650629"/>
    <w:rsid w:val="00652A31"/>
    <w:rsid w:val="0065301D"/>
    <w:rsid w:val="006579F6"/>
    <w:rsid w:val="0066320A"/>
    <w:rsid w:val="006639AE"/>
    <w:rsid w:val="00667F51"/>
    <w:rsid w:val="00671740"/>
    <w:rsid w:val="0068571F"/>
    <w:rsid w:val="006935D8"/>
    <w:rsid w:val="00694286"/>
    <w:rsid w:val="0069619A"/>
    <w:rsid w:val="006967E5"/>
    <w:rsid w:val="00696BD6"/>
    <w:rsid w:val="006978E5"/>
    <w:rsid w:val="006A1B4B"/>
    <w:rsid w:val="006B0537"/>
    <w:rsid w:val="006B404B"/>
    <w:rsid w:val="006B521C"/>
    <w:rsid w:val="006C3FC2"/>
    <w:rsid w:val="006C6B85"/>
    <w:rsid w:val="006D10DD"/>
    <w:rsid w:val="006D19D1"/>
    <w:rsid w:val="006D1DE8"/>
    <w:rsid w:val="006D4306"/>
    <w:rsid w:val="006D7E8A"/>
    <w:rsid w:val="006F1A05"/>
    <w:rsid w:val="006F527B"/>
    <w:rsid w:val="00701C85"/>
    <w:rsid w:val="007147A8"/>
    <w:rsid w:val="0072282E"/>
    <w:rsid w:val="00723D55"/>
    <w:rsid w:val="00733A7A"/>
    <w:rsid w:val="00741BAD"/>
    <w:rsid w:val="00743945"/>
    <w:rsid w:val="00746816"/>
    <w:rsid w:val="00753319"/>
    <w:rsid w:val="0075615B"/>
    <w:rsid w:val="007704CC"/>
    <w:rsid w:val="00772415"/>
    <w:rsid w:val="00773D5E"/>
    <w:rsid w:val="00777472"/>
    <w:rsid w:val="00783018"/>
    <w:rsid w:val="00793CC3"/>
    <w:rsid w:val="00794A52"/>
    <w:rsid w:val="007A0C8A"/>
    <w:rsid w:val="007A3A2C"/>
    <w:rsid w:val="007A4D06"/>
    <w:rsid w:val="007B066A"/>
    <w:rsid w:val="007B08E1"/>
    <w:rsid w:val="007B1B58"/>
    <w:rsid w:val="007B2387"/>
    <w:rsid w:val="007B4B21"/>
    <w:rsid w:val="007B5917"/>
    <w:rsid w:val="007C44BB"/>
    <w:rsid w:val="007C5863"/>
    <w:rsid w:val="007C7248"/>
    <w:rsid w:val="007D1B03"/>
    <w:rsid w:val="007D1F4A"/>
    <w:rsid w:val="007D7E03"/>
    <w:rsid w:val="007E35ED"/>
    <w:rsid w:val="007E47F2"/>
    <w:rsid w:val="008005E4"/>
    <w:rsid w:val="008018C9"/>
    <w:rsid w:val="00801BD0"/>
    <w:rsid w:val="0080489E"/>
    <w:rsid w:val="0080515B"/>
    <w:rsid w:val="00814A2A"/>
    <w:rsid w:val="008165E3"/>
    <w:rsid w:val="00817F7D"/>
    <w:rsid w:val="00822DF8"/>
    <w:rsid w:val="00832289"/>
    <w:rsid w:val="00834E08"/>
    <w:rsid w:val="00847740"/>
    <w:rsid w:val="008517AD"/>
    <w:rsid w:val="00853AC1"/>
    <w:rsid w:val="0085485D"/>
    <w:rsid w:val="00870829"/>
    <w:rsid w:val="00871E99"/>
    <w:rsid w:val="00874608"/>
    <w:rsid w:val="00875EF0"/>
    <w:rsid w:val="008809DF"/>
    <w:rsid w:val="008809EA"/>
    <w:rsid w:val="00882CC2"/>
    <w:rsid w:val="00884E05"/>
    <w:rsid w:val="008943C1"/>
    <w:rsid w:val="00895748"/>
    <w:rsid w:val="008A4089"/>
    <w:rsid w:val="008A6B9D"/>
    <w:rsid w:val="008A6DC2"/>
    <w:rsid w:val="008B124B"/>
    <w:rsid w:val="008B26C2"/>
    <w:rsid w:val="008B770E"/>
    <w:rsid w:val="008C3286"/>
    <w:rsid w:val="008D1520"/>
    <w:rsid w:val="008D5049"/>
    <w:rsid w:val="008D676B"/>
    <w:rsid w:val="008E227E"/>
    <w:rsid w:val="008E34DF"/>
    <w:rsid w:val="008F0D01"/>
    <w:rsid w:val="008F0E36"/>
    <w:rsid w:val="008F6A7F"/>
    <w:rsid w:val="00900756"/>
    <w:rsid w:val="0090409A"/>
    <w:rsid w:val="009113D6"/>
    <w:rsid w:val="009114ED"/>
    <w:rsid w:val="009122A8"/>
    <w:rsid w:val="00916534"/>
    <w:rsid w:val="009171F4"/>
    <w:rsid w:val="00917C5E"/>
    <w:rsid w:val="0092240D"/>
    <w:rsid w:val="00926919"/>
    <w:rsid w:val="00936920"/>
    <w:rsid w:val="00947D06"/>
    <w:rsid w:val="00950A80"/>
    <w:rsid w:val="00951C18"/>
    <w:rsid w:val="00957095"/>
    <w:rsid w:val="00957D70"/>
    <w:rsid w:val="00957FF4"/>
    <w:rsid w:val="009628E2"/>
    <w:rsid w:val="00963EBC"/>
    <w:rsid w:val="00965FF7"/>
    <w:rsid w:val="00970A0C"/>
    <w:rsid w:val="00976B09"/>
    <w:rsid w:val="00984825"/>
    <w:rsid w:val="00985621"/>
    <w:rsid w:val="0098636C"/>
    <w:rsid w:val="00992C7C"/>
    <w:rsid w:val="00994B62"/>
    <w:rsid w:val="009A1939"/>
    <w:rsid w:val="009A32A2"/>
    <w:rsid w:val="009A4A18"/>
    <w:rsid w:val="009A5262"/>
    <w:rsid w:val="009B3623"/>
    <w:rsid w:val="009B58DA"/>
    <w:rsid w:val="009C0FAF"/>
    <w:rsid w:val="009C55C3"/>
    <w:rsid w:val="009C7E58"/>
    <w:rsid w:val="009D0867"/>
    <w:rsid w:val="009D1FF1"/>
    <w:rsid w:val="009D20C9"/>
    <w:rsid w:val="009D2F40"/>
    <w:rsid w:val="009D5029"/>
    <w:rsid w:val="009E0775"/>
    <w:rsid w:val="009E1EE6"/>
    <w:rsid w:val="009E294F"/>
    <w:rsid w:val="009E2FFA"/>
    <w:rsid w:val="009E3126"/>
    <w:rsid w:val="009E40A0"/>
    <w:rsid w:val="009F3B6D"/>
    <w:rsid w:val="009F409C"/>
    <w:rsid w:val="009F44F6"/>
    <w:rsid w:val="009F5D22"/>
    <w:rsid w:val="009F63FF"/>
    <w:rsid w:val="00A02E17"/>
    <w:rsid w:val="00A03266"/>
    <w:rsid w:val="00A0486B"/>
    <w:rsid w:val="00A10CB4"/>
    <w:rsid w:val="00A1206C"/>
    <w:rsid w:val="00A1483E"/>
    <w:rsid w:val="00A14F72"/>
    <w:rsid w:val="00A156CF"/>
    <w:rsid w:val="00A158D3"/>
    <w:rsid w:val="00A16B87"/>
    <w:rsid w:val="00A21707"/>
    <w:rsid w:val="00A22E5A"/>
    <w:rsid w:val="00A2311B"/>
    <w:rsid w:val="00A237BF"/>
    <w:rsid w:val="00A24812"/>
    <w:rsid w:val="00A3647A"/>
    <w:rsid w:val="00A438B3"/>
    <w:rsid w:val="00A46994"/>
    <w:rsid w:val="00A47597"/>
    <w:rsid w:val="00A76E46"/>
    <w:rsid w:val="00A772B3"/>
    <w:rsid w:val="00A813FA"/>
    <w:rsid w:val="00A82661"/>
    <w:rsid w:val="00A85A89"/>
    <w:rsid w:val="00A864C4"/>
    <w:rsid w:val="00A96AA6"/>
    <w:rsid w:val="00AA1487"/>
    <w:rsid w:val="00AB1E9A"/>
    <w:rsid w:val="00AB303F"/>
    <w:rsid w:val="00AB59E1"/>
    <w:rsid w:val="00AC18D5"/>
    <w:rsid w:val="00AC48E2"/>
    <w:rsid w:val="00AD3F37"/>
    <w:rsid w:val="00AD5DA0"/>
    <w:rsid w:val="00AD7D8F"/>
    <w:rsid w:val="00AE18E8"/>
    <w:rsid w:val="00AE28AE"/>
    <w:rsid w:val="00AE5F8F"/>
    <w:rsid w:val="00AE6360"/>
    <w:rsid w:val="00AE6879"/>
    <w:rsid w:val="00AF0A9A"/>
    <w:rsid w:val="00AF0D93"/>
    <w:rsid w:val="00AF5938"/>
    <w:rsid w:val="00AF6DAC"/>
    <w:rsid w:val="00B0020C"/>
    <w:rsid w:val="00B00E8F"/>
    <w:rsid w:val="00B01A5F"/>
    <w:rsid w:val="00B04A35"/>
    <w:rsid w:val="00B135BD"/>
    <w:rsid w:val="00B145FC"/>
    <w:rsid w:val="00B1471E"/>
    <w:rsid w:val="00B276DC"/>
    <w:rsid w:val="00B27C1F"/>
    <w:rsid w:val="00B34138"/>
    <w:rsid w:val="00B4649B"/>
    <w:rsid w:val="00B5080F"/>
    <w:rsid w:val="00B54523"/>
    <w:rsid w:val="00B6168A"/>
    <w:rsid w:val="00B6275F"/>
    <w:rsid w:val="00B755DE"/>
    <w:rsid w:val="00B77AC4"/>
    <w:rsid w:val="00B809F1"/>
    <w:rsid w:val="00B817EA"/>
    <w:rsid w:val="00B861D9"/>
    <w:rsid w:val="00B90A23"/>
    <w:rsid w:val="00BA15DC"/>
    <w:rsid w:val="00BA481B"/>
    <w:rsid w:val="00BA646E"/>
    <w:rsid w:val="00BB2090"/>
    <w:rsid w:val="00BB2E14"/>
    <w:rsid w:val="00BB368F"/>
    <w:rsid w:val="00BB4448"/>
    <w:rsid w:val="00BB7D72"/>
    <w:rsid w:val="00BC6CD0"/>
    <w:rsid w:val="00BD18FB"/>
    <w:rsid w:val="00BD1DB7"/>
    <w:rsid w:val="00BD6BC8"/>
    <w:rsid w:val="00BD73F5"/>
    <w:rsid w:val="00BD75D0"/>
    <w:rsid w:val="00BD7AF8"/>
    <w:rsid w:val="00BE4661"/>
    <w:rsid w:val="00BF10C6"/>
    <w:rsid w:val="00BF13E6"/>
    <w:rsid w:val="00BF23CB"/>
    <w:rsid w:val="00C00C18"/>
    <w:rsid w:val="00C10534"/>
    <w:rsid w:val="00C117CC"/>
    <w:rsid w:val="00C14C14"/>
    <w:rsid w:val="00C17216"/>
    <w:rsid w:val="00C30BEB"/>
    <w:rsid w:val="00C344BA"/>
    <w:rsid w:val="00C3672E"/>
    <w:rsid w:val="00C415E4"/>
    <w:rsid w:val="00C46378"/>
    <w:rsid w:val="00C475A7"/>
    <w:rsid w:val="00C65276"/>
    <w:rsid w:val="00C66B8E"/>
    <w:rsid w:val="00C7085E"/>
    <w:rsid w:val="00C724B2"/>
    <w:rsid w:val="00C7266F"/>
    <w:rsid w:val="00C72A78"/>
    <w:rsid w:val="00C82165"/>
    <w:rsid w:val="00C83DC7"/>
    <w:rsid w:val="00C85294"/>
    <w:rsid w:val="00C8777D"/>
    <w:rsid w:val="00C91895"/>
    <w:rsid w:val="00C91DA3"/>
    <w:rsid w:val="00C927F3"/>
    <w:rsid w:val="00C937BA"/>
    <w:rsid w:val="00CA08BA"/>
    <w:rsid w:val="00CA0DA5"/>
    <w:rsid w:val="00CA3B86"/>
    <w:rsid w:val="00CA4C7B"/>
    <w:rsid w:val="00CA64BE"/>
    <w:rsid w:val="00CB00B2"/>
    <w:rsid w:val="00CB4036"/>
    <w:rsid w:val="00CB4844"/>
    <w:rsid w:val="00CB4E57"/>
    <w:rsid w:val="00CB4F31"/>
    <w:rsid w:val="00CB5B27"/>
    <w:rsid w:val="00CB6506"/>
    <w:rsid w:val="00CC12A7"/>
    <w:rsid w:val="00CC35F2"/>
    <w:rsid w:val="00CC3A30"/>
    <w:rsid w:val="00CC4623"/>
    <w:rsid w:val="00CC4E17"/>
    <w:rsid w:val="00CD1456"/>
    <w:rsid w:val="00CD46A9"/>
    <w:rsid w:val="00CE0091"/>
    <w:rsid w:val="00CE40CA"/>
    <w:rsid w:val="00CE4829"/>
    <w:rsid w:val="00CE612F"/>
    <w:rsid w:val="00CF5088"/>
    <w:rsid w:val="00CF5CAD"/>
    <w:rsid w:val="00CF6695"/>
    <w:rsid w:val="00CF75FC"/>
    <w:rsid w:val="00D03193"/>
    <w:rsid w:val="00D101A8"/>
    <w:rsid w:val="00D11867"/>
    <w:rsid w:val="00D24E69"/>
    <w:rsid w:val="00D261A5"/>
    <w:rsid w:val="00D267DB"/>
    <w:rsid w:val="00D2772A"/>
    <w:rsid w:val="00D3313E"/>
    <w:rsid w:val="00D34FE3"/>
    <w:rsid w:val="00D35C79"/>
    <w:rsid w:val="00D41F36"/>
    <w:rsid w:val="00D42B72"/>
    <w:rsid w:val="00D45144"/>
    <w:rsid w:val="00D47C60"/>
    <w:rsid w:val="00D5035F"/>
    <w:rsid w:val="00D53D8A"/>
    <w:rsid w:val="00D545E4"/>
    <w:rsid w:val="00D56592"/>
    <w:rsid w:val="00D573F4"/>
    <w:rsid w:val="00D66CA7"/>
    <w:rsid w:val="00D700CD"/>
    <w:rsid w:val="00D74EA2"/>
    <w:rsid w:val="00D77DE5"/>
    <w:rsid w:val="00D81402"/>
    <w:rsid w:val="00D8167E"/>
    <w:rsid w:val="00D9081F"/>
    <w:rsid w:val="00D916A2"/>
    <w:rsid w:val="00D93608"/>
    <w:rsid w:val="00DA0D89"/>
    <w:rsid w:val="00DA0DBD"/>
    <w:rsid w:val="00DB235E"/>
    <w:rsid w:val="00DB6C4D"/>
    <w:rsid w:val="00DB7857"/>
    <w:rsid w:val="00DC1A2A"/>
    <w:rsid w:val="00DC26A0"/>
    <w:rsid w:val="00DC4395"/>
    <w:rsid w:val="00DC4CAA"/>
    <w:rsid w:val="00DD1D89"/>
    <w:rsid w:val="00DD358B"/>
    <w:rsid w:val="00DD3863"/>
    <w:rsid w:val="00DE0212"/>
    <w:rsid w:val="00DE117F"/>
    <w:rsid w:val="00DE16FC"/>
    <w:rsid w:val="00DE412A"/>
    <w:rsid w:val="00DE65A6"/>
    <w:rsid w:val="00DF3AEB"/>
    <w:rsid w:val="00DF3D10"/>
    <w:rsid w:val="00DF5CA9"/>
    <w:rsid w:val="00E00758"/>
    <w:rsid w:val="00E05BA8"/>
    <w:rsid w:val="00E10256"/>
    <w:rsid w:val="00E102F0"/>
    <w:rsid w:val="00E12FF1"/>
    <w:rsid w:val="00E13321"/>
    <w:rsid w:val="00E157D4"/>
    <w:rsid w:val="00E16FAD"/>
    <w:rsid w:val="00E21740"/>
    <w:rsid w:val="00E2300A"/>
    <w:rsid w:val="00E23597"/>
    <w:rsid w:val="00E24BF2"/>
    <w:rsid w:val="00E24E8F"/>
    <w:rsid w:val="00E25F18"/>
    <w:rsid w:val="00E301FF"/>
    <w:rsid w:val="00E30F79"/>
    <w:rsid w:val="00E33A2F"/>
    <w:rsid w:val="00E34B76"/>
    <w:rsid w:val="00E36D6F"/>
    <w:rsid w:val="00E40037"/>
    <w:rsid w:val="00E43873"/>
    <w:rsid w:val="00E47746"/>
    <w:rsid w:val="00E52768"/>
    <w:rsid w:val="00E544FF"/>
    <w:rsid w:val="00E5562E"/>
    <w:rsid w:val="00E56870"/>
    <w:rsid w:val="00E60459"/>
    <w:rsid w:val="00E611D2"/>
    <w:rsid w:val="00E6341D"/>
    <w:rsid w:val="00E67073"/>
    <w:rsid w:val="00E703FA"/>
    <w:rsid w:val="00E74C93"/>
    <w:rsid w:val="00E76DD6"/>
    <w:rsid w:val="00E770A6"/>
    <w:rsid w:val="00E8091A"/>
    <w:rsid w:val="00E8753B"/>
    <w:rsid w:val="00E90CD5"/>
    <w:rsid w:val="00E934F0"/>
    <w:rsid w:val="00EA0C7A"/>
    <w:rsid w:val="00EA0D03"/>
    <w:rsid w:val="00EB597A"/>
    <w:rsid w:val="00EB7147"/>
    <w:rsid w:val="00EC47C0"/>
    <w:rsid w:val="00EC59FF"/>
    <w:rsid w:val="00EC6745"/>
    <w:rsid w:val="00ED2C5E"/>
    <w:rsid w:val="00ED328F"/>
    <w:rsid w:val="00ED61BF"/>
    <w:rsid w:val="00ED680F"/>
    <w:rsid w:val="00ED6B58"/>
    <w:rsid w:val="00EE15B0"/>
    <w:rsid w:val="00EE2A26"/>
    <w:rsid w:val="00EE333B"/>
    <w:rsid w:val="00EE430E"/>
    <w:rsid w:val="00EE6AD9"/>
    <w:rsid w:val="00EF4731"/>
    <w:rsid w:val="00EF5B51"/>
    <w:rsid w:val="00EF76B7"/>
    <w:rsid w:val="00F0054C"/>
    <w:rsid w:val="00F03268"/>
    <w:rsid w:val="00F03A1B"/>
    <w:rsid w:val="00F0425E"/>
    <w:rsid w:val="00F05DEC"/>
    <w:rsid w:val="00F06413"/>
    <w:rsid w:val="00F068D3"/>
    <w:rsid w:val="00F0775D"/>
    <w:rsid w:val="00F12066"/>
    <w:rsid w:val="00F12F5D"/>
    <w:rsid w:val="00F1435A"/>
    <w:rsid w:val="00F158E9"/>
    <w:rsid w:val="00F23041"/>
    <w:rsid w:val="00F230D4"/>
    <w:rsid w:val="00F23853"/>
    <w:rsid w:val="00F23E8F"/>
    <w:rsid w:val="00F27667"/>
    <w:rsid w:val="00F31303"/>
    <w:rsid w:val="00F350CC"/>
    <w:rsid w:val="00F366A5"/>
    <w:rsid w:val="00F427BE"/>
    <w:rsid w:val="00F42A71"/>
    <w:rsid w:val="00F50E38"/>
    <w:rsid w:val="00F55FC0"/>
    <w:rsid w:val="00F65C25"/>
    <w:rsid w:val="00F6628F"/>
    <w:rsid w:val="00F67D85"/>
    <w:rsid w:val="00F7200E"/>
    <w:rsid w:val="00F7338F"/>
    <w:rsid w:val="00F837FC"/>
    <w:rsid w:val="00F84793"/>
    <w:rsid w:val="00F87A48"/>
    <w:rsid w:val="00F91B22"/>
    <w:rsid w:val="00F942AF"/>
    <w:rsid w:val="00F94F01"/>
    <w:rsid w:val="00F95B12"/>
    <w:rsid w:val="00FA4C2A"/>
    <w:rsid w:val="00FA5FD9"/>
    <w:rsid w:val="00FB01E1"/>
    <w:rsid w:val="00FB351C"/>
    <w:rsid w:val="00FB4208"/>
    <w:rsid w:val="00FB54B1"/>
    <w:rsid w:val="00FB5ABF"/>
    <w:rsid w:val="00FB5C85"/>
    <w:rsid w:val="00FB60B1"/>
    <w:rsid w:val="00FB712A"/>
    <w:rsid w:val="00FB7CB9"/>
    <w:rsid w:val="00FC0463"/>
    <w:rsid w:val="00FC21CE"/>
    <w:rsid w:val="00FC2D54"/>
    <w:rsid w:val="00FC6945"/>
    <w:rsid w:val="00FD01D4"/>
    <w:rsid w:val="00FD13D4"/>
    <w:rsid w:val="00FD1CB5"/>
    <w:rsid w:val="00FD29AB"/>
    <w:rsid w:val="00FE3064"/>
    <w:rsid w:val="00FE3113"/>
    <w:rsid w:val="00FE6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A1378F"/>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C5E"/>
  </w:style>
  <w:style w:type="paragraph" w:styleId="Heading2">
    <w:name w:val="heading 2"/>
    <w:basedOn w:val="Normal"/>
    <w:next w:val="Normal"/>
    <w:link w:val="Heading2Char"/>
    <w:uiPriority w:val="9"/>
    <w:unhideWhenUsed/>
    <w:qFormat/>
    <w:rsid w:val="00FD1C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80489E"/>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FollowedHyperlink">
    <w:name w:val="FollowedHyperlink"/>
    <w:basedOn w:val="DefaultParagraphFont"/>
    <w:uiPriority w:val="99"/>
    <w:semiHidden/>
    <w:unhideWhenUsed/>
    <w:rsid w:val="00473702"/>
    <w:rPr>
      <w:color w:val="800080" w:themeColor="followedHyperlink"/>
      <w:u w:val="single"/>
    </w:rPr>
  </w:style>
  <w:style w:type="paragraph" w:customStyle="1" w:styleId="Normalnumbered">
    <w:name w:val="Normal numbered"/>
    <w:basedOn w:val="Normal"/>
    <w:link w:val="NormalnumberedChar"/>
    <w:rsid w:val="006032BB"/>
    <w:pPr>
      <w:numPr>
        <w:numId w:val="27"/>
      </w:numPr>
      <w:spacing w:after="240" w:line="260" w:lineRule="exact"/>
      <w:jc w:val="both"/>
    </w:pPr>
    <w:rPr>
      <w:rFonts w:ascii="Calibri" w:eastAsia="Times New Roman" w:hAnsi="Calibri" w:cs="Corbel"/>
      <w:sz w:val="23"/>
      <w:szCs w:val="23"/>
      <w:lang w:eastAsia="en-AU"/>
    </w:rPr>
  </w:style>
  <w:style w:type="character" w:customStyle="1" w:styleId="NormalnumberedChar">
    <w:name w:val="Normal numbered Char"/>
    <w:link w:val="Normalnumbered"/>
    <w:locked/>
    <w:rsid w:val="006032BB"/>
    <w:rPr>
      <w:rFonts w:ascii="Calibri" w:eastAsia="Times New Roman" w:hAnsi="Calibri" w:cs="Corbel"/>
      <w:sz w:val="23"/>
      <w:szCs w:val="23"/>
      <w:lang w:eastAsia="en-AU"/>
    </w:rPr>
  </w:style>
  <w:style w:type="paragraph" w:styleId="Revision">
    <w:name w:val="Revision"/>
    <w:hidden/>
    <w:uiPriority w:val="99"/>
    <w:semiHidden/>
    <w:rsid w:val="001A66A1"/>
    <w:pPr>
      <w:spacing w:after="0" w:line="240" w:lineRule="auto"/>
    </w:pPr>
  </w:style>
  <w:style w:type="paragraph" w:customStyle="1" w:styleId="HEADINGSA">
    <w:name w:val="HEADINGS A"/>
    <w:basedOn w:val="Normal"/>
    <w:link w:val="HEADINGSAChar"/>
    <w:qFormat/>
    <w:rsid w:val="00DE65A6"/>
    <w:pPr>
      <w:keepNext/>
      <w:keepLines/>
      <w:spacing w:before="480" w:after="120" w:line="300" w:lineRule="exact"/>
      <w:ind w:left="709" w:hanging="709"/>
    </w:pPr>
    <w:rPr>
      <w:rFonts w:asciiTheme="majorHAnsi" w:eastAsiaTheme="majorEastAsia" w:hAnsiTheme="majorHAnsi" w:cstheme="majorBidi"/>
      <w:b/>
      <w:bCs/>
      <w:caps/>
      <w:color w:val="17365D" w:themeColor="text2" w:themeShade="BF"/>
      <w:sz w:val="28"/>
      <w:szCs w:val="28"/>
    </w:rPr>
  </w:style>
  <w:style w:type="paragraph" w:customStyle="1" w:styleId="HEADINGSB">
    <w:name w:val="HEADINGS B"/>
    <w:basedOn w:val="Normal"/>
    <w:link w:val="HEADINGSBChar"/>
    <w:qFormat/>
    <w:rsid w:val="00DE65A6"/>
    <w:pPr>
      <w:keepNext/>
      <w:keepLines/>
      <w:spacing w:before="120" w:after="120" w:line="240" w:lineRule="auto"/>
      <w:outlineLvl w:val="2"/>
    </w:pPr>
    <w:rPr>
      <w:rFonts w:asciiTheme="majorHAnsi" w:eastAsiaTheme="majorEastAsia" w:hAnsiTheme="majorHAnsi" w:cstheme="majorBidi"/>
      <w:b/>
      <w:bCs/>
      <w:color w:val="17365D" w:themeColor="text2" w:themeShade="BF"/>
      <w:sz w:val="24"/>
      <w:szCs w:val="24"/>
    </w:rPr>
  </w:style>
  <w:style w:type="character" w:customStyle="1" w:styleId="HEADINGSAChar">
    <w:name w:val="HEADINGS A Char"/>
    <w:basedOn w:val="DefaultParagraphFont"/>
    <w:link w:val="HEADINGSA"/>
    <w:rsid w:val="00DE65A6"/>
    <w:rPr>
      <w:rFonts w:asciiTheme="majorHAnsi" w:eastAsiaTheme="majorEastAsia" w:hAnsiTheme="majorHAnsi" w:cstheme="majorBidi"/>
      <w:b/>
      <w:bCs/>
      <w:caps/>
      <w:color w:val="17365D" w:themeColor="text2" w:themeShade="BF"/>
      <w:sz w:val="28"/>
      <w:szCs w:val="28"/>
    </w:rPr>
  </w:style>
  <w:style w:type="paragraph" w:customStyle="1" w:styleId="HEADINGC">
    <w:name w:val="HEADING C"/>
    <w:basedOn w:val="Normal"/>
    <w:link w:val="HEADINGCChar"/>
    <w:qFormat/>
    <w:rsid w:val="00DE65A6"/>
    <w:pPr>
      <w:spacing w:after="120" w:line="240" w:lineRule="auto"/>
    </w:pPr>
    <w:rPr>
      <w:rFonts w:ascii="Calibri" w:eastAsia="Times New Roman" w:hAnsi="Calibri" w:cs="Times New Roman"/>
      <w:i/>
      <w:lang w:eastAsia="en-AU"/>
    </w:rPr>
  </w:style>
  <w:style w:type="character" w:customStyle="1" w:styleId="HEADINGSBChar">
    <w:name w:val="HEADINGS B Char"/>
    <w:basedOn w:val="DefaultParagraphFont"/>
    <w:link w:val="HEADINGSB"/>
    <w:rsid w:val="00DE65A6"/>
    <w:rPr>
      <w:rFonts w:asciiTheme="majorHAnsi" w:eastAsiaTheme="majorEastAsia" w:hAnsiTheme="majorHAnsi" w:cstheme="majorBidi"/>
      <w:b/>
      <w:bCs/>
      <w:color w:val="17365D" w:themeColor="text2" w:themeShade="BF"/>
      <w:sz w:val="24"/>
      <w:szCs w:val="24"/>
    </w:rPr>
  </w:style>
  <w:style w:type="character" w:customStyle="1" w:styleId="HEADINGCChar">
    <w:name w:val="HEADING C Char"/>
    <w:basedOn w:val="DefaultParagraphFont"/>
    <w:link w:val="HEADINGC"/>
    <w:rsid w:val="00DE65A6"/>
    <w:rPr>
      <w:rFonts w:ascii="Calibri" w:eastAsia="Times New Roman" w:hAnsi="Calibri" w:cs="Times New Roman"/>
      <w:i/>
      <w:lang w:eastAsia="en-AU"/>
    </w:rPr>
  </w:style>
  <w:style w:type="character" w:customStyle="1" w:styleId="Heading2Char">
    <w:name w:val="Heading 2 Char"/>
    <w:basedOn w:val="DefaultParagraphFont"/>
    <w:link w:val="Heading2"/>
    <w:uiPriority w:val="9"/>
    <w:rsid w:val="00FD1CB5"/>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671740"/>
    <w:pPr>
      <w:spacing w:after="100"/>
      <w:ind w:left="220"/>
    </w:pPr>
  </w:style>
  <w:style w:type="character" w:styleId="UnresolvedMention">
    <w:name w:val="Unresolved Mention"/>
    <w:basedOn w:val="DefaultParagraphFont"/>
    <w:uiPriority w:val="99"/>
    <w:semiHidden/>
    <w:unhideWhenUsed/>
    <w:rsid w:val="00E77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1572">
      <w:bodyDiv w:val="1"/>
      <w:marLeft w:val="0"/>
      <w:marRight w:val="0"/>
      <w:marTop w:val="0"/>
      <w:marBottom w:val="0"/>
      <w:divBdr>
        <w:top w:val="none" w:sz="0" w:space="0" w:color="auto"/>
        <w:left w:val="none" w:sz="0" w:space="0" w:color="auto"/>
        <w:bottom w:val="none" w:sz="0" w:space="0" w:color="auto"/>
        <w:right w:val="none" w:sz="0" w:space="0" w:color="auto"/>
      </w:divBdr>
    </w:div>
    <w:div w:id="278219503">
      <w:bodyDiv w:val="1"/>
      <w:marLeft w:val="0"/>
      <w:marRight w:val="0"/>
      <w:marTop w:val="0"/>
      <w:marBottom w:val="0"/>
      <w:divBdr>
        <w:top w:val="none" w:sz="0" w:space="0" w:color="auto"/>
        <w:left w:val="none" w:sz="0" w:space="0" w:color="auto"/>
        <w:bottom w:val="none" w:sz="0" w:space="0" w:color="auto"/>
        <w:right w:val="none" w:sz="0" w:space="0" w:color="auto"/>
      </w:divBdr>
    </w:div>
    <w:div w:id="497156327">
      <w:bodyDiv w:val="1"/>
      <w:marLeft w:val="0"/>
      <w:marRight w:val="0"/>
      <w:marTop w:val="0"/>
      <w:marBottom w:val="0"/>
      <w:divBdr>
        <w:top w:val="none" w:sz="0" w:space="0" w:color="auto"/>
        <w:left w:val="none" w:sz="0" w:space="0" w:color="auto"/>
        <w:bottom w:val="none" w:sz="0" w:space="0" w:color="auto"/>
        <w:right w:val="none" w:sz="0" w:space="0" w:color="auto"/>
      </w:divBdr>
    </w:div>
    <w:div w:id="540242741">
      <w:bodyDiv w:val="1"/>
      <w:marLeft w:val="0"/>
      <w:marRight w:val="0"/>
      <w:marTop w:val="0"/>
      <w:marBottom w:val="0"/>
      <w:divBdr>
        <w:top w:val="none" w:sz="0" w:space="0" w:color="auto"/>
        <w:left w:val="none" w:sz="0" w:space="0" w:color="auto"/>
        <w:bottom w:val="none" w:sz="0" w:space="0" w:color="auto"/>
        <w:right w:val="none" w:sz="0" w:space="0" w:color="auto"/>
      </w:divBdr>
    </w:div>
    <w:div w:id="697656027">
      <w:bodyDiv w:val="1"/>
      <w:marLeft w:val="0"/>
      <w:marRight w:val="0"/>
      <w:marTop w:val="0"/>
      <w:marBottom w:val="0"/>
      <w:divBdr>
        <w:top w:val="none" w:sz="0" w:space="0" w:color="auto"/>
        <w:left w:val="none" w:sz="0" w:space="0" w:color="auto"/>
        <w:bottom w:val="none" w:sz="0" w:space="0" w:color="auto"/>
        <w:right w:val="none" w:sz="0" w:space="0" w:color="auto"/>
      </w:divBdr>
    </w:div>
    <w:div w:id="710689572">
      <w:bodyDiv w:val="1"/>
      <w:marLeft w:val="0"/>
      <w:marRight w:val="0"/>
      <w:marTop w:val="0"/>
      <w:marBottom w:val="0"/>
      <w:divBdr>
        <w:top w:val="none" w:sz="0" w:space="0" w:color="auto"/>
        <w:left w:val="none" w:sz="0" w:space="0" w:color="auto"/>
        <w:bottom w:val="none" w:sz="0" w:space="0" w:color="auto"/>
        <w:right w:val="none" w:sz="0" w:space="0" w:color="auto"/>
      </w:divBdr>
    </w:div>
    <w:div w:id="915940217">
      <w:bodyDiv w:val="1"/>
      <w:marLeft w:val="0"/>
      <w:marRight w:val="0"/>
      <w:marTop w:val="0"/>
      <w:marBottom w:val="0"/>
      <w:divBdr>
        <w:top w:val="none" w:sz="0" w:space="0" w:color="auto"/>
        <w:left w:val="none" w:sz="0" w:space="0" w:color="auto"/>
        <w:bottom w:val="none" w:sz="0" w:space="0" w:color="auto"/>
        <w:right w:val="none" w:sz="0" w:space="0" w:color="auto"/>
      </w:divBdr>
    </w:div>
    <w:div w:id="1082337164">
      <w:bodyDiv w:val="1"/>
      <w:marLeft w:val="0"/>
      <w:marRight w:val="0"/>
      <w:marTop w:val="0"/>
      <w:marBottom w:val="0"/>
      <w:divBdr>
        <w:top w:val="none" w:sz="0" w:space="0" w:color="auto"/>
        <w:left w:val="none" w:sz="0" w:space="0" w:color="auto"/>
        <w:bottom w:val="none" w:sz="0" w:space="0" w:color="auto"/>
        <w:right w:val="none" w:sz="0" w:space="0" w:color="auto"/>
      </w:divBdr>
    </w:div>
    <w:div w:id="1166823784">
      <w:bodyDiv w:val="1"/>
      <w:marLeft w:val="0"/>
      <w:marRight w:val="0"/>
      <w:marTop w:val="0"/>
      <w:marBottom w:val="0"/>
      <w:divBdr>
        <w:top w:val="none" w:sz="0" w:space="0" w:color="auto"/>
        <w:left w:val="none" w:sz="0" w:space="0" w:color="auto"/>
        <w:bottom w:val="none" w:sz="0" w:space="0" w:color="auto"/>
        <w:right w:val="none" w:sz="0" w:space="0" w:color="auto"/>
      </w:divBdr>
    </w:div>
    <w:div w:id="1273171699">
      <w:bodyDiv w:val="1"/>
      <w:marLeft w:val="0"/>
      <w:marRight w:val="0"/>
      <w:marTop w:val="0"/>
      <w:marBottom w:val="0"/>
      <w:divBdr>
        <w:top w:val="none" w:sz="0" w:space="0" w:color="auto"/>
        <w:left w:val="none" w:sz="0" w:space="0" w:color="auto"/>
        <w:bottom w:val="none" w:sz="0" w:space="0" w:color="auto"/>
        <w:right w:val="none" w:sz="0" w:space="0" w:color="auto"/>
      </w:divBdr>
      <w:divsChild>
        <w:div w:id="2141147667">
          <w:marLeft w:val="0"/>
          <w:marRight w:val="0"/>
          <w:marTop w:val="0"/>
          <w:marBottom w:val="0"/>
          <w:divBdr>
            <w:top w:val="none" w:sz="0" w:space="0" w:color="auto"/>
            <w:left w:val="none" w:sz="0" w:space="0" w:color="auto"/>
            <w:bottom w:val="none" w:sz="0" w:space="0" w:color="auto"/>
            <w:right w:val="none" w:sz="0" w:space="0" w:color="auto"/>
          </w:divBdr>
          <w:divsChild>
            <w:div w:id="102964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753">
      <w:bodyDiv w:val="1"/>
      <w:marLeft w:val="0"/>
      <w:marRight w:val="0"/>
      <w:marTop w:val="0"/>
      <w:marBottom w:val="0"/>
      <w:divBdr>
        <w:top w:val="none" w:sz="0" w:space="0" w:color="auto"/>
        <w:left w:val="none" w:sz="0" w:space="0" w:color="auto"/>
        <w:bottom w:val="none" w:sz="0" w:space="0" w:color="auto"/>
        <w:right w:val="none" w:sz="0" w:space="0" w:color="auto"/>
      </w:divBdr>
    </w:div>
    <w:div w:id="190174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eformsupportfund@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215B359-FCCD-42CB-B441-332F06ACF0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0747F1875BF7D49B77A59640D85D6EF" ma:contentTypeVersion="" ma:contentTypeDescription="PDMS Document Site Content Type" ma:contentTypeScope="" ma:versionID="f593eedba715a1fa7c08398c285f884b">
  <xsd:schema xmlns:xsd="http://www.w3.org/2001/XMLSchema" xmlns:xs="http://www.w3.org/2001/XMLSchema" xmlns:p="http://schemas.microsoft.com/office/2006/metadata/properties" xmlns:ns2="F215B359-FCCD-42CB-B441-332F06ACF0EB" targetNamespace="http://schemas.microsoft.com/office/2006/metadata/properties" ma:root="true" ma:fieldsID="28d83edc55a85772c8f260661468dff0" ns2:_="">
    <xsd:import namespace="F215B359-FCCD-42CB-B441-332F06ACF0E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5B359-FCCD-42CB-B441-332F06ACF0E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6D55D0-E970-42C8-AF4A-8820330C9F91}">
  <ds:schemaRefs>
    <ds:schemaRef ds:uri="http://schemas.microsoft.com/sharepoint/v3/contenttype/forms"/>
  </ds:schemaRefs>
</ds:datastoreItem>
</file>

<file path=customXml/itemProps2.xml><?xml version="1.0" encoding="utf-8"?>
<ds:datastoreItem xmlns:ds="http://schemas.openxmlformats.org/officeDocument/2006/customXml" ds:itemID="{B2E26BCF-4A7E-4C38-9827-BACE6D6BCF5F}">
  <ds:schemaRefs>
    <ds:schemaRef ds:uri="http://schemas.openxmlformats.org/officeDocument/2006/bibliography"/>
  </ds:schemaRefs>
</ds:datastoreItem>
</file>

<file path=customXml/itemProps3.xml><?xml version="1.0" encoding="utf-8"?>
<ds:datastoreItem xmlns:ds="http://schemas.openxmlformats.org/officeDocument/2006/customXml" ds:itemID="{AD02C450-0F99-477C-BA25-9753999EE674}">
  <ds:schemaRef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F215B359-FCCD-42CB-B441-332F06ACF0EB"/>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84EA346-A2DC-4C35-9E6E-CC41279D67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5B359-FCCD-42CB-B441-332F06ACF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2876</Words>
  <Characters>15534</Characters>
  <Application>Microsoft Office Word</Application>
  <DocSecurity>0</DocSecurity>
  <Lines>293</Lines>
  <Paragraphs>147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WATSON,Emma</dc:creator>
  <cp:keywords/>
  <dc:description/>
  <cp:lastModifiedBy>KHANUM,Bushra</cp:lastModifiedBy>
  <cp:revision>6</cp:revision>
  <cp:lastPrinted>2023-05-08T02:05:00Z</cp:lastPrinted>
  <dcterms:created xsi:type="dcterms:W3CDTF">2023-05-08T01:09:00Z</dcterms:created>
  <dcterms:modified xsi:type="dcterms:W3CDTF">2023-05-08T02:06:00Z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0x010100266966F133664895A6EE3632470D45F500C0747F1875BF7D49B77A59640D85D6EF</vt:lpwstr>
  </property>
  <property fmtid="{D5CDD505-2E9C-101B-9397-08002B2CF9AE}" pid="3" name="MSIP_Label_79d889eb-932f-4752-8739-64d25806ef64_Enabled">
    <vt:lpwstr>true</vt:lpwstr>
  </property>
  <property fmtid="{D5CDD505-2E9C-101B-9397-08002B2CF9AE}" pid="4" name="MSIP_Label_79d889eb-932f-4752-8739-64d25806ef64_SetDate">
    <vt:lpwstr>2023-02-12T03:10:51Z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fc7e4f55-fc23-440a-95cf-ab96701c19e7</vt:lpwstr>
  </property>
  <property fmtid="{D5CDD505-2E9C-101B-9397-08002B2CF9AE}" pid="9" name="MSIP_Label_79d889eb-932f-4752-8739-64d25806ef64_ContentBits">
    <vt:lpwstr>0</vt:lpwstr>
  </property>
</Properties>
</file>