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6F0" w:rsidRPr="00E9548C" w:rsidRDefault="00F91320" w:rsidP="00E9548C">
      <w:pPr>
        <w:spacing w:before="0"/>
        <w:jc w:val="center"/>
        <w:rPr>
          <w:rFonts w:cstheme="minorHAnsi"/>
          <w:sz w:val="24"/>
        </w:rPr>
      </w:pPr>
      <w:r w:rsidRPr="00E9548C">
        <w:rPr>
          <w:rFonts w:eastAsiaTheme="majorEastAsia" w:cstheme="minorHAnsi"/>
          <w:b/>
          <w:bCs/>
          <w:color w:val="365F91" w:themeColor="accent1" w:themeShade="BF"/>
          <w:sz w:val="32"/>
          <w:szCs w:val="28"/>
        </w:rPr>
        <w:t>Use of NCCD disability data to inform funding from 2018</w:t>
      </w:r>
    </w:p>
    <w:p w:rsidR="008148DD" w:rsidRDefault="008148DD" w:rsidP="00E9548C">
      <w:pPr>
        <w:pBdr>
          <w:top w:val="single" w:sz="6" w:space="1" w:color="auto"/>
          <w:bottom w:val="single" w:sz="6" w:space="1" w:color="auto"/>
        </w:pBdr>
        <w:spacing w:before="0"/>
        <w:rPr>
          <w:rFonts w:cstheme="minorHAnsi"/>
          <w:b/>
          <w:sz w:val="24"/>
        </w:rPr>
      </w:pPr>
    </w:p>
    <w:p w:rsidR="00903A7B" w:rsidRDefault="00FB0078" w:rsidP="00E9548C">
      <w:pPr>
        <w:pBdr>
          <w:top w:val="single" w:sz="6" w:space="1" w:color="auto"/>
          <w:bottom w:val="single" w:sz="6" w:space="1" w:color="auto"/>
        </w:pBdr>
        <w:spacing w:before="0"/>
        <w:rPr>
          <w:rFonts w:cstheme="minorHAnsi"/>
          <w:b/>
          <w:sz w:val="24"/>
        </w:rPr>
      </w:pPr>
      <w:r>
        <w:rPr>
          <w:rFonts w:cstheme="minorHAnsi"/>
          <w:b/>
          <w:sz w:val="24"/>
        </w:rPr>
        <w:t>A</w:t>
      </w:r>
      <w:r w:rsidR="002266F0" w:rsidRPr="00E9548C">
        <w:rPr>
          <w:rFonts w:cstheme="minorHAnsi"/>
          <w:b/>
          <w:sz w:val="24"/>
        </w:rPr>
        <w:t xml:space="preserve">pproved authorities should read this paper </w:t>
      </w:r>
      <w:r w:rsidR="002266F0" w:rsidRPr="00FB0078">
        <w:rPr>
          <w:rFonts w:cstheme="minorHAnsi"/>
          <w:sz w:val="24"/>
        </w:rPr>
        <w:t xml:space="preserve">if any school in the authority had significant numbers </w:t>
      </w:r>
      <w:r w:rsidR="008148DD" w:rsidRPr="00FB0078">
        <w:rPr>
          <w:rFonts w:cstheme="minorHAnsi"/>
          <w:sz w:val="24"/>
        </w:rPr>
        <w:t>of part</w:t>
      </w:r>
      <w:r w:rsidR="002266F0" w:rsidRPr="00FB0078">
        <w:rPr>
          <w:rFonts w:cstheme="minorHAnsi"/>
          <w:sz w:val="24"/>
        </w:rPr>
        <w:t xml:space="preserve">-time or overseas students that were counted in the </w:t>
      </w:r>
      <w:r w:rsidR="00903A7B" w:rsidRPr="00FB0078">
        <w:rPr>
          <w:rFonts w:cstheme="minorHAnsi"/>
          <w:sz w:val="24"/>
        </w:rPr>
        <w:t xml:space="preserve">2017 </w:t>
      </w:r>
      <w:hyperlink r:id="rId8" w:history="1">
        <w:r w:rsidR="00903A7B" w:rsidRPr="00FB0078">
          <w:rPr>
            <w:rStyle w:val="Hyperlink"/>
            <w:rFonts w:cstheme="minorHAnsi"/>
            <w:sz w:val="24"/>
          </w:rPr>
          <w:t>Nationally Consistent Collection of Data on School Students with Disability</w:t>
        </w:r>
      </w:hyperlink>
      <w:r w:rsidR="002266F0" w:rsidRPr="00FB0078">
        <w:rPr>
          <w:rFonts w:cstheme="minorHAnsi"/>
          <w:sz w:val="24"/>
        </w:rPr>
        <w:t xml:space="preserve"> (NCCD).</w:t>
      </w:r>
      <w:r w:rsidR="00AD0740">
        <w:rPr>
          <w:rFonts w:cstheme="minorHAnsi"/>
          <w:sz w:val="24"/>
        </w:rPr>
        <w:t xml:space="preserve"> This includes approved authorities for an individual school.</w:t>
      </w:r>
    </w:p>
    <w:p w:rsidR="008148DD" w:rsidRPr="00E9548C" w:rsidRDefault="008148DD" w:rsidP="00E9548C">
      <w:pPr>
        <w:pBdr>
          <w:top w:val="single" w:sz="6" w:space="1" w:color="auto"/>
          <w:bottom w:val="single" w:sz="6" w:space="1" w:color="auto"/>
        </w:pBdr>
        <w:spacing w:before="0"/>
        <w:rPr>
          <w:rFonts w:cstheme="minorHAnsi"/>
          <w:b/>
          <w:sz w:val="24"/>
        </w:rPr>
      </w:pPr>
    </w:p>
    <w:p w:rsidR="00903A7B" w:rsidRPr="002266F0" w:rsidRDefault="00586B92" w:rsidP="00FB0078">
      <w:pPr>
        <w:pStyle w:val="Subtitle"/>
        <w:numPr>
          <w:ilvl w:val="0"/>
          <w:numId w:val="0"/>
        </w:numPr>
        <w:spacing w:before="240" w:after="240"/>
        <w:rPr>
          <w:rFonts w:asciiTheme="minorHAnsi" w:hAnsiTheme="minorHAnsi" w:cstheme="minorHAnsi"/>
          <w:b/>
          <w:i w:val="0"/>
        </w:rPr>
      </w:pPr>
      <w:r w:rsidRPr="002266F0">
        <w:rPr>
          <w:rFonts w:asciiTheme="minorHAnsi" w:hAnsiTheme="minorHAnsi" w:cstheme="minorHAnsi"/>
          <w:b/>
          <w:i w:val="0"/>
        </w:rPr>
        <w:t>Overview</w:t>
      </w:r>
    </w:p>
    <w:p w:rsidR="00510F92" w:rsidRPr="002266F0" w:rsidRDefault="002266F0" w:rsidP="00FB0078">
      <w:pPr>
        <w:spacing w:before="240" w:after="240"/>
        <w:rPr>
          <w:rFonts w:cstheme="minorHAnsi"/>
        </w:rPr>
      </w:pPr>
      <w:r w:rsidRPr="002266F0">
        <w:rPr>
          <w:rFonts w:cstheme="minorHAnsi"/>
        </w:rPr>
        <w:t>T</w:t>
      </w:r>
      <w:r w:rsidR="005919B6" w:rsidRPr="002266F0">
        <w:rPr>
          <w:rFonts w:cstheme="minorHAnsi"/>
        </w:rPr>
        <w:t xml:space="preserve">he </w:t>
      </w:r>
      <w:r w:rsidR="00903A7B" w:rsidRPr="002266F0">
        <w:rPr>
          <w:rFonts w:cstheme="minorHAnsi"/>
        </w:rPr>
        <w:t>NCCD</w:t>
      </w:r>
      <w:r w:rsidR="005919B6" w:rsidRPr="002266F0">
        <w:rPr>
          <w:rFonts w:cstheme="minorHAnsi"/>
        </w:rPr>
        <w:t xml:space="preserve"> will</w:t>
      </w:r>
      <w:r w:rsidRPr="002266F0">
        <w:rPr>
          <w:rFonts w:cstheme="minorHAnsi"/>
        </w:rPr>
        <w:t xml:space="preserve"> be used to calculate </w:t>
      </w:r>
      <w:r w:rsidR="005919B6" w:rsidRPr="002266F0">
        <w:rPr>
          <w:rFonts w:cstheme="minorHAnsi"/>
        </w:rPr>
        <w:t>Commonwealth recurrent funding for students with disability</w:t>
      </w:r>
      <w:r w:rsidR="00510F92" w:rsidRPr="002266F0">
        <w:rPr>
          <w:rFonts w:cstheme="minorHAnsi"/>
        </w:rPr>
        <w:t>, specifically through:</w:t>
      </w:r>
    </w:p>
    <w:p w:rsidR="00510F92" w:rsidRPr="002266F0" w:rsidRDefault="002266F0" w:rsidP="00FB0078">
      <w:pPr>
        <w:pStyle w:val="ListParagraph"/>
        <w:numPr>
          <w:ilvl w:val="0"/>
          <w:numId w:val="7"/>
        </w:numPr>
        <w:spacing w:before="240" w:after="240"/>
        <w:contextualSpacing w:val="0"/>
        <w:rPr>
          <w:rFonts w:cstheme="minorHAnsi"/>
        </w:rPr>
      </w:pPr>
      <w:r w:rsidRPr="002266F0">
        <w:rPr>
          <w:rFonts w:cstheme="minorHAnsi"/>
        </w:rPr>
        <w:t xml:space="preserve">Using the 2017 NCCD collection to calculate </w:t>
      </w:r>
      <w:r w:rsidR="00510F92" w:rsidRPr="002266F0">
        <w:rPr>
          <w:rFonts w:cstheme="minorHAnsi"/>
        </w:rPr>
        <w:t xml:space="preserve">the </w:t>
      </w:r>
      <w:hyperlink r:id="rId9" w:history="1">
        <w:r w:rsidR="00510F92" w:rsidRPr="002266F0">
          <w:rPr>
            <w:rStyle w:val="Hyperlink"/>
            <w:rFonts w:cstheme="minorHAnsi"/>
          </w:rPr>
          <w:t xml:space="preserve">starting </w:t>
        </w:r>
        <w:r w:rsidR="001D4899" w:rsidRPr="002266F0">
          <w:rPr>
            <w:rStyle w:val="Hyperlink"/>
            <w:rFonts w:cstheme="minorHAnsi"/>
          </w:rPr>
          <w:t xml:space="preserve">2017 </w:t>
        </w:r>
        <w:r w:rsidR="00510F92" w:rsidRPr="002266F0">
          <w:rPr>
            <w:rStyle w:val="Hyperlink"/>
            <w:rFonts w:cstheme="minorHAnsi"/>
          </w:rPr>
          <w:t>Commonwealth share of the  Schooling Resource Standard</w:t>
        </w:r>
        <w:r w:rsidR="006305BD" w:rsidRPr="002266F0">
          <w:rPr>
            <w:rStyle w:val="Hyperlink"/>
            <w:rFonts w:cstheme="minorHAnsi"/>
          </w:rPr>
          <w:t xml:space="preserve"> (SRS)</w:t>
        </w:r>
        <w:r w:rsidR="00510F92" w:rsidRPr="002266F0">
          <w:rPr>
            <w:rStyle w:val="Hyperlink"/>
            <w:rFonts w:cstheme="minorHAnsi"/>
          </w:rPr>
          <w:t xml:space="preserve"> </w:t>
        </w:r>
      </w:hyperlink>
      <w:r w:rsidR="00510F92" w:rsidRPr="002266F0">
        <w:rPr>
          <w:rFonts w:cstheme="minorHAnsi"/>
        </w:rPr>
        <w:t xml:space="preserve"> </w:t>
      </w:r>
    </w:p>
    <w:p w:rsidR="00510F92" w:rsidRPr="002266F0" w:rsidRDefault="002266F0" w:rsidP="00FB0078">
      <w:pPr>
        <w:pStyle w:val="ListParagraph"/>
        <w:numPr>
          <w:ilvl w:val="0"/>
          <w:numId w:val="7"/>
        </w:numPr>
        <w:spacing w:before="240" w:after="240"/>
        <w:contextualSpacing w:val="0"/>
        <w:rPr>
          <w:rFonts w:cstheme="minorHAnsi"/>
        </w:rPr>
      </w:pPr>
      <w:r w:rsidRPr="002266F0">
        <w:rPr>
          <w:rFonts w:cstheme="minorHAnsi"/>
        </w:rPr>
        <w:t xml:space="preserve">Using </w:t>
      </w:r>
      <w:r w:rsidR="00510F92" w:rsidRPr="002266F0">
        <w:rPr>
          <w:rFonts w:cstheme="minorHAnsi"/>
        </w:rPr>
        <w:t xml:space="preserve">the annual </w:t>
      </w:r>
      <w:r w:rsidRPr="002266F0">
        <w:rPr>
          <w:rFonts w:cstheme="minorHAnsi"/>
        </w:rPr>
        <w:t xml:space="preserve">collection to calculate the </w:t>
      </w:r>
      <w:hyperlink r:id="rId10" w:history="1">
        <w:r w:rsidR="00510F92" w:rsidRPr="002266F0">
          <w:rPr>
            <w:rStyle w:val="Hyperlink"/>
            <w:rFonts w:cstheme="minorHAnsi"/>
          </w:rPr>
          <w:t>student with disability loading</w:t>
        </w:r>
      </w:hyperlink>
      <w:r w:rsidRPr="002266F0">
        <w:rPr>
          <w:rFonts w:cstheme="minorHAnsi"/>
        </w:rPr>
        <w:t xml:space="preserve"> entitlement each year from 2018.</w:t>
      </w:r>
    </w:p>
    <w:p w:rsidR="00903A7B" w:rsidRPr="002266F0" w:rsidRDefault="00510F92" w:rsidP="00FB0078">
      <w:pPr>
        <w:spacing w:before="240" w:after="240"/>
        <w:rPr>
          <w:rFonts w:cstheme="minorHAnsi"/>
        </w:rPr>
      </w:pPr>
      <w:r w:rsidRPr="002266F0">
        <w:rPr>
          <w:rFonts w:cstheme="minorHAnsi"/>
        </w:rPr>
        <w:t xml:space="preserve">The 2017 NCCD collected </w:t>
      </w:r>
      <w:r w:rsidR="00F47FD5" w:rsidRPr="002266F0">
        <w:rPr>
          <w:rFonts w:cstheme="minorHAnsi"/>
        </w:rPr>
        <w:t xml:space="preserve">student numbers as </w:t>
      </w:r>
      <w:r w:rsidRPr="002266F0">
        <w:rPr>
          <w:rFonts w:cstheme="minorHAnsi"/>
        </w:rPr>
        <w:t>a headcount of students</w:t>
      </w:r>
      <w:r w:rsidR="00F47FD5" w:rsidRPr="002266F0">
        <w:rPr>
          <w:rFonts w:cstheme="minorHAnsi"/>
        </w:rPr>
        <w:t xml:space="preserve">. </w:t>
      </w:r>
      <w:r w:rsidRPr="002266F0">
        <w:rPr>
          <w:rFonts w:cstheme="minorHAnsi"/>
        </w:rPr>
        <w:t>Commonwealth funding is calculated using full time equivalent (FTE)</w:t>
      </w:r>
      <w:r w:rsidR="002266F0">
        <w:rPr>
          <w:rFonts w:cstheme="minorHAnsi"/>
        </w:rPr>
        <w:t xml:space="preserve"> number of students</w:t>
      </w:r>
      <w:r w:rsidRPr="002266F0">
        <w:rPr>
          <w:rFonts w:cstheme="minorHAnsi"/>
        </w:rPr>
        <w:t xml:space="preserve">. </w:t>
      </w:r>
      <w:r w:rsidR="00903A7B" w:rsidRPr="002266F0">
        <w:rPr>
          <w:rFonts w:cstheme="minorHAnsi"/>
        </w:rPr>
        <w:t xml:space="preserve"> </w:t>
      </w:r>
      <w:r w:rsidR="005C424C" w:rsidRPr="002266F0">
        <w:rPr>
          <w:rFonts w:cstheme="minorHAnsi"/>
        </w:rPr>
        <w:t xml:space="preserve">FTE is used to identify </w:t>
      </w:r>
      <w:r w:rsidR="006305BD" w:rsidRPr="002266F0">
        <w:rPr>
          <w:rFonts w:cstheme="minorHAnsi"/>
        </w:rPr>
        <w:t>students who attend school part</w:t>
      </w:r>
      <w:r w:rsidR="006305BD" w:rsidRPr="002266F0">
        <w:rPr>
          <w:rFonts w:cstheme="minorHAnsi"/>
        </w:rPr>
        <w:noBreakHyphen/>
      </w:r>
      <w:r w:rsidR="005C424C" w:rsidRPr="002266F0">
        <w:rPr>
          <w:rFonts w:cstheme="minorHAnsi"/>
        </w:rPr>
        <w:t>time at one or more schools.</w:t>
      </w:r>
      <w:r w:rsidR="00255833" w:rsidRPr="002266F0">
        <w:rPr>
          <w:rStyle w:val="EndnoteReference"/>
          <w:rFonts w:cstheme="minorHAnsi"/>
        </w:rPr>
        <w:endnoteReference w:id="1"/>
      </w:r>
      <w:r w:rsidR="005C424C" w:rsidRPr="002266F0">
        <w:rPr>
          <w:rFonts w:cstheme="minorHAnsi"/>
        </w:rPr>
        <w:t xml:space="preserve"> </w:t>
      </w:r>
      <w:r w:rsidR="002266F0">
        <w:rPr>
          <w:rFonts w:cstheme="minorHAnsi"/>
        </w:rPr>
        <w:t>I</w:t>
      </w:r>
      <w:r w:rsidR="00F47FD5" w:rsidRPr="002266F0">
        <w:rPr>
          <w:rFonts w:cstheme="minorHAnsi"/>
        </w:rPr>
        <w:t xml:space="preserve">n order to calculate a school’s starting share and </w:t>
      </w:r>
      <w:r w:rsidR="006A751E" w:rsidRPr="002266F0">
        <w:rPr>
          <w:rFonts w:cstheme="minorHAnsi"/>
        </w:rPr>
        <w:t xml:space="preserve">2018 </w:t>
      </w:r>
      <w:r w:rsidR="00F47FD5" w:rsidRPr="002266F0">
        <w:rPr>
          <w:rFonts w:cstheme="minorHAnsi"/>
        </w:rPr>
        <w:t xml:space="preserve">funding estimates, </w:t>
      </w:r>
      <w:r w:rsidR="005919B6" w:rsidRPr="002266F0">
        <w:rPr>
          <w:rFonts w:cstheme="minorHAnsi"/>
        </w:rPr>
        <w:t xml:space="preserve">the </w:t>
      </w:r>
      <w:r w:rsidRPr="002266F0">
        <w:rPr>
          <w:rFonts w:cstheme="minorHAnsi"/>
        </w:rPr>
        <w:t>department</w:t>
      </w:r>
      <w:r w:rsidR="005919B6" w:rsidRPr="002266F0">
        <w:rPr>
          <w:rFonts w:cstheme="minorHAnsi"/>
        </w:rPr>
        <w:t xml:space="preserve"> has estimated </w:t>
      </w:r>
      <w:r w:rsidRPr="002266F0">
        <w:rPr>
          <w:rFonts w:cstheme="minorHAnsi"/>
        </w:rPr>
        <w:t>FTE for schools</w:t>
      </w:r>
      <w:r w:rsidR="00103E9D" w:rsidRPr="002266F0">
        <w:rPr>
          <w:rFonts w:cstheme="minorHAnsi"/>
        </w:rPr>
        <w:t>.</w:t>
      </w:r>
    </w:p>
    <w:p w:rsidR="00255833" w:rsidRPr="002266F0" w:rsidRDefault="0056554E" w:rsidP="00FB0078">
      <w:pPr>
        <w:spacing w:before="240" w:after="240"/>
        <w:rPr>
          <w:rFonts w:cstheme="minorHAnsi"/>
        </w:rPr>
      </w:pPr>
      <w:r>
        <w:t>While the NCCD currently includes overseas students</w:t>
      </w:r>
      <w:r w:rsidRPr="002266F0">
        <w:rPr>
          <w:rStyle w:val="EndnoteReference"/>
          <w:rFonts w:cstheme="minorHAnsi"/>
        </w:rPr>
        <w:endnoteReference w:id="2"/>
      </w:r>
      <w:r>
        <w:t>, they do not</w:t>
      </w:r>
      <w:r w:rsidR="00255833" w:rsidRPr="002266F0">
        <w:rPr>
          <w:rFonts w:cstheme="minorHAnsi"/>
        </w:rPr>
        <w:t xml:space="preserve"> attract Commonwealth funding</w:t>
      </w:r>
      <w:r>
        <w:rPr>
          <w:rFonts w:cstheme="minorHAnsi"/>
        </w:rPr>
        <w:t xml:space="preserve"> and</w:t>
      </w:r>
      <w:r w:rsidRPr="002266F0">
        <w:rPr>
          <w:rFonts w:cstheme="minorHAnsi"/>
        </w:rPr>
        <w:t xml:space="preserve"> </w:t>
      </w:r>
      <w:r w:rsidR="00255833" w:rsidRPr="002266F0">
        <w:rPr>
          <w:rFonts w:cstheme="minorHAnsi"/>
        </w:rPr>
        <w:t xml:space="preserve">should be excluded from funding calculations. </w:t>
      </w:r>
    </w:p>
    <w:p w:rsidR="00255833" w:rsidRPr="002266F0" w:rsidRDefault="00255833" w:rsidP="00FB0078">
      <w:pPr>
        <w:spacing w:before="240" w:after="240"/>
        <w:rPr>
          <w:rFonts w:cstheme="minorHAnsi"/>
        </w:rPr>
      </w:pPr>
      <w:r w:rsidRPr="002266F0">
        <w:rPr>
          <w:rFonts w:cstheme="minorHAnsi"/>
        </w:rPr>
        <w:t xml:space="preserve">There is now an opportunity </w:t>
      </w:r>
      <w:r w:rsidR="00966DA6" w:rsidRPr="002266F0">
        <w:rPr>
          <w:rFonts w:cstheme="minorHAnsi"/>
        </w:rPr>
        <w:t>for</w:t>
      </w:r>
      <w:r w:rsidR="002266F0">
        <w:rPr>
          <w:rFonts w:cstheme="minorHAnsi"/>
        </w:rPr>
        <w:t xml:space="preserve"> approved authorities</w:t>
      </w:r>
      <w:r w:rsidR="00A64AA9" w:rsidRPr="002266F0">
        <w:rPr>
          <w:rFonts w:cstheme="minorHAnsi"/>
        </w:rPr>
        <w:t xml:space="preserve"> </w:t>
      </w:r>
      <w:r w:rsidRPr="002266F0">
        <w:rPr>
          <w:rFonts w:cstheme="minorHAnsi"/>
        </w:rPr>
        <w:t xml:space="preserve">to review estimates and provide </w:t>
      </w:r>
      <w:r w:rsidR="002266F0">
        <w:rPr>
          <w:rFonts w:cstheme="minorHAnsi"/>
        </w:rPr>
        <w:t xml:space="preserve">additional information on FTE for the </w:t>
      </w:r>
      <w:r w:rsidRPr="002266F0">
        <w:rPr>
          <w:rFonts w:cstheme="minorHAnsi"/>
        </w:rPr>
        <w:t>2017 NCCD</w:t>
      </w:r>
      <w:r w:rsidR="00966DA6" w:rsidRPr="002266F0">
        <w:rPr>
          <w:rFonts w:cstheme="minorHAnsi"/>
        </w:rPr>
        <w:t>.</w:t>
      </w:r>
      <w:r w:rsidR="002266F0">
        <w:rPr>
          <w:rFonts w:cstheme="minorHAnsi"/>
        </w:rPr>
        <w:t xml:space="preserve"> </w:t>
      </w:r>
    </w:p>
    <w:p w:rsidR="0056554E" w:rsidRPr="003A100A" w:rsidRDefault="0056554E" w:rsidP="00FB0078">
      <w:pPr>
        <w:pStyle w:val="Subtitle"/>
        <w:numPr>
          <w:ilvl w:val="0"/>
          <w:numId w:val="0"/>
        </w:numPr>
        <w:spacing w:before="240" w:after="240"/>
        <w:rPr>
          <w:rFonts w:asciiTheme="minorHAnsi" w:hAnsiTheme="minorHAnsi" w:cstheme="minorHAnsi"/>
          <w:b/>
          <w:i w:val="0"/>
        </w:rPr>
      </w:pPr>
      <w:r w:rsidRPr="003A100A">
        <w:rPr>
          <w:rFonts w:asciiTheme="minorHAnsi" w:hAnsiTheme="minorHAnsi" w:cstheme="minorHAnsi"/>
          <w:b/>
          <w:i w:val="0"/>
        </w:rPr>
        <w:t xml:space="preserve">How we estimated schools’ NCCD FTE </w:t>
      </w:r>
    </w:p>
    <w:p w:rsidR="0056554E" w:rsidRPr="006305BD" w:rsidRDefault="0056554E" w:rsidP="00FB0078">
      <w:pPr>
        <w:spacing w:before="240" w:after="240"/>
        <w:rPr>
          <w:rFonts w:cs="Times New Roman"/>
        </w:rPr>
      </w:pPr>
      <w:r>
        <w:t>The Department compares the 2017 reported headcount and FTE enrolments for each school. Where there is a difference the department scaled down the NCCD counts to estimate the NCCD FTE.</w:t>
      </w:r>
    </w:p>
    <w:p w:rsidR="0056554E" w:rsidRPr="002266F0" w:rsidRDefault="0056554E" w:rsidP="00FB0078">
      <w:pPr>
        <w:spacing w:before="240" w:after="240"/>
        <w:rPr>
          <w:rFonts w:cstheme="minorHAnsi"/>
        </w:rPr>
      </w:pPr>
      <w:r w:rsidRPr="002266F0">
        <w:rPr>
          <w:rFonts w:cstheme="minorHAnsi"/>
        </w:rPr>
        <w:t>For example, a primary school has a headcount of 10 students, 5 of which are NCCD supplementary students and 5 of which are non-SWD. Due to a number of part</w:t>
      </w:r>
      <w:r w:rsidRPr="002266F0">
        <w:rPr>
          <w:rFonts w:cstheme="minorHAnsi"/>
        </w:rPr>
        <w:noBreakHyphen/>
        <w:t xml:space="preserve">time students, there are 8.5 FTE enrolments at the school. Given there are more enrolments than FTE, the count of 5 supplementary students are adjusted to 4.25 FTE (5/10*8.5 = 4.25). </w:t>
      </w:r>
    </w:p>
    <w:p w:rsidR="00A95D22" w:rsidRPr="003A100A" w:rsidRDefault="00A95D22" w:rsidP="00FB0078">
      <w:pPr>
        <w:pStyle w:val="Subtitle"/>
        <w:numPr>
          <w:ilvl w:val="0"/>
          <w:numId w:val="0"/>
        </w:numPr>
        <w:spacing w:before="240" w:after="240"/>
        <w:rPr>
          <w:rFonts w:asciiTheme="minorHAnsi" w:hAnsiTheme="minorHAnsi" w:cstheme="minorHAnsi"/>
          <w:b/>
          <w:i w:val="0"/>
        </w:rPr>
      </w:pPr>
      <w:r w:rsidRPr="003A100A">
        <w:rPr>
          <w:rFonts w:asciiTheme="minorHAnsi" w:hAnsiTheme="minorHAnsi" w:cstheme="minorHAnsi"/>
          <w:b/>
          <w:i w:val="0"/>
        </w:rPr>
        <w:t xml:space="preserve">Who should provide </w:t>
      </w:r>
      <w:r w:rsidR="009E7220" w:rsidRPr="003A100A">
        <w:rPr>
          <w:rFonts w:asciiTheme="minorHAnsi" w:hAnsiTheme="minorHAnsi" w:cstheme="minorHAnsi"/>
          <w:b/>
          <w:i w:val="0"/>
        </w:rPr>
        <w:t>additional NCCD information</w:t>
      </w:r>
      <w:r w:rsidRPr="003A100A">
        <w:rPr>
          <w:rFonts w:asciiTheme="minorHAnsi" w:hAnsiTheme="minorHAnsi" w:cstheme="minorHAnsi"/>
          <w:b/>
          <w:i w:val="0"/>
        </w:rPr>
        <w:t>?</w:t>
      </w:r>
    </w:p>
    <w:p w:rsidR="003A100A" w:rsidRDefault="003A100A" w:rsidP="00FB0078">
      <w:pPr>
        <w:spacing w:before="240" w:after="240"/>
        <w:rPr>
          <w:rFonts w:cstheme="minorHAnsi"/>
        </w:rPr>
      </w:pPr>
      <w:r>
        <w:rPr>
          <w:rFonts w:cstheme="minorHAnsi"/>
        </w:rPr>
        <w:t xml:space="preserve">There is no requirement to provide additional information. </w:t>
      </w:r>
      <w:r w:rsidR="009E7220" w:rsidRPr="002266F0">
        <w:rPr>
          <w:rFonts w:cstheme="minorHAnsi"/>
        </w:rPr>
        <w:t>The decision of</w:t>
      </w:r>
      <w:r w:rsidR="00D87568" w:rsidRPr="002266F0">
        <w:rPr>
          <w:rFonts w:cstheme="minorHAnsi"/>
        </w:rPr>
        <w:t xml:space="preserve"> whether to provide additional NCCD information </w:t>
      </w:r>
      <w:r w:rsidR="009E7220" w:rsidRPr="002266F0">
        <w:rPr>
          <w:rFonts w:cstheme="minorHAnsi"/>
        </w:rPr>
        <w:t xml:space="preserve">is a decision for </w:t>
      </w:r>
      <w:r>
        <w:rPr>
          <w:rFonts w:cstheme="minorHAnsi"/>
        </w:rPr>
        <w:t xml:space="preserve">each </w:t>
      </w:r>
      <w:r w:rsidR="0056554E">
        <w:t>school, in consultation with approved authorities and education authorities.</w:t>
      </w:r>
    </w:p>
    <w:p w:rsidR="00A95D22" w:rsidRPr="002266F0" w:rsidRDefault="003A100A" w:rsidP="00FB0078">
      <w:pPr>
        <w:spacing w:before="240" w:after="240"/>
        <w:rPr>
          <w:rFonts w:cstheme="minorHAnsi"/>
        </w:rPr>
      </w:pPr>
      <w:r>
        <w:rPr>
          <w:rFonts w:cstheme="minorHAnsi"/>
        </w:rPr>
        <w:t>You may wish to c</w:t>
      </w:r>
      <w:r w:rsidR="009E7220" w:rsidRPr="002266F0">
        <w:rPr>
          <w:rFonts w:cstheme="minorHAnsi"/>
        </w:rPr>
        <w:t xml:space="preserve">onsider providing additional </w:t>
      </w:r>
      <w:r w:rsidR="006E01D2" w:rsidRPr="002266F0">
        <w:rPr>
          <w:rFonts w:cstheme="minorHAnsi"/>
        </w:rPr>
        <w:t xml:space="preserve">information </w:t>
      </w:r>
      <w:r w:rsidR="00E2134C" w:rsidRPr="002266F0">
        <w:rPr>
          <w:rFonts w:cstheme="minorHAnsi"/>
        </w:rPr>
        <w:t>if</w:t>
      </w:r>
      <w:r w:rsidR="00ED2BFC" w:rsidRPr="002266F0">
        <w:rPr>
          <w:rFonts w:cstheme="minorHAnsi"/>
        </w:rPr>
        <w:t>:</w:t>
      </w:r>
      <w:r w:rsidR="00A95D22" w:rsidRPr="002266F0">
        <w:rPr>
          <w:rFonts w:cstheme="minorHAnsi"/>
        </w:rPr>
        <w:t xml:space="preserve"> </w:t>
      </w:r>
    </w:p>
    <w:p w:rsidR="00A95D22" w:rsidRPr="002266F0" w:rsidRDefault="00E2134C" w:rsidP="00FB0078">
      <w:pPr>
        <w:pStyle w:val="ListParagraph"/>
        <w:numPr>
          <w:ilvl w:val="0"/>
          <w:numId w:val="13"/>
        </w:numPr>
        <w:spacing w:before="240" w:after="240"/>
        <w:contextualSpacing w:val="0"/>
        <w:rPr>
          <w:rFonts w:cstheme="minorHAnsi"/>
        </w:rPr>
      </w:pPr>
      <w:r w:rsidRPr="002266F0">
        <w:rPr>
          <w:rFonts w:cstheme="minorHAnsi"/>
        </w:rPr>
        <w:t>You are</w:t>
      </w:r>
      <w:r w:rsidR="00F47FD5" w:rsidRPr="002266F0">
        <w:rPr>
          <w:rFonts w:cstheme="minorHAnsi"/>
        </w:rPr>
        <w:t xml:space="preserve"> </w:t>
      </w:r>
      <w:r w:rsidR="005919B6" w:rsidRPr="002266F0">
        <w:rPr>
          <w:rFonts w:cstheme="minorHAnsi"/>
        </w:rPr>
        <w:t xml:space="preserve">not satisfied with </w:t>
      </w:r>
      <w:r w:rsidR="00F47FD5" w:rsidRPr="002266F0">
        <w:rPr>
          <w:rFonts w:cstheme="minorHAnsi"/>
        </w:rPr>
        <w:t>th</w:t>
      </w:r>
      <w:r w:rsidR="00A95D22" w:rsidRPr="002266F0">
        <w:rPr>
          <w:rFonts w:cstheme="minorHAnsi"/>
        </w:rPr>
        <w:t>e</w:t>
      </w:r>
      <w:r w:rsidR="005919B6" w:rsidRPr="002266F0">
        <w:rPr>
          <w:rFonts w:cstheme="minorHAnsi"/>
        </w:rPr>
        <w:t xml:space="preserve"> approach</w:t>
      </w:r>
      <w:r w:rsidR="00A95D22" w:rsidRPr="002266F0">
        <w:rPr>
          <w:rFonts w:cstheme="minorHAnsi"/>
        </w:rPr>
        <w:t xml:space="preserve"> taken to calculate </w:t>
      </w:r>
      <w:r w:rsidR="006E01D2" w:rsidRPr="002266F0">
        <w:rPr>
          <w:rFonts w:cstheme="minorHAnsi"/>
        </w:rPr>
        <w:t xml:space="preserve">the estimated </w:t>
      </w:r>
      <w:r w:rsidR="00A95D22" w:rsidRPr="002266F0">
        <w:rPr>
          <w:rFonts w:cstheme="minorHAnsi"/>
        </w:rPr>
        <w:t xml:space="preserve">NCCD FTE as described in this document. </w:t>
      </w:r>
      <w:r w:rsidR="005919B6" w:rsidRPr="002266F0">
        <w:rPr>
          <w:rFonts w:cstheme="minorHAnsi"/>
        </w:rPr>
        <w:t xml:space="preserve"> </w:t>
      </w:r>
    </w:p>
    <w:p w:rsidR="00A95D22" w:rsidRPr="002266F0" w:rsidRDefault="0056554E" w:rsidP="00FB0078">
      <w:pPr>
        <w:pStyle w:val="ListParagraph"/>
        <w:numPr>
          <w:ilvl w:val="0"/>
          <w:numId w:val="13"/>
        </w:numPr>
        <w:spacing w:before="240" w:after="240"/>
        <w:contextualSpacing w:val="0"/>
        <w:rPr>
          <w:rFonts w:cstheme="minorHAnsi"/>
        </w:rPr>
      </w:pPr>
      <w:r>
        <w:lastRenderedPageBreak/>
        <w:t>Your school/a</w:t>
      </w:r>
      <w:r w:rsidR="00E2134C" w:rsidRPr="002266F0">
        <w:rPr>
          <w:rFonts w:cstheme="minorHAnsi"/>
        </w:rPr>
        <w:t xml:space="preserve"> school of your approved authority h</w:t>
      </w:r>
      <w:r w:rsidR="00A64AA9" w:rsidRPr="002266F0">
        <w:rPr>
          <w:rFonts w:cstheme="minorHAnsi"/>
        </w:rPr>
        <w:t>a</w:t>
      </w:r>
      <w:r w:rsidR="009E7220" w:rsidRPr="002266F0">
        <w:rPr>
          <w:rFonts w:cstheme="minorHAnsi"/>
        </w:rPr>
        <w:t>s</w:t>
      </w:r>
      <w:r w:rsidR="00A95D22" w:rsidRPr="002266F0">
        <w:rPr>
          <w:rFonts w:cstheme="minorHAnsi"/>
        </w:rPr>
        <w:t xml:space="preserve"> </w:t>
      </w:r>
      <w:r w:rsidR="003A100A">
        <w:rPr>
          <w:rFonts w:cstheme="minorHAnsi"/>
        </w:rPr>
        <w:t xml:space="preserve">a significant number of </w:t>
      </w:r>
      <w:r w:rsidR="00A95D22" w:rsidRPr="002266F0">
        <w:rPr>
          <w:rFonts w:cstheme="minorHAnsi"/>
        </w:rPr>
        <w:t>part-time students</w:t>
      </w:r>
      <w:r w:rsidR="003A100A">
        <w:rPr>
          <w:rFonts w:cstheme="minorHAnsi"/>
        </w:rPr>
        <w:t xml:space="preserve">, </w:t>
      </w:r>
      <w:r w:rsidR="001224FC" w:rsidRPr="002266F0">
        <w:rPr>
          <w:rFonts w:cstheme="minorHAnsi"/>
        </w:rPr>
        <w:t>particularly if they were</w:t>
      </w:r>
      <w:r w:rsidR="00A95D22" w:rsidRPr="002266F0">
        <w:rPr>
          <w:rFonts w:cstheme="minorHAnsi"/>
        </w:rPr>
        <w:t xml:space="preserve"> included in the 2017 NCCD count for your school</w:t>
      </w:r>
      <w:r w:rsidR="001224FC" w:rsidRPr="002266F0">
        <w:rPr>
          <w:rFonts w:cstheme="minorHAnsi"/>
        </w:rPr>
        <w:t xml:space="preserve"> </w:t>
      </w:r>
      <w:r w:rsidR="00A95D22" w:rsidRPr="002266F0">
        <w:rPr>
          <w:rFonts w:cstheme="minorHAnsi"/>
        </w:rPr>
        <w:t>in the supplementary, substantial and/or extensive levels of adjustment</w:t>
      </w:r>
      <w:r w:rsidR="001224FC" w:rsidRPr="002266F0">
        <w:rPr>
          <w:rFonts w:cstheme="minorHAnsi"/>
        </w:rPr>
        <w:t>.</w:t>
      </w:r>
    </w:p>
    <w:p w:rsidR="001224FC" w:rsidRPr="002266F0" w:rsidRDefault="0056554E" w:rsidP="00FB0078">
      <w:pPr>
        <w:pStyle w:val="ListParagraph"/>
        <w:numPr>
          <w:ilvl w:val="0"/>
          <w:numId w:val="13"/>
        </w:numPr>
        <w:spacing w:before="240" w:after="240"/>
        <w:contextualSpacing w:val="0"/>
        <w:rPr>
          <w:rFonts w:cstheme="minorHAnsi"/>
        </w:rPr>
      </w:pPr>
      <w:r>
        <w:t>Your school/a</w:t>
      </w:r>
      <w:r w:rsidR="00E2134C" w:rsidRPr="002266F0">
        <w:rPr>
          <w:rFonts w:cstheme="minorHAnsi"/>
        </w:rPr>
        <w:t xml:space="preserve"> school of your approved authority has</w:t>
      </w:r>
      <w:r w:rsidR="00A95D22" w:rsidRPr="002266F0">
        <w:rPr>
          <w:rFonts w:cstheme="minorHAnsi"/>
        </w:rPr>
        <w:t xml:space="preserve"> part</w:t>
      </w:r>
      <w:r w:rsidR="006305BD" w:rsidRPr="002266F0">
        <w:rPr>
          <w:rFonts w:cstheme="minorHAnsi"/>
        </w:rPr>
        <w:t>-</w:t>
      </w:r>
      <w:r w:rsidR="00A95D22" w:rsidRPr="002266F0">
        <w:rPr>
          <w:rFonts w:cstheme="minorHAnsi"/>
        </w:rPr>
        <w:t xml:space="preserve">time students who were </w:t>
      </w:r>
      <w:r w:rsidR="00A95D22" w:rsidRPr="002266F0">
        <w:rPr>
          <w:rFonts w:cstheme="minorHAnsi"/>
          <w:i/>
        </w:rPr>
        <w:t>not</w:t>
      </w:r>
      <w:r w:rsidR="00A95D22" w:rsidRPr="002266F0">
        <w:rPr>
          <w:rFonts w:cstheme="minorHAnsi"/>
        </w:rPr>
        <w:t xml:space="preserve"> included in your school’s 2017 NCCD count because of the requirement in the 2017 NCCD Guidelines that a student must be counted by only one school.</w:t>
      </w:r>
      <w:r w:rsidR="00255833" w:rsidRPr="002266F0">
        <w:rPr>
          <w:rStyle w:val="EndnoteReference"/>
          <w:rFonts w:cstheme="minorHAnsi"/>
        </w:rPr>
        <w:endnoteReference w:id="3"/>
      </w:r>
      <w:r w:rsidR="00ED2BFC" w:rsidRPr="002266F0">
        <w:rPr>
          <w:rFonts w:cstheme="minorHAnsi"/>
        </w:rPr>
        <w:t xml:space="preserve"> The FTE for these students (less than 0.5 FTE) can be counted for funding purposes. </w:t>
      </w:r>
    </w:p>
    <w:p w:rsidR="00680136" w:rsidRPr="002266F0" w:rsidRDefault="0056554E" w:rsidP="00FB0078">
      <w:pPr>
        <w:pStyle w:val="ListParagraph"/>
        <w:numPr>
          <w:ilvl w:val="0"/>
          <w:numId w:val="13"/>
        </w:numPr>
        <w:spacing w:before="240" w:after="240"/>
        <w:contextualSpacing w:val="0"/>
        <w:rPr>
          <w:rFonts w:cstheme="minorHAnsi"/>
        </w:rPr>
      </w:pPr>
      <w:r>
        <w:t>Your school/a</w:t>
      </w:r>
      <w:r w:rsidR="00E2134C" w:rsidRPr="002266F0">
        <w:rPr>
          <w:rFonts w:cstheme="minorHAnsi"/>
        </w:rPr>
        <w:t xml:space="preserve"> school of your approved authority h</w:t>
      </w:r>
      <w:r w:rsidR="00A64AA9" w:rsidRPr="002266F0">
        <w:rPr>
          <w:rFonts w:cstheme="minorHAnsi"/>
        </w:rPr>
        <w:t>a</w:t>
      </w:r>
      <w:r w:rsidR="009E7220" w:rsidRPr="002266F0">
        <w:rPr>
          <w:rFonts w:cstheme="minorHAnsi"/>
        </w:rPr>
        <w:t>s</w:t>
      </w:r>
      <w:r w:rsidR="00ED2BFC" w:rsidRPr="002266F0">
        <w:rPr>
          <w:rFonts w:cstheme="minorHAnsi"/>
        </w:rPr>
        <w:t xml:space="preserve"> overseas students counted in the 2017 NCCD in the supplementary, substantial and/or extensive levels of adjustment</w:t>
      </w:r>
      <w:r w:rsidR="006A751E" w:rsidRPr="002266F0">
        <w:rPr>
          <w:rFonts w:cstheme="minorHAnsi"/>
        </w:rPr>
        <w:t xml:space="preserve"> (as they should be excluded for the purposes of funding)</w:t>
      </w:r>
      <w:r w:rsidR="00ED2BFC" w:rsidRPr="002266F0">
        <w:rPr>
          <w:rFonts w:cstheme="minorHAnsi"/>
        </w:rPr>
        <w:t>.</w:t>
      </w:r>
      <w:r w:rsidR="00255833" w:rsidRPr="002266F0">
        <w:rPr>
          <w:rStyle w:val="EndnoteReference"/>
          <w:rFonts w:cstheme="minorHAnsi"/>
        </w:rPr>
        <w:endnoteReference w:id="4"/>
      </w:r>
      <w:r w:rsidR="00ED2BFC" w:rsidRPr="002266F0">
        <w:rPr>
          <w:rFonts w:cstheme="minorHAnsi"/>
        </w:rPr>
        <w:t xml:space="preserve"> </w:t>
      </w:r>
    </w:p>
    <w:p w:rsidR="00A44026" w:rsidRPr="00E9548C" w:rsidRDefault="00A44026" w:rsidP="00FB0078">
      <w:pPr>
        <w:spacing w:before="240" w:after="240"/>
      </w:pPr>
      <w:r>
        <w:t xml:space="preserve">If you are still unsure whether to provide additional information, you should also contact your state </w:t>
      </w:r>
      <w:r w:rsidR="00AD0740">
        <w:t>non-government representative body (the state Association of Independent schools or the state Catholic Education Commission)</w:t>
      </w:r>
      <w:r>
        <w:t>. The department has provided them with further information on which schools have had an estimate of FTE.</w:t>
      </w:r>
    </w:p>
    <w:p w:rsidR="00ED2BFC" w:rsidRPr="003A100A" w:rsidRDefault="00ED2BFC" w:rsidP="00FB0078">
      <w:pPr>
        <w:spacing w:before="240" w:after="240"/>
        <w:rPr>
          <w:rFonts w:eastAsiaTheme="majorEastAsia" w:cstheme="minorHAnsi"/>
          <w:b/>
          <w:iCs/>
          <w:color w:val="4F81BD" w:themeColor="accent1"/>
          <w:spacing w:val="15"/>
          <w:sz w:val="24"/>
          <w:szCs w:val="24"/>
        </w:rPr>
      </w:pPr>
      <w:r w:rsidRPr="003A100A">
        <w:rPr>
          <w:rFonts w:eastAsiaTheme="majorEastAsia" w:cstheme="minorHAnsi"/>
          <w:b/>
          <w:iCs/>
          <w:color w:val="4F81BD" w:themeColor="accent1"/>
          <w:spacing w:val="15"/>
          <w:sz w:val="24"/>
          <w:szCs w:val="24"/>
        </w:rPr>
        <w:t>How does providing actual 2017 NCCD FTE impact funding?</w:t>
      </w:r>
    </w:p>
    <w:p w:rsidR="005919B6" w:rsidRPr="002266F0" w:rsidRDefault="00F47FD5" w:rsidP="00FB0078">
      <w:pPr>
        <w:spacing w:before="240" w:after="240"/>
        <w:rPr>
          <w:rFonts w:cstheme="minorHAnsi"/>
        </w:rPr>
      </w:pPr>
      <w:r w:rsidRPr="002266F0">
        <w:rPr>
          <w:rFonts w:cstheme="minorHAnsi"/>
        </w:rPr>
        <w:t>F</w:t>
      </w:r>
      <w:r w:rsidR="00903A7B" w:rsidRPr="002266F0">
        <w:rPr>
          <w:rFonts w:cstheme="minorHAnsi"/>
        </w:rPr>
        <w:t>or a small number of schools</w:t>
      </w:r>
      <w:r w:rsidR="004C52A5" w:rsidRPr="002266F0">
        <w:rPr>
          <w:rFonts w:cstheme="minorHAnsi"/>
        </w:rPr>
        <w:t xml:space="preserve">, actual </w:t>
      </w:r>
      <w:r w:rsidR="005C205F" w:rsidRPr="002266F0">
        <w:rPr>
          <w:rFonts w:cstheme="minorHAnsi"/>
        </w:rPr>
        <w:t xml:space="preserve">2017 </w:t>
      </w:r>
      <w:r w:rsidR="004C52A5" w:rsidRPr="002266F0">
        <w:rPr>
          <w:rFonts w:cstheme="minorHAnsi"/>
        </w:rPr>
        <w:t xml:space="preserve">NCCD FTE (excluding overseas students) </w:t>
      </w:r>
      <w:r w:rsidR="00C74435" w:rsidRPr="002266F0">
        <w:rPr>
          <w:rFonts w:cstheme="minorHAnsi"/>
        </w:rPr>
        <w:t xml:space="preserve">may </w:t>
      </w:r>
      <w:r w:rsidR="003A100A">
        <w:rPr>
          <w:rFonts w:cstheme="minorHAnsi"/>
        </w:rPr>
        <w:t xml:space="preserve">have a material impact on </w:t>
      </w:r>
      <w:r w:rsidR="00C51A70" w:rsidRPr="002266F0">
        <w:rPr>
          <w:rFonts w:cstheme="minorHAnsi"/>
        </w:rPr>
        <w:t>t</w:t>
      </w:r>
      <w:r w:rsidR="00C74435" w:rsidRPr="002266F0">
        <w:rPr>
          <w:rFonts w:cstheme="minorHAnsi"/>
        </w:rPr>
        <w:t>he school’s</w:t>
      </w:r>
      <w:r w:rsidR="00C51A70" w:rsidRPr="002266F0">
        <w:rPr>
          <w:rFonts w:cstheme="minorHAnsi"/>
        </w:rPr>
        <w:t xml:space="preserve"> starting share</w:t>
      </w:r>
      <w:r w:rsidR="003A100A">
        <w:rPr>
          <w:rFonts w:cstheme="minorHAnsi"/>
        </w:rPr>
        <w:t>,</w:t>
      </w:r>
      <w:r w:rsidR="00C51A70" w:rsidRPr="002266F0">
        <w:rPr>
          <w:rFonts w:cstheme="minorHAnsi"/>
        </w:rPr>
        <w:t xml:space="preserve"> and, subsequently, the</w:t>
      </w:r>
      <w:r w:rsidR="00C74435" w:rsidRPr="002266F0">
        <w:rPr>
          <w:rFonts w:cstheme="minorHAnsi"/>
        </w:rPr>
        <w:t xml:space="preserve"> school’s</w:t>
      </w:r>
      <w:r w:rsidR="00C51A70" w:rsidRPr="002266F0">
        <w:rPr>
          <w:rFonts w:cstheme="minorHAnsi"/>
        </w:rPr>
        <w:t xml:space="preserve"> Commonwealth funding during </w:t>
      </w:r>
      <w:r w:rsidR="00A44026">
        <w:t>the six or ten year transition to the consistent Commonwealth shares.</w:t>
      </w:r>
    </w:p>
    <w:p w:rsidR="003A100A" w:rsidRDefault="001A2905" w:rsidP="00FB0078">
      <w:pPr>
        <w:spacing w:before="240" w:after="240"/>
        <w:rPr>
          <w:rFonts w:cstheme="minorHAnsi"/>
        </w:rPr>
      </w:pPr>
      <w:r w:rsidRPr="002266F0">
        <w:rPr>
          <w:rFonts w:cstheme="minorHAnsi"/>
        </w:rPr>
        <w:t xml:space="preserve">If a school counted part-time students or overseas students in their </w:t>
      </w:r>
      <w:r w:rsidR="003A100A">
        <w:rPr>
          <w:rFonts w:cstheme="minorHAnsi"/>
        </w:rPr>
        <w:t xml:space="preserve">2017 NCCD, it is possible the </w:t>
      </w:r>
      <w:r w:rsidR="006305BD" w:rsidRPr="002266F0">
        <w:rPr>
          <w:rFonts w:cstheme="minorHAnsi"/>
        </w:rPr>
        <w:t>2017 SRS as calculated under the new settings (</w:t>
      </w:r>
      <w:r w:rsidRPr="002266F0">
        <w:rPr>
          <w:rFonts w:cstheme="minorHAnsi"/>
        </w:rPr>
        <w:t xml:space="preserve">adjusted </w:t>
      </w:r>
      <w:r w:rsidR="006305BD" w:rsidRPr="002266F0">
        <w:rPr>
          <w:rFonts w:cstheme="minorHAnsi"/>
        </w:rPr>
        <w:t xml:space="preserve">2017 SRS, </w:t>
      </w:r>
      <w:r w:rsidRPr="002266F0">
        <w:rPr>
          <w:rFonts w:cstheme="minorHAnsi"/>
        </w:rPr>
        <w:t xml:space="preserve">used to calculate the starting share) may be inflated. An inflated </w:t>
      </w:r>
      <w:r w:rsidR="006305BD" w:rsidRPr="002266F0">
        <w:rPr>
          <w:rFonts w:cstheme="minorHAnsi"/>
        </w:rPr>
        <w:t>adjusted 2017 SRS</w:t>
      </w:r>
      <w:r w:rsidRPr="002266F0">
        <w:rPr>
          <w:rFonts w:cstheme="minorHAnsi"/>
        </w:rPr>
        <w:t xml:space="preserve"> may result in a lower starting share and, subsequently, less funding during transition.</w:t>
      </w:r>
      <w:r w:rsidR="003A100A">
        <w:rPr>
          <w:rFonts w:cstheme="minorHAnsi"/>
        </w:rPr>
        <w:t xml:space="preserve"> </w:t>
      </w:r>
    </w:p>
    <w:p w:rsidR="00ED2BFC" w:rsidRPr="002266F0" w:rsidRDefault="003A100A" w:rsidP="00FB0078">
      <w:pPr>
        <w:spacing w:before="240" w:after="240"/>
        <w:rPr>
          <w:rFonts w:cstheme="minorHAnsi"/>
        </w:rPr>
      </w:pPr>
      <w:r>
        <w:rPr>
          <w:rFonts w:cstheme="minorHAnsi"/>
        </w:rPr>
        <w:t>While the adjustment undertaken by the government is intended to address this potential, p</w:t>
      </w:r>
      <w:r w:rsidR="00ED2BFC" w:rsidRPr="002266F0">
        <w:rPr>
          <w:rFonts w:cstheme="minorHAnsi"/>
        </w:rPr>
        <w:t>rovidin</w:t>
      </w:r>
      <w:r>
        <w:rPr>
          <w:rFonts w:cstheme="minorHAnsi"/>
        </w:rPr>
        <w:t xml:space="preserve">g 2017 NCCD data as FTE ensures </w:t>
      </w:r>
      <w:r w:rsidR="00ED2BFC" w:rsidRPr="003A100A">
        <w:rPr>
          <w:rFonts w:cstheme="minorHAnsi"/>
        </w:rPr>
        <w:t xml:space="preserve">the starting share for </w:t>
      </w:r>
      <w:r w:rsidR="00A64AA9" w:rsidRPr="003A100A">
        <w:rPr>
          <w:rFonts w:cstheme="minorHAnsi"/>
        </w:rPr>
        <w:t>the</w:t>
      </w:r>
      <w:r w:rsidR="00ED2BFC" w:rsidRPr="003A100A">
        <w:rPr>
          <w:rFonts w:cstheme="minorHAnsi"/>
        </w:rPr>
        <w:t xml:space="preserve"> school is correctly calculated, which will have a flow on effect on Commonwealth funding for the 6 or 10 years the school transitions to consistent Commonwealth shares of</w:t>
      </w:r>
      <w:r>
        <w:rPr>
          <w:rFonts w:cstheme="minorHAnsi"/>
        </w:rPr>
        <w:t xml:space="preserve"> the Schooling Resource Standard</w:t>
      </w:r>
      <w:r w:rsidR="00ED2BFC" w:rsidRPr="002266F0">
        <w:rPr>
          <w:rFonts w:cstheme="minorHAnsi"/>
        </w:rPr>
        <w:t>.</w:t>
      </w:r>
    </w:p>
    <w:p w:rsidR="000773B0" w:rsidRPr="003A100A" w:rsidRDefault="00D56B81" w:rsidP="00FB0078">
      <w:pPr>
        <w:pStyle w:val="Subtitle"/>
        <w:numPr>
          <w:ilvl w:val="0"/>
          <w:numId w:val="0"/>
        </w:numPr>
        <w:spacing w:before="240" w:after="240"/>
        <w:rPr>
          <w:rFonts w:asciiTheme="minorHAnsi" w:hAnsiTheme="minorHAnsi" w:cstheme="minorHAnsi"/>
          <w:b/>
          <w:i w:val="0"/>
        </w:rPr>
      </w:pPr>
      <w:r w:rsidRPr="003A100A">
        <w:rPr>
          <w:rFonts w:asciiTheme="minorHAnsi" w:hAnsiTheme="minorHAnsi" w:cstheme="minorHAnsi"/>
          <w:b/>
          <w:i w:val="0"/>
        </w:rPr>
        <w:t>How to provide your school’s</w:t>
      </w:r>
      <w:r w:rsidR="000773B0" w:rsidRPr="003A100A">
        <w:rPr>
          <w:rFonts w:asciiTheme="minorHAnsi" w:hAnsiTheme="minorHAnsi" w:cstheme="minorHAnsi"/>
          <w:b/>
          <w:i w:val="0"/>
        </w:rPr>
        <w:t xml:space="preserve"> </w:t>
      </w:r>
      <w:r w:rsidRPr="003A100A">
        <w:rPr>
          <w:rFonts w:asciiTheme="minorHAnsi" w:hAnsiTheme="minorHAnsi" w:cstheme="minorHAnsi"/>
          <w:b/>
          <w:i w:val="0"/>
        </w:rPr>
        <w:t xml:space="preserve">2017 </w:t>
      </w:r>
      <w:r w:rsidR="000773B0" w:rsidRPr="003A100A">
        <w:rPr>
          <w:rFonts w:asciiTheme="minorHAnsi" w:hAnsiTheme="minorHAnsi" w:cstheme="minorHAnsi"/>
          <w:b/>
          <w:i w:val="0"/>
        </w:rPr>
        <w:t>NCCD</w:t>
      </w:r>
      <w:r w:rsidRPr="003A100A">
        <w:rPr>
          <w:rFonts w:asciiTheme="minorHAnsi" w:hAnsiTheme="minorHAnsi" w:cstheme="minorHAnsi"/>
          <w:b/>
          <w:i w:val="0"/>
        </w:rPr>
        <w:t xml:space="preserve"> as</w:t>
      </w:r>
      <w:r w:rsidR="000773B0" w:rsidRPr="003A100A">
        <w:rPr>
          <w:rFonts w:asciiTheme="minorHAnsi" w:hAnsiTheme="minorHAnsi" w:cstheme="minorHAnsi"/>
          <w:b/>
          <w:i w:val="0"/>
        </w:rPr>
        <w:t xml:space="preserve"> full-time equivalent </w:t>
      </w:r>
    </w:p>
    <w:p w:rsidR="00D56B81" w:rsidRPr="002266F0" w:rsidRDefault="003A100A" w:rsidP="00FB0078">
      <w:pPr>
        <w:spacing w:before="240" w:after="240"/>
        <w:rPr>
          <w:rFonts w:cstheme="minorHAnsi"/>
        </w:rPr>
      </w:pPr>
      <w:r>
        <w:rPr>
          <w:rFonts w:cstheme="minorHAnsi"/>
        </w:rPr>
        <w:t>If you d</w:t>
      </w:r>
      <w:r w:rsidR="00D56B81" w:rsidRPr="002266F0">
        <w:rPr>
          <w:rFonts w:cstheme="minorHAnsi"/>
        </w:rPr>
        <w:t xml:space="preserve">ecide </w:t>
      </w:r>
      <w:r>
        <w:rPr>
          <w:rFonts w:cstheme="minorHAnsi"/>
        </w:rPr>
        <w:t>to provide</w:t>
      </w:r>
      <w:r w:rsidR="00D56B81" w:rsidRPr="002266F0">
        <w:rPr>
          <w:rFonts w:cstheme="minorHAnsi"/>
        </w:rPr>
        <w:t xml:space="preserve"> 2017 NCCD as a </w:t>
      </w:r>
      <w:r>
        <w:rPr>
          <w:rFonts w:cstheme="minorHAnsi"/>
        </w:rPr>
        <w:t>FTE for your school</w:t>
      </w:r>
      <w:r w:rsidR="00A44026">
        <w:rPr>
          <w:rFonts w:cstheme="minorHAnsi"/>
        </w:rPr>
        <w:t>/</w:t>
      </w:r>
      <w:r>
        <w:rPr>
          <w:rFonts w:cstheme="minorHAnsi"/>
        </w:rPr>
        <w:t>s, you will need to:</w:t>
      </w:r>
    </w:p>
    <w:p w:rsidR="00D56B81" w:rsidRPr="002266F0" w:rsidRDefault="00D56B81" w:rsidP="00FB0078">
      <w:pPr>
        <w:pStyle w:val="ListParagraph"/>
        <w:numPr>
          <w:ilvl w:val="0"/>
          <w:numId w:val="14"/>
        </w:numPr>
        <w:spacing w:before="240" w:after="240"/>
        <w:contextualSpacing w:val="0"/>
        <w:rPr>
          <w:rFonts w:cstheme="minorHAnsi"/>
        </w:rPr>
      </w:pPr>
      <w:r w:rsidRPr="002266F0">
        <w:rPr>
          <w:rFonts w:cstheme="minorHAnsi"/>
        </w:rPr>
        <w:t xml:space="preserve">Have </w:t>
      </w:r>
      <w:r w:rsidR="003A100A">
        <w:rPr>
          <w:rFonts w:cstheme="minorHAnsi"/>
        </w:rPr>
        <w:t>each school</w:t>
      </w:r>
      <w:r w:rsidRPr="002266F0">
        <w:rPr>
          <w:rFonts w:cstheme="minorHAnsi"/>
        </w:rPr>
        <w:t xml:space="preserve"> complete </w:t>
      </w:r>
      <w:r w:rsidRPr="002266F0">
        <w:rPr>
          <w:rFonts w:cstheme="minorHAnsi"/>
          <w:u w:val="single"/>
        </w:rPr>
        <w:t>Attachment A</w:t>
      </w:r>
      <w:r w:rsidRPr="002266F0">
        <w:rPr>
          <w:rFonts w:cstheme="minorHAnsi"/>
        </w:rPr>
        <w:t xml:space="preserve"> (one per school). </w:t>
      </w:r>
      <w:r w:rsidRPr="00E9548C">
        <w:rPr>
          <w:rFonts w:cstheme="minorHAnsi"/>
        </w:rPr>
        <w:t>Note</w:t>
      </w:r>
      <w:r w:rsidRPr="00A44026">
        <w:rPr>
          <w:rFonts w:cstheme="minorHAnsi"/>
        </w:rPr>
        <w:t>, schools</w:t>
      </w:r>
      <w:r w:rsidRPr="002266F0">
        <w:rPr>
          <w:rFonts w:cstheme="minorHAnsi"/>
        </w:rPr>
        <w:t xml:space="preserve"> with more than one location/campus will need to collate the information to a single school submission and submit it under the head campus’ AGEID.</w:t>
      </w:r>
    </w:p>
    <w:p w:rsidR="00D56B81" w:rsidRPr="003A100A" w:rsidRDefault="00D56B81" w:rsidP="00FB0078">
      <w:pPr>
        <w:pStyle w:val="ListParagraph"/>
        <w:numPr>
          <w:ilvl w:val="0"/>
          <w:numId w:val="14"/>
        </w:numPr>
        <w:spacing w:before="240" w:after="240"/>
        <w:contextualSpacing w:val="0"/>
        <w:rPr>
          <w:rFonts w:cstheme="minorHAnsi"/>
        </w:rPr>
      </w:pPr>
      <w:r w:rsidRPr="003A100A">
        <w:rPr>
          <w:rFonts w:cstheme="minorHAnsi"/>
        </w:rPr>
        <w:t xml:space="preserve">Review the completed </w:t>
      </w:r>
      <w:r w:rsidRPr="003A100A">
        <w:rPr>
          <w:rFonts w:cstheme="minorHAnsi"/>
          <w:u w:val="single"/>
        </w:rPr>
        <w:t>Attachment A</w:t>
      </w:r>
      <w:r w:rsidRPr="003A100A">
        <w:rPr>
          <w:rFonts w:cstheme="minorHAnsi"/>
        </w:rPr>
        <w:t xml:space="preserve"> for each school under your authority</w:t>
      </w:r>
      <w:r w:rsidR="003A100A" w:rsidRPr="003A100A">
        <w:rPr>
          <w:rFonts w:cstheme="minorHAnsi"/>
        </w:rPr>
        <w:t xml:space="preserve"> and sign the </w:t>
      </w:r>
      <w:r w:rsidRPr="003A100A">
        <w:rPr>
          <w:rFonts w:cstheme="minorHAnsi"/>
        </w:rPr>
        <w:t xml:space="preserve">completed </w:t>
      </w:r>
      <w:r w:rsidR="003A100A">
        <w:rPr>
          <w:rFonts w:cstheme="minorHAnsi"/>
        </w:rPr>
        <w:t>documen</w:t>
      </w:r>
      <w:r w:rsidR="003A100A" w:rsidRPr="003A100A">
        <w:rPr>
          <w:rFonts w:cstheme="minorHAnsi"/>
        </w:rPr>
        <w:t>t</w:t>
      </w:r>
      <w:r w:rsidR="004904A8" w:rsidRPr="003A100A">
        <w:rPr>
          <w:rFonts w:cstheme="minorHAnsi"/>
        </w:rPr>
        <w:t>.</w:t>
      </w:r>
      <w:r w:rsidRPr="003A100A">
        <w:rPr>
          <w:rFonts w:cstheme="minorHAnsi"/>
        </w:rPr>
        <w:t xml:space="preserve"> </w:t>
      </w:r>
    </w:p>
    <w:p w:rsidR="00A44026" w:rsidRPr="008148DD" w:rsidRDefault="00D56B81" w:rsidP="00FB0078">
      <w:pPr>
        <w:pStyle w:val="ListParagraph"/>
        <w:numPr>
          <w:ilvl w:val="0"/>
          <w:numId w:val="14"/>
        </w:numPr>
        <w:spacing w:before="240" w:after="240"/>
        <w:contextualSpacing w:val="0"/>
        <w:rPr>
          <w:rFonts w:cstheme="minorHAnsi"/>
        </w:rPr>
      </w:pPr>
      <w:r w:rsidRPr="002266F0">
        <w:rPr>
          <w:rFonts w:cstheme="minorHAnsi"/>
        </w:rPr>
        <w:t xml:space="preserve">Email all completed documents to </w:t>
      </w:r>
      <w:hyperlink r:id="rId11" w:history="1">
        <w:r w:rsidRPr="002266F0">
          <w:rPr>
            <w:rStyle w:val="Hyperlink"/>
            <w:rFonts w:cstheme="minorHAnsi"/>
            <w:bCs/>
            <w:color w:val="auto"/>
            <w:lang w:eastAsia="en-AU"/>
          </w:rPr>
          <w:t>GrantsandDataHelp@education.gov.au</w:t>
        </w:r>
      </w:hyperlink>
      <w:r w:rsidRPr="002266F0">
        <w:rPr>
          <w:rStyle w:val="Hyperlink"/>
          <w:rFonts w:cstheme="minorHAnsi"/>
          <w:bCs/>
          <w:color w:val="auto"/>
          <w:u w:val="none"/>
          <w:lang w:eastAsia="en-AU"/>
        </w:rPr>
        <w:t xml:space="preserve"> on a single email </w:t>
      </w:r>
      <w:r w:rsidRPr="002266F0">
        <w:rPr>
          <w:rStyle w:val="Hyperlink"/>
          <w:rFonts w:cstheme="minorHAnsi"/>
          <w:b/>
          <w:bCs/>
          <w:color w:val="auto"/>
          <w:u w:val="none"/>
          <w:lang w:eastAsia="en-AU"/>
        </w:rPr>
        <w:t>before 29 March 2018</w:t>
      </w:r>
      <w:r w:rsidRPr="002266F0">
        <w:rPr>
          <w:rStyle w:val="Hyperlink"/>
          <w:rFonts w:cstheme="minorHAnsi"/>
          <w:bCs/>
          <w:color w:val="auto"/>
          <w:u w:val="none"/>
          <w:lang w:eastAsia="en-AU"/>
        </w:rPr>
        <w:t xml:space="preserve">. Please ensure the email includes a contact number for the person providing the data to the department. </w:t>
      </w:r>
    </w:p>
    <w:p w:rsidR="00A44026" w:rsidRPr="008148DD" w:rsidRDefault="00A44026" w:rsidP="00FB0078">
      <w:pPr>
        <w:spacing w:before="240" w:after="240"/>
      </w:pPr>
      <w:r>
        <w:t xml:space="preserve">Because this data will inform funding, an approved authority representative must review and sign the template for each school. This is likely to be the person who declared and submitted the 2017 NCCD submission. </w:t>
      </w:r>
    </w:p>
    <w:p w:rsidR="00911298" w:rsidRPr="002266F0" w:rsidRDefault="00D56B81" w:rsidP="00FB0078">
      <w:pPr>
        <w:spacing w:before="240" w:after="240"/>
        <w:rPr>
          <w:rFonts w:cstheme="minorHAnsi"/>
        </w:rPr>
      </w:pPr>
      <w:r w:rsidRPr="002266F0">
        <w:rPr>
          <w:rFonts w:cstheme="minorHAnsi"/>
        </w:rPr>
        <w:lastRenderedPageBreak/>
        <w:t xml:space="preserve">The department will then use the received information to </w:t>
      </w:r>
      <w:r w:rsidR="006A751E" w:rsidRPr="002266F0">
        <w:rPr>
          <w:rFonts w:cstheme="minorHAnsi"/>
        </w:rPr>
        <w:t xml:space="preserve">recalculate the starting share and </w:t>
      </w:r>
      <w:r w:rsidRPr="002266F0">
        <w:rPr>
          <w:rFonts w:cstheme="minorHAnsi"/>
        </w:rPr>
        <w:t xml:space="preserve">re-estimate the school’s </w:t>
      </w:r>
      <w:r w:rsidR="006A751E" w:rsidRPr="002266F0">
        <w:rPr>
          <w:rFonts w:cstheme="minorHAnsi"/>
        </w:rPr>
        <w:t xml:space="preserve">2018 </w:t>
      </w:r>
      <w:r w:rsidRPr="002266F0">
        <w:rPr>
          <w:rFonts w:cstheme="minorHAnsi"/>
        </w:rPr>
        <w:t>funding estimate.</w:t>
      </w:r>
      <w:r w:rsidR="00AF757C" w:rsidRPr="002266F0">
        <w:rPr>
          <w:rFonts w:cstheme="minorHAnsi"/>
        </w:rPr>
        <w:t xml:space="preserve"> This is a one off process for funding purposes only. It does not impact your headcount 2017 NCCD data. </w:t>
      </w:r>
    </w:p>
    <w:p w:rsidR="006305BD" w:rsidRPr="002266F0" w:rsidRDefault="006305BD" w:rsidP="00FB0078">
      <w:pPr>
        <w:spacing w:before="240" w:after="240"/>
        <w:rPr>
          <w:rFonts w:cstheme="minorHAnsi"/>
        </w:rPr>
      </w:pPr>
      <w:r w:rsidRPr="002266F0">
        <w:rPr>
          <w:rFonts w:cstheme="minorHAnsi"/>
        </w:rPr>
        <w:t xml:space="preserve">Please note, this updated information </w:t>
      </w:r>
      <w:r w:rsidR="00AD0740">
        <w:rPr>
          <w:rFonts w:cstheme="minorHAnsi"/>
        </w:rPr>
        <w:t>must</w:t>
      </w:r>
      <w:bookmarkStart w:id="0" w:name="_GoBack"/>
      <w:bookmarkEnd w:id="0"/>
      <w:r w:rsidRPr="002266F0">
        <w:rPr>
          <w:rFonts w:cstheme="minorHAnsi"/>
        </w:rPr>
        <w:t xml:space="preserve"> be provided to the department by 29 March 2018 for it to inform a school’s starting </w:t>
      </w:r>
      <w:r w:rsidR="003A100A">
        <w:rPr>
          <w:rFonts w:cstheme="minorHAnsi"/>
        </w:rPr>
        <w:t xml:space="preserve">2017 </w:t>
      </w:r>
      <w:r w:rsidRPr="002266F0">
        <w:rPr>
          <w:rFonts w:cstheme="minorHAnsi"/>
        </w:rPr>
        <w:t>Commonwealth share.</w:t>
      </w:r>
    </w:p>
    <w:p w:rsidR="00C025C9" w:rsidRPr="003A100A" w:rsidRDefault="00C025C9" w:rsidP="00FB0078">
      <w:pPr>
        <w:pStyle w:val="Subtitle"/>
        <w:numPr>
          <w:ilvl w:val="0"/>
          <w:numId w:val="0"/>
        </w:numPr>
        <w:spacing w:before="240" w:after="240"/>
        <w:rPr>
          <w:rFonts w:asciiTheme="minorHAnsi" w:hAnsiTheme="minorHAnsi" w:cstheme="minorHAnsi"/>
          <w:b/>
          <w:i w:val="0"/>
        </w:rPr>
      </w:pPr>
      <w:r w:rsidRPr="003A100A">
        <w:rPr>
          <w:rFonts w:asciiTheme="minorHAnsi" w:hAnsiTheme="minorHAnsi" w:cstheme="minorHAnsi"/>
          <w:b/>
          <w:i w:val="0"/>
        </w:rPr>
        <w:t>Further information</w:t>
      </w:r>
    </w:p>
    <w:p w:rsidR="00A44026" w:rsidRDefault="00A44026" w:rsidP="00FB0078">
      <w:pPr>
        <w:spacing w:before="240" w:after="240"/>
      </w:pPr>
      <w:r w:rsidRPr="006F304B">
        <w:t>Should you have any questions</w:t>
      </w:r>
      <w:r>
        <w:t xml:space="preserve"> regarding the FTE estimate process</w:t>
      </w:r>
      <w:r w:rsidRPr="006F304B">
        <w:t xml:space="preserve">, </w:t>
      </w:r>
      <w:r>
        <w:t>please call the grants and data</w:t>
      </w:r>
      <w:r w:rsidRPr="006F304B">
        <w:t xml:space="preserve"> helpdesk on please call 1800 677 027 and dial option 3</w:t>
      </w:r>
      <w:r>
        <w:t>.</w:t>
      </w:r>
    </w:p>
    <w:p w:rsidR="00C025C9" w:rsidRPr="002266F0" w:rsidRDefault="00C025C9" w:rsidP="00FB0078">
      <w:pPr>
        <w:spacing w:before="240" w:after="240"/>
        <w:rPr>
          <w:rFonts w:cstheme="minorHAnsi"/>
        </w:rPr>
      </w:pPr>
      <w:r w:rsidRPr="002266F0">
        <w:rPr>
          <w:rFonts w:cstheme="minorHAnsi"/>
        </w:rPr>
        <w:t>Further information on the NCCD can be found on the following websites:</w:t>
      </w:r>
    </w:p>
    <w:p w:rsidR="003A28F5" w:rsidRPr="002266F0" w:rsidRDefault="00AD0740" w:rsidP="00FB0078">
      <w:pPr>
        <w:pStyle w:val="ListParagraph"/>
        <w:numPr>
          <w:ilvl w:val="0"/>
          <w:numId w:val="4"/>
        </w:numPr>
        <w:spacing w:before="240" w:after="240"/>
        <w:contextualSpacing w:val="0"/>
        <w:rPr>
          <w:rFonts w:cstheme="minorHAnsi"/>
          <w:lang w:val="en"/>
        </w:rPr>
      </w:pPr>
      <w:hyperlink r:id="rId12" w:history="1">
        <w:r w:rsidR="003A28F5" w:rsidRPr="002266F0">
          <w:rPr>
            <w:rStyle w:val="Hyperlink"/>
            <w:rFonts w:cstheme="minorHAnsi"/>
            <w:lang w:val="en"/>
          </w:rPr>
          <w:t>2017 NCCD Guidelines</w:t>
        </w:r>
      </w:hyperlink>
      <w:r w:rsidR="003A28F5" w:rsidRPr="002266F0">
        <w:rPr>
          <w:rFonts w:cstheme="minorHAnsi"/>
          <w:lang w:val="en"/>
        </w:rPr>
        <w:t xml:space="preserve"> (</w:t>
      </w:r>
      <w:hyperlink r:id="rId13" w:history="1">
        <w:r w:rsidR="003A28F5" w:rsidRPr="002266F0">
          <w:rPr>
            <w:rStyle w:val="Hyperlink"/>
            <w:rFonts w:cstheme="minorHAnsi"/>
            <w:color w:val="auto"/>
            <w:lang w:val="en"/>
          </w:rPr>
          <w:t>https://www.education.gov.au/nationally-consistent-collection-data-students-disability-guidelines</w:t>
        </w:r>
      </w:hyperlink>
      <w:r w:rsidR="003A28F5" w:rsidRPr="002266F0">
        <w:rPr>
          <w:rFonts w:cstheme="minorHAnsi"/>
          <w:lang w:val="en"/>
        </w:rPr>
        <w:t xml:space="preserve">) </w:t>
      </w:r>
    </w:p>
    <w:p w:rsidR="00C025C9" w:rsidRPr="002266F0" w:rsidRDefault="00AD0740" w:rsidP="00FB0078">
      <w:pPr>
        <w:pStyle w:val="ListParagraph"/>
        <w:numPr>
          <w:ilvl w:val="0"/>
          <w:numId w:val="4"/>
        </w:numPr>
        <w:spacing w:before="240" w:after="240"/>
        <w:contextualSpacing w:val="0"/>
        <w:rPr>
          <w:rFonts w:cstheme="minorHAnsi"/>
          <w:lang w:val="en"/>
        </w:rPr>
      </w:pPr>
      <w:hyperlink r:id="rId14" w:history="1">
        <w:r w:rsidR="00C025C9" w:rsidRPr="002266F0">
          <w:rPr>
            <w:rStyle w:val="Hyperlink"/>
            <w:rFonts w:cstheme="minorHAnsi"/>
          </w:rPr>
          <w:t>Nationally Consistent Collection of Data on School Students with Disability</w:t>
        </w:r>
      </w:hyperlink>
      <w:r w:rsidR="00C025C9" w:rsidRPr="002266F0">
        <w:rPr>
          <w:rFonts w:cstheme="minorHAnsi"/>
        </w:rPr>
        <w:t xml:space="preserve"> (</w:t>
      </w:r>
      <w:r w:rsidR="00C025C9" w:rsidRPr="002266F0">
        <w:rPr>
          <w:rFonts w:cstheme="minorHAnsi"/>
          <w:u w:val="single"/>
        </w:rPr>
        <w:t>http://www.schooldisabilitydatapl.edu.au)</w:t>
      </w:r>
    </w:p>
    <w:p w:rsidR="00C025C9" w:rsidRPr="002266F0" w:rsidRDefault="00AD0740" w:rsidP="00FB0078">
      <w:pPr>
        <w:pStyle w:val="ListParagraph"/>
        <w:numPr>
          <w:ilvl w:val="0"/>
          <w:numId w:val="4"/>
        </w:numPr>
        <w:spacing w:before="240" w:after="240"/>
        <w:contextualSpacing w:val="0"/>
        <w:rPr>
          <w:rFonts w:cstheme="minorHAnsi"/>
          <w:u w:val="single"/>
          <w:lang w:val="en"/>
        </w:rPr>
      </w:pPr>
      <w:hyperlink r:id="rId15" w:history="1">
        <w:r w:rsidR="00C025C9" w:rsidRPr="002266F0">
          <w:rPr>
            <w:rStyle w:val="Hyperlink"/>
            <w:rFonts w:cstheme="minorHAnsi"/>
          </w:rPr>
          <w:t>the Students with Disability webpage</w:t>
        </w:r>
      </w:hyperlink>
      <w:r w:rsidR="00C025C9" w:rsidRPr="002266F0">
        <w:rPr>
          <w:rFonts w:cstheme="minorHAnsi"/>
        </w:rPr>
        <w:t xml:space="preserve"> of the Australian Government Department of Education and Training </w:t>
      </w:r>
      <w:r w:rsidR="00C025C9" w:rsidRPr="002266F0">
        <w:rPr>
          <w:rFonts w:cstheme="minorHAnsi"/>
          <w:u w:val="single"/>
        </w:rPr>
        <w:t>(www.education.gov.au/node/4209).</w:t>
      </w:r>
    </w:p>
    <w:p w:rsidR="006404CD" w:rsidRPr="002266F0" w:rsidRDefault="00C025C9" w:rsidP="00FB0078">
      <w:pPr>
        <w:spacing w:before="240" w:after="240"/>
        <w:rPr>
          <w:rFonts w:cstheme="minorHAnsi"/>
        </w:rPr>
        <w:sectPr w:rsidR="006404CD" w:rsidRPr="002266F0">
          <w:footerReference w:type="default" r:id="rId16"/>
          <w:pgSz w:w="11906" w:h="16838"/>
          <w:pgMar w:top="1440" w:right="1440" w:bottom="1440" w:left="1440" w:header="708" w:footer="708" w:gutter="0"/>
          <w:cols w:space="708"/>
          <w:docGrid w:linePitch="360"/>
        </w:sectPr>
      </w:pPr>
      <w:r w:rsidRPr="002266F0">
        <w:rPr>
          <w:rFonts w:cstheme="minorHAnsi"/>
        </w:rPr>
        <w:t xml:space="preserve">Further information about the Government’s </w:t>
      </w:r>
      <w:r w:rsidRPr="002266F0">
        <w:rPr>
          <w:rFonts w:cstheme="minorHAnsi"/>
          <w:i/>
        </w:rPr>
        <w:t>Quality Schools</w:t>
      </w:r>
      <w:r w:rsidRPr="002266F0">
        <w:rPr>
          <w:rFonts w:cstheme="minorHAnsi"/>
        </w:rPr>
        <w:t xml:space="preserve"> reforms, including funding for students with disability, transition</w:t>
      </w:r>
      <w:r w:rsidR="003A28F5" w:rsidRPr="002266F0">
        <w:rPr>
          <w:rFonts w:cstheme="minorHAnsi"/>
        </w:rPr>
        <w:t xml:space="preserve"> arrangements</w:t>
      </w:r>
      <w:r w:rsidR="006A751E" w:rsidRPr="002266F0">
        <w:rPr>
          <w:rFonts w:cstheme="minorHAnsi"/>
        </w:rPr>
        <w:t xml:space="preserve"> (including the starting share)</w:t>
      </w:r>
      <w:r w:rsidRPr="002266F0">
        <w:rPr>
          <w:rFonts w:cstheme="minorHAnsi"/>
        </w:rPr>
        <w:t xml:space="preserve"> and the Schooling Resource Standard can be found </w:t>
      </w:r>
      <w:hyperlink r:id="rId17" w:history="1">
        <w:r w:rsidRPr="002266F0">
          <w:rPr>
            <w:rStyle w:val="Hyperlink"/>
            <w:rFonts w:cstheme="minorHAnsi"/>
          </w:rPr>
          <w:t xml:space="preserve">here </w:t>
        </w:r>
      </w:hyperlink>
      <w:r w:rsidRPr="002266F0">
        <w:rPr>
          <w:rFonts w:cstheme="minorHAnsi"/>
        </w:rPr>
        <w:t xml:space="preserve"> </w:t>
      </w:r>
      <w:r w:rsidR="003A28F5" w:rsidRPr="002266F0">
        <w:rPr>
          <w:rFonts w:cstheme="minorHAnsi"/>
        </w:rPr>
        <w:t>(</w:t>
      </w:r>
      <w:hyperlink r:id="rId18" w:history="1">
        <w:r w:rsidRPr="002266F0">
          <w:rPr>
            <w:rStyle w:val="Hyperlink"/>
            <w:rFonts w:cstheme="minorHAnsi"/>
            <w:color w:val="auto"/>
          </w:rPr>
          <w:t>https://www.education.gov.au/quality-schools</w:t>
        </w:r>
      </w:hyperlink>
      <w:r w:rsidR="003A28F5" w:rsidRPr="002266F0">
        <w:rPr>
          <w:rFonts w:cstheme="minorHAnsi"/>
        </w:rPr>
        <w:t xml:space="preserve">). </w:t>
      </w:r>
    </w:p>
    <w:p w:rsidR="006404CD" w:rsidRPr="00D54FD4" w:rsidRDefault="00D54FD4" w:rsidP="00E9548C">
      <w:pPr>
        <w:pStyle w:val="Title"/>
        <w:spacing w:before="0" w:after="120"/>
        <w:rPr>
          <w:rFonts w:asciiTheme="minorHAnsi" w:hAnsiTheme="minorHAnsi" w:cstheme="minorHAnsi"/>
          <w:sz w:val="36"/>
          <w:szCs w:val="36"/>
        </w:rPr>
      </w:pPr>
      <w:r>
        <w:rPr>
          <w:rFonts w:asciiTheme="minorHAnsi" w:hAnsiTheme="minorHAnsi" w:cstheme="minorHAnsi"/>
          <w:sz w:val="36"/>
          <w:szCs w:val="36"/>
        </w:rPr>
        <w:lastRenderedPageBreak/>
        <w:t xml:space="preserve">Attachment A: </w:t>
      </w:r>
      <w:r w:rsidR="006404CD" w:rsidRPr="00D54FD4">
        <w:rPr>
          <w:rFonts w:asciiTheme="minorHAnsi" w:hAnsiTheme="minorHAnsi" w:cstheme="minorHAnsi"/>
          <w:sz w:val="36"/>
          <w:szCs w:val="36"/>
        </w:rPr>
        <w:t>2017 NCCD FTE Template</w:t>
      </w:r>
    </w:p>
    <w:p w:rsidR="003B6F75" w:rsidRPr="00D54FD4" w:rsidRDefault="006404CD" w:rsidP="00FB0078">
      <w:pPr>
        <w:spacing w:before="240"/>
        <w:rPr>
          <w:rFonts w:cstheme="minorHAnsi"/>
        </w:rPr>
      </w:pPr>
      <w:r w:rsidRPr="002266F0">
        <w:rPr>
          <w:rFonts w:cstheme="minorHAnsi"/>
        </w:rPr>
        <w:t xml:space="preserve">This form is used to enable schools to provide 2017 Nationally Consistent Collection of Data on School Students with </w:t>
      </w:r>
      <w:r w:rsidRPr="00D54FD4">
        <w:rPr>
          <w:rFonts w:cstheme="minorHAnsi"/>
        </w:rPr>
        <w:t>Disability (NCCD) as a full time equivalent (FTE) count</w:t>
      </w:r>
      <w:r w:rsidR="003B6F75" w:rsidRPr="00D54FD4">
        <w:rPr>
          <w:rFonts w:cstheme="minorHAnsi"/>
        </w:rPr>
        <w:t xml:space="preserve"> that:</w:t>
      </w:r>
    </w:p>
    <w:p w:rsidR="003B6F75" w:rsidRPr="00D54FD4" w:rsidRDefault="006404CD" w:rsidP="00E9548C">
      <w:pPr>
        <w:pStyle w:val="ListParagraph"/>
        <w:numPr>
          <w:ilvl w:val="0"/>
          <w:numId w:val="18"/>
        </w:numPr>
        <w:spacing w:before="0"/>
        <w:rPr>
          <w:rFonts w:cstheme="minorHAnsi"/>
        </w:rPr>
      </w:pPr>
      <w:r w:rsidRPr="00D54FD4">
        <w:rPr>
          <w:rFonts w:cstheme="minorHAnsi"/>
        </w:rPr>
        <w:t>exclud</w:t>
      </w:r>
      <w:r w:rsidR="003B6F75" w:rsidRPr="00D54FD4">
        <w:rPr>
          <w:rFonts w:cstheme="minorHAnsi"/>
        </w:rPr>
        <w:t>es</w:t>
      </w:r>
      <w:r w:rsidRPr="00D54FD4">
        <w:rPr>
          <w:rFonts w:cstheme="minorHAnsi"/>
        </w:rPr>
        <w:t xml:space="preserve"> any overseas students at the school </w:t>
      </w:r>
    </w:p>
    <w:p w:rsidR="003B6F75" w:rsidRPr="00D54FD4" w:rsidRDefault="003B6F75" w:rsidP="00E9548C">
      <w:pPr>
        <w:pStyle w:val="ListParagraph"/>
        <w:numPr>
          <w:ilvl w:val="0"/>
          <w:numId w:val="18"/>
        </w:numPr>
        <w:spacing w:before="0"/>
        <w:rPr>
          <w:rFonts w:cstheme="minorHAnsi"/>
        </w:rPr>
      </w:pPr>
      <w:r w:rsidRPr="00D54FD4">
        <w:rPr>
          <w:rFonts w:cstheme="minorHAnsi"/>
        </w:rPr>
        <w:t>provides the fraction of full time load for part time students (a</w:t>
      </w:r>
      <w:r w:rsidRPr="00D54FD4">
        <w:rPr>
          <w:rFonts w:cstheme="minorHAnsi"/>
          <w:bCs/>
          <w:iCs/>
          <w:shd w:val="clear" w:color="auto" w:fill="FFFFFF" w:themeFill="background1"/>
        </w:rPr>
        <w:t xml:space="preserve"> fraction of full-time study load must not exceed 1.0 full-time equivalent</w:t>
      </w:r>
      <w:r w:rsidRPr="00D54FD4">
        <w:rPr>
          <w:rFonts w:cstheme="minorHAnsi"/>
        </w:rPr>
        <w:t>)</w:t>
      </w:r>
    </w:p>
    <w:p w:rsidR="003B6F75" w:rsidRDefault="006404CD" w:rsidP="00E9548C">
      <w:pPr>
        <w:pStyle w:val="ListParagraph"/>
        <w:numPr>
          <w:ilvl w:val="0"/>
          <w:numId w:val="18"/>
        </w:numPr>
        <w:spacing w:before="0"/>
        <w:rPr>
          <w:rFonts w:cstheme="minorHAnsi"/>
        </w:rPr>
      </w:pPr>
      <w:r w:rsidRPr="003B6F75">
        <w:rPr>
          <w:rFonts w:cstheme="minorHAnsi"/>
        </w:rPr>
        <w:t>includ</w:t>
      </w:r>
      <w:r w:rsidR="003B6F75">
        <w:rPr>
          <w:rFonts w:cstheme="minorHAnsi"/>
        </w:rPr>
        <w:t>es</w:t>
      </w:r>
      <w:r w:rsidRPr="003B6F75">
        <w:rPr>
          <w:rFonts w:cstheme="minorHAnsi"/>
        </w:rPr>
        <w:t xml:space="preserve"> students who could not previously be included in the NCCD as they </w:t>
      </w:r>
      <w:r w:rsidR="006E4883" w:rsidRPr="003B6F75">
        <w:rPr>
          <w:rFonts w:cstheme="minorHAnsi"/>
        </w:rPr>
        <w:t>attended</w:t>
      </w:r>
      <w:r w:rsidR="003B6F75">
        <w:rPr>
          <w:rFonts w:cstheme="minorHAnsi"/>
        </w:rPr>
        <w:t xml:space="preserve"> more than one school</w:t>
      </w:r>
      <w:r w:rsidR="003B6F75" w:rsidRPr="003B6F75">
        <w:rPr>
          <w:rFonts w:cstheme="minorHAnsi"/>
        </w:rPr>
        <w:t xml:space="preserve"> </w:t>
      </w:r>
      <w:r w:rsidR="003B6F75">
        <w:rPr>
          <w:rFonts w:cstheme="minorHAnsi"/>
        </w:rPr>
        <w:t xml:space="preserve">(noting the </w:t>
      </w:r>
      <w:r w:rsidR="003B6F75" w:rsidRPr="002266F0">
        <w:rPr>
          <w:rFonts w:cstheme="minorHAnsi"/>
        </w:rPr>
        <w:t>combined reporting of the enrolment of this student must not exceed 1.0 full-time equivalent</w:t>
      </w:r>
      <w:r w:rsidR="003B6F75">
        <w:rPr>
          <w:rFonts w:cstheme="minorHAnsi"/>
        </w:rPr>
        <w:t>)</w:t>
      </w:r>
    </w:p>
    <w:p w:rsidR="006404CD" w:rsidRPr="003B6F75" w:rsidRDefault="003B6F75" w:rsidP="00E9548C">
      <w:pPr>
        <w:pStyle w:val="ListParagraph"/>
        <w:numPr>
          <w:ilvl w:val="0"/>
          <w:numId w:val="18"/>
        </w:numPr>
        <w:spacing w:before="0"/>
        <w:rPr>
          <w:rFonts w:cstheme="minorHAnsi"/>
        </w:rPr>
      </w:pPr>
      <w:r>
        <w:rPr>
          <w:rFonts w:cstheme="minorHAnsi"/>
        </w:rPr>
        <w:t>meets t</w:t>
      </w:r>
      <w:r w:rsidRPr="003B6F75">
        <w:rPr>
          <w:rFonts w:cstheme="minorHAnsi"/>
        </w:rPr>
        <w:t xml:space="preserve">he requirements of the 2017 NCCD Guidelines for including a student in the collection apply e.g. reference date is 4 August 2017 and there must be evidence an adjustment/s has been provided for minimum of 10 weeks.  </w:t>
      </w:r>
    </w:p>
    <w:p w:rsidR="003B6F75" w:rsidRDefault="006404CD" w:rsidP="00E9548C">
      <w:pPr>
        <w:spacing w:before="0"/>
        <w:rPr>
          <w:rFonts w:cstheme="minorHAnsi"/>
        </w:rPr>
      </w:pPr>
      <w:r w:rsidRPr="002266F0">
        <w:rPr>
          <w:rFonts w:cstheme="minorHAnsi"/>
        </w:rPr>
        <w:t xml:space="preserve">Approved </w:t>
      </w:r>
      <w:r w:rsidR="003B6F75">
        <w:rPr>
          <w:rFonts w:cstheme="minorHAnsi"/>
        </w:rPr>
        <w:t>a</w:t>
      </w:r>
      <w:r w:rsidRPr="002266F0">
        <w:rPr>
          <w:rFonts w:cstheme="minorHAnsi"/>
        </w:rPr>
        <w:t xml:space="preserve">uthorities </w:t>
      </w:r>
      <w:r w:rsidR="003B6F75">
        <w:rPr>
          <w:rFonts w:cstheme="minorHAnsi"/>
        </w:rPr>
        <w:t xml:space="preserve">must provide this completed </w:t>
      </w:r>
      <w:r w:rsidRPr="002266F0">
        <w:rPr>
          <w:rFonts w:cstheme="minorHAnsi"/>
        </w:rPr>
        <w:t>template</w:t>
      </w:r>
      <w:r w:rsidR="00A44026">
        <w:rPr>
          <w:rFonts w:cstheme="minorHAnsi"/>
        </w:rPr>
        <w:t>/s</w:t>
      </w:r>
      <w:r w:rsidRPr="002266F0">
        <w:rPr>
          <w:rFonts w:cstheme="minorHAnsi"/>
        </w:rPr>
        <w:t xml:space="preserve"> to the department (</w:t>
      </w:r>
      <w:hyperlink r:id="rId19" w:history="1">
        <w:r w:rsidRPr="002266F0">
          <w:rPr>
            <w:rStyle w:val="Hyperlink"/>
            <w:rFonts w:cstheme="minorHAnsi"/>
            <w:bCs/>
            <w:lang w:eastAsia="en-AU"/>
          </w:rPr>
          <w:t>GrantsandDataHelp@education.gov.au</w:t>
        </w:r>
      </w:hyperlink>
      <w:r w:rsidRPr="002266F0">
        <w:rPr>
          <w:rFonts w:cstheme="minorHAnsi"/>
        </w:rPr>
        <w:t xml:space="preserve">) by </w:t>
      </w:r>
      <w:r w:rsidRPr="002266F0">
        <w:rPr>
          <w:rFonts w:cstheme="minorHAnsi"/>
          <w:b/>
        </w:rPr>
        <w:t>29 March 2018</w:t>
      </w:r>
      <w:r w:rsidRPr="002266F0">
        <w:rPr>
          <w:rFonts w:cstheme="minorHAnsi"/>
        </w:rPr>
        <w:t xml:space="preserve">. </w:t>
      </w:r>
      <w:r w:rsidR="00A44026">
        <w:rPr>
          <w:rFonts w:cstheme="minorHAnsi"/>
        </w:rPr>
        <w:t xml:space="preserve">Please be aware the department may contact the approved authority representative regarding this information if </w:t>
      </w:r>
      <w:r w:rsidR="009F4834">
        <w:rPr>
          <w:rFonts w:cstheme="minorHAnsi"/>
        </w:rPr>
        <w:t xml:space="preserve">it is incongruent with </w:t>
      </w:r>
      <w:r w:rsidR="00A44026">
        <w:rPr>
          <w:rFonts w:cstheme="minorHAnsi"/>
        </w:rPr>
        <w:t>the headcount data submitted and declared through the 2017 NCCD collection.</w:t>
      </w:r>
    </w:p>
    <w:p w:rsidR="006404CD" w:rsidRPr="003B6F75" w:rsidRDefault="003B6F75" w:rsidP="00FB0078">
      <w:pPr>
        <w:pStyle w:val="Subtitle"/>
        <w:spacing w:before="240"/>
        <w:rPr>
          <w:rFonts w:asciiTheme="minorHAnsi" w:hAnsiTheme="minorHAnsi" w:cstheme="minorHAnsi"/>
          <w:b/>
          <w:i w:val="0"/>
        </w:rPr>
      </w:pPr>
      <w:r w:rsidRPr="003B6F75">
        <w:rPr>
          <w:rFonts w:asciiTheme="minorHAnsi" w:hAnsiTheme="minorHAnsi" w:cstheme="minorHAnsi"/>
          <w:b/>
          <w:i w:val="0"/>
        </w:rPr>
        <w:t>S</w:t>
      </w:r>
      <w:r>
        <w:rPr>
          <w:rFonts w:asciiTheme="minorHAnsi" w:hAnsiTheme="minorHAnsi" w:cstheme="minorHAnsi"/>
          <w:b/>
          <w:i w:val="0"/>
        </w:rPr>
        <w:t>chool</w:t>
      </w:r>
      <w:r w:rsidR="006404CD" w:rsidRPr="003B6F75">
        <w:rPr>
          <w:rFonts w:asciiTheme="minorHAnsi" w:hAnsiTheme="minorHAnsi" w:cstheme="minorHAnsi"/>
          <w:b/>
          <w:i w:val="0"/>
        </w:rPr>
        <w:t xml:space="preserve"> </w:t>
      </w:r>
      <w:r>
        <w:rPr>
          <w:rFonts w:asciiTheme="minorHAnsi" w:hAnsiTheme="minorHAnsi" w:cstheme="minorHAnsi"/>
          <w:b/>
          <w:i w:val="0"/>
        </w:rPr>
        <w:t>information (please complete a separate form for each school)</w:t>
      </w:r>
    </w:p>
    <w:tbl>
      <w:tblPr>
        <w:tblStyle w:val="TableGrid"/>
        <w:tblW w:w="0" w:type="auto"/>
        <w:tblLook w:val="04A0" w:firstRow="1" w:lastRow="0" w:firstColumn="1" w:lastColumn="0" w:noHBand="0" w:noVBand="1"/>
      </w:tblPr>
      <w:tblGrid>
        <w:gridCol w:w="2336"/>
        <w:gridCol w:w="6680"/>
      </w:tblGrid>
      <w:tr w:rsidR="006404CD" w:rsidRPr="002266F0" w:rsidTr="00DA1392">
        <w:tc>
          <w:tcPr>
            <w:tcW w:w="2336" w:type="dxa"/>
          </w:tcPr>
          <w:p w:rsidR="006404CD" w:rsidRPr="002266F0" w:rsidRDefault="006404CD" w:rsidP="00E9548C">
            <w:pPr>
              <w:spacing w:before="0"/>
              <w:rPr>
                <w:rFonts w:cstheme="minorHAnsi"/>
              </w:rPr>
            </w:pPr>
            <w:r w:rsidRPr="002266F0">
              <w:rPr>
                <w:rFonts w:cstheme="minorHAnsi"/>
              </w:rPr>
              <w:t>School AGEID</w:t>
            </w:r>
          </w:p>
        </w:tc>
        <w:tc>
          <w:tcPr>
            <w:tcW w:w="6680" w:type="dxa"/>
          </w:tcPr>
          <w:p w:rsidR="006404CD" w:rsidRPr="002266F0" w:rsidRDefault="006404CD" w:rsidP="00E9548C">
            <w:pPr>
              <w:spacing w:before="0"/>
              <w:rPr>
                <w:rFonts w:cstheme="minorHAnsi"/>
              </w:rPr>
            </w:pPr>
          </w:p>
        </w:tc>
      </w:tr>
      <w:tr w:rsidR="006404CD" w:rsidRPr="002266F0" w:rsidTr="00DA1392">
        <w:tc>
          <w:tcPr>
            <w:tcW w:w="2336" w:type="dxa"/>
          </w:tcPr>
          <w:p w:rsidR="006404CD" w:rsidRPr="002266F0" w:rsidRDefault="006404CD" w:rsidP="00E9548C">
            <w:pPr>
              <w:spacing w:before="0"/>
              <w:rPr>
                <w:rFonts w:cstheme="minorHAnsi"/>
              </w:rPr>
            </w:pPr>
            <w:r w:rsidRPr="002266F0">
              <w:rPr>
                <w:rFonts w:cstheme="minorHAnsi"/>
              </w:rPr>
              <w:t>School name</w:t>
            </w:r>
          </w:p>
        </w:tc>
        <w:tc>
          <w:tcPr>
            <w:tcW w:w="6680" w:type="dxa"/>
          </w:tcPr>
          <w:p w:rsidR="006404CD" w:rsidRPr="002266F0" w:rsidRDefault="006404CD" w:rsidP="00E9548C">
            <w:pPr>
              <w:spacing w:before="0"/>
              <w:rPr>
                <w:rFonts w:cstheme="minorHAnsi"/>
              </w:rPr>
            </w:pPr>
          </w:p>
        </w:tc>
      </w:tr>
      <w:tr w:rsidR="006404CD" w:rsidRPr="002266F0" w:rsidTr="00DA1392">
        <w:tc>
          <w:tcPr>
            <w:tcW w:w="2336" w:type="dxa"/>
          </w:tcPr>
          <w:p w:rsidR="006404CD" w:rsidRPr="002266F0" w:rsidRDefault="006404CD" w:rsidP="00E9548C">
            <w:pPr>
              <w:spacing w:before="0"/>
              <w:rPr>
                <w:rFonts w:cstheme="minorHAnsi"/>
              </w:rPr>
            </w:pPr>
            <w:r w:rsidRPr="002266F0">
              <w:rPr>
                <w:rFonts w:cstheme="minorHAnsi"/>
              </w:rPr>
              <w:t>School location</w:t>
            </w:r>
          </w:p>
        </w:tc>
        <w:tc>
          <w:tcPr>
            <w:tcW w:w="6680" w:type="dxa"/>
          </w:tcPr>
          <w:p w:rsidR="006404CD" w:rsidRPr="002266F0" w:rsidRDefault="006404CD" w:rsidP="00E9548C">
            <w:pPr>
              <w:spacing w:before="0"/>
              <w:rPr>
                <w:rFonts w:cstheme="minorHAnsi"/>
              </w:rPr>
            </w:pPr>
          </w:p>
        </w:tc>
      </w:tr>
    </w:tbl>
    <w:p w:rsidR="006404CD" w:rsidRPr="002266F0" w:rsidRDefault="006404CD" w:rsidP="00FB0078">
      <w:pPr>
        <w:pStyle w:val="Subtitle"/>
        <w:spacing w:before="240"/>
        <w:rPr>
          <w:rFonts w:asciiTheme="minorHAnsi" w:hAnsiTheme="minorHAnsi" w:cstheme="minorHAnsi"/>
          <w:b/>
          <w:i w:val="0"/>
        </w:rPr>
      </w:pPr>
      <w:r w:rsidRPr="00D54FD4">
        <w:rPr>
          <w:rFonts w:asciiTheme="minorHAnsi" w:hAnsiTheme="minorHAnsi" w:cstheme="minorHAnsi"/>
          <w:b/>
          <w:i w:val="0"/>
        </w:rPr>
        <w:t xml:space="preserve">Primary level </w:t>
      </w:r>
      <w:r w:rsidR="003B6F75" w:rsidRPr="00D54FD4">
        <w:rPr>
          <w:rFonts w:asciiTheme="minorHAnsi" w:hAnsiTheme="minorHAnsi" w:cstheme="minorHAnsi"/>
          <w:b/>
          <w:i w:val="0"/>
        </w:rPr>
        <w:t>NCCD FTE information</w:t>
      </w:r>
    </w:p>
    <w:tbl>
      <w:tblPr>
        <w:tblStyle w:val="TableGrid"/>
        <w:tblW w:w="5000" w:type="pct"/>
        <w:tblLook w:val="04A0" w:firstRow="1" w:lastRow="0" w:firstColumn="1" w:lastColumn="0" w:noHBand="0" w:noVBand="1"/>
      </w:tblPr>
      <w:tblGrid>
        <w:gridCol w:w="3018"/>
        <w:gridCol w:w="3021"/>
        <w:gridCol w:w="3021"/>
      </w:tblGrid>
      <w:tr w:rsidR="00D54FD4" w:rsidRPr="002266F0" w:rsidTr="00D54FD4">
        <w:tc>
          <w:tcPr>
            <w:tcW w:w="1666" w:type="pct"/>
            <w:shd w:val="clear" w:color="auto" w:fill="D9D9D9" w:themeFill="background1" w:themeFillShade="D9"/>
          </w:tcPr>
          <w:p w:rsidR="00D54FD4" w:rsidRPr="002266F0" w:rsidRDefault="00D54FD4" w:rsidP="00E9548C">
            <w:pPr>
              <w:spacing w:before="0"/>
              <w:rPr>
                <w:rFonts w:cstheme="minorHAnsi"/>
              </w:rPr>
            </w:pPr>
            <w:r w:rsidRPr="002266F0">
              <w:rPr>
                <w:rFonts w:cstheme="minorHAnsi"/>
              </w:rPr>
              <w:t xml:space="preserve">NCCD level of adjustment </w:t>
            </w:r>
          </w:p>
        </w:tc>
        <w:tc>
          <w:tcPr>
            <w:tcW w:w="1667" w:type="pct"/>
            <w:shd w:val="clear" w:color="auto" w:fill="D9D9D9" w:themeFill="background1" w:themeFillShade="D9"/>
          </w:tcPr>
          <w:p w:rsidR="00D54FD4" w:rsidRPr="002266F0" w:rsidRDefault="00D54FD4" w:rsidP="00E9548C">
            <w:pPr>
              <w:spacing w:before="0"/>
              <w:rPr>
                <w:rFonts w:cstheme="minorHAnsi"/>
              </w:rPr>
            </w:pPr>
            <w:r>
              <w:rPr>
                <w:rFonts w:cstheme="minorHAnsi"/>
              </w:rPr>
              <w:t xml:space="preserve">2017 NCCD head count </w:t>
            </w:r>
          </w:p>
        </w:tc>
        <w:tc>
          <w:tcPr>
            <w:tcW w:w="1667" w:type="pct"/>
            <w:shd w:val="clear" w:color="auto" w:fill="D9D9D9" w:themeFill="background1" w:themeFillShade="D9"/>
          </w:tcPr>
          <w:p w:rsidR="00D54FD4" w:rsidRPr="002266F0" w:rsidRDefault="00D54FD4" w:rsidP="00E9548C">
            <w:pPr>
              <w:spacing w:before="0"/>
              <w:rPr>
                <w:rFonts w:cstheme="minorHAnsi"/>
              </w:rPr>
            </w:pPr>
            <w:r>
              <w:rPr>
                <w:rFonts w:cstheme="minorHAnsi"/>
              </w:rPr>
              <w:t>2017 FTE</w:t>
            </w:r>
            <w:r w:rsidRPr="002266F0">
              <w:rPr>
                <w:rFonts w:cstheme="minorHAnsi"/>
              </w:rPr>
              <w:t xml:space="preserve"> </w:t>
            </w:r>
          </w:p>
        </w:tc>
      </w:tr>
      <w:tr w:rsidR="00D54FD4" w:rsidRPr="002266F0" w:rsidTr="00D54FD4">
        <w:tc>
          <w:tcPr>
            <w:tcW w:w="1666" w:type="pct"/>
          </w:tcPr>
          <w:p w:rsidR="00D54FD4" w:rsidRPr="002266F0" w:rsidRDefault="00D54FD4" w:rsidP="00E9548C">
            <w:pPr>
              <w:spacing w:before="0"/>
              <w:rPr>
                <w:rFonts w:cstheme="minorHAnsi"/>
              </w:rPr>
            </w:pPr>
            <w:r w:rsidRPr="002266F0">
              <w:rPr>
                <w:rFonts w:cstheme="minorHAnsi"/>
              </w:rPr>
              <w:t xml:space="preserve">Extensive </w:t>
            </w:r>
          </w:p>
        </w:tc>
        <w:tc>
          <w:tcPr>
            <w:tcW w:w="1667" w:type="pct"/>
          </w:tcPr>
          <w:p w:rsidR="00D54FD4" w:rsidRPr="002266F0" w:rsidRDefault="00D54FD4" w:rsidP="00E9548C">
            <w:pPr>
              <w:spacing w:before="0"/>
              <w:rPr>
                <w:rFonts w:cstheme="minorHAnsi"/>
              </w:rPr>
            </w:pPr>
          </w:p>
        </w:tc>
        <w:tc>
          <w:tcPr>
            <w:tcW w:w="1667" w:type="pct"/>
          </w:tcPr>
          <w:p w:rsidR="00D54FD4" w:rsidRPr="002266F0" w:rsidRDefault="00D54FD4" w:rsidP="00E9548C">
            <w:pPr>
              <w:spacing w:before="0"/>
              <w:rPr>
                <w:rFonts w:cstheme="minorHAnsi"/>
              </w:rPr>
            </w:pPr>
          </w:p>
        </w:tc>
      </w:tr>
      <w:tr w:rsidR="00D54FD4" w:rsidRPr="002266F0" w:rsidTr="00D54FD4">
        <w:tc>
          <w:tcPr>
            <w:tcW w:w="1666" w:type="pct"/>
          </w:tcPr>
          <w:p w:rsidR="00D54FD4" w:rsidRPr="002266F0" w:rsidRDefault="00D54FD4" w:rsidP="00E9548C">
            <w:pPr>
              <w:spacing w:before="0"/>
              <w:rPr>
                <w:rFonts w:cstheme="minorHAnsi"/>
              </w:rPr>
            </w:pPr>
            <w:r w:rsidRPr="002266F0">
              <w:rPr>
                <w:rFonts w:cstheme="minorHAnsi"/>
              </w:rPr>
              <w:t xml:space="preserve">Substantive </w:t>
            </w:r>
          </w:p>
        </w:tc>
        <w:tc>
          <w:tcPr>
            <w:tcW w:w="1667" w:type="pct"/>
          </w:tcPr>
          <w:p w:rsidR="00D54FD4" w:rsidRPr="002266F0" w:rsidRDefault="00D54FD4" w:rsidP="00E9548C">
            <w:pPr>
              <w:spacing w:before="0"/>
              <w:rPr>
                <w:rFonts w:cstheme="minorHAnsi"/>
              </w:rPr>
            </w:pPr>
          </w:p>
        </w:tc>
        <w:tc>
          <w:tcPr>
            <w:tcW w:w="1667" w:type="pct"/>
          </w:tcPr>
          <w:p w:rsidR="00D54FD4" w:rsidRPr="002266F0" w:rsidRDefault="00D54FD4" w:rsidP="00E9548C">
            <w:pPr>
              <w:spacing w:before="0"/>
              <w:rPr>
                <w:rFonts w:cstheme="minorHAnsi"/>
              </w:rPr>
            </w:pPr>
          </w:p>
        </w:tc>
      </w:tr>
      <w:tr w:rsidR="00D54FD4" w:rsidRPr="002266F0" w:rsidTr="00D54FD4">
        <w:tc>
          <w:tcPr>
            <w:tcW w:w="1666" w:type="pct"/>
          </w:tcPr>
          <w:p w:rsidR="00D54FD4" w:rsidRPr="002266F0" w:rsidRDefault="00D54FD4" w:rsidP="00E9548C">
            <w:pPr>
              <w:spacing w:before="0"/>
              <w:rPr>
                <w:rFonts w:cstheme="minorHAnsi"/>
              </w:rPr>
            </w:pPr>
            <w:r w:rsidRPr="002266F0">
              <w:rPr>
                <w:rFonts w:cstheme="minorHAnsi"/>
              </w:rPr>
              <w:t xml:space="preserve">Supplementary </w:t>
            </w:r>
          </w:p>
        </w:tc>
        <w:tc>
          <w:tcPr>
            <w:tcW w:w="1667" w:type="pct"/>
          </w:tcPr>
          <w:p w:rsidR="00D54FD4" w:rsidRPr="002266F0" w:rsidRDefault="00D54FD4" w:rsidP="00E9548C">
            <w:pPr>
              <w:spacing w:before="0"/>
              <w:rPr>
                <w:rFonts w:cstheme="minorHAnsi"/>
              </w:rPr>
            </w:pPr>
          </w:p>
        </w:tc>
        <w:tc>
          <w:tcPr>
            <w:tcW w:w="1667" w:type="pct"/>
          </w:tcPr>
          <w:p w:rsidR="00D54FD4" w:rsidRPr="002266F0" w:rsidRDefault="00D54FD4" w:rsidP="00E9548C">
            <w:pPr>
              <w:spacing w:before="0"/>
              <w:rPr>
                <w:rFonts w:cstheme="minorHAnsi"/>
              </w:rPr>
            </w:pPr>
          </w:p>
        </w:tc>
      </w:tr>
    </w:tbl>
    <w:p w:rsidR="00D54FD4" w:rsidRPr="002266F0" w:rsidRDefault="00D54FD4" w:rsidP="00FB0078">
      <w:pPr>
        <w:pStyle w:val="Subtitle"/>
        <w:spacing w:before="240"/>
        <w:rPr>
          <w:rFonts w:asciiTheme="minorHAnsi" w:hAnsiTheme="minorHAnsi" w:cstheme="minorHAnsi"/>
          <w:b/>
          <w:i w:val="0"/>
        </w:rPr>
      </w:pPr>
      <w:r>
        <w:rPr>
          <w:rFonts w:asciiTheme="minorHAnsi" w:hAnsiTheme="minorHAnsi" w:cstheme="minorHAnsi"/>
          <w:b/>
          <w:i w:val="0"/>
        </w:rPr>
        <w:t>Secondary</w:t>
      </w:r>
      <w:r w:rsidRPr="00D54FD4">
        <w:rPr>
          <w:rFonts w:asciiTheme="minorHAnsi" w:hAnsiTheme="minorHAnsi" w:cstheme="minorHAnsi"/>
          <w:b/>
          <w:i w:val="0"/>
        </w:rPr>
        <w:t xml:space="preserve"> level NCCD FTE information</w:t>
      </w:r>
    </w:p>
    <w:tbl>
      <w:tblPr>
        <w:tblStyle w:val="TableGrid"/>
        <w:tblW w:w="5000" w:type="pct"/>
        <w:tblLook w:val="04A0" w:firstRow="1" w:lastRow="0" w:firstColumn="1" w:lastColumn="0" w:noHBand="0" w:noVBand="1"/>
      </w:tblPr>
      <w:tblGrid>
        <w:gridCol w:w="3018"/>
        <w:gridCol w:w="3021"/>
        <w:gridCol w:w="3021"/>
      </w:tblGrid>
      <w:tr w:rsidR="00D54FD4" w:rsidRPr="002266F0" w:rsidTr="00D54FD4">
        <w:tc>
          <w:tcPr>
            <w:tcW w:w="1666" w:type="pct"/>
            <w:shd w:val="clear" w:color="auto" w:fill="D9D9D9" w:themeFill="background1" w:themeFillShade="D9"/>
          </w:tcPr>
          <w:p w:rsidR="00D54FD4" w:rsidRPr="002266F0" w:rsidRDefault="00D54FD4" w:rsidP="00E9548C">
            <w:pPr>
              <w:spacing w:before="0"/>
              <w:rPr>
                <w:rFonts w:cstheme="minorHAnsi"/>
              </w:rPr>
            </w:pPr>
            <w:r w:rsidRPr="002266F0">
              <w:rPr>
                <w:rFonts w:cstheme="minorHAnsi"/>
              </w:rPr>
              <w:t xml:space="preserve">NCCD level of adjustment </w:t>
            </w:r>
          </w:p>
        </w:tc>
        <w:tc>
          <w:tcPr>
            <w:tcW w:w="1667" w:type="pct"/>
            <w:shd w:val="clear" w:color="auto" w:fill="D9D9D9" w:themeFill="background1" w:themeFillShade="D9"/>
          </w:tcPr>
          <w:p w:rsidR="00D54FD4" w:rsidRPr="002266F0" w:rsidRDefault="00D54FD4" w:rsidP="00E9548C">
            <w:pPr>
              <w:spacing w:before="0"/>
              <w:rPr>
                <w:rFonts w:cstheme="minorHAnsi"/>
              </w:rPr>
            </w:pPr>
            <w:r>
              <w:rPr>
                <w:rFonts w:cstheme="minorHAnsi"/>
              </w:rPr>
              <w:t xml:space="preserve">2017 NCCD head count </w:t>
            </w:r>
          </w:p>
        </w:tc>
        <w:tc>
          <w:tcPr>
            <w:tcW w:w="1667" w:type="pct"/>
            <w:shd w:val="clear" w:color="auto" w:fill="D9D9D9" w:themeFill="background1" w:themeFillShade="D9"/>
          </w:tcPr>
          <w:p w:rsidR="00D54FD4" w:rsidRPr="002266F0" w:rsidRDefault="00D54FD4" w:rsidP="00E9548C">
            <w:pPr>
              <w:spacing w:before="0"/>
              <w:rPr>
                <w:rFonts w:cstheme="minorHAnsi"/>
              </w:rPr>
            </w:pPr>
            <w:r>
              <w:rPr>
                <w:rFonts w:cstheme="minorHAnsi"/>
              </w:rPr>
              <w:t>2017 FTE</w:t>
            </w:r>
            <w:r w:rsidRPr="002266F0">
              <w:rPr>
                <w:rFonts w:cstheme="minorHAnsi"/>
              </w:rPr>
              <w:t xml:space="preserve"> </w:t>
            </w:r>
          </w:p>
        </w:tc>
      </w:tr>
      <w:tr w:rsidR="00D54FD4" w:rsidRPr="002266F0" w:rsidTr="00D54FD4">
        <w:tc>
          <w:tcPr>
            <w:tcW w:w="1666" w:type="pct"/>
          </w:tcPr>
          <w:p w:rsidR="00D54FD4" w:rsidRPr="002266F0" w:rsidRDefault="00D54FD4" w:rsidP="00E9548C">
            <w:pPr>
              <w:spacing w:before="0"/>
              <w:rPr>
                <w:rFonts w:cstheme="minorHAnsi"/>
              </w:rPr>
            </w:pPr>
            <w:r w:rsidRPr="002266F0">
              <w:rPr>
                <w:rFonts w:cstheme="minorHAnsi"/>
              </w:rPr>
              <w:t xml:space="preserve">Extensive </w:t>
            </w:r>
          </w:p>
        </w:tc>
        <w:tc>
          <w:tcPr>
            <w:tcW w:w="1667" w:type="pct"/>
          </w:tcPr>
          <w:p w:rsidR="00D54FD4" w:rsidRPr="002266F0" w:rsidRDefault="00D54FD4" w:rsidP="00E9548C">
            <w:pPr>
              <w:spacing w:before="0"/>
              <w:rPr>
                <w:rFonts w:cstheme="minorHAnsi"/>
              </w:rPr>
            </w:pPr>
          </w:p>
        </w:tc>
        <w:tc>
          <w:tcPr>
            <w:tcW w:w="1667" w:type="pct"/>
          </w:tcPr>
          <w:p w:rsidR="00D54FD4" w:rsidRPr="002266F0" w:rsidRDefault="00D54FD4" w:rsidP="00E9548C">
            <w:pPr>
              <w:spacing w:before="0"/>
              <w:rPr>
                <w:rFonts w:cstheme="minorHAnsi"/>
              </w:rPr>
            </w:pPr>
          </w:p>
        </w:tc>
      </w:tr>
      <w:tr w:rsidR="00D54FD4" w:rsidRPr="002266F0" w:rsidTr="00D54FD4">
        <w:tc>
          <w:tcPr>
            <w:tcW w:w="1666" w:type="pct"/>
          </w:tcPr>
          <w:p w:rsidR="00D54FD4" w:rsidRPr="002266F0" w:rsidRDefault="00D54FD4" w:rsidP="00E9548C">
            <w:pPr>
              <w:spacing w:before="0"/>
              <w:rPr>
                <w:rFonts w:cstheme="minorHAnsi"/>
              </w:rPr>
            </w:pPr>
            <w:r w:rsidRPr="002266F0">
              <w:rPr>
                <w:rFonts w:cstheme="minorHAnsi"/>
              </w:rPr>
              <w:t xml:space="preserve">Substantive </w:t>
            </w:r>
          </w:p>
        </w:tc>
        <w:tc>
          <w:tcPr>
            <w:tcW w:w="1667" w:type="pct"/>
          </w:tcPr>
          <w:p w:rsidR="00D54FD4" w:rsidRPr="002266F0" w:rsidRDefault="00D54FD4" w:rsidP="00E9548C">
            <w:pPr>
              <w:spacing w:before="0"/>
              <w:rPr>
                <w:rFonts w:cstheme="minorHAnsi"/>
              </w:rPr>
            </w:pPr>
          </w:p>
        </w:tc>
        <w:tc>
          <w:tcPr>
            <w:tcW w:w="1667" w:type="pct"/>
          </w:tcPr>
          <w:p w:rsidR="00D54FD4" w:rsidRPr="002266F0" w:rsidRDefault="00D54FD4" w:rsidP="00E9548C">
            <w:pPr>
              <w:spacing w:before="0"/>
              <w:rPr>
                <w:rFonts w:cstheme="minorHAnsi"/>
              </w:rPr>
            </w:pPr>
          </w:p>
        </w:tc>
      </w:tr>
      <w:tr w:rsidR="00D54FD4" w:rsidRPr="002266F0" w:rsidTr="00D54FD4">
        <w:tc>
          <w:tcPr>
            <w:tcW w:w="1666" w:type="pct"/>
          </w:tcPr>
          <w:p w:rsidR="00D54FD4" w:rsidRPr="002266F0" w:rsidRDefault="00D54FD4" w:rsidP="00E9548C">
            <w:pPr>
              <w:spacing w:before="0"/>
              <w:rPr>
                <w:rFonts w:cstheme="minorHAnsi"/>
              </w:rPr>
            </w:pPr>
            <w:r w:rsidRPr="002266F0">
              <w:rPr>
                <w:rFonts w:cstheme="minorHAnsi"/>
              </w:rPr>
              <w:t xml:space="preserve">Supplementary </w:t>
            </w:r>
          </w:p>
        </w:tc>
        <w:tc>
          <w:tcPr>
            <w:tcW w:w="1667" w:type="pct"/>
          </w:tcPr>
          <w:p w:rsidR="00D54FD4" w:rsidRPr="002266F0" w:rsidRDefault="00D54FD4" w:rsidP="00E9548C">
            <w:pPr>
              <w:spacing w:before="0"/>
              <w:rPr>
                <w:rFonts w:cstheme="minorHAnsi"/>
              </w:rPr>
            </w:pPr>
          </w:p>
        </w:tc>
        <w:tc>
          <w:tcPr>
            <w:tcW w:w="1667" w:type="pct"/>
          </w:tcPr>
          <w:p w:rsidR="00D54FD4" w:rsidRPr="002266F0" w:rsidRDefault="00D54FD4" w:rsidP="00E9548C">
            <w:pPr>
              <w:spacing w:before="0"/>
              <w:rPr>
                <w:rFonts w:cstheme="minorHAnsi"/>
              </w:rPr>
            </w:pPr>
          </w:p>
        </w:tc>
      </w:tr>
    </w:tbl>
    <w:p w:rsidR="00D54FD4" w:rsidRDefault="00D54FD4" w:rsidP="00E9548C">
      <w:pPr>
        <w:spacing w:before="0"/>
        <w:rPr>
          <w:rFonts w:cstheme="minorHAnsi"/>
        </w:rPr>
      </w:pPr>
    </w:p>
    <w:p w:rsidR="00FB0078" w:rsidRPr="002266F0" w:rsidRDefault="00FB0078" w:rsidP="00E9548C">
      <w:pPr>
        <w:spacing w:before="0"/>
        <w:rPr>
          <w:rFonts w:cstheme="minorHAnsi"/>
        </w:rPr>
      </w:pPr>
    </w:p>
    <w:p w:rsidR="006404CD" w:rsidRDefault="003B6F75" w:rsidP="00E9548C">
      <w:pPr>
        <w:spacing w:before="0"/>
        <w:rPr>
          <w:rFonts w:cstheme="minorHAnsi"/>
        </w:rPr>
      </w:pPr>
      <w:r>
        <w:rPr>
          <w:rFonts w:cstheme="minorHAnsi"/>
        </w:rPr>
        <w:t>_______________________________</w:t>
      </w:r>
      <w:r w:rsidR="00D54FD4">
        <w:rPr>
          <w:rFonts w:cstheme="minorHAnsi"/>
        </w:rPr>
        <w:tab/>
        <w:t>_______________________________</w:t>
      </w:r>
      <w:r w:rsidR="0020256E">
        <w:rPr>
          <w:rFonts w:cstheme="minorHAnsi"/>
        </w:rPr>
        <w:tab/>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r>
      <w:r w:rsidR="0020256E">
        <w:rPr>
          <w:rFonts w:cstheme="minorHAnsi"/>
        </w:rPr>
        <w:softHyphen/>
        <w:t>_________________</w:t>
      </w:r>
    </w:p>
    <w:p w:rsidR="003B6F75" w:rsidRPr="00D54FD4" w:rsidRDefault="003B6F75" w:rsidP="00FB0078">
      <w:pPr>
        <w:spacing w:before="0" w:after="240"/>
        <w:rPr>
          <w:rFonts w:cstheme="minorHAnsi"/>
          <w:sz w:val="18"/>
          <w:szCs w:val="18"/>
        </w:rPr>
      </w:pPr>
      <w:r w:rsidRPr="00D54FD4">
        <w:rPr>
          <w:rFonts w:cstheme="minorHAnsi"/>
          <w:sz w:val="18"/>
          <w:szCs w:val="18"/>
        </w:rPr>
        <w:t>[</w:t>
      </w:r>
      <w:r w:rsidR="006404CD" w:rsidRPr="00D54FD4">
        <w:rPr>
          <w:rFonts w:cstheme="minorHAnsi"/>
          <w:sz w:val="18"/>
          <w:szCs w:val="18"/>
        </w:rPr>
        <w:t xml:space="preserve">Approved </w:t>
      </w:r>
      <w:r w:rsidRPr="00D54FD4">
        <w:rPr>
          <w:rFonts w:cstheme="minorHAnsi"/>
          <w:sz w:val="18"/>
          <w:szCs w:val="18"/>
        </w:rPr>
        <w:t>authority signature]</w:t>
      </w:r>
      <w:r w:rsidR="00D54FD4" w:rsidRPr="00D54FD4">
        <w:rPr>
          <w:rFonts w:cstheme="minorHAnsi"/>
          <w:sz w:val="18"/>
          <w:szCs w:val="18"/>
        </w:rPr>
        <w:tab/>
      </w:r>
      <w:r w:rsidR="00D54FD4" w:rsidRPr="00D54FD4">
        <w:rPr>
          <w:rFonts w:cstheme="minorHAnsi"/>
          <w:sz w:val="18"/>
          <w:szCs w:val="18"/>
        </w:rPr>
        <w:tab/>
      </w:r>
      <w:r w:rsidRPr="00D54FD4">
        <w:rPr>
          <w:rFonts w:cstheme="minorHAnsi"/>
          <w:sz w:val="18"/>
          <w:szCs w:val="18"/>
        </w:rPr>
        <w:t>[Approved authority name]</w:t>
      </w:r>
      <w:r w:rsidR="0020256E">
        <w:rPr>
          <w:rFonts w:cstheme="minorHAnsi"/>
          <w:sz w:val="18"/>
          <w:szCs w:val="18"/>
        </w:rPr>
        <w:tab/>
      </w:r>
      <w:r w:rsidR="0020256E">
        <w:rPr>
          <w:rFonts w:cstheme="minorHAnsi"/>
          <w:sz w:val="18"/>
          <w:szCs w:val="18"/>
        </w:rPr>
        <w:tab/>
      </w:r>
      <w:r w:rsidR="0020256E">
        <w:rPr>
          <w:rFonts w:cstheme="minorHAnsi"/>
          <w:sz w:val="18"/>
          <w:szCs w:val="18"/>
        </w:rPr>
        <w:tab/>
        <w:t>Date</w:t>
      </w:r>
    </w:p>
    <w:p w:rsidR="003B6F75" w:rsidRPr="002266F0" w:rsidRDefault="003B6F75" w:rsidP="00E9548C">
      <w:pPr>
        <w:spacing w:before="0"/>
        <w:rPr>
          <w:rFonts w:cstheme="minorHAnsi"/>
        </w:rPr>
      </w:pPr>
      <w:r w:rsidRPr="002266F0">
        <w:rPr>
          <w:rFonts w:cstheme="minorHAnsi"/>
          <w:b/>
        </w:rPr>
        <w:t xml:space="preserve">An </w:t>
      </w:r>
      <w:r>
        <w:rPr>
          <w:rFonts w:cstheme="minorHAnsi"/>
          <w:b/>
        </w:rPr>
        <w:t>a</w:t>
      </w:r>
      <w:r w:rsidRPr="002266F0">
        <w:rPr>
          <w:rFonts w:cstheme="minorHAnsi"/>
          <w:b/>
        </w:rPr>
        <w:t xml:space="preserve">pproved </w:t>
      </w:r>
      <w:r>
        <w:rPr>
          <w:rFonts w:cstheme="minorHAnsi"/>
          <w:b/>
        </w:rPr>
        <w:t>a</w:t>
      </w:r>
      <w:r w:rsidRPr="002266F0">
        <w:rPr>
          <w:rFonts w:cstheme="minorHAnsi"/>
          <w:b/>
        </w:rPr>
        <w:t>uthority representative is required to initial the completed template.</w:t>
      </w:r>
      <w:r w:rsidRPr="002266F0">
        <w:rPr>
          <w:rFonts w:cstheme="minorHAnsi"/>
        </w:rPr>
        <w:t xml:space="preserve"> By initialling the completed template, the </w:t>
      </w:r>
      <w:r>
        <w:rPr>
          <w:rFonts w:cstheme="minorHAnsi"/>
        </w:rPr>
        <w:t>a</w:t>
      </w:r>
      <w:r w:rsidRPr="002266F0">
        <w:rPr>
          <w:rFonts w:cstheme="minorHAnsi"/>
        </w:rPr>
        <w:t xml:space="preserve">pproved </w:t>
      </w:r>
      <w:r>
        <w:rPr>
          <w:rFonts w:cstheme="minorHAnsi"/>
        </w:rPr>
        <w:t>a</w:t>
      </w:r>
      <w:r w:rsidRPr="002266F0">
        <w:rPr>
          <w:rFonts w:cstheme="minorHAnsi"/>
        </w:rPr>
        <w:t xml:space="preserve">uthority is </w:t>
      </w:r>
      <w:r w:rsidR="00D54FD4">
        <w:rPr>
          <w:rFonts w:cstheme="minorHAnsi"/>
        </w:rPr>
        <w:t xml:space="preserve">indicting it is </w:t>
      </w:r>
      <w:r w:rsidRPr="002266F0">
        <w:rPr>
          <w:rFonts w:cstheme="minorHAnsi"/>
        </w:rPr>
        <w:t xml:space="preserve">satisfied the information is true and correct in every particular. Giving false or misleading information to the Commonwealth is a serious offense and may be prosecuted under Section 137.1 of the </w:t>
      </w:r>
      <w:r w:rsidRPr="002266F0">
        <w:rPr>
          <w:rFonts w:cstheme="minorHAnsi"/>
          <w:i/>
        </w:rPr>
        <w:t>Criminal Code Act 1995</w:t>
      </w:r>
      <w:r w:rsidRPr="002266F0">
        <w:rPr>
          <w:rFonts w:cstheme="minorHAnsi"/>
        </w:rPr>
        <w:t xml:space="preserve">.  </w:t>
      </w:r>
    </w:p>
    <w:sectPr w:rsidR="003B6F75" w:rsidRPr="002266F0" w:rsidSect="00E9548C">
      <w:headerReference w:type="default" r:id="rId20"/>
      <w:footerReference w:type="default" r:id="rId21"/>
      <w:pgSz w:w="11906" w:h="16838"/>
      <w:pgMar w:top="1418" w:right="1418"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F5A" w:rsidRDefault="00401F5A" w:rsidP="00B23937">
      <w:pPr>
        <w:spacing w:after="0"/>
      </w:pPr>
      <w:r>
        <w:separator/>
      </w:r>
    </w:p>
  </w:endnote>
  <w:endnote w:type="continuationSeparator" w:id="0">
    <w:p w:rsidR="00401F5A" w:rsidRDefault="00401F5A" w:rsidP="00B23937">
      <w:pPr>
        <w:spacing w:after="0"/>
      </w:pPr>
      <w:r>
        <w:continuationSeparator/>
      </w:r>
    </w:p>
  </w:endnote>
  <w:endnote w:id="1">
    <w:p w:rsidR="00255833" w:rsidRPr="009E7220" w:rsidRDefault="00255833" w:rsidP="00255833">
      <w:pPr>
        <w:pStyle w:val="EndnoteText"/>
        <w:rPr>
          <w:sz w:val="22"/>
          <w:szCs w:val="22"/>
        </w:rPr>
      </w:pPr>
      <w:r w:rsidRPr="009E7220">
        <w:rPr>
          <w:rStyle w:val="EndnoteReference"/>
          <w:sz w:val="22"/>
          <w:szCs w:val="22"/>
        </w:rPr>
        <w:endnoteRef/>
      </w:r>
      <w:r w:rsidRPr="009E7220">
        <w:rPr>
          <w:sz w:val="22"/>
          <w:szCs w:val="22"/>
        </w:rPr>
        <w:t xml:space="preserve"> For example, a st</w:t>
      </w:r>
      <w:r w:rsidR="006305BD">
        <w:rPr>
          <w:sz w:val="22"/>
          <w:szCs w:val="22"/>
        </w:rPr>
        <w:t>udent enrolled at a school part-</w:t>
      </w:r>
      <w:r w:rsidRPr="009E7220">
        <w:rPr>
          <w:sz w:val="22"/>
          <w:szCs w:val="22"/>
        </w:rPr>
        <w:t>time for half of the usual amount of time is a 0.5 FTE; a student rolled at a school full time is a 1.0 FTE.</w:t>
      </w:r>
      <w:r w:rsidR="00A44026" w:rsidRPr="00A44026">
        <w:rPr>
          <w:sz w:val="22"/>
          <w:szCs w:val="22"/>
        </w:rPr>
        <w:t xml:space="preserve"> </w:t>
      </w:r>
      <w:r w:rsidR="00A44026">
        <w:rPr>
          <w:sz w:val="22"/>
          <w:szCs w:val="22"/>
        </w:rPr>
        <w:t xml:space="preserve">The part-time status is based on enrolment, not attendance, and should align with information provided through the schools census or government data submission.  </w:t>
      </w:r>
    </w:p>
  </w:endnote>
  <w:endnote w:id="2">
    <w:p w:rsidR="0056554E" w:rsidRPr="009E7220" w:rsidRDefault="0056554E" w:rsidP="0056554E">
      <w:pPr>
        <w:pStyle w:val="EndnoteText"/>
        <w:rPr>
          <w:sz w:val="22"/>
          <w:szCs w:val="22"/>
        </w:rPr>
      </w:pPr>
      <w:r w:rsidRPr="009E7220">
        <w:rPr>
          <w:rStyle w:val="EndnoteReference"/>
          <w:sz w:val="22"/>
          <w:szCs w:val="22"/>
        </w:rPr>
        <w:endnoteRef/>
      </w:r>
      <w:r w:rsidRPr="009E7220">
        <w:rPr>
          <w:sz w:val="22"/>
          <w:szCs w:val="22"/>
        </w:rPr>
        <w:t xml:space="preserve"> No ‘treatment’ was applied to the 2017 NCCD to account for the possible inclusion of overseas students due to the expected minimal correlation between the two cohorts. Overseas students could not automatically be removed as the 2017 NCCD did not separately identify overseas students from domestic students.</w:t>
      </w:r>
    </w:p>
  </w:endnote>
  <w:endnote w:id="3">
    <w:p w:rsidR="00255833" w:rsidRPr="009E7220" w:rsidRDefault="00255833" w:rsidP="00255833">
      <w:pPr>
        <w:pStyle w:val="EndnoteText"/>
        <w:rPr>
          <w:sz w:val="22"/>
          <w:szCs w:val="22"/>
        </w:rPr>
      </w:pPr>
      <w:r w:rsidRPr="009E7220">
        <w:rPr>
          <w:rStyle w:val="EndnoteReference"/>
          <w:sz w:val="22"/>
          <w:szCs w:val="22"/>
        </w:rPr>
        <w:endnoteRef/>
      </w:r>
      <w:r w:rsidRPr="009E7220">
        <w:rPr>
          <w:sz w:val="22"/>
          <w:szCs w:val="22"/>
        </w:rPr>
        <w:t xml:space="preserve"> See 2017 NCCD Guidelines C.2.2. (From 2018 onwards this requirement may change). </w:t>
      </w:r>
    </w:p>
  </w:endnote>
  <w:endnote w:id="4">
    <w:p w:rsidR="00255833" w:rsidRPr="009E7220" w:rsidRDefault="00255833">
      <w:pPr>
        <w:pStyle w:val="EndnoteText"/>
        <w:rPr>
          <w:sz w:val="22"/>
          <w:szCs w:val="22"/>
        </w:rPr>
      </w:pPr>
      <w:r w:rsidRPr="009E7220">
        <w:rPr>
          <w:rStyle w:val="EndnoteReference"/>
          <w:sz w:val="22"/>
          <w:szCs w:val="22"/>
        </w:rPr>
        <w:endnoteRef/>
      </w:r>
      <w:r w:rsidRPr="009E7220">
        <w:rPr>
          <w:sz w:val="22"/>
          <w:szCs w:val="22"/>
        </w:rPr>
        <w:t xml:space="preserve"> In line with the </w:t>
      </w:r>
      <w:r w:rsidRPr="009E7220">
        <w:rPr>
          <w:i/>
          <w:sz w:val="22"/>
          <w:szCs w:val="22"/>
        </w:rPr>
        <w:t>Australian Education Act 2013</w:t>
      </w:r>
      <w:r w:rsidRPr="009E7220">
        <w:rPr>
          <w:sz w:val="22"/>
          <w:szCs w:val="22"/>
        </w:rPr>
        <w:t xml:space="preserve">, the Commonwealth does not provide funding for overseas students and, as such, they should not be included in the calculation of the starting share.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39237"/>
      <w:docPartObj>
        <w:docPartGallery w:val="Page Numbers (Bottom of Page)"/>
        <w:docPartUnique/>
      </w:docPartObj>
    </w:sdtPr>
    <w:sdtEndPr>
      <w:rPr>
        <w:noProof/>
      </w:rPr>
    </w:sdtEndPr>
    <w:sdtContent>
      <w:p w:rsidR="00C16B81" w:rsidRDefault="00C16B81">
        <w:pPr>
          <w:pStyle w:val="Footer"/>
          <w:jc w:val="right"/>
        </w:pPr>
        <w:r>
          <w:fldChar w:fldCharType="begin"/>
        </w:r>
        <w:r>
          <w:instrText xml:space="preserve"> PAGE   \* MERGEFORMAT </w:instrText>
        </w:r>
        <w:r>
          <w:fldChar w:fldCharType="separate"/>
        </w:r>
        <w:r w:rsidR="00AD0740">
          <w:rPr>
            <w:noProof/>
          </w:rPr>
          <w:t>3</w:t>
        </w:r>
        <w:r>
          <w:rPr>
            <w:noProof/>
          </w:rPr>
          <w:fldChar w:fldCharType="end"/>
        </w:r>
      </w:p>
    </w:sdtContent>
  </w:sdt>
  <w:p w:rsidR="00C16B81" w:rsidRDefault="00C16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875611"/>
      <w:docPartObj>
        <w:docPartGallery w:val="Page Numbers (Bottom of Page)"/>
        <w:docPartUnique/>
      </w:docPartObj>
    </w:sdtPr>
    <w:sdtEndPr>
      <w:rPr>
        <w:noProof/>
      </w:rPr>
    </w:sdtEndPr>
    <w:sdtContent>
      <w:p w:rsidR="00C16B81" w:rsidRDefault="006E4883" w:rsidP="00D54FD4">
        <w:pPr>
          <w:pStyle w:val="Footer"/>
          <w:jc w:val="right"/>
        </w:pPr>
        <w:r>
          <w:fldChar w:fldCharType="begin"/>
        </w:r>
        <w:r>
          <w:instrText xml:space="preserve"> PAGE   \* MERGEFORMAT </w:instrText>
        </w:r>
        <w:r>
          <w:fldChar w:fldCharType="separate"/>
        </w:r>
        <w:r w:rsidR="00AD074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F5A" w:rsidRDefault="00401F5A" w:rsidP="00B23937">
      <w:pPr>
        <w:spacing w:after="0"/>
      </w:pPr>
      <w:r>
        <w:separator/>
      </w:r>
    </w:p>
  </w:footnote>
  <w:footnote w:type="continuationSeparator" w:id="0">
    <w:p w:rsidR="00401F5A" w:rsidRDefault="00401F5A" w:rsidP="00B239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0D0" w:rsidRPr="0020256E" w:rsidRDefault="00D100D0" w:rsidP="00202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53D0"/>
    <w:multiLevelType w:val="hybridMultilevel"/>
    <w:tmpl w:val="3BE2A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2936CA"/>
    <w:multiLevelType w:val="hybridMultilevel"/>
    <w:tmpl w:val="EC6207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6F1F26"/>
    <w:multiLevelType w:val="hybridMultilevel"/>
    <w:tmpl w:val="7E725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51955"/>
    <w:multiLevelType w:val="hybridMultilevel"/>
    <w:tmpl w:val="84FA0F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C4993"/>
    <w:multiLevelType w:val="hybridMultilevel"/>
    <w:tmpl w:val="B48617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6183350"/>
    <w:multiLevelType w:val="hybridMultilevel"/>
    <w:tmpl w:val="A2808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E05136"/>
    <w:multiLevelType w:val="hybridMultilevel"/>
    <w:tmpl w:val="A448E8A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2D585120"/>
    <w:multiLevelType w:val="hybridMultilevel"/>
    <w:tmpl w:val="F9BEA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0644FA"/>
    <w:multiLevelType w:val="hybridMultilevel"/>
    <w:tmpl w:val="C0A88E4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197798"/>
    <w:multiLevelType w:val="hybridMultilevel"/>
    <w:tmpl w:val="EDE2A2A4"/>
    <w:lvl w:ilvl="0" w:tplc="9C5AD534">
      <w:start w:val="201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795C9B"/>
    <w:multiLevelType w:val="hybridMultilevel"/>
    <w:tmpl w:val="496285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3F27DF"/>
    <w:multiLevelType w:val="hybridMultilevel"/>
    <w:tmpl w:val="B212D1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071163"/>
    <w:multiLevelType w:val="hybridMultilevel"/>
    <w:tmpl w:val="874846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2E4337"/>
    <w:multiLevelType w:val="hybridMultilevel"/>
    <w:tmpl w:val="6FFED6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D435D9"/>
    <w:multiLevelType w:val="hybridMultilevel"/>
    <w:tmpl w:val="25E078E0"/>
    <w:lvl w:ilvl="0" w:tplc="FEB276E8">
      <w:start w:val="2017"/>
      <w:numFmt w:val="bullet"/>
      <w:lvlText w:val="-"/>
      <w:lvlJc w:val="left"/>
      <w:pPr>
        <w:ind w:left="360" w:hanging="360"/>
      </w:pPr>
      <w:rPr>
        <w:rFonts w:ascii="Calibri" w:eastAsiaTheme="minorHAnsi" w:hAnsi="Calibri"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BB13235"/>
    <w:multiLevelType w:val="hybridMultilevel"/>
    <w:tmpl w:val="D3EA340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77107DDC"/>
    <w:multiLevelType w:val="hybridMultilevel"/>
    <w:tmpl w:val="6490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 w:numId="9">
    <w:abstractNumId w:val="0"/>
  </w:num>
  <w:num w:numId="10">
    <w:abstractNumId w:val="15"/>
  </w:num>
  <w:num w:numId="11">
    <w:abstractNumId w:val="13"/>
  </w:num>
  <w:num w:numId="12">
    <w:abstractNumId w:val="10"/>
  </w:num>
  <w:num w:numId="13">
    <w:abstractNumId w:val="11"/>
  </w:num>
  <w:num w:numId="14">
    <w:abstractNumId w:val="8"/>
  </w:num>
  <w:num w:numId="15">
    <w:abstractNumId w:val="1"/>
  </w:num>
  <w:num w:numId="16">
    <w:abstractNumId w:val="7"/>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B0"/>
    <w:rsid w:val="00013EC3"/>
    <w:rsid w:val="00043736"/>
    <w:rsid w:val="000761C7"/>
    <w:rsid w:val="000773B0"/>
    <w:rsid w:val="000D502D"/>
    <w:rsid w:val="000E166F"/>
    <w:rsid w:val="000F028D"/>
    <w:rsid w:val="000F5C71"/>
    <w:rsid w:val="00103E9D"/>
    <w:rsid w:val="001224FC"/>
    <w:rsid w:val="00124296"/>
    <w:rsid w:val="00135BD0"/>
    <w:rsid w:val="0015310F"/>
    <w:rsid w:val="00180141"/>
    <w:rsid w:val="00181CD9"/>
    <w:rsid w:val="001A18C5"/>
    <w:rsid w:val="001A2905"/>
    <w:rsid w:val="001C2EFC"/>
    <w:rsid w:val="001C3423"/>
    <w:rsid w:val="001D4899"/>
    <w:rsid w:val="001D4FE5"/>
    <w:rsid w:val="0020256E"/>
    <w:rsid w:val="002266F0"/>
    <w:rsid w:val="00255833"/>
    <w:rsid w:val="00255F09"/>
    <w:rsid w:val="002C0C70"/>
    <w:rsid w:val="002F1108"/>
    <w:rsid w:val="002F2FF4"/>
    <w:rsid w:val="003113B6"/>
    <w:rsid w:val="00321402"/>
    <w:rsid w:val="003646F3"/>
    <w:rsid w:val="00392ED6"/>
    <w:rsid w:val="003A100A"/>
    <w:rsid w:val="003A28F5"/>
    <w:rsid w:val="003B6F75"/>
    <w:rsid w:val="003B73F0"/>
    <w:rsid w:val="003E73A9"/>
    <w:rsid w:val="00401F5A"/>
    <w:rsid w:val="00402697"/>
    <w:rsid w:val="0042361F"/>
    <w:rsid w:val="004904A8"/>
    <w:rsid w:val="004965C3"/>
    <w:rsid w:val="004A1C67"/>
    <w:rsid w:val="004B13F5"/>
    <w:rsid w:val="004C52A5"/>
    <w:rsid w:val="004E5C21"/>
    <w:rsid w:val="004F1771"/>
    <w:rsid w:val="004F578B"/>
    <w:rsid w:val="00510F92"/>
    <w:rsid w:val="00540386"/>
    <w:rsid w:val="0055774A"/>
    <w:rsid w:val="0056554E"/>
    <w:rsid w:val="005704AC"/>
    <w:rsid w:val="00586B92"/>
    <w:rsid w:val="005919B6"/>
    <w:rsid w:val="005923F8"/>
    <w:rsid w:val="005A4753"/>
    <w:rsid w:val="005C205F"/>
    <w:rsid w:val="005C424C"/>
    <w:rsid w:val="005D57E9"/>
    <w:rsid w:val="005E089F"/>
    <w:rsid w:val="005F4F2B"/>
    <w:rsid w:val="006305BD"/>
    <w:rsid w:val="006404CD"/>
    <w:rsid w:val="00680136"/>
    <w:rsid w:val="00682F97"/>
    <w:rsid w:val="00683C94"/>
    <w:rsid w:val="006917E6"/>
    <w:rsid w:val="006A751E"/>
    <w:rsid w:val="006B0906"/>
    <w:rsid w:val="006C36F8"/>
    <w:rsid w:val="006E01D2"/>
    <w:rsid w:val="006E2CDD"/>
    <w:rsid w:val="006E4883"/>
    <w:rsid w:val="00800C94"/>
    <w:rsid w:val="00803E27"/>
    <w:rsid w:val="00812EDE"/>
    <w:rsid w:val="008148DD"/>
    <w:rsid w:val="008C354D"/>
    <w:rsid w:val="008E325E"/>
    <w:rsid w:val="008E3DCC"/>
    <w:rsid w:val="00903A7B"/>
    <w:rsid w:val="00911298"/>
    <w:rsid w:val="009277A6"/>
    <w:rsid w:val="00966DA6"/>
    <w:rsid w:val="009737B4"/>
    <w:rsid w:val="00973BBD"/>
    <w:rsid w:val="009807E0"/>
    <w:rsid w:val="009A5D40"/>
    <w:rsid w:val="009B5E7C"/>
    <w:rsid w:val="009B7C7E"/>
    <w:rsid w:val="009D6A29"/>
    <w:rsid w:val="009E3081"/>
    <w:rsid w:val="009E7220"/>
    <w:rsid w:val="009F4834"/>
    <w:rsid w:val="00A16507"/>
    <w:rsid w:val="00A3529A"/>
    <w:rsid w:val="00A44026"/>
    <w:rsid w:val="00A57D99"/>
    <w:rsid w:val="00A64AA9"/>
    <w:rsid w:val="00A95D22"/>
    <w:rsid w:val="00AD0740"/>
    <w:rsid w:val="00AE05B3"/>
    <w:rsid w:val="00AF34F3"/>
    <w:rsid w:val="00AF757C"/>
    <w:rsid w:val="00B1709D"/>
    <w:rsid w:val="00B23937"/>
    <w:rsid w:val="00B42784"/>
    <w:rsid w:val="00B46912"/>
    <w:rsid w:val="00B46E77"/>
    <w:rsid w:val="00BC294A"/>
    <w:rsid w:val="00BF540A"/>
    <w:rsid w:val="00C025C9"/>
    <w:rsid w:val="00C03D4D"/>
    <w:rsid w:val="00C16B81"/>
    <w:rsid w:val="00C315EB"/>
    <w:rsid w:val="00C41727"/>
    <w:rsid w:val="00C421FB"/>
    <w:rsid w:val="00C51A70"/>
    <w:rsid w:val="00C74435"/>
    <w:rsid w:val="00CC76A6"/>
    <w:rsid w:val="00CF3615"/>
    <w:rsid w:val="00D04AF5"/>
    <w:rsid w:val="00D100D0"/>
    <w:rsid w:val="00D54FD4"/>
    <w:rsid w:val="00D56B81"/>
    <w:rsid w:val="00D80BB2"/>
    <w:rsid w:val="00D86F0A"/>
    <w:rsid w:val="00D87568"/>
    <w:rsid w:val="00DA7FBA"/>
    <w:rsid w:val="00DC4FF9"/>
    <w:rsid w:val="00DD364B"/>
    <w:rsid w:val="00DE257F"/>
    <w:rsid w:val="00DE711A"/>
    <w:rsid w:val="00E2134C"/>
    <w:rsid w:val="00E34C5D"/>
    <w:rsid w:val="00E55D2E"/>
    <w:rsid w:val="00E71E23"/>
    <w:rsid w:val="00E803FC"/>
    <w:rsid w:val="00E9548C"/>
    <w:rsid w:val="00EB4D93"/>
    <w:rsid w:val="00EC1516"/>
    <w:rsid w:val="00ED2BFC"/>
    <w:rsid w:val="00F00BDC"/>
    <w:rsid w:val="00F23752"/>
    <w:rsid w:val="00F3171A"/>
    <w:rsid w:val="00F47FD5"/>
    <w:rsid w:val="00F60516"/>
    <w:rsid w:val="00F848F3"/>
    <w:rsid w:val="00F91320"/>
    <w:rsid w:val="00FA402A"/>
    <w:rsid w:val="00FB00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CF3FD6"/>
  <w15:docId w15:val="{6ED1409E-02EF-4B81-9D87-2A98F245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6F0"/>
    <w:pPr>
      <w:spacing w:before="120" w:after="120" w:line="240" w:lineRule="auto"/>
    </w:pPr>
  </w:style>
  <w:style w:type="paragraph" w:styleId="Heading1">
    <w:name w:val="heading 1"/>
    <w:basedOn w:val="Normal"/>
    <w:next w:val="Normal"/>
    <w:link w:val="Heading1Char"/>
    <w:uiPriority w:val="9"/>
    <w:qFormat/>
    <w:rsid w:val="000773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3B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773B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73B0"/>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B23937"/>
    <w:pPr>
      <w:tabs>
        <w:tab w:val="center" w:pos="4513"/>
        <w:tab w:val="right" w:pos="9026"/>
      </w:tabs>
      <w:spacing w:after="0"/>
    </w:pPr>
  </w:style>
  <w:style w:type="character" w:customStyle="1" w:styleId="HeaderChar">
    <w:name w:val="Header Char"/>
    <w:basedOn w:val="DefaultParagraphFont"/>
    <w:link w:val="Header"/>
    <w:uiPriority w:val="99"/>
    <w:rsid w:val="00B23937"/>
  </w:style>
  <w:style w:type="paragraph" w:styleId="Footer">
    <w:name w:val="footer"/>
    <w:basedOn w:val="Normal"/>
    <w:link w:val="FooterChar"/>
    <w:uiPriority w:val="99"/>
    <w:unhideWhenUsed/>
    <w:rsid w:val="00B23937"/>
    <w:pPr>
      <w:tabs>
        <w:tab w:val="center" w:pos="4513"/>
        <w:tab w:val="right" w:pos="9026"/>
      </w:tabs>
      <w:spacing w:after="0"/>
    </w:pPr>
  </w:style>
  <w:style w:type="character" w:customStyle="1" w:styleId="FooterChar">
    <w:name w:val="Footer Char"/>
    <w:basedOn w:val="DefaultParagraphFont"/>
    <w:link w:val="Footer"/>
    <w:uiPriority w:val="99"/>
    <w:rsid w:val="00B23937"/>
  </w:style>
  <w:style w:type="character" w:styleId="Hyperlink">
    <w:name w:val="Hyperlink"/>
    <w:basedOn w:val="DefaultParagraphFont"/>
    <w:uiPriority w:val="99"/>
    <w:unhideWhenUsed/>
    <w:rsid w:val="00BF540A"/>
    <w:rPr>
      <w:color w:val="0000FF" w:themeColor="hyperlink"/>
      <w:u w:val="single"/>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出段落,列出段落1,列"/>
    <w:basedOn w:val="Normal"/>
    <w:link w:val="ListParagraphChar"/>
    <w:uiPriority w:val="34"/>
    <w:qFormat/>
    <w:rsid w:val="00586B92"/>
    <w:pPr>
      <w:ind w:left="720"/>
      <w:contextualSpacing/>
    </w:pPr>
  </w:style>
  <w:style w:type="paragraph" w:styleId="FootnoteText">
    <w:name w:val="footnote text"/>
    <w:basedOn w:val="Normal"/>
    <w:link w:val="FootnoteTextChar"/>
    <w:uiPriority w:val="99"/>
    <w:semiHidden/>
    <w:unhideWhenUsed/>
    <w:rsid w:val="001C3423"/>
    <w:pPr>
      <w:spacing w:after="0"/>
    </w:pPr>
    <w:rPr>
      <w:sz w:val="20"/>
      <w:szCs w:val="20"/>
    </w:rPr>
  </w:style>
  <w:style w:type="character" w:customStyle="1" w:styleId="FootnoteTextChar">
    <w:name w:val="Footnote Text Char"/>
    <w:basedOn w:val="DefaultParagraphFont"/>
    <w:link w:val="FootnoteText"/>
    <w:uiPriority w:val="99"/>
    <w:semiHidden/>
    <w:rsid w:val="001C3423"/>
    <w:rPr>
      <w:sz w:val="20"/>
      <w:szCs w:val="20"/>
    </w:rPr>
  </w:style>
  <w:style w:type="character" w:styleId="FootnoteReference">
    <w:name w:val="footnote reference"/>
    <w:basedOn w:val="DefaultParagraphFont"/>
    <w:uiPriority w:val="99"/>
    <w:semiHidden/>
    <w:unhideWhenUsed/>
    <w:rsid w:val="001C3423"/>
    <w:rPr>
      <w:vertAlign w:val="superscript"/>
    </w:rPr>
  </w:style>
  <w:style w:type="paragraph" w:styleId="BalloonText">
    <w:name w:val="Balloon Text"/>
    <w:basedOn w:val="Normal"/>
    <w:link w:val="BalloonTextChar"/>
    <w:uiPriority w:val="99"/>
    <w:semiHidden/>
    <w:unhideWhenUsed/>
    <w:rsid w:val="001801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141"/>
    <w:rPr>
      <w:rFonts w:ascii="Tahoma" w:hAnsi="Tahoma" w:cs="Tahoma"/>
      <w:sz w:val="16"/>
      <w:szCs w:val="16"/>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255F09"/>
  </w:style>
  <w:style w:type="character" w:styleId="CommentReference">
    <w:name w:val="annotation reference"/>
    <w:basedOn w:val="DefaultParagraphFont"/>
    <w:uiPriority w:val="99"/>
    <w:semiHidden/>
    <w:unhideWhenUsed/>
    <w:rsid w:val="000F5C71"/>
    <w:rPr>
      <w:sz w:val="16"/>
      <w:szCs w:val="16"/>
    </w:rPr>
  </w:style>
  <w:style w:type="paragraph" w:styleId="CommentText">
    <w:name w:val="annotation text"/>
    <w:basedOn w:val="Normal"/>
    <w:link w:val="CommentTextChar"/>
    <w:uiPriority w:val="99"/>
    <w:semiHidden/>
    <w:unhideWhenUsed/>
    <w:rsid w:val="000F5C71"/>
    <w:rPr>
      <w:sz w:val="20"/>
      <w:szCs w:val="20"/>
    </w:rPr>
  </w:style>
  <w:style w:type="character" w:customStyle="1" w:styleId="CommentTextChar">
    <w:name w:val="Comment Text Char"/>
    <w:basedOn w:val="DefaultParagraphFont"/>
    <w:link w:val="CommentText"/>
    <w:uiPriority w:val="99"/>
    <w:semiHidden/>
    <w:rsid w:val="000F5C71"/>
    <w:rPr>
      <w:sz w:val="20"/>
      <w:szCs w:val="20"/>
    </w:rPr>
  </w:style>
  <w:style w:type="paragraph" w:styleId="CommentSubject">
    <w:name w:val="annotation subject"/>
    <w:basedOn w:val="CommentText"/>
    <w:next w:val="CommentText"/>
    <w:link w:val="CommentSubjectChar"/>
    <w:uiPriority w:val="99"/>
    <w:semiHidden/>
    <w:unhideWhenUsed/>
    <w:rsid w:val="000F5C71"/>
    <w:rPr>
      <w:b/>
      <w:bCs/>
    </w:rPr>
  </w:style>
  <w:style w:type="character" w:customStyle="1" w:styleId="CommentSubjectChar">
    <w:name w:val="Comment Subject Char"/>
    <w:basedOn w:val="CommentTextChar"/>
    <w:link w:val="CommentSubject"/>
    <w:uiPriority w:val="99"/>
    <w:semiHidden/>
    <w:rsid w:val="000F5C71"/>
    <w:rPr>
      <w:b/>
      <w:bCs/>
      <w:sz w:val="20"/>
      <w:szCs w:val="20"/>
    </w:rPr>
  </w:style>
  <w:style w:type="character" w:styleId="FollowedHyperlink">
    <w:name w:val="FollowedHyperlink"/>
    <w:basedOn w:val="DefaultParagraphFont"/>
    <w:uiPriority w:val="99"/>
    <w:semiHidden/>
    <w:unhideWhenUsed/>
    <w:rsid w:val="003113B6"/>
    <w:rPr>
      <w:color w:val="800080" w:themeColor="followedHyperlink"/>
      <w:u w:val="single"/>
    </w:rPr>
  </w:style>
  <w:style w:type="table" w:styleId="TableGrid">
    <w:name w:val="Table Grid"/>
    <w:basedOn w:val="TableNormal"/>
    <w:uiPriority w:val="59"/>
    <w:rsid w:val="009B7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13E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3EC3"/>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4904A8"/>
    <w:pPr>
      <w:spacing w:after="0" w:line="240" w:lineRule="auto"/>
    </w:pPr>
  </w:style>
  <w:style w:type="paragraph" w:styleId="EndnoteText">
    <w:name w:val="endnote text"/>
    <w:basedOn w:val="Normal"/>
    <w:link w:val="EndnoteTextChar"/>
    <w:uiPriority w:val="99"/>
    <w:semiHidden/>
    <w:unhideWhenUsed/>
    <w:rsid w:val="00255833"/>
    <w:pPr>
      <w:spacing w:after="0"/>
    </w:pPr>
    <w:rPr>
      <w:sz w:val="20"/>
      <w:szCs w:val="20"/>
    </w:rPr>
  </w:style>
  <w:style w:type="character" w:customStyle="1" w:styleId="EndnoteTextChar">
    <w:name w:val="Endnote Text Char"/>
    <w:basedOn w:val="DefaultParagraphFont"/>
    <w:link w:val="EndnoteText"/>
    <w:uiPriority w:val="99"/>
    <w:semiHidden/>
    <w:rsid w:val="00255833"/>
    <w:rPr>
      <w:sz w:val="20"/>
      <w:szCs w:val="20"/>
    </w:rPr>
  </w:style>
  <w:style w:type="character" w:styleId="EndnoteReference">
    <w:name w:val="endnote reference"/>
    <w:basedOn w:val="DefaultParagraphFont"/>
    <w:uiPriority w:val="99"/>
    <w:semiHidden/>
    <w:unhideWhenUsed/>
    <w:rsid w:val="00255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02113">
      <w:bodyDiv w:val="1"/>
      <w:marLeft w:val="0"/>
      <w:marRight w:val="0"/>
      <w:marTop w:val="0"/>
      <w:marBottom w:val="0"/>
      <w:divBdr>
        <w:top w:val="none" w:sz="0" w:space="0" w:color="auto"/>
        <w:left w:val="none" w:sz="0" w:space="0" w:color="auto"/>
        <w:bottom w:val="none" w:sz="0" w:space="0" w:color="auto"/>
        <w:right w:val="none" w:sz="0" w:space="0" w:color="auto"/>
      </w:divBdr>
    </w:div>
    <w:div w:id="1301305262">
      <w:bodyDiv w:val="1"/>
      <w:marLeft w:val="0"/>
      <w:marRight w:val="0"/>
      <w:marTop w:val="0"/>
      <w:marBottom w:val="0"/>
      <w:divBdr>
        <w:top w:val="none" w:sz="0" w:space="0" w:color="auto"/>
        <w:left w:val="none" w:sz="0" w:space="0" w:color="auto"/>
        <w:bottom w:val="none" w:sz="0" w:space="0" w:color="auto"/>
        <w:right w:val="none" w:sz="0" w:space="0" w:color="auto"/>
      </w:divBdr>
    </w:div>
    <w:div w:id="1623458406">
      <w:bodyDiv w:val="1"/>
      <w:marLeft w:val="0"/>
      <w:marRight w:val="0"/>
      <w:marTop w:val="0"/>
      <w:marBottom w:val="0"/>
      <w:divBdr>
        <w:top w:val="none" w:sz="0" w:space="0" w:color="auto"/>
        <w:left w:val="none" w:sz="0" w:space="0" w:color="auto"/>
        <w:bottom w:val="none" w:sz="0" w:space="0" w:color="auto"/>
        <w:right w:val="none" w:sz="0" w:space="0" w:color="auto"/>
      </w:divBdr>
    </w:div>
    <w:div w:id="1874149808">
      <w:bodyDiv w:val="1"/>
      <w:marLeft w:val="0"/>
      <w:marRight w:val="0"/>
      <w:marTop w:val="0"/>
      <w:marBottom w:val="0"/>
      <w:divBdr>
        <w:top w:val="none" w:sz="0" w:space="0" w:color="auto"/>
        <w:left w:val="none" w:sz="0" w:space="0" w:color="auto"/>
        <w:bottom w:val="none" w:sz="0" w:space="0" w:color="auto"/>
        <w:right w:val="none" w:sz="0" w:space="0" w:color="auto"/>
      </w:divBdr>
    </w:div>
    <w:div w:id="196433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au/what-nationally-consistent-collection-data-school-students-disability" TargetMode="External"/><Relationship Id="rId13" Type="http://schemas.openxmlformats.org/officeDocument/2006/relationships/hyperlink" Target="https://www.education.gov.au/nationally-consistent-collection-data-students-disability-guidelines" TargetMode="External"/><Relationship Id="rId18" Type="http://schemas.openxmlformats.org/officeDocument/2006/relationships/hyperlink" Target="https://www.education.gov.au/quality-school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ducation.gov.au/nationally-consistent-collection-data-students-disability-guidelines" TargetMode="External"/><Relationship Id="rId17" Type="http://schemas.openxmlformats.org/officeDocument/2006/relationships/hyperlink" Target="https://www.education.gov.au/quality-school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andDataHelp@education.gov.au" TargetMode="External"/><Relationship Id="rId5" Type="http://schemas.openxmlformats.org/officeDocument/2006/relationships/webSettings" Target="webSettings.xml"/><Relationship Id="rId15" Type="http://schemas.openxmlformats.org/officeDocument/2006/relationships/hyperlink" Target="http://www.education.gov.au/nationally-consistent-collection-data-school-students-disability" TargetMode="External"/><Relationship Id="rId23" Type="http://schemas.openxmlformats.org/officeDocument/2006/relationships/theme" Target="theme/theme1.xml"/><Relationship Id="rId10" Type="http://schemas.openxmlformats.org/officeDocument/2006/relationships/hyperlink" Target="https://docs.education.gov.au/system/files/doc/other/fairer_funding_for_students_with_disability_v3.pdf" TargetMode="External"/><Relationship Id="rId19" Type="http://schemas.openxmlformats.org/officeDocument/2006/relationships/hyperlink" Target="mailto:GrantsandDataHelp@education.gov.au" TargetMode="External"/><Relationship Id="rId4" Type="http://schemas.openxmlformats.org/officeDocument/2006/relationships/settings" Target="settings.xml"/><Relationship Id="rId9" Type="http://schemas.openxmlformats.org/officeDocument/2006/relationships/hyperlink" Target="https://docs.education.gov.au/system/files/doc/other/calculating_transition_arrangements.pdf" TargetMode="External"/><Relationship Id="rId14" Type="http://schemas.openxmlformats.org/officeDocument/2006/relationships/hyperlink" Target="http://www.schooldisabilitydatapl.edu.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8D5D1-7839-42E4-88CB-067818AD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1DD794D1.dotm</Template>
  <TotalTime>0</TotalTime>
  <Pages>4</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Hoysted</dc:creator>
  <cp:lastModifiedBy>GORDON,Alex</cp:lastModifiedBy>
  <cp:revision>2</cp:revision>
  <cp:lastPrinted>2017-11-19T04:20:00Z</cp:lastPrinted>
  <dcterms:created xsi:type="dcterms:W3CDTF">2017-11-19T04:34:00Z</dcterms:created>
  <dcterms:modified xsi:type="dcterms:W3CDTF">2017-11-19T04:34:00Z</dcterms:modified>
</cp:coreProperties>
</file>