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923" w:rsidRPr="00E404CA" w:rsidRDefault="00717923" w:rsidP="00717923">
      <w:pPr>
        <w:pStyle w:val="BodyText"/>
      </w:pPr>
      <w:r>
        <w:rPr>
          <w:noProof/>
          <w:lang w:eastAsia="en-AU"/>
        </w:rPr>
        <w:drawing>
          <wp:anchor distT="0" distB="0" distL="114300" distR="114300" simplePos="0" relativeHeight="251659776" behindDoc="0" locked="0" layoutInCell="1" allowOverlap="1" wp14:anchorId="6372FF5A" wp14:editId="4DBAFA5C">
            <wp:simplePos x="0" y="0"/>
            <wp:positionH relativeFrom="column">
              <wp:posOffset>683491</wp:posOffset>
            </wp:positionH>
            <wp:positionV relativeFrom="paragraph">
              <wp:posOffset>11875</wp:posOffset>
            </wp:positionV>
            <wp:extent cx="3235325" cy="215900"/>
            <wp:effectExtent l="19050" t="0" r="3175" b="0"/>
            <wp:wrapThrough wrapText="bothSides">
              <wp:wrapPolygon edited="0">
                <wp:start x="-127" y="0"/>
                <wp:lineTo x="-127" y="19059"/>
                <wp:lineTo x="21621" y="19059"/>
                <wp:lineTo x="21621" y="0"/>
                <wp:lineTo x="-127" y="0"/>
              </wp:wrapPolygon>
            </wp:wrapThrough>
            <wp:docPr id="12" name="Picture 1" descr="D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E.jpg"/>
                    <pic:cNvPicPr/>
                  </pic:nvPicPr>
                  <pic:blipFill>
                    <a:blip r:embed="rId8" cstate="print"/>
                    <a:stretch>
                      <a:fillRect/>
                    </a:stretch>
                  </pic:blipFill>
                  <pic:spPr>
                    <a:xfrm>
                      <a:off x="0" y="0"/>
                      <a:ext cx="3235325" cy="215900"/>
                    </a:xfrm>
                    <a:prstGeom prst="rect">
                      <a:avLst/>
                    </a:prstGeom>
                  </pic:spPr>
                </pic:pic>
              </a:graphicData>
            </a:graphic>
          </wp:anchor>
        </w:drawing>
      </w:r>
    </w:p>
    <w:tbl>
      <w:tblPr>
        <w:tblpPr w:leftFromText="180" w:rightFromText="180" w:vertAnchor="page" w:horzAnchor="page" w:tblpX="4183" w:tblpY="3121"/>
        <w:tblW w:w="0" w:type="auto"/>
        <w:shd w:val="clear" w:color="auto" w:fill="FFFFFF"/>
        <w:tblLook w:val="01E0" w:firstRow="1" w:lastRow="1" w:firstColumn="1" w:lastColumn="1" w:noHBand="0" w:noVBand="0"/>
      </w:tblPr>
      <w:tblGrid>
        <w:gridCol w:w="6550"/>
      </w:tblGrid>
      <w:tr w:rsidR="00717923" w:rsidRPr="00E2226B" w:rsidTr="00E629D6">
        <w:trPr>
          <w:trHeight w:hRule="exact" w:val="9189"/>
        </w:trPr>
        <w:tc>
          <w:tcPr>
            <w:tcW w:w="6550" w:type="dxa"/>
            <w:shd w:val="clear" w:color="auto" w:fill="FFFFFF"/>
          </w:tcPr>
          <w:p w:rsidR="00717923" w:rsidRDefault="00717923" w:rsidP="00717923">
            <w:pPr>
              <w:pStyle w:val="ReportTitle"/>
              <w:framePr w:hSpace="0" w:wrap="auto" w:vAnchor="margin" w:hAnchor="text" w:yAlign="inline"/>
              <w:suppressOverlap w:val="0"/>
            </w:pPr>
            <w:r>
              <w:t xml:space="preserve">Estimating the public and private benefits of higher </w:t>
            </w:r>
            <w:bookmarkStart w:id="0" w:name="_GoBack"/>
            <w:bookmarkEnd w:id="0"/>
            <w:r>
              <w:t>education</w:t>
            </w:r>
          </w:p>
          <w:p w:rsidR="00717923" w:rsidRDefault="00717923" w:rsidP="00717923">
            <w:pPr>
              <w:pStyle w:val="ReportTitle"/>
              <w:framePr w:hSpace="0" w:wrap="auto" w:vAnchor="margin" w:hAnchor="text" w:yAlign="inline"/>
              <w:suppressOverlap w:val="0"/>
              <w:jc w:val="both"/>
            </w:pPr>
          </w:p>
          <w:p w:rsidR="00717923" w:rsidRDefault="00356108" w:rsidP="00717923">
            <w:pPr>
              <w:pStyle w:val="ReportCompany"/>
            </w:pPr>
            <w:r>
              <w:rPr>
                <w:szCs w:val="32"/>
              </w:rPr>
              <w:t xml:space="preserve">Australian Government </w:t>
            </w:r>
            <w:r w:rsidR="00717923">
              <w:rPr>
                <w:szCs w:val="32"/>
              </w:rPr>
              <w:t>Department of</w:t>
            </w:r>
            <w:r w:rsidR="00717923">
              <w:t xml:space="preserve"> Education and Training</w:t>
            </w:r>
          </w:p>
          <w:p w:rsidR="00717923" w:rsidRDefault="00717923" w:rsidP="00717923">
            <w:pPr>
              <w:pStyle w:val="ReportCompany"/>
              <w:jc w:val="both"/>
              <w:rPr>
                <w:szCs w:val="32"/>
              </w:rPr>
            </w:pPr>
          </w:p>
          <w:p w:rsidR="00717923" w:rsidRPr="00917DCB" w:rsidRDefault="00715D5E" w:rsidP="00717923">
            <w:pPr>
              <w:pStyle w:val="ReportDate0"/>
            </w:pPr>
            <w:r>
              <w:t xml:space="preserve">November </w:t>
            </w:r>
            <w:r w:rsidR="00717923">
              <w:t>2016</w:t>
            </w:r>
          </w:p>
        </w:tc>
      </w:tr>
    </w:tbl>
    <w:p w:rsidR="00770803" w:rsidRPr="00E404CA" w:rsidRDefault="00770803" w:rsidP="002320EB">
      <w:pPr>
        <w:pStyle w:val="BodyText"/>
      </w:pPr>
    </w:p>
    <w:p w:rsidR="007A6C35" w:rsidRDefault="007A6C35" w:rsidP="007A6C35">
      <w:pPr>
        <w:ind w:left="709"/>
      </w:pPr>
    </w:p>
    <w:p w:rsidR="001A17CE" w:rsidRPr="00C537EC" w:rsidRDefault="001A17CE" w:rsidP="002320EB">
      <w:pPr>
        <w:pStyle w:val="SingleLeft"/>
        <w:sectPr w:rsidR="001A17CE" w:rsidRPr="00C537EC" w:rsidSect="00717923">
          <w:headerReference w:type="default" r:id="rId9"/>
          <w:footerReference w:type="first" r:id="rId10"/>
          <w:pgSz w:w="11906" w:h="16838" w:code="9"/>
          <w:pgMar w:top="993" w:right="0" w:bottom="0" w:left="0" w:header="454" w:footer="454" w:gutter="0"/>
          <w:cols w:space="720"/>
          <w:titlePg/>
          <w:docGrid w:linePitch="360"/>
        </w:sectPr>
      </w:pPr>
    </w:p>
    <w:p w:rsidR="0034223A" w:rsidRDefault="0034223A" w:rsidP="002320EB">
      <w:pPr>
        <w:pStyle w:val="BodyText"/>
      </w:pPr>
    </w:p>
    <w:p w:rsidR="00F41CBD" w:rsidRPr="00DE4E85" w:rsidRDefault="00F41CBD" w:rsidP="002320EB">
      <w:pPr>
        <w:pStyle w:val="Contents-Major"/>
        <w:jc w:val="both"/>
      </w:pPr>
      <w:r w:rsidRPr="00306EC6">
        <w:t>Contents</w:t>
      </w:r>
    </w:p>
    <w:p w:rsidR="00534F9F" w:rsidRDefault="00074523">
      <w:pPr>
        <w:pStyle w:val="TOC1"/>
        <w:rPr>
          <w:rFonts w:asciiTheme="minorHAnsi" w:eastAsiaTheme="minorEastAsia" w:hAnsiTheme="minorHAnsi" w:cstheme="minorBidi"/>
          <w:noProof/>
          <w:lang w:eastAsia="en-AU"/>
        </w:rPr>
      </w:pPr>
      <w:r>
        <w:rPr>
          <w:b/>
          <w:caps/>
        </w:rPr>
        <w:fldChar w:fldCharType="begin"/>
      </w:r>
      <w:r w:rsidR="00F41CBD">
        <w:rPr>
          <w:b/>
          <w:caps/>
        </w:rPr>
        <w:instrText xml:space="preserve"> TOC \o "1-2" \h \z \t "Major Heading,1,Appendix,1,Glossary,1,Heading A,1" </w:instrText>
      </w:r>
      <w:r>
        <w:rPr>
          <w:b/>
          <w:caps/>
        </w:rPr>
        <w:fldChar w:fldCharType="separate"/>
      </w:r>
      <w:hyperlink w:anchor="_Toc465961187" w:history="1">
        <w:r w:rsidR="00534F9F" w:rsidRPr="00FB13EF">
          <w:rPr>
            <w:rStyle w:val="Hyperlink"/>
            <w:noProof/>
          </w:rPr>
          <w:t>Executive summary</w:t>
        </w:r>
        <w:r w:rsidR="00534F9F">
          <w:rPr>
            <w:noProof/>
            <w:webHidden/>
          </w:rPr>
          <w:tab/>
        </w:r>
        <w:r w:rsidR="00534F9F">
          <w:rPr>
            <w:noProof/>
            <w:webHidden/>
          </w:rPr>
          <w:fldChar w:fldCharType="begin"/>
        </w:r>
        <w:r w:rsidR="00534F9F">
          <w:rPr>
            <w:noProof/>
            <w:webHidden/>
          </w:rPr>
          <w:instrText xml:space="preserve"> PAGEREF _Toc465961187 \h </w:instrText>
        </w:r>
        <w:r w:rsidR="00534F9F">
          <w:rPr>
            <w:noProof/>
            <w:webHidden/>
          </w:rPr>
        </w:r>
        <w:r w:rsidR="00534F9F">
          <w:rPr>
            <w:noProof/>
            <w:webHidden/>
          </w:rPr>
          <w:fldChar w:fldCharType="separate"/>
        </w:r>
        <w:r w:rsidR="00534F9F">
          <w:rPr>
            <w:noProof/>
            <w:webHidden/>
          </w:rPr>
          <w:t>i</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88" w:history="1">
        <w:r w:rsidR="00534F9F" w:rsidRPr="00FB13EF">
          <w:rPr>
            <w:rStyle w:val="Hyperlink"/>
            <w:noProof/>
          </w:rPr>
          <w:t>1</w:t>
        </w:r>
        <w:r w:rsidR="00534F9F">
          <w:rPr>
            <w:rFonts w:asciiTheme="minorHAnsi" w:eastAsiaTheme="minorEastAsia" w:hAnsiTheme="minorHAnsi" w:cstheme="minorBidi"/>
            <w:noProof/>
            <w:lang w:eastAsia="en-AU"/>
          </w:rPr>
          <w:tab/>
        </w:r>
        <w:r w:rsidR="00534F9F" w:rsidRPr="00FB13EF">
          <w:rPr>
            <w:rStyle w:val="Hyperlink"/>
            <w:noProof/>
          </w:rPr>
          <w:t>Introduction and context</w:t>
        </w:r>
        <w:r w:rsidR="00534F9F">
          <w:rPr>
            <w:noProof/>
            <w:webHidden/>
          </w:rPr>
          <w:tab/>
        </w:r>
        <w:r w:rsidR="00534F9F">
          <w:rPr>
            <w:noProof/>
            <w:webHidden/>
          </w:rPr>
          <w:fldChar w:fldCharType="begin"/>
        </w:r>
        <w:r w:rsidR="00534F9F">
          <w:rPr>
            <w:noProof/>
            <w:webHidden/>
          </w:rPr>
          <w:instrText xml:space="preserve"> PAGEREF _Toc465961188 \h </w:instrText>
        </w:r>
        <w:r w:rsidR="00534F9F">
          <w:rPr>
            <w:noProof/>
            <w:webHidden/>
          </w:rPr>
        </w:r>
        <w:r w:rsidR="00534F9F">
          <w:rPr>
            <w:noProof/>
            <w:webHidden/>
          </w:rPr>
          <w:fldChar w:fldCharType="separate"/>
        </w:r>
        <w:r w:rsidR="00534F9F">
          <w:rPr>
            <w:noProof/>
            <w:webHidden/>
          </w:rPr>
          <w:t>1</w:t>
        </w:r>
        <w:r w:rsidR="00534F9F">
          <w:rPr>
            <w:noProof/>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189" w:history="1">
        <w:r w:rsidR="00534F9F" w:rsidRPr="00FB13EF">
          <w:rPr>
            <w:rStyle w:val="Hyperlink"/>
            <w:rFonts w:cs="Arial"/>
          </w:rPr>
          <w:t>1.1</w:t>
        </w:r>
        <w:r w:rsidR="00534F9F">
          <w:rPr>
            <w:rFonts w:asciiTheme="minorHAnsi" w:eastAsiaTheme="minorEastAsia" w:hAnsiTheme="minorHAnsi" w:cstheme="minorBidi"/>
            <w:sz w:val="22"/>
            <w:szCs w:val="22"/>
            <w:lang w:eastAsia="en-AU"/>
          </w:rPr>
          <w:tab/>
        </w:r>
        <w:r w:rsidR="00534F9F" w:rsidRPr="00FB13EF">
          <w:rPr>
            <w:rStyle w:val="Hyperlink"/>
          </w:rPr>
          <w:t>Background</w:t>
        </w:r>
        <w:r w:rsidR="00534F9F">
          <w:rPr>
            <w:webHidden/>
          </w:rPr>
          <w:tab/>
        </w:r>
        <w:r w:rsidR="00534F9F">
          <w:rPr>
            <w:webHidden/>
          </w:rPr>
          <w:fldChar w:fldCharType="begin"/>
        </w:r>
        <w:r w:rsidR="00534F9F">
          <w:rPr>
            <w:webHidden/>
          </w:rPr>
          <w:instrText xml:space="preserve"> PAGEREF _Toc465961189 \h </w:instrText>
        </w:r>
        <w:r w:rsidR="00534F9F">
          <w:rPr>
            <w:webHidden/>
          </w:rPr>
        </w:r>
        <w:r w:rsidR="00534F9F">
          <w:rPr>
            <w:webHidden/>
          </w:rPr>
          <w:fldChar w:fldCharType="separate"/>
        </w:r>
        <w:r w:rsidR="00534F9F">
          <w:rPr>
            <w:webHidden/>
          </w:rPr>
          <w:t>1</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190" w:history="1">
        <w:r w:rsidR="00534F9F" w:rsidRPr="00FB13EF">
          <w:rPr>
            <w:rStyle w:val="Hyperlink"/>
            <w:rFonts w:cs="Arial"/>
          </w:rPr>
          <w:t>1.2</w:t>
        </w:r>
        <w:r w:rsidR="00534F9F">
          <w:rPr>
            <w:rFonts w:asciiTheme="minorHAnsi" w:eastAsiaTheme="minorEastAsia" w:hAnsiTheme="minorHAnsi" w:cstheme="minorBidi"/>
            <w:sz w:val="22"/>
            <w:szCs w:val="22"/>
            <w:lang w:eastAsia="en-AU"/>
          </w:rPr>
          <w:tab/>
        </w:r>
        <w:r w:rsidR="00534F9F" w:rsidRPr="00FB13EF">
          <w:rPr>
            <w:rStyle w:val="Hyperlink"/>
          </w:rPr>
          <w:t>Overview of this report</w:t>
        </w:r>
        <w:r w:rsidR="00534F9F">
          <w:rPr>
            <w:webHidden/>
          </w:rPr>
          <w:tab/>
        </w:r>
        <w:r w:rsidR="00534F9F">
          <w:rPr>
            <w:webHidden/>
          </w:rPr>
          <w:fldChar w:fldCharType="begin"/>
        </w:r>
        <w:r w:rsidR="00534F9F">
          <w:rPr>
            <w:webHidden/>
          </w:rPr>
          <w:instrText xml:space="preserve"> PAGEREF _Toc465961190 \h </w:instrText>
        </w:r>
        <w:r w:rsidR="00534F9F">
          <w:rPr>
            <w:webHidden/>
          </w:rPr>
        </w:r>
        <w:r w:rsidR="00534F9F">
          <w:rPr>
            <w:webHidden/>
          </w:rPr>
          <w:fldChar w:fldCharType="separate"/>
        </w:r>
        <w:r w:rsidR="00534F9F">
          <w:rPr>
            <w:webHidden/>
          </w:rPr>
          <w:t>6</w:t>
        </w:r>
        <w:r w:rsidR="00534F9F">
          <w:rPr>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91" w:history="1">
        <w:r w:rsidR="00534F9F" w:rsidRPr="00FB13EF">
          <w:rPr>
            <w:rStyle w:val="Hyperlink"/>
            <w:noProof/>
            <w:lang w:eastAsia="en-AU"/>
          </w:rPr>
          <w:t>2</w:t>
        </w:r>
        <w:r w:rsidR="00534F9F">
          <w:rPr>
            <w:rFonts w:asciiTheme="minorHAnsi" w:eastAsiaTheme="minorEastAsia" w:hAnsiTheme="minorHAnsi" w:cstheme="minorBidi"/>
            <w:noProof/>
            <w:lang w:eastAsia="en-AU"/>
          </w:rPr>
          <w:tab/>
        </w:r>
        <w:r w:rsidR="00534F9F" w:rsidRPr="00FB13EF">
          <w:rPr>
            <w:rStyle w:val="Hyperlink"/>
            <w:noProof/>
            <w:lang w:eastAsia="en-AU"/>
          </w:rPr>
          <w:t>Current evidence on the benefits of higher education</w:t>
        </w:r>
        <w:r w:rsidR="00534F9F">
          <w:rPr>
            <w:noProof/>
            <w:webHidden/>
          </w:rPr>
          <w:tab/>
        </w:r>
        <w:r w:rsidR="00534F9F">
          <w:rPr>
            <w:noProof/>
            <w:webHidden/>
          </w:rPr>
          <w:fldChar w:fldCharType="begin"/>
        </w:r>
        <w:r w:rsidR="00534F9F">
          <w:rPr>
            <w:noProof/>
            <w:webHidden/>
          </w:rPr>
          <w:instrText xml:space="preserve"> PAGEREF _Toc465961191 \h </w:instrText>
        </w:r>
        <w:r w:rsidR="00534F9F">
          <w:rPr>
            <w:noProof/>
            <w:webHidden/>
          </w:rPr>
        </w:r>
        <w:r w:rsidR="00534F9F">
          <w:rPr>
            <w:noProof/>
            <w:webHidden/>
          </w:rPr>
          <w:fldChar w:fldCharType="separate"/>
        </w:r>
        <w:r w:rsidR="00534F9F">
          <w:rPr>
            <w:noProof/>
            <w:webHidden/>
          </w:rPr>
          <w:t>7</w:t>
        </w:r>
        <w:r w:rsidR="00534F9F">
          <w:rPr>
            <w:noProof/>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192" w:history="1">
        <w:r w:rsidR="00534F9F" w:rsidRPr="00FB13EF">
          <w:rPr>
            <w:rStyle w:val="Hyperlink"/>
            <w:rFonts w:cs="Arial"/>
          </w:rPr>
          <w:t>2.1</w:t>
        </w:r>
        <w:r w:rsidR="00534F9F">
          <w:rPr>
            <w:rFonts w:asciiTheme="minorHAnsi" w:eastAsiaTheme="minorEastAsia" w:hAnsiTheme="minorHAnsi" w:cstheme="minorBidi"/>
            <w:sz w:val="22"/>
            <w:szCs w:val="22"/>
            <w:lang w:eastAsia="en-AU"/>
          </w:rPr>
          <w:tab/>
        </w:r>
        <w:r w:rsidR="00534F9F" w:rsidRPr="00FB13EF">
          <w:rPr>
            <w:rStyle w:val="Hyperlink"/>
          </w:rPr>
          <w:t>Defining the benefits from higher education</w:t>
        </w:r>
        <w:r w:rsidR="00534F9F">
          <w:rPr>
            <w:webHidden/>
          </w:rPr>
          <w:tab/>
        </w:r>
        <w:r w:rsidR="00534F9F">
          <w:rPr>
            <w:webHidden/>
          </w:rPr>
          <w:fldChar w:fldCharType="begin"/>
        </w:r>
        <w:r w:rsidR="00534F9F">
          <w:rPr>
            <w:webHidden/>
          </w:rPr>
          <w:instrText xml:space="preserve"> PAGEREF _Toc465961192 \h </w:instrText>
        </w:r>
        <w:r w:rsidR="00534F9F">
          <w:rPr>
            <w:webHidden/>
          </w:rPr>
        </w:r>
        <w:r w:rsidR="00534F9F">
          <w:rPr>
            <w:webHidden/>
          </w:rPr>
          <w:fldChar w:fldCharType="separate"/>
        </w:r>
        <w:r w:rsidR="00534F9F">
          <w:rPr>
            <w:webHidden/>
          </w:rPr>
          <w:t>7</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193" w:history="1">
        <w:r w:rsidR="00534F9F" w:rsidRPr="00FB13EF">
          <w:rPr>
            <w:rStyle w:val="Hyperlink"/>
            <w:rFonts w:cs="Arial"/>
          </w:rPr>
          <w:t>2.2</w:t>
        </w:r>
        <w:r w:rsidR="00534F9F">
          <w:rPr>
            <w:rFonts w:asciiTheme="minorHAnsi" w:eastAsiaTheme="minorEastAsia" w:hAnsiTheme="minorHAnsi" w:cstheme="minorBidi"/>
            <w:sz w:val="22"/>
            <w:szCs w:val="22"/>
            <w:lang w:eastAsia="en-AU"/>
          </w:rPr>
          <w:tab/>
        </w:r>
        <w:r w:rsidR="00534F9F" w:rsidRPr="00FB13EF">
          <w:rPr>
            <w:rStyle w:val="Hyperlink"/>
          </w:rPr>
          <w:t>Empirical research on the public and private benefits of higher education</w:t>
        </w:r>
        <w:r w:rsidR="00534F9F">
          <w:rPr>
            <w:webHidden/>
          </w:rPr>
          <w:tab/>
        </w:r>
        <w:r w:rsidR="00534F9F">
          <w:rPr>
            <w:webHidden/>
          </w:rPr>
          <w:fldChar w:fldCharType="begin"/>
        </w:r>
        <w:r w:rsidR="00534F9F">
          <w:rPr>
            <w:webHidden/>
          </w:rPr>
          <w:instrText xml:space="preserve"> PAGEREF _Toc465961193 \h </w:instrText>
        </w:r>
        <w:r w:rsidR="00534F9F">
          <w:rPr>
            <w:webHidden/>
          </w:rPr>
        </w:r>
        <w:r w:rsidR="00534F9F">
          <w:rPr>
            <w:webHidden/>
          </w:rPr>
          <w:fldChar w:fldCharType="separate"/>
        </w:r>
        <w:r w:rsidR="00534F9F">
          <w:rPr>
            <w:webHidden/>
          </w:rPr>
          <w:t>10</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194" w:history="1">
        <w:r w:rsidR="00534F9F" w:rsidRPr="00FB13EF">
          <w:rPr>
            <w:rStyle w:val="Hyperlink"/>
            <w:rFonts w:cs="Arial"/>
          </w:rPr>
          <w:t>2.3</w:t>
        </w:r>
        <w:r w:rsidR="00534F9F">
          <w:rPr>
            <w:rFonts w:asciiTheme="minorHAnsi" w:eastAsiaTheme="minorEastAsia" w:hAnsiTheme="minorHAnsi" w:cstheme="minorBidi"/>
            <w:sz w:val="22"/>
            <w:szCs w:val="22"/>
            <w:lang w:eastAsia="en-AU"/>
          </w:rPr>
          <w:tab/>
        </w:r>
        <w:r w:rsidR="00534F9F" w:rsidRPr="00FB13EF">
          <w:rPr>
            <w:rStyle w:val="Hyperlink"/>
          </w:rPr>
          <w:t>Implications for this study</w:t>
        </w:r>
        <w:r w:rsidR="00534F9F">
          <w:rPr>
            <w:webHidden/>
          </w:rPr>
          <w:tab/>
        </w:r>
        <w:r w:rsidR="00534F9F">
          <w:rPr>
            <w:webHidden/>
          </w:rPr>
          <w:fldChar w:fldCharType="begin"/>
        </w:r>
        <w:r w:rsidR="00534F9F">
          <w:rPr>
            <w:webHidden/>
          </w:rPr>
          <w:instrText xml:space="preserve"> PAGEREF _Toc465961194 \h </w:instrText>
        </w:r>
        <w:r w:rsidR="00534F9F">
          <w:rPr>
            <w:webHidden/>
          </w:rPr>
        </w:r>
        <w:r w:rsidR="00534F9F">
          <w:rPr>
            <w:webHidden/>
          </w:rPr>
          <w:fldChar w:fldCharType="separate"/>
        </w:r>
        <w:r w:rsidR="00534F9F">
          <w:rPr>
            <w:webHidden/>
          </w:rPr>
          <w:t>22</w:t>
        </w:r>
        <w:r w:rsidR="00534F9F">
          <w:rPr>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95" w:history="1">
        <w:r w:rsidR="00534F9F" w:rsidRPr="00FB13EF">
          <w:rPr>
            <w:rStyle w:val="Hyperlink"/>
            <w:noProof/>
            <w:lang w:eastAsia="en-AU"/>
          </w:rPr>
          <w:t>3</w:t>
        </w:r>
        <w:r w:rsidR="00534F9F">
          <w:rPr>
            <w:rFonts w:asciiTheme="minorHAnsi" w:eastAsiaTheme="minorEastAsia" w:hAnsiTheme="minorHAnsi" w:cstheme="minorBidi"/>
            <w:noProof/>
            <w:lang w:eastAsia="en-AU"/>
          </w:rPr>
          <w:tab/>
        </w:r>
        <w:r w:rsidR="00534F9F" w:rsidRPr="00FB13EF">
          <w:rPr>
            <w:rStyle w:val="Hyperlink"/>
            <w:noProof/>
            <w:lang w:eastAsia="en-AU"/>
          </w:rPr>
          <w:t>Analytical approach</w:t>
        </w:r>
        <w:r w:rsidR="00534F9F">
          <w:rPr>
            <w:noProof/>
            <w:webHidden/>
          </w:rPr>
          <w:tab/>
        </w:r>
        <w:r w:rsidR="00534F9F">
          <w:rPr>
            <w:noProof/>
            <w:webHidden/>
          </w:rPr>
          <w:fldChar w:fldCharType="begin"/>
        </w:r>
        <w:r w:rsidR="00534F9F">
          <w:rPr>
            <w:noProof/>
            <w:webHidden/>
          </w:rPr>
          <w:instrText xml:space="preserve"> PAGEREF _Toc465961195 \h </w:instrText>
        </w:r>
        <w:r w:rsidR="00534F9F">
          <w:rPr>
            <w:noProof/>
            <w:webHidden/>
          </w:rPr>
        </w:r>
        <w:r w:rsidR="00534F9F">
          <w:rPr>
            <w:noProof/>
            <w:webHidden/>
          </w:rPr>
          <w:fldChar w:fldCharType="separate"/>
        </w:r>
        <w:r w:rsidR="00534F9F">
          <w:rPr>
            <w:noProof/>
            <w:webHidden/>
          </w:rPr>
          <w:t>28</w:t>
        </w:r>
        <w:r w:rsidR="00534F9F">
          <w:rPr>
            <w:noProof/>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196" w:history="1">
        <w:r w:rsidR="00534F9F" w:rsidRPr="00FB13EF">
          <w:rPr>
            <w:rStyle w:val="Hyperlink"/>
            <w:rFonts w:cs="Arial"/>
          </w:rPr>
          <w:t>3.1</w:t>
        </w:r>
        <w:r w:rsidR="00534F9F">
          <w:rPr>
            <w:rFonts w:asciiTheme="minorHAnsi" w:eastAsiaTheme="minorEastAsia" w:hAnsiTheme="minorHAnsi" w:cstheme="minorBidi"/>
            <w:sz w:val="22"/>
            <w:szCs w:val="22"/>
            <w:lang w:eastAsia="en-AU"/>
          </w:rPr>
          <w:tab/>
        </w:r>
        <w:r w:rsidR="00534F9F" w:rsidRPr="00FB13EF">
          <w:rPr>
            <w:rStyle w:val="Hyperlink"/>
            <w:lang w:eastAsia="en-AU"/>
          </w:rPr>
          <w:t>Overview of the analytical process</w:t>
        </w:r>
        <w:r w:rsidR="00534F9F">
          <w:rPr>
            <w:webHidden/>
          </w:rPr>
          <w:tab/>
        </w:r>
        <w:r w:rsidR="00534F9F">
          <w:rPr>
            <w:webHidden/>
          </w:rPr>
          <w:fldChar w:fldCharType="begin"/>
        </w:r>
        <w:r w:rsidR="00534F9F">
          <w:rPr>
            <w:webHidden/>
          </w:rPr>
          <w:instrText xml:space="preserve"> PAGEREF _Toc465961196 \h </w:instrText>
        </w:r>
        <w:r w:rsidR="00534F9F">
          <w:rPr>
            <w:webHidden/>
          </w:rPr>
        </w:r>
        <w:r w:rsidR="00534F9F">
          <w:rPr>
            <w:webHidden/>
          </w:rPr>
          <w:fldChar w:fldCharType="separate"/>
        </w:r>
        <w:r w:rsidR="00534F9F">
          <w:rPr>
            <w:webHidden/>
          </w:rPr>
          <w:t>28</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197" w:history="1">
        <w:r w:rsidR="00534F9F" w:rsidRPr="00FB13EF">
          <w:rPr>
            <w:rStyle w:val="Hyperlink"/>
            <w:rFonts w:cs="Arial"/>
            <w:lang w:eastAsia="en-AU"/>
          </w:rPr>
          <w:t>3.2</w:t>
        </w:r>
        <w:r w:rsidR="00534F9F">
          <w:rPr>
            <w:rFonts w:asciiTheme="minorHAnsi" w:eastAsiaTheme="minorEastAsia" w:hAnsiTheme="minorHAnsi" w:cstheme="minorBidi"/>
            <w:sz w:val="22"/>
            <w:szCs w:val="22"/>
            <w:lang w:eastAsia="en-AU"/>
          </w:rPr>
          <w:tab/>
        </w:r>
        <w:r w:rsidR="00534F9F" w:rsidRPr="00FB13EF">
          <w:rPr>
            <w:rStyle w:val="Hyperlink"/>
            <w:lang w:eastAsia="en-AU"/>
          </w:rPr>
          <w:t>Underpinning data sources</w:t>
        </w:r>
        <w:r w:rsidR="00534F9F">
          <w:rPr>
            <w:webHidden/>
          </w:rPr>
          <w:tab/>
        </w:r>
        <w:r w:rsidR="00534F9F">
          <w:rPr>
            <w:webHidden/>
          </w:rPr>
          <w:fldChar w:fldCharType="begin"/>
        </w:r>
        <w:r w:rsidR="00534F9F">
          <w:rPr>
            <w:webHidden/>
          </w:rPr>
          <w:instrText xml:space="preserve"> PAGEREF _Toc465961197 \h </w:instrText>
        </w:r>
        <w:r w:rsidR="00534F9F">
          <w:rPr>
            <w:webHidden/>
          </w:rPr>
        </w:r>
        <w:r w:rsidR="00534F9F">
          <w:rPr>
            <w:webHidden/>
          </w:rPr>
          <w:fldChar w:fldCharType="separate"/>
        </w:r>
        <w:r w:rsidR="00534F9F">
          <w:rPr>
            <w:webHidden/>
          </w:rPr>
          <w:t>31</w:t>
        </w:r>
        <w:r w:rsidR="00534F9F">
          <w:rPr>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98" w:history="1">
        <w:r w:rsidR="00534F9F" w:rsidRPr="00FB13EF">
          <w:rPr>
            <w:rStyle w:val="Hyperlink"/>
            <w:noProof/>
            <w:lang w:eastAsia="en-AU"/>
          </w:rPr>
          <w:t>4</w:t>
        </w:r>
        <w:r w:rsidR="00534F9F">
          <w:rPr>
            <w:rFonts w:asciiTheme="minorHAnsi" w:eastAsiaTheme="minorEastAsia" w:hAnsiTheme="minorHAnsi" w:cstheme="minorBidi"/>
            <w:noProof/>
            <w:lang w:eastAsia="en-AU"/>
          </w:rPr>
          <w:tab/>
        </w:r>
        <w:r w:rsidR="00534F9F" w:rsidRPr="00FB13EF">
          <w:rPr>
            <w:rStyle w:val="Hyperlink"/>
            <w:noProof/>
            <w:lang w:eastAsia="en-AU"/>
          </w:rPr>
          <w:t>Private market benefits from higher education</w:t>
        </w:r>
        <w:r w:rsidR="00534F9F">
          <w:rPr>
            <w:noProof/>
            <w:webHidden/>
          </w:rPr>
          <w:tab/>
        </w:r>
        <w:r w:rsidR="00534F9F">
          <w:rPr>
            <w:noProof/>
            <w:webHidden/>
          </w:rPr>
          <w:fldChar w:fldCharType="begin"/>
        </w:r>
        <w:r w:rsidR="00534F9F">
          <w:rPr>
            <w:noProof/>
            <w:webHidden/>
          </w:rPr>
          <w:instrText xml:space="preserve"> PAGEREF _Toc465961198 \h </w:instrText>
        </w:r>
        <w:r w:rsidR="00534F9F">
          <w:rPr>
            <w:noProof/>
            <w:webHidden/>
          </w:rPr>
        </w:r>
        <w:r w:rsidR="00534F9F">
          <w:rPr>
            <w:noProof/>
            <w:webHidden/>
          </w:rPr>
          <w:fldChar w:fldCharType="separate"/>
        </w:r>
        <w:r w:rsidR="00534F9F">
          <w:rPr>
            <w:noProof/>
            <w:webHidden/>
          </w:rPr>
          <w:t>33</w:t>
        </w:r>
        <w:r w:rsidR="00534F9F">
          <w:rPr>
            <w:noProof/>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199" w:history="1">
        <w:r w:rsidR="00534F9F" w:rsidRPr="00FB13EF">
          <w:rPr>
            <w:rStyle w:val="Hyperlink"/>
            <w:rFonts w:cs="Arial"/>
            <w:lang w:eastAsia="en-AU"/>
          </w:rPr>
          <w:t>4.1</w:t>
        </w:r>
        <w:r w:rsidR="00534F9F">
          <w:rPr>
            <w:rFonts w:asciiTheme="minorHAnsi" w:eastAsiaTheme="minorEastAsia" w:hAnsiTheme="minorHAnsi" w:cstheme="minorBidi"/>
            <w:sz w:val="22"/>
            <w:szCs w:val="22"/>
            <w:lang w:eastAsia="en-AU"/>
          </w:rPr>
          <w:tab/>
        </w:r>
        <w:r w:rsidR="00534F9F" w:rsidRPr="00FB13EF">
          <w:rPr>
            <w:rStyle w:val="Hyperlink"/>
            <w:lang w:eastAsia="en-AU"/>
          </w:rPr>
          <w:t>Descriptive statistics and model</w:t>
        </w:r>
        <w:r w:rsidR="00534F9F">
          <w:rPr>
            <w:webHidden/>
          </w:rPr>
          <w:tab/>
        </w:r>
        <w:r w:rsidR="00534F9F">
          <w:rPr>
            <w:webHidden/>
          </w:rPr>
          <w:fldChar w:fldCharType="begin"/>
        </w:r>
        <w:r w:rsidR="00534F9F">
          <w:rPr>
            <w:webHidden/>
          </w:rPr>
          <w:instrText xml:space="preserve"> PAGEREF _Toc465961199 \h </w:instrText>
        </w:r>
        <w:r w:rsidR="00534F9F">
          <w:rPr>
            <w:webHidden/>
          </w:rPr>
        </w:r>
        <w:r w:rsidR="00534F9F">
          <w:rPr>
            <w:webHidden/>
          </w:rPr>
          <w:fldChar w:fldCharType="separate"/>
        </w:r>
        <w:r w:rsidR="00534F9F">
          <w:rPr>
            <w:webHidden/>
          </w:rPr>
          <w:t>34</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00" w:history="1">
        <w:r w:rsidR="00534F9F" w:rsidRPr="00FB13EF">
          <w:rPr>
            <w:rStyle w:val="Hyperlink"/>
            <w:rFonts w:cs="Arial"/>
            <w:lang w:eastAsia="en-AU"/>
          </w:rPr>
          <w:t>4.2</w:t>
        </w:r>
        <w:r w:rsidR="00534F9F">
          <w:rPr>
            <w:rFonts w:asciiTheme="minorHAnsi" w:eastAsiaTheme="minorEastAsia" w:hAnsiTheme="minorHAnsi" w:cstheme="minorBidi"/>
            <w:sz w:val="22"/>
            <w:szCs w:val="22"/>
            <w:lang w:eastAsia="en-AU"/>
          </w:rPr>
          <w:tab/>
        </w:r>
        <w:r w:rsidR="00534F9F" w:rsidRPr="00FB13EF">
          <w:rPr>
            <w:rStyle w:val="Hyperlink"/>
            <w:lang w:eastAsia="en-AU"/>
          </w:rPr>
          <w:t>Results and discussion</w:t>
        </w:r>
        <w:r w:rsidR="00534F9F">
          <w:rPr>
            <w:webHidden/>
          </w:rPr>
          <w:tab/>
        </w:r>
        <w:r w:rsidR="00534F9F">
          <w:rPr>
            <w:webHidden/>
          </w:rPr>
          <w:fldChar w:fldCharType="begin"/>
        </w:r>
        <w:r w:rsidR="00534F9F">
          <w:rPr>
            <w:webHidden/>
          </w:rPr>
          <w:instrText xml:space="preserve"> PAGEREF _Toc465961200 \h </w:instrText>
        </w:r>
        <w:r w:rsidR="00534F9F">
          <w:rPr>
            <w:webHidden/>
          </w:rPr>
        </w:r>
        <w:r w:rsidR="00534F9F">
          <w:rPr>
            <w:webHidden/>
          </w:rPr>
          <w:fldChar w:fldCharType="separate"/>
        </w:r>
        <w:r w:rsidR="00534F9F">
          <w:rPr>
            <w:webHidden/>
          </w:rPr>
          <w:t>37</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01" w:history="1">
        <w:r w:rsidR="00534F9F" w:rsidRPr="00FB13EF">
          <w:rPr>
            <w:rStyle w:val="Hyperlink"/>
            <w:rFonts w:cs="Arial"/>
            <w:lang w:eastAsia="en-AU"/>
          </w:rPr>
          <w:t>4.3</w:t>
        </w:r>
        <w:r w:rsidR="00534F9F">
          <w:rPr>
            <w:rFonts w:asciiTheme="minorHAnsi" w:eastAsiaTheme="minorEastAsia" w:hAnsiTheme="minorHAnsi" w:cstheme="minorBidi"/>
            <w:sz w:val="22"/>
            <w:szCs w:val="22"/>
            <w:lang w:eastAsia="en-AU"/>
          </w:rPr>
          <w:tab/>
        </w:r>
        <w:r w:rsidR="00534F9F" w:rsidRPr="00FB13EF">
          <w:rPr>
            <w:rStyle w:val="Hyperlink"/>
            <w:lang w:eastAsia="en-AU"/>
          </w:rPr>
          <w:t>Limitations and assumptions</w:t>
        </w:r>
        <w:r w:rsidR="00534F9F">
          <w:rPr>
            <w:webHidden/>
          </w:rPr>
          <w:tab/>
        </w:r>
        <w:r w:rsidR="00534F9F">
          <w:rPr>
            <w:webHidden/>
          </w:rPr>
          <w:fldChar w:fldCharType="begin"/>
        </w:r>
        <w:r w:rsidR="00534F9F">
          <w:rPr>
            <w:webHidden/>
          </w:rPr>
          <w:instrText xml:space="preserve"> PAGEREF _Toc465961201 \h </w:instrText>
        </w:r>
        <w:r w:rsidR="00534F9F">
          <w:rPr>
            <w:webHidden/>
          </w:rPr>
        </w:r>
        <w:r w:rsidR="00534F9F">
          <w:rPr>
            <w:webHidden/>
          </w:rPr>
          <w:fldChar w:fldCharType="separate"/>
        </w:r>
        <w:r w:rsidR="00534F9F">
          <w:rPr>
            <w:webHidden/>
          </w:rPr>
          <w:t>43</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02" w:history="1">
        <w:r w:rsidR="00534F9F" w:rsidRPr="00FB13EF">
          <w:rPr>
            <w:rStyle w:val="Hyperlink"/>
            <w:rFonts w:cs="Arial"/>
            <w:lang w:eastAsia="en-AU"/>
          </w:rPr>
          <w:t>4.4</w:t>
        </w:r>
        <w:r w:rsidR="00534F9F">
          <w:rPr>
            <w:rFonts w:asciiTheme="minorHAnsi" w:eastAsiaTheme="minorEastAsia" w:hAnsiTheme="minorHAnsi" w:cstheme="minorBidi"/>
            <w:sz w:val="22"/>
            <w:szCs w:val="22"/>
            <w:lang w:eastAsia="en-AU"/>
          </w:rPr>
          <w:tab/>
        </w:r>
        <w:r w:rsidR="00534F9F" w:rsidRPr="00FB13EF">
          <w:rPr>
            <w:rStyle w:val="Hyperlink"/>
            <w:lang w:eastAsia="en-AU"/>
          </w:rPr>
          <w:t>Implications</w:t>
        </w:r>
        <w:r w:rsidR="00534F9F">
          <w:rPr>
            <w:webHidden/>
          </w:rPr>
          <w:tab/>
        </w:r>
        <w:r w:rsidR="00534F9F">
          <w:rPr>
            <w:webHidden/>
          </w:rPr>
          <w:fldChar w:fldCharType="begin"/>
        </w:r>
        <w:r w:rsidR="00534F9F">
          <w:rPr>
            <w:webHidden/>
          </w:rPr>
          <w:instrText xml:space="preserve"> PAGEREF _Toc465961202 \h </w:instrText>
        </w:r>
        <w:r w:rsidR="00534F9F">
          <w:rPr>
            <w:webHidden/>
          </w:rPr>
        </w:r>
        <w:r w:rsidR="00534F9F">
          <w:rPr>
            <w:webHidden/>
          </w:rPr>
          <w:fldChar w:fldCharType="separate"/>
        </w:r>
        <w:r w:rsidR="00534F9F">
          <w:rPr>
            <w:webHidden/>
          </w:rPr>
          <w:t>45</w:t>
        </w:r>
        <w:r w:rsidR="00534F9F">
          <w:rPr>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203" w:history="1">
        <w:r w:rsidR="00534F9F" w:rsidRPr="00FB13EF">
          <w:rPr>
            <w:rStyle w:val="Hyperlink"/>
            <w:noProof/>
            <w:lang w:eastAsia="en-AU"/>
          </w:rPr>
          <w:t>5</w:t>
        </w:r>
        <w:r w:rsidR="00534F9F">
          <w:rPr>
            <w:rFonts w:asciiTheme="minorHAnsi" w:eastAsiaTheme="minorEastAsia" w:hAnsiTheme="minorHAnsi" w:cstheme="minorBidi"/>
            <w:noProof/>
            <w:lang w:eastAsia="en-AU"/>
          </w:rPr>
          <w:tab/>
        </w:r>
        <w:r w:rsidR="00534F9F" w:rsidRPr="00FB13EF">
          <w:rPr>
            <w:rStyle w:val="Hyperlink"/>
            <w:noProof/>
            <w:lang w:eastAsia="en-AU"/>
          </w:rPr>
          <w:t>Public market benefits from higher education</w:t>
        </w:r>
        <w:r w:rsidR="00534F9F">
          <w:rPr>
            <w:noProof/>
            <w:webHidden/>
          </w:rPr>
          <w:tab/>
        </w:r>
        <w:r w:rsidR="00534F9F">
          <w:rPr>
            <w:noProof/>
            <w:webHidden/>
          </w:rPr>
          <w:fldChar w:fldCharType="begin"/>
        </w:r>
        <w:r w:rsidR="00534F9F">
          <w:rPr>
            <w:noProof/>
            <w:webHidden/>
          </w:rPr>
          <w:instrText xml:space="preserve"> PAGEREF _Toc465961203 \h </w:instrText>
        </w:r>
        <w:r w:rsidR="00534F9F">
          <w:rPr>
            <w:noProof/>
            <w:webHidden/>
          </w:rPr>
        </w:r>
        <w:r w:rsidR="00534F9F">
          <w:rPr>
            <w:noProof/>
            <w:webHidden/>
          </w:rPr>
          <w:fldChar w:fldCharType="separate"/>
        </w:r>
        <w:r w:rsidR="00534F9F">
          <w:rPr>
            <w:noProof/>
            <w:webHidden/>
          </w:rPr>
          <w:t>46</w:t>
        </w:r>
        <w:r w:rsidR="00534F9F">
          <w:rPr>
            <w:noProof/>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04" w:history="1">
        <w:r w:rsidR="00534F9F" w:rsidRPr="00FB13EF">
          <w:rPr>
            <w:rStyle w:val="Hyperlink"/>
            <w:rFonts w:cs="Arial"/>
            <w:lang w:eastAsia="en-AU"/>
          </w:rPr>
          <w:t>5.1</w:t>
        </w:r>
        <w:r w:rsidR="00534F9F">
          <w:rPr>
            <w:rFonts w:asciiTheme="minorHAnsi" w:eastAsiaTheme="minorEastAsia" w:hAnsiTheme="minorHAnsi" w:cstheme="minorBidi"/>
            <w:sz w:val="22"/>
            <w:szCs w:val="22"/>
            <w:lang w:eastAsia="en-AU"/>
          </w:rPr>
          <w:tab/>
        </w:r>
        <w:r w:rsidR="00534F9F" w:rsidRPr="00FB13EF">
          <w:rPr>
            <w:rStyle w:val="Hyperlink"/>
            <w:lang w:eastAsia="en-AU"/>
          </w:rPr>
          <w:t>Determining the labour market spillovers for those with and without higher education</w:t>
        </w:r>
        <w:r w:rsidR="00534F9F">
          <w:rPr>
            <w:webHidden/>
          </w:rPr>
          <w:tab/>
        </w:r>
        <w:r w:rsidR="00534F9F">
          <w:rPr>
            <w:webHidden/>
          </w:rPr>
          <w:fldChar w:fldCharType="begin"/>
        </w:r>
        <w:r w:rsidR="00534F9F">
          <w:rPr>
            <w:webHidden/>
          </w:rPr>
          <w:instrText xml:space="preserve"> PAGEREF _Toc465961204 \h </w:instrText>
        </w:r>
        <w:r w:rsidR="00534F9F">
          <w:rPr>
            <w:webHidden/>
          </w:rPr>
        </w:r>
        <w:r w:rsidR="00534F9F">
          <w:rPr>
            <w:webHidden/>
          </w:rPr>
          <w:fldChar w:fldCharType="separate"/>
        </w:r>
        <w:r w:rsidR="00534F9F">
          <w:rPr>
            <w:webHidden/>
          </w:rPr>
          <w:t>47</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05" w:history="1">
        <w:r w:rsidR="00534F9F" w:rsidRPr="00FB13EF">
          <w:rPr>
            <w:rStyle w:val="Hyperlink"/>
            <w:rFonts w:cs="Arial"/>
            <w:lang w:eastAsia="en-AU"/>
          </w:rPr>
          <w:t>5.2</w:t>
        </w:r>
        <w:r w:rsidR="00534F9F">
          <w:rPr>
            <w:rFonts w:asciiTheme="minorHAnsi" w:eastAsiaTheme="minorEastAsia" w:hAnsiTheme="minorHAnsi" w:cstheme="minorBidi"/>
            <w:sz w:val="22"/>
            <w:szCs w:val="22"/>
            <w:lang w:eastAsia="en-AU"/>
          </w:rPr>
          <w:tab/>
        </w:r>
        <w:r w:rsidR="00534F9F" w:rsidRPr="00FB13EF">
          <w:rPr>
            <w:rStyle w:val="Hyperlink"/>
            <w:lang w:eastAsia="en-AU"/>
          </w:rPr>
          <w:t>Estimating broader market benefits with the CGE model</w:t>
        </w:r>
        <w:r w:rsidR="00534F9F">
          <w:rPr>
            <w:webHidden/>
          </w:rPr>
          <w:tab/>
        </w:r>
        <w:r w:rsidR="00534F9F">
          <w:rPr>
            <w:webHidden/>
          </w:rPr>
          <w:fldChar w:fldCharType="begin"/>
        </w:r>
        <w:r w:rsidR="00534F9F">
          <w:rPr>
            <w:webHidden/>
          </w:rPr>
          <w:instrText xml:space="preserve"> PAGEREF _Toc465961205 \h </w:instrText>
        </w:r>
        <w:r w:rsidR="00534F9F">
          <w:rPr>
            <w:webHidden/>
          </w:rPr>
        </w:r>
        <w:r w:rsidR="00534F9F">
          <w:rPr>
            <w:webHidden/>
          </w:rPr>
          <w:fldChar w:fldCharType="separate"/>
        </w:r>
        <w:r w:rsidR="00534F9F">
          <w:rPr>
            <w:webHidden/>
          </w:rPr>
          <w:t>51</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06" w:history="1">
        <w:r w:rsidR="00534F9F" w:rsidRPr="00FB13EF">
          <w:rPr>
            <w:rStyle w:val="Hyperlink"/>
            <w:rFonts w:cs="Arial"/>
          </w:rPr>
          <w:t>5.3</w:t>
        </w:r>
        <w:r w:rsidR="00534F9F">
          <w:rPr>
            <w:rFonts w:asciiTheme="minorHAnsi" w:eastAsiaTheme="minorEastAsia" w:hAnsiTheme="minorHAnsi" w:cstheme="minorBidi"/>
            <w:sz w:val="22"/>
            <w:szCs w:val="22"/>
            <w:lang w:eastAsia="en-AU"/>
          </w:rPr>
          <w:tab/>
        </w:r>
        <w:r w:rsidR="00534F9F" w:rsidRPr="00FB13EF">
          <w:rPr>
            <w:rStyle w:val="Hyperlink"/>
          </w:rPr>
          <w:t>Results and discussion</w:t>
        </w:r>
        <w:r w:rsidR="00534F9F">
          <w:rPr>
            <w:webHidden/>
          </w:rPr>
          <w:tab/>
        </w:r>
        <w:r w:rsidR="00534F9F">
          <w:rPr>
            <w:webHidden/>
          </w:rPr>
          <w:fldChar w:fldCharType="begin"/>
        </w:r>
        <w:r w:rsidR="00534F9F">
          <w:rPr>
            <w:webHidden/>
          </w:rPr>
          <w:instrText xml:space="preserve"> PAGEREF _Toc465961206 \h </w:instrText>
        </w:r>
        <w:r w:rsidR="00534F9F">
          <w:rPr>
            <w:webHidden/>
          </w:rPr>
        </w:r>
        <w:r w:rsidR="00534F9F">
          <w:rPr>
            <w:webHidden/>
          </w:rPr>
          <w:fldChar w:fldCharType="separate"/>
        </w:r>
        <w:r w:rsidR="00534F9F">
          <w:rPr>
            <w:webHidden/>
          </w:rPr>
          <w:t>56</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07" w:history="1">
        <w:r w:rsidR="00534F9F" w:rsidRPr="00FB13EF">
          <w:rPr>
            <w:rStyle w:val="Hyperlink"/>
            <w:rFonts w:cs="Arial"/>
          </w:rPr>
          <w:t>5.4</w:t>
        </w:r>
        <w:r w:rsidR="00534F9F">
          <w:rPr>
            <w:rFonts w:asciiTheme="minorHAnsi" w:eastAsiaTheme="minorEastAsia" w:hAnsiTheme="minorHAnsi" w:cstheme="minorBidi"/>
            <w:sz w:val="22"/>
            <w:szCs w:val="22"/>
            <w:lang w:eastAsia="en-AU"/>
          </w:rPr>
          <w:tab/>
        </w:r>
        <w:r w:rsidR="00534F9F" w:rsidRPr="00FB13EF">
          <w:rPr>
            <w:rStyle w:val="Hyperlink"/>
          </w:rPr>
          <w:t>Extending beyond the core analytical framework of this study</w:t>
        </w:r>
        <w:r w:rsidR="00534F9F">
          <w:rPr>
            <w:webHidden/>
          </w:rPr>
          <w:tab/>
        </w:r>
        <w:r w:rsidR="00534F9F">
          <w:rPr>
            <w:webHidden/>
          </w:rPr>
          <w:fldChar w:fldCharType="begin"/>
        </w:r>
        <w:r w:rsidR="00534F9F">
          <w:rPr>
            <w:webHidden/>
          </w:rPr>
          <w:instrText xml:space="preserve"> PAGEREF _Toc465961207 \h </w:instrText>
        </w:r>
        <w:r w:rsidR="00534F9F">
          <w:rPr>
            <w:webHidden/>
          </w:rPr>
        </w:r>
        <w:r w:rsidR="00534F9F">
          <w:rPr>
            <w:webHidden/>
          </w:rPr>
          <w:fldChar w:fldCharType="separate"/>
        </w:r>
        <w:r w:rsidR="00534F9F">
          <w:rPr>
            <w:webHidden/>
          </w:rPr>
          <w:t>62</w:t>
        </w:r>
        <w:r w:rsidR="00534F9F">
          <w:rPr>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208" w:history="1">
        <w:r w:rsidR="00534F9F" w:rsidRPr="00FB13EF">
          <w:rPr>
            <w:rStyle w:val="Hyperlink"/>
            <w:noProof/>
          </w:rPr>
          <w:t>6</w:t>
        </w:r>
        <w:r w:rsidR="00534F9F">
          <w:rPr>
            <w:rFonts w:asciiTheme="minorHAnsi" w:eastAsiaTheme="minorEastAsia" w:hAnsiTheme="minorHAnsi" w:cstheme="minorBidi"/>
            <w:noProof/>
            <w:lang w:eastAsia="en-AU"/>
          </w:rPr>
          <w:tab/>
        </w:r>
        <w:r w:rsidR="00534F9F" w:rsidRPr="00FB13EF">
          <w:rPr>
            <w:rStyle w:val="Hyperlink"/>
            <w:noProof/>
          </w:rPr>
          <w:t>A dynamic view of the benefits to higher education</w:t>
        </w:r>
        <w:r w:rsidR="00534F9F">
          <w:rPr>
            <w:noProof/>
            <w:webHidden/>
          </w:rPr>
          <w:tab/>
        </w:r>
        <w:r w:rsidR="00534F9F">
          <w:rPr>
            <w:noProof/>
            <w:webHidden/>
          </w:rPr>
          <w:fldChar w:fldCharType="begin"/>
        </w:r>
        <w:r w:rsidR="00534F9F">
          <w:rPr>
            <w:noProof/>
            <w:webHidden/>
          </w:rPr>
          <w:instrText xml:space="preserve"> PAGEREF _Toc465961208 \h </w:instrText>
        </w:r>
        <w:r w:rsidR="00534F9F">
          <w:rPr>
            <w:noProof/>
            <w:webHidden/>
          </w:rPr>
        </w:r>
        <w:r w:rsidR="00534F9F">
          <w:rPr>
            <w:noProof/>
            <w:webHidden/>
          </w:rPr>
          <w:fldChar w:fldCharType="separate"/>
        </w:r>
        <w:r w:rsidR="00534F9F">
          <w:rPr>
            <w:noProof/>
            <w:webHidden/>
          </w:rPr>
          <w:t>73</w:t>
        </w:r>
        <w:r w:rsidR="00534F9F">
          <w:rPr>
            <w:noProof/>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09" w:history="1">
        <w:r w:rsidR="00534F9F" w:rsidRPr="00FB13EF">
          <w:rPr>
            <w:rStyle w:val="Hyperlink"/>
            <w:rFonts w:cs="Arial"/>
          </w:rPr>
          <w:t>6.1</w:t>
        </w:r>
        <w:r w:rsidR="00534F9F">
          <w:rPr>
            <w:rFonts w:asciiTheme="minorHAnsi" w:eastAsiaTheme="minorEastAsia" w:hAnsiTheme="minorHAnsi" w:cstheme="minorBidi"/>
            <w:sz w:val="22"/>
            <w:szCs w:val="22"/>
            <w:lang w:eastAsia="en-AU"/>
          </w:rPr>
          <w:tab/>
        </w:r>
        <w:r w:rsidR="00534F9F" w:rsidRPr="00FB13EF">
          <w:rPr>
            <w:rStyle w:val="Hyperlink"/>
          </w:rPr>
          <w:t>Structural reform in the tertiary education sector</w:t>
        </w:r>
        <w:r w:rsidR="00534F9F">
          <w:rPr>
            <w:webHidden/>
          </w:rPr>
          <w:tab/>
        </w:r>
        <w:r w:rsidR="00534F9F">
          <w:rPr>
            <w:webHidden/>
          </w:rPr>
          <w:fldChar w:fldCharType="begin"/>
        </w:r>
        <w:r w:rsidR="00534F9F">
          <w:rPr>
            <w:webHidden/>
          </w:rPr>
          <w:instrText xml:space="preserve"> PAGEREF _Toc465961209 \h </w:instrText>
        </w:r>
        <w:r w:rsidR="00534F9F">
          <w:rPr>
            <w:webHidden/>
          </w:rPr>
        </w:r>
        <w:r w:rsidR="00534F9F">
          <w:rPr>
            <w:webHidden/>
          </w:rPr>
          <w:fldChar w:fldCharType="separate"/>
        </w:r>
        <w:r w:rsidR="00534F9F">
          <w:rPr>
            <w:webHidden/>
          </w:rPr>
          <w:t>73</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10" w:history="1">
        <w:r w:rsidR="00534F9F" w:rsidRPr="00FB13EF">
          <w:rPr>
            <w:rStyle w:val="Hyperlink"/>
            <w:rFonts w:cs="Arial"/>
          </w:rPr>
          <w:t>6.2</w:t>
        </w:r>
        <w:r w:rsidR="00534F9F">
          <w:rPr>
            <w:rFonts w:asciiTheme="minorHAnsi" w:eastAsiaTheme="minorEastAsia" w:hAnsiTheme="minorHAnsi" w:cstheme="minorBidi"/>
            <w:sz w:val="22"/>
            <w:szCs w:val="22"/>
            <w:lang w:eastAsia="en-AU"/>
          </w:rPr>
          <w:tab/>
        </w:r>
        <w:r w:rsidR="00534F9F" w:rsidRPr="00FB13EF">
          <w:rPr>
            <w:rStyle w:val="Hyperlink"/>
          </w:rPr>
          <w:t>Evolving linkages between education and the workforce</w:t>
        </w:r>
        <w:r w:rsidR="00534F9F">
          <w:rPr>
            <w:webHidden/>
          </w:rPr>
          <w:tab/>
        </w:r>
        <w:r w:rsidR="00534F9F">
          <w:rPr>
            <w:webHidden/>
          </w:rPr>
          <w:fldChar w:fldCharType="begin"/>
        </w:r>
        <w:r w:rsidR="00534F9F">
          <w:rPr>
            <w:webHidden/>
          </w:rPr>
          <w:instrText xml:space="preserve"> PAGEREF _Toc465961210 \h </w:instrText>
        </w:r>
        <w:r w:rsidR="00534F9F">
          <w:rPr>
            <w:webHidden/>
          </w:rPr>
        </w:r>
        <w:r w:rsidR="00534F9F">
          <w:rPr>
            <w:webHidden/>
          </w:rPr>
          <w:fldChar w:fldCharType="separate"/>
        </w:r>
        <w:r w:rsidR="00534F9F">
          <w:rPr>
            <w:webHidden/>
          </w:rPr>
          <w:t>77</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11" w:history="1">
        <w:r w:rsidR="00534F9F" w:rsidRPr="00FB13EF">
          <w:rPr>
            <w:rStyle w:val="Hyperlink"/>
            <w:rFonts w:cs="Arial"/>
          </w:rPr>
          <w:t>6.3</w:t>
        </w:r>
        <w:r w:rsidR="00534F9F">
          <w:rPr>
            <w:rFonts w:asciiTheme="minorHAnsi" w:eastAsiaTheme="minorEastAsia" w:hAnsiTheme="minorHAnsi" w:cstheme="minorBidi"/>
            <w:sz w:val="22"/>
            <w:szCs w:val="22"/>
            <w:lang w:eastAsia="en-AU"/>
          </w:rPr>
          <w:tab/>
        </w:r>
        <w:r w:rsidR="00534F9F" w:rsidRPr="00FB13EF">
          <w:rPr>
            <w:rStyle w:val="Hyperlink"/>
          </w:rPr>
          <w:t>Short-term skills mismatch and industry cycles</w:t>
        </w:r>
        <w:r w:rsidR="00534F9F">
          <w:rPr>
            <w:webHidden/>
          </w:rPr>
          <w:tab/>
        </w:r>
        <w:r w:rsidR="00534F9F">
          <w:rPr>
            <w:webHidden/>
          </w:rPr>
          <w:fldChar w:fldCharType="begin"/>
        </w:r>
        <w:r w:rsidR="00534F9F">
          <w:rPr>
            <w:webHidden/>
          </w:rPr>
          <w:instrText xml:space="preserve"> PAGEREF _Toc465961211 \h </w:instrText>
        </w:r>
        <w:r w:rsidR="00534F9F">
          <w:rPr>
            <w:webHidden/>
          </w:rPr>
        </w:r>
        <w:r w:rsidR="00534F9F">
          <w:rPr>
            <w:webHidden/>
          </w:rPr>
          <w:fldChar w:fldCharType="separate"/>
        </w:r>
        <w:r w:rsidR="00534F9F">
          <w:rPr>
            <w:webHidden/>
          </w:rPr>
          <w:t>79</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12" w:history="1">
        <w:r w:rsidR="00534F9F" w:rsidRPr="00FB13EF">
          <w:rPr>
            <w:rStyle w:val="Hyperlink"/>
            <w:rFonts w:cs="Arial"/>
          </w:rPr>
          <w:t>6.4</w:t>
        </w:r>
        <w:r w:rsidR="00534F9F">
          <w:rPr>
            <w:rFonts w:asciiTheme="minorHAnsi" w:eastAsiaTheme="minorEastAsia" w:hAnsiTheme="minorHAnsi" w:cstheme="minorBidi"/>
            <w:sz w:val="22"/>
            <w:szCs w:val="22"/>
            <w:lang w:eastAsia="en-AU"/>
          </w:rPr>
          <w:tab/>
        </w:r>
        <w:r w:rsidR="00534F9F" w:rsidRPr="00FB13EF">
          <w:rPr>
            <w:rStyle w:val="Hyperlink"/>
          </w:rPr>
          <w:t>Projected structural change in the economy</w:t>
        </w:r>
        <w:r w:rsidR="00534F9F">
          <w:rPr>
            <w:webHidden/>
          </w:rPr>
          <w:tab/>
        </w:r>
        <w:r w:rsidR="00534F9F">
          <w:rPr>
            <w:webHidden/>
          </w:rPr>
          <w:fldChar w:fldCharType="begin"/>
        </w:r>
        <w:r w:rsidR="00534F9F">
          <w:rPr>
            <w:webHidden/>
          </w:rPr>
          <w:instrText xml:space="preserve"> PAGEREF _Toc465961212 \h </w:instrText>
        </w:r>
        <w:r w:rsidR="00534F9F">
          <w:rPr>
            <w:webHidden/>
          </w:rPr>
        </w:r>
        <w:r w:rsidR="00534F9F">
          <w:rPr>
            <w:webHidden/>
          </w:rPr>
          <w:fldChar w:fldCharType="separate"/>
        </w:r>
        <w:r w:rsidR="00534F9F">
          <w:rPr>
            <w:webHidden/>
          </w:rPr>
          <w:t>81</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13" w:history="1">
        <w:r w:rsidR="00534F9F" w:rsidRPr="00FB13EF">
          <w:rPr>
            <w:rStyle w:val="Hyperlink"/>
            <w:rFonts w:cs="Arial"/>
          </w:rPr>
          <w:t>6.5</w:t>
        </w:r>
        <w:r w:rsidR="00534F9F">
          <w:rPr>
            <w:rFonts w:asciiTheme="minorHAnsi" w:eastAsiaTheme="minorEastAsia" w:hAnsiTheme="minorHAnsi" w:cstheme="minorBidi"/>
            <w:sz w:val="22"/>
            <w:szCs w:val="22"/>
            <w:lang w:eastAsia="en-AU"/>
          </w:rPr>
          <w:tab/>
        </w:r>
        <w:r w:rsidR="00534F9F" w:rsidRPr="00FB13EF">
          <w:rPr>
            <w:rStyle w:val="Hyperlink"/>
          </w:rPr>
          <w:t>Implications</w:t>
        </w:r>
        <w:r w:rsidR="00534F9F">
          <w:rPr>
            <w:webHidden/>
          </w:rPr>
          <w:tab/>
        </w:r>
        <w:r w:rsidR="00534F9F">
          <w:rPr>
            <w:webHidden/>
          </w:rPr>
          <w:fldChar w:fldCharType="begin"/>
        </w:r>
        <w:r w:rsidR="00534F9F">
          <w:rPr>
            <w:webHidden/>
          </w:rPr>
          <w:instrText xml:space="preserve"> PAGEREF _Toc465961213 \h </w:instrText>
        </w:r>
        <w:r w:rsidR="00534F9F">
          <w:rPr>
            <w:webHidden/>
          </w:rPr>
        </w:r>
        <w:r w:rsidR="00534F9F">
          <w:rPr>
            <w:webHidden/>
          </w:rPr>
          <w:fldChar w:fldCharType="separate"/>
        </w:r>
        <w:r w:rsidR="00534F9F">
          <w:rPr>
            <w:webHidden/>
          </w:rPr>
          <w:t>83</w:t>
        </w:r>
        <w:r w:rsidR="00534F9F">
          <w:rPr>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214" w:history="1">
        <w:r w:rsidR="00534F9F" w:rsidRPr="00FB13EF">
          <w:rPr>
            <w:rStyle w:val="Hyperlink"/>
            <w:noProof/>
            <w:lang w:eastAsia="en-AU"/>
          </w:rPr>
          <w:t>7</w:t>
        </w:r>
        <w:r w:rsidR="00534F9F">
          <w:rPr>
            <w:rFonts w:asciiTheme="minorHAnsi" w:eastAsiaTheme="minorEastAsia" w:hAnsiTheme="minorHAnsi" w:cstheme="minorBidi"/>
            <w:noProof/>
            <w:lang w:eastAsia="en-AU"/>
          </w:rPr>
          <w:tab/>
        </w:r>
        <w:r w:rsidR="00534F9F" w:rsidRPr="00FB13EF">
          <w:rPr>
            <w:rStyle w:val="Hyperlink"/>
            <w:noProof/>
            <w:lang w:eastAsia="en-AU"/>
          </w:rPr>
          <w:t>Implications of this research</w:t>
        </w:r>
        <w:r w:rsidR="00534F9F">
          <w:rPr>
            <w:noProof/>
            <w:webHidden/>
          </w:rPr>
          <w:tab/>
        </w:r>
        <w:r w:rsidR="00534F9F">
          <w:rPr>
            <w:noProof/>
            <w:webHidden/>
          </w:rPr>
          <w:fldChar w:fldCharType="begin"/>
        </w:r>
        <w:r w:rsidR="00534F9F">
          <w:rPr>
            <w:noProof/>
            <w:webHidden/>
          </w:rPr>
          <w:instrText xml:space="preserve"> PAGEREF _Toc465961214 \h </w:instrText>
        </w:r>
        <w:r w:rsidR="00534F9F">
          <w:rPr>
            <w:noProof/>
            <w:webHidden/>
          </w:rPr>
        </w:r>
        <w:r w:rsidR="00534F9F">
          <w:rPr>
            <w:noProof/>
            <w:webHidden/>
          </w:rPr>
          <w:fldChar w:fldCharType="separate"/>
        </w:r>
        <w:r w:rsidR="00534F9F">
          <w:rPr>
            <w:noProof/>
            <w:webHidden/>
          </w:rPr>
          <w:t>85</w:t>
        </w:r>
        <w:r w:rsidR="00534F9F">
          <w:rPr>
            <w:noProof/>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15" w:history="1">
        <w:r w:rsidR="00534F9F" w:rsidRPr="00FB13EF">
          <w:rPr>
            <w:rStyle w:val="Hyperlink"/>
            <w:rFonts w:cs="Arial"/>
          </w:rPr>
          <w:t>7.1</w:t>
        </w:r>
        <w:r w:rsidR="00534F9F">
          <w:rPr>
            <w:rFonts w:asciiTheme="minorHAnsi" w:eastAsiaTheme="minorEastAsia" w:hAnsiTheme="minorHAnsi" w:cstheme="minorBidi"/>
            <w:sz w:val="22"/>
            <w:szCs w:val="22"/>
            <w:lang w:eastAsia="en-AU"/>
          </w:rPr>
          <w:tab/>
        </w:r>
        <w:r w:rsidR="00534F9F" w:rsidRPr="00FB13EF">
          <w:rPr>
            <w:rStyle w:val="Hyperlink"/>
          </w:rPr>
          <w:t>Implications of the key findings</w:t>
        </w:r>
        <w:r w:rsidR="00534F9F">
          <w:rPr>
            <w:webHidden/>
          </w:rPr>
          <w:tab/>
        </w:r>
        <w:r w:rsidR="00534F9F">
          <w:rPr>
            <w:webHidden/>
          </w:rPr>
          <w:fldChar w:fldCharType="begin"/>
        </w:r>
        <w:r w:rsidR="00534F9F">
          <w:rPr>
            <w:webHidden/>
          </w:rPr>
          <w:instrText xml:space="preserve"> PAGEREF _Toc465961215 \h </w:instrText>
        </w:r>
        <w:r w:rsidR="00534F9F">
          <w:rPr>
            <w:webHidden/>
          </w:rPr>
        </w:r>
        <w:r w:rsidR="00534F9F">
          <w:rPr>
            <w:webHidden/>
          </w:rPr>
          <w:fldChar w:fldCharType="separate"/>
        </w:r>
        <w:r w:rsidR="00534F9F">
          <w:rPr>
            <w:webHidden/>
          </w:rPr>
          <w:t>85</w:t>
        </w:r>
        <w:r w:rsidR="00534F9F">
          <w:rPr>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16" w:history="1">
        <w:r w:rsidR="00534F9F" w:rsidRPr="00FB13EF">
          <w:rPr>
            <w:rStyle w:val="Hyperlink"/>
            <w:rFonts w:cs="Arial"/>
          </w:rPr>
          <w:t>7.2</w:t>
        </w:r>
        <w:r w:rsidR="00534F9F">
          <w:rPr>
            <w:rFonts w:asciiTheme="minorHAnsi" w:eastAsiaTheme="minorEastAsia" w:hAnsiTheme="minorHAnsi" w:cstheme="minorBidi"/>
            <w:sz w:val="22"/>
            <w:szCs w:val="22"/>
            <w:lang w:eastAsia="en-AU"/>
          </w:rPr>
          <w:tab/>
        </w:r>
        <w:r w:rsidR="00534F9F" w:rsidRPr="00FB13EF">
          <w:rPr>
            <w:rStyle w:val="Hyperlink"/>
          </w:rPr>
          <w:t>Final observations</w:t>
        </w:r>
        <w:r w:rsidR="00534F9F">
          <w:rPr>
            <w:webHidden/>
          </w:rPr>
          <w:tab/>
        </w:r>
        <w:r w:rsidR="00534F9F">
          <w:rPr>
            <w:webHidden/>
          </w:rPr>
          <w:fldChar w:fldCharType="begin"/>
        </w:r>
        <w:r w:rsidR="00534F9F">
          <w:rPr>
            <w:webHidden/>
          </w:rPr>
          <w:instrText xml:space="preserve"> PAGEREF _Toc465961216 \h </w:instrText>
        </w:r>
        <w:r w:rsidR="00534F9F">
          <w:rPr>
            <w:webHidden/>
          </w:rPr>
        </w:r>
        <w:r w:rsidR="00534F9F">
          <w:rPr>
            <w:webHidden/>
          </w:rPr>
          <w:fldChar w:fldCharType="separate"/>
        </w:r>
        <w:r w:rsidR="00534F9F">
          <w:rPr>
            <w:webHidden/>
          </w:rPr>
          <w:t>87</w:t>
        </w:r>
        <w:r w:rsidR="00534F9F">
          <w:rPr>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217" w:history="1">
        <w:r w:rsidR="00534F9F" w:rsidRPr="00FB13EF">
          <w:rPr>
            <w:rStyle w:val="Hyperlink"/>
            <w:noProof/>
            <w:lang w:eastAsia="en-AU"/>
          </w:rPr>
          <w:t>References</w:t>
        </w:r>
        <w:r w:rsidR="00534F9F">
          <w:rPr>
            <w:noProof/>
            <w:webHidden/>
          </w:rPr>
          <w:tab/>
        </w:r>
        <w:r w:rsidR="00534F9F">
          <w:rPr>
            <w:noProof/>
            <w:webHidden/>
          </w:rPr>
          <w:fldChar w:fldCharType="begin"/>
        </w:r>
        <w:r w:rsidR="00534F9F">
          <w:rPr>
            <w:noProof/>
            <w:webHidden/>
          </w:rPr>
          <w:instrText xml:space="preserve"> PAGEREF _Toc465961217 \h </w:instrText>
        </w:r>
        <w:r w:rsidR="00534F9F">
          <w:rPr>
            <w:noProof/>
            <w:webHidden/>
          </w:rPr>
        </w:r>
        <w:r w:rsidR="00534F9F">
          <w:rPr>
            <w:noProof/>
            <w:webHidden/>
          </w:rPr>
          <w:fldChar w:fldCharType="separate"/>
        </w:r>
        <w:r w:rsidR="00534F9F">
          <w:rPr>
            <w:noProof/>
            <w:webHidden/>
          </w:rPr>
          <w:t>88</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218" w:history="1">
        <w:r w:rsidR="00534F9F" w:rsidRPr="00FB13EF">
          <w:rPr>
            <w:rStyle w:val="Hyperlink"/>
            <w:noProof/>
          </w:rPr>
          <w:t>Appendix A : Further discussion of the literature</w:t>
        </w:r>
        <w:r w:rsidR="00534F9F">
          <w:rPr>
            <w:noProof/>
            <w:webHidden/>
          </w:rPr>
          <w:tab/>
        </w:r>
        <w:r w:rsidR="00534F9F">
          <w:rPr>
            <w:noProof/>
            <w:webHidden/>
          </w:rPr>
          <w:fldChar w:fldCharType="begin"/>
        </w:r>
        <w:r w:rsidR="00534F9F">
          <w:rPr>
            <w:noProof/>
            <w:webHidden/>
          </w:rPr>
          <w:instrText xml:space="preserve"> PAGEREF _Toc465961218 \h </w:instrText>
        </w:r>
        <w:r w:rsidR="00534F9F">
          <w:rPr>
            <w:noProof/>
            <w:webHidden/>
          </w:rPr>
        </w:r>
        <w:r w:rsidR="00534F9F">
          <w:rPr>
            <w:noProof/>
            <w:webHidden/>
          </w:rPr>
          <w:fldChar w:fldCharType="separate"/>
        </w:r>
        <w:r w:rsidR="00534F9F">
          <w:rPr>
            <w:noProof/>
            <w:webHidden/>
          </w:rPr>
          <w:t>91</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219" w:history="1">
        <w:r w:rsidR="00534F9F" w:rsidRPr="00FB13EF">
          <w:rPr>
            <w:rStyle w:val="Hyperlink"/>
            <w:noProof/>
          </w:rPr>
          <w:t>Appendix B : Econometric analysis</w:t>
        </w:r>
        <w:r w:rsidR="00534F9F">
          <w:rPr>
            <w:noProof/>
            <w:webHidden/>
          </w:rPr>
          <w:tab/>
        </w:r>
        <w:r w:rsidR="00534F9F">
          <w:rPr>
            <w:noProof/>
            <w:webHidden/>
          </w:rPr>
          <w:fldChar w:fldCharType="begin"/>
        </w:r>
        <w:r w:rsidR="00534F9F">
          <w:rPr>
            <w:noProof/>
            <w:webHidden/>
          </w:rPr>
          <w:instrText xml:space="preserve"> PAGEREF _Toc465961219 \h </w:instrText>
        </w:r>
        <w:r w:rsidR="00534F9F">
          <w:rPr>
            <w:noProof/>
            <w:webHidden/>
          </w:rPr>
        </w:r>
        <w:r w:rsidR="00534F9F">
          <w:rPr>
            <w:noProof/>
            <w:webHidden/>
          </w:rPr>
          <w:fldChar w:fldCharType="separate"/>
        </w:r>
        <w:r w:rsidR="00534F9F">
          <w:rPr>
            <w:noProof/>
            <w:webHidden/>
          </w:rPr>
          <w:t>97</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220" w:history="1">
        <w:r w:rsidR="00534F9F" w:rsidRPr="00FB13EF">
          <w:rPr>
            <w:rStyle w:val="Hyperlink"/>
            <w:noProof/>
          </w:rPr>
          <w:t>Appendix C : CGE modelling</w:t>
        </w:r>
        <w:r w:rsidR="00534F9F">
          <w:rPr>
            <w:noProof/>
            <w:webHidden/>
          </w:rPr>
          <w:tab/>
        </w:r>
        <w:r w:rsidR="00534F9F">
          <w:rPr>
            <w:noProof/>
            <w:webHidden/>
          </w:rPr>
          <w:fldChar w:fldCharType="begin"/>
        </w:r>
        <w:r w:rsidR="00534F9F">
          <w:rPr>
            <w:noProof/>
            <w:webHidden/>
          </w:rPr>
          <w:instrText xml:space="preserve"> PAGEREF _Toc465961220 \h </w:instrText>
        </w:r>
        <w:r w:rsidR="00534F9F">
          <w:rPr>
            <w:noProof/>
            <w:webHidden/>
          </w:rPr>
        </w:r>
        <w:r w:rsidR="00534F9F">
          <w:rPr>
            <w:noProof/>
            <w:webHidden/>
          </w:rPr>
          <w:fldChar w:fldCharType="separate"/>
        </w:r>
        <w:r w:rsidR="00534F9F">
          <w:rPr>
            <w:noProof/>
            <w:webHidden/>
          </w:rPr>
          <w:t>112</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221" w:history="1">
        <w:r w:rsidR="00534F9F" w:rsidRPr="00FB13EF">
          <w:rPr>
            <w:rStyle w:val="Hyperlink"/>
            <w:noProof/>
            <w:lang w:eastAsia="en-AU"/>
          </w:rPr>
          <w:t>Appendix D : CGE Sensitivity analysis</w:t>
        </w:r>
        <w:r w:rsidR="00534F9F">
          <w:rPr>
            <w:noProof/>
            <w:webHidden/>
          </w:rPr>
          <w:tab/>
        </w:r>
        <w:r w:rsidR="00534F9F">
          <w:rPr>
            <w:noProof/>
            <w:webHidden/>
          </w:rPr>
          <w:fldChar w:fldCharType="begin"/>
        </w:r>
        <w:r w:rsidR="00534F9F">
          <w:rPr>
            <w:noProof/>
            <w:webHidden/>
          </w:rPr>
          <w:instrText xml:space="preserve"> PAGEREF _Toc465961221 \h </w:instrText>
        </w:r>
        <w:r w:rsidR="00534F9F">
          <w:rPr>
            <w:noProof/>
            <w:webHidden/>
          </w:rPr>
        </w:r>
        <w:r w:rsidR="00534F9F">
          <w:rPr>
            <w:noProof/>
            <w:webHidden/>
          </w:rPr>
          <w:fldChar w:fldCharType="separate"/>
        </w:r>
        <w:r w:rsidR="00534F9F">
          <w:rPr>
            <w:noProof/>
            <w:webHidden/>
          </w:rPr>
          <w:t>124</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222" w:history="1">
        <w:r w:rsidR="00534F9F" w:rsidRPr="00FB13EF">
          <w:rPr>
            <w:rStyle w:val="Hyperlink"/>
            <w:noProof/>
            <w:lang w:eastAsia="en-AU"/>
          </w:rPr>
          <w:t>Appendix E : Other considerations</w:t>
        </w:r>
        <w:r w:rsidR="00534F9F">
          <w:rPr>
            <w:noProof/>
            <w:webHidden/>
          </w:rPr>
          <w:tab/>
        </w:r>
        <w:r w:rsidR="00534F9F">
          <w:rPr>
            <w:noProof/>
            <w:webHidden/>
          </w:rPr>
          <w:fldChar w:fldCharType="begin"/>
        </w:r>
        <w:r w:rsidR="00534F9F">
          <w:rPr>
            <w:noProof/>
            <w:webHidden/>
          </w:rPr>
          <w:instrText xml:space="preserve"> PAGEREF _Toc465961222 \h </w:instrText>
        </w:r>
        <w:r w:rsidR="00534F9F">
          <w:rPr>
            <w:noProof/>
            <w:webHidden/>
          </w:rPr>
        </w:r>
        <w:r w:rsidR="00534F9F">
          <w:rPr>
            <w:noProof/>
            <w:webHidden/>
          </w:rPr>
          <w:fldChar w:fldCharType="separate"/>
        </w:r>
        <w:r w:rsidR="00534F9F">
          <w:rPr>
            <w:noProof/>
            <w:webHidden/>
          </w:rPr>
          <w:t>130</w:t>
        </w:r>
        <w:r w:rsidR="00534F9F">
          <w:rPr>
            <w:noProof/>
            <w:webHidden/>
          </w:rPr>
          <w:fldChar w:fldCharType="end"/>
        </w:r>
      </w:hyperlink>
    </w:p>
    <w:p w:rsidR="00534F9F" w:rsidRDefault="009F06EE">
      <w:pPr>
        <w:pStyle w:val="TOC2"/>
        <w:rPr>
          <w:rFonts w:asciiTheme="minorHAnsi" w:eastAsiaTheme="minorEastAsia" w:hAnsiTheme="minorHAnsi" w:cstheme="minorBidi"/>
          <w:sz w:val="22"/>
          <w:szCs w:val="22"/>
          <w:lang w:eastAsia="en-AU"/>
        </w:rPr>
      </w:pPr>
      <w:hyperlink w:anchor="_Toc465961223" w:history="1">
        <w:r w:rsidR="00534F9F" w:rsidRPr="00FB13EF">
          <w:rPr>
            <w:rStyle w:val="Hyperlink"/>
          </w:rPr>
          <w:t>Limitation of our work</w:t>
        </w:r>
        <w:r w:rsidR="00534F9F">
          <w:rPr>
            <w:webHidden/>
          </w:rPr>
          <w:tab/>
        </w:r>
        <w:r w:rsidR="00534F9F">
          <w:rPr>
            <w:webHidden/>
          </w:rPr>
          <w:fldChar w:fldCharType="begin"/>
        </w:r>
        <w:r w:rsidR="00534F9F">
          <w:rPr>
            <w:webHidden/>
          </w:rPr>
          <w:instrText xml:space="preserve"> PAGEREF _Toc465961223 \h </w:instrText>
        </w:r>
        <w:r w:rsidR="00534F9F">
          <w:rPr>
            <w:webHidden/>
          </w:rPr>
        </w:r>
        <w:r w:rsidR="00534F9F">
          <w:rPr>
            <w:webHidden/>
          </w:rPr>
          <w:fldChar w:fldCharType="separate"/>
        </w:r>
        <w:r w:rsidR="00534F9F">
          <w:rPr>
            <w:webHidden/>
          </w:rPr>
          <w:t>132</w:t>
        </w:r>
        <w:r w:rsidR="00534F9F">
          <w:rPr>
            <w:webHidden/>
          </w:rPr>
          <w:fldChar w:fldCharType="end"/>
        </w:r>
      </w:hyperlink>
    </w:p>
    <w:p w:rsidR="00F41CBD" w:rsidRPr="00DE4E85" w:rsidRDefault="00074523" w:rsidP="002320EB">
      <w:pPr>
        <w:pStyle w:val="Contents-Minor"/>
        <w:jc w:val="both"/>
      </w:pPr>
      <w:r>
        <w:rPr>
          <w:rFonts w:cs="Arial"/>
          <w:b/>
          <w:caps/>
          <w:color w:val="auto"/>
          <w:sz w:val="22"/>
          <w:szCs w:val="22"/>
        </w:rPr>
        <w:fldChar w:fldCharType="end"/>
      </w:r>
      <w:r w:rsidR="00F41CBD" w:rsidRPr="00306EC6">
        <w:t>Charts</w:t>
      </w:r>
    </w:p>
    <w:p w:rsidR="00534F9F" w:rsidRDefault="00074523">
      <w:pPr>
        <w:pStyle w:val="TOC1"/>
        <w:rPr>
          <w:rFonts w:asciiTheme="minorHAnsi" w:eastAsiaTheme="minorEastAsia" w:hAnsiTheme="minorHAnsi" w:cstheme="minorBidi"/>
          <w:noProof/>
          <w:lang w:eastAsia="en-AU"/>
        </w:rPr>
      </w:pPr>
      <w:r>
        <w:rPr>
          <w:sz w:val="24"/>
          <w:szCs w:val="20"/>
        </w:rPr>
        <w:fldChar w:fldCharType="begin"/>
      </w:r>
      <w:r w:rsidR="00F41CBD">
        <w:rPr>
          <w:sz w:val="24"/>
          <w:szCs w:val="20"/>
        </w:rPr>
        <w:instrText xml:space="preserve"> TOC \h \z \t "Appendix Chart Caption,1,Caption_Chart,1" </w:instrText>
      </w:r>
      <w:r>
        <w:rPr>
          <w:sz w:val="24"/>
          <w:szCs w:val="20"/>
        </w:rPr>
        <w:fldChar w:fldCharType="separate"/>
      </w:r>
      <w:hyperlink w:anchor="_Toc465961151" w:history="1">
        <w:r w:rsidR="00534F9F" w:rsidRPr="005C0BE0">
          <w:rPr>
            <w:rStyle w:val="Hyperlink"/>
            <w:noProof/>
            <w:lang w:eastAsia="en-AU"/>
          </w:rPr>
          <w:t>Chart 4.2 : Average weekly real wages by qualification level (full-time employees only)</w:t>
        </w:r>
        <w:r w:rsidR="00534F9F">
          <w:rPr>
            <w:noProof/>
            <w:webHidden/>
          </w:rPr>
          <w:tab/>
        </w:r>
        <w:r w:rsidR="00534F9F">
          <w:rPr>
            <w:noProof/>
            <w:webHidden/>
          </w:rPr>
          <w:fldChar w:fldCharType="begin"/>
        </w:r>
        <w:r w:rsidR="00534F9F">
          <w:rPr>
            <w:noProof/>
            <w:webHidden/>
          </w:rPr>
          <w:instrText xml:space="preserve"> PAGEREF _Toc465961151 \h </w:instrText>
        </w:r>
        <w:r w:rsidR="00534F9F">
          <w:rPr>
            <w:noProof/>
            <w:webHidden/>
          </w:rPr>
        </w:r>
        <w:r w:rsidR="00534F9F">
          <w:rPr>
            <w:noProof/>
            <w:webHidden/>
          </w:rPr>
          <w:fldChar w:fldCharType="separate"/>
        </w:r>
        <w:r w:rsidR="00534F9F">
          <w:rPr>
            <w:noProof/>
            <w:webHidden/>
          </w:rPr>
          <w:t>35</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52" w:history="1">
        <w:r w:rsidR="00534F9F" w:rsidRPr="005C0BE0">
          <w:rPr>
            <w:rStyle w:val="Hyperlink"/>
            <w:noProof/>
            <w:lang w:eastAsia="en-AU"/>
          </w:rPr>
          <w:t>Chart 4.3 : Average weekly real wages by field of education (full-time employees only)</w:t>
        </w:r>
        <w:r w:rsidR="00534F9F">
          <w:rPr>
            <w:noProof/>
            <w:webHidden/>
          </w:rPr>
          <w:tab/>
        </w:r>
        <w:r w:rsidR="00534F9F">
          <w:rPr>
            <w:noProof/>
            <w:webHidden/>
          </w:rPr>
          <w:fldChar w:fldCharType="begin"/>
        </w:r>
        <w:r w:rsidR="00534F9F">
          <w:rPr>
            <w:noProof/>
            <w:webHidden/>
          </w:rPr>
          <w:instrText xml:space="preserve"> PAGEREF _Toc465961152 \h </w:instrText>
        </w:r>
        <w:r w:rsidR="00534F9F">
          <w:rPr>
            <w:noProof/>
            <w:webHidden/>
          </w:rPr>
        </w:r>
        <w:r w:rsidR="00534F9F">
          <w:rPr>
            <w:noProof/>
            <w:webHidden/>
          </w:rPr>
          <w:fldChar w:fldCharType="separate"/>
        </w:r>
        <w:r w:rsidR="00534F9F">
          <w:rPr>
            <w:noProof/>
            <w:webHidden/>
          </w:rPr>
          <w:t>36</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53" w:history="1">
        <w:r w:rsidR="00534F9F" w:rsidRPr="005C0BE0">
          <w:rPr>
            <w:rStyle w:val="Hyperlink"/>
            <w:noProof/>
            <w:lang w:eastAsia="en-AU"/>
          </w:rPr>
          <w:t>Chart 4.4 : Proportion of observed bachelor wage premium attributable to qualification effect</w:t>
        </w:r>
        <w:r w:rsidR="00534F9F">
          <w:rPr>
            <w:noProof/>
            <w:webHidden/>
          </w:rPr>
          <w:tab/>
        </w:r>
        <w:r w:rsidR="00534F9F">
          <w:rPr>
            <w:noProof/>
            <w:webHidden/>
          </w:rPr>
          <w:fldChar w:fldCharType="begin"/>
        </w:r>
        <w:r w:rsidR="00534F9F">
          <w:rPr>
            <w:noProof/>
            <w:webHidden/>
          </w:rPr>
          <w:instrText xml:space="preserve"> PAGEREF _Toc465961153 \h </w:instrText>
        </w:r>
        <w:r w:rsidR="00534F9F">
          <w:rPr>
            <w:noProof/>
            <w:webHidden/>
          </w:rPr>
        </w:r>
        <w:r w:rsidR="00534F9F">
          <w:rPr>
            <w:noProof/>
            <w:webHidden/>
          </w:rPr>
          <w:fldChar w:fldCharType="separate"/>
        </w:r>
        <w:r w:rsidR="00534F9F">
          <w:rPr>
            <w:noProof/>
            <w:webHidden/>
          </w:rPr>
          <w:t>40</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54" w:history="1">
        <w:r w:rsidR="00534F9F" w:rsidRPr="005C0BE0">
          <w:rPr>
            <w:rStyle w:val="Hyperlink"/>
            <w:noProof/>
            <w:lang w:eastAsia="en-AU"/>
          </w:rPr>
          <w:t>Chart 4.5 : Proportion of observed postgraduate wage premium attributable to qualification effect</w:t>
        </w:r>
        <w:r w:rsidR="00534F9F">
          <w:rPr>
            <w:noProof/>
            <w:webHidden/>
          </w:rPr>
          <w:tab/>
        </w:r>
        <w:r w:rsidR="00534F9F">
          <w:rPr>
            <w:noProof/>
            <w:webHidden/>
          </w:rPr>
          <w:fldChar w:fldCharType="begin"/>
        </w:r>
        <w:r w:rsidR="00534F9F">
          <w:rPr>
            <w:noProof/>
            <w:webHidden/>
          </w:rPr>
          <w:instrText xml:space="preserve"> PAGEREF _Toc465961154 \h </w:instrText>
        </w:r>
        <w:r w:rsidR="00534F9F">
          <w:rPr>
            <w:noProof/>
            <w:webHidden/>
          </w:rPr>
        </w:r>
        <w:r w:rsidR="00534F9F">
          <w:rPr>
            <w:noProof/>
            <w:webHidden/>
          </w:rPr>
          <w:fldChar w:fldCharType="separate"/>
        </w:r>
        <w:r w:rsidR="00534F9F">
          <w:rPr>
            <w:noProof/>
            <w:webHidden/>
          </w:rPr>
          <w:t>41</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55" w:history="1">
        <w:r w:rsidR="00534F9F" w:rsidRPr="005C0BE0">
          <w:rPr>
            <w:rStyle w:val="Hyperlink"/>
            <w:noProof/>
          </w:rPr>
          <w:t>Chart 5.1 : Educational attainment, by region</w:t>
        </w:r>
        <w:r w:rsidR="00534F9F">
          <w:rPr>
            <w:noProof/>
            <w:webHidden/>
          </w:rPr>
          <w:tab/>
        </w:r>
        <w:r w:rsidR="00534F9F">
          <w:rPr>
            <w:noProof/>
            <w:webHidden/>
          </w:rPr>
          <w:fldChar w:fldCharType="begin"/>
        </w:r>
        <w:r w:rsidR="00534F9F">
          <w:rPr>
            <w:noProof/>
            <w:webHidden/>
          </w:rPr>
          <w:instrText xml:space="preserve"> PAGEREF _Toc465961155 \h </w:instrText>
        </w:r>
        <w:r w:rsidR="00534F9F">
          <w:rPr>
            <w:noProof/>
            <w:webHidden/>
          </w:rPr>
        </w:r>
        <w:r w:rsidR="00534F9F">
          <w:rPr>
            <w:noProof/>
            <w:webHidden/>
          </w:rPr>
          <w:fldChar w:fldCharType="separate"/>
        </w:r>
        <w:r w:rsidR="00534F9F">
          <w:rPr>
            <w:noProof/>
            <w:webHidden/>
          </w:rPr>
          <w:t>49</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56" w:history="1">
        <w:r w:rsidR="00534F9F" w:rsidRPr="005C0BE0">
          <w:rPr>
            <w:rStyle w:val="Hyperlink"/>
            <w:noProof/>
          </w:rPr>
          <w:t>Chart 5.2 : wages, employment and participation by age for bachelor level engineering qualification holders</w:t>
        </w:r>
        <w:r w:rsidR="00534F9F">
          <w:rPr>
            <w:noProof/>
            <w:webHidden/>
          </w:rPr>
          <w:tab/>
        </w:r>
        <w:r w:rsidR="00534F9F">
          <w:rPr>
            <w:noProof/>
            <w:webHidden/>
          </w:rPr>
          <w:fldChar w:fldCharType="begin"/>
        </w:r>
        <w:r w:rsidR="00534F9F">
          <w:rPr>
            <w:noProof/>
            <w:webHidden/>
          </w:rPr>
          <w:instrText xml:space="preserve"> PAGEREF _Toc465961156 \h </w:instrText>
        </w:r>
        <w:r w:rsidR="00534F9F">
          <w:rPr>
            <w:noProof/>
            <w:webHidden/>
          </w:rPr>
        </w:r>
        <w:r w:rsidR="00534F9F">
          <w:rPr>
            <w:noProof/>
            <w:webHidden/>
          </w:rPr>
          <w:fldChar w:fldCharType="separate"/>
        </w:r>
        <w:r w:rsidR="00534F9F">
          <w:rPr>
            <w:noProof/>
            <w:webHidden/>
          </w:rPr>
          <w:t>55</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57" w:history="1">
        <w:r w:rsidR="00534F9F" w:rsidRPr="005C0BE0">
          <w:rPr>
            <w:rStyle w:val="Hyperlink"/>
            <w:noProof/>
            <w:lang w:eastAsia="en-AU"/>
          </w:rPr>
          <w:t>Chart 5.3 : Public and private benefits profile, Engineering bachelor level</w:t>
        </w:r>
        <w:r w:rsidR="00534F9F">
          <w:rPr>
            <w:noProof/>
            <w:webHidden/>
          </w:rPr>
          <w:tab/>
        </w:r>
        <w:r w:rsidR="00534F9F">
          <w:rPr>
            <w:noProof/>
            <w:webHidden/>
          </w:rPr>
          <w:fldChar w:fldCharType="begin"/>
        </w:r>
        <w:r w:rsidR="00534F9F">
          <w:rPr>
            <w:noProof/>
            <w:webHidden/>
          </w:rPr>
          <w:instrText xml:space="preserve"> PAGEREF _Toc465961157 \h </w:instrText>
        </w:r>
        <w:r w:rsidR="00534F9F">
          <w:rPr>
            <w:noProof/>
            <w:webHidden/>
          </w:rPr>
        </w:r>
        <w:r w:rsidR="00534F9F">
          <w:rPr>
            <w:noProof/>
            <w:webHidden/>
          </w:rPr>
          <w:fldChar w:fldCharType="separate"/>
        </w:r>
        <w:r w:rsidR="00534F9F">
          <w:rPr>
            <w:noProof/>
            <w:webHidden/>
          </w:rPr>
          <w:t>58</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58" w:history="1">
        <w:r w:rsidR="00534F9F" w:rsidRPr="005C0BE0">
          <w:rPr>
            <w:rStyle w:val="Hyperlink"/>
            <w:noProof/>
            <w:lang w:eastAsia="en-AU"/>
          </w:rPr>
          <w:t>Chart 5.4 : Public and private benefits profile, Arts bachelor level</w:t>
        </w:r>
        <w:r w:rsidR="00534F9F">
          <w:rPr>
            <w:noProof/>
            <w:webHidden/>
          </w:rPr>
          <w:tab/>
        </w:r>
        <w:r w:rsidR="00534F9F">
          <w:rPr>
            <w:noProof/>
            <w:webHidden/>
          </w:rPr>
          <w:fldChar w:fldCharType="begin"/>
        </w:r>
        <w:r w:rsidR="00534F9F">
          <w:rPr>
            <w:noProof/>
            <w:webHidden/>
          </w:rPr>
          <w:instrText xml:space="preserve"> PAGEREF _Toc465961158 \h </w:instrText>
        </w:r>
        <w:r w:rsidR="00534F9F">
          <w:rPr>
            <w:noProof/>
            <w:webHidden/>
          </w:rPr>
        </w:r>
        <w:r w:rsidR="00534F9F">
          <w:rPr>
            <w:noProof/>
            <w:webHidden/>
          </w:rPr>
          <w:fldChar w:fldCharType="separate"/>
        </w:r>
        <w:r w:rsidR="00534F9F">
          <w:rPr>
            <w:noProof/>
            <w:webHidden/>
          </w:rPr>
          <w:t>58</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59" w:history="1">
        <w:r w:rsidR="00534F9F" w:rsidRPr="005C0BE0">
          <w:rPr>
            <w:rStyle w:val="Hyperlink"/>
            <w:noProof/>
          </w:rPr>
          <w:t>Chart 5.5</w:t>
        </w:r>
        <w:r w:rsidR="00534F9F" w:rsidRPr="005C0BE0">
          <w:rPr>
            <w:rStyle w:val="Hyperlink"/>
            <w:noProof/>
            <w:lang w:eastAsia="en-AU"/>
          </w:rPr>
          <w:t xml:space="preserve"> : Summary of private share percentage point deviations for key sensitivities</w:t>
        </w:r>
        <w:r w:rsidR="00534F9F">
          <w:rPr>
            <w:noProof/>
            <w:webHidden/>
          </w:rPr>
          <w:tab/>
        </w:r>
        <w:r w:rsidR="00534F9F">
          <w:rPr>
            <w:noProof/>
            <w:webHidden/>
          </w:rPr>
          <w:fldChar w:fldCharType="begin"/>
        </w:r>
        <w:r w:rsidR="00534F9F">
          <w:rPr>
            <w:noProof/>
            <w:webHidden/>
          </w:rPr>
          <w:instrText xml:space="preserve"> PAGEREF _Toc465961159 \h </w:instrText>
        </w:r>
        <w:r w:rsidR="00534F9F">
          <w:rPr>
            <w:noProof/>
            <w:webHidden/>
          </w:rPr>
        </w:r>
        <w:r w:rsidR="00534F9F">
          <w:rPr>
            <w:noProof/>
            <w:webHidden/>
          </w:rPr>
          <w:fldChar w:fldCharType="separate"/>
        </w:r>
        <w:r w:rsidR="00534F9F">
          <w:rPr>
            <w:noProof/>
            <w:webHidden/>
          </w:rPr>
          <w:t>62</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60" w:history="1">
        <w:r w:rsidR="00534F9F" w:rsidRPr="005C0BE0">
          <w:rPr>
            <w:rStyle w:val="Hyperlink"/>
            <w:noProof/>
          </w:rPr>
          <w:t>Chart 5.6</w:t>
        </w:r>
        <w:r w:rsidR="00534F9F" w:rsidRPr="005C0BE0">
          <w:rPr>
            <w:rStyle w:val="Hyperlink"/>
            <w:noProof/>
            <w:lang w:eastAsia="en-AU"/>
          </w:rPr>
          <w:t xml:space="preserve"> : Probability of computerisation by occupation type, US labour market</w:t>
        </w:r>
        <w:r w:rsidR="00534F9F">
          <w:rPr>
            <w:noProof/>
            <w:webHidden/>
          </w:rPr>
          <w:tab/>
        </w:r>
        <w:r w:rsidR="00534F9F">
          <w:rPr>
            <w:noProof/>
            <w:webHidden/>
          </w:rPr>
          <w:fldChar w:fldCharType="begin"/>
        </w:r>
        <w:r w:rsidR="00534F9F">
          <w:rPr>
            <w:noProof/>
            <w:webHidden/>
          </w:rPr>
          <w:instrText xml:space="preserve"> PAGEREF _Toc465961160 \h </w:instrText>
        </w:r>
        <w:r w:rsidR="00534F9F">
          <w:rPr>
            <w:noProof/>
            <w:webHidden/>
          </w:rPr>
        </w:r>
        <w:r w:rsidR="00534F9F">
          <w:rPr>
            <w:noProof/>
            <w:webHidden/>
          </w:rPr>
          <w:fldChar w:fldCharType="separate"/>
        </w:r>
        <w:r w:rsidR="00534F9F">
          <w:rPr>
            <w:noProof/>
            <w:webHidden/>
          </w:rPr>
          <w:t>65</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61" w:history="1">
        <w:r w:rsidR="00534F9F" w:rsidRPr="005C0BE0">
          <w:rPr>
            <w:rStyle w:val="Hyperlink"/>
            <w:noProof/>
          </w:rPr>
          <w:t>Chart 5.7 : Proportion of employed persons aged 15-64 years in manager occupation, by main non-school qualification field</w:t>
        </w:r>
        <w:r w:rsidR="00534F9F">
          <w:rPr>
            <w:noProof/>
            <w:webHidden/>
          </w:rPr>
          <w:tab/>
        </w:r>
        <w:r w:rsidR="00534F9F">
          <w:rPr>
            <w:noProof/>
            <w:webHidden/>
          </w:rPr>
          <w:fldChar w:fldCharType="begin"/>
        </w:r>
        <w:r w:rsidR="00534F9F">
          <w:rPr>
            <w:noProof/>
            <w:webHidden/>
          </w:rPr>
          <w:instrText xml:space="preserve"> PAGEREF _Toc465961161 \h </w:instrText>
        </w:r>
        <w:r w:rsidR="00534F9F">
          <w:rPr>
            <w:noProof/>
            <w:webHidden/>
          </w:rPr>
        </w:r>
        <w:r w:rsidR="00534F9F">
          <w:rPr>
            <w:noProof/>
            <w:webHidden/>
          </w:rPr>
          <w:fldChar w:fldCharType="separate"/>
        </w:r>
        <w:r w:rsidR="00534F9F">
          <w:rPr>
            <w:noProof/>
            <w:webHidden/>
          </w:rPr>
          <w:t>67</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62" w:history="1">
        <w:r w:rsidR="00534F9F" w:rsidRPr="005C0BE0">
          <w:rPr>
            <w:rStyle w:val="Hyperlink"/>
            <w:noProof/>
          </w:rPr>
          <w:t>Chart 5.8 : Wage setting by sector</w:t>
        </w:r>
        <w:r w:rsidR="00534F9F">
          <w:rPr>
            <w:noProof/>
            <w:webHidden/>
          </w:rPr>
          <w:tab/>
        </w:r>
        <w:r w:rsidR="00534F9F">
          <w:rPr>
            <w:noProof/>
            <w:webHidden/>
          </w:rPr>
          <w:fldChar w:fldCharType="begin"/>
        </w:r>
        <w:r w:rsidR="00534F9F">
          <w:rPr>
            <w:noProof/>
            <w:webHidden/>
          </w:rPr>
          <w:instrText xml:space="preserve"> PAGEREF _Toc465961162 \h </w:instrText>
        </w:r>
        <w:r w:rsidR="00534F9F">
          <w:rPr>
            <w:noProof/>
            <w:webHidden/>
          </w:rPr>
        </w:r>
        <w:r w:rsidR="00534F9F">
          <w:rPr>
            <w:noProof/>
            <w:webHidden/>
          </w:rPr>
          <w:fldChar w:fldCharType="separate"/>
        </w:r>
        <w:r w:rsidR="00534F9F">
          <w:rPr>
            <w:noProof/>
            <w:webHidden/>
          </w:rPr>
          <w:t>71</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63" w:history="1">
        <w:r w:rsidR="00534F9F" w:rsidRPr="005C0BE0">
          <w:rPr>
            <w:rStyle w:val="Hyperlink"/>
            <w:noProof/>
          </w:rPr>
          <w:t>Chart 5.9 : Wage setting by ANZSIC-1 Industry</w:t>
        </w:r>
        <w:r w:rsidR="00534F9F">
          <w:rPr>
            <w:noProof/>
            <w:webHidden/>
          </w:rPr>
          <w:tab/>
        </w:r>
        <w:r w:rsidR="00534F9F">
          <w:rPr>
            <w:noProof/>
            <w:webHidden/>
          </w:rPr>
          <w:fldChar w:fldCharType="begin"/>
        </w:r>
        <w:r w:rsidR="00534F9F">
          <w:rPr>
            <w:noProof/>
            <w:webHidden/>
          </w:rPr>
          <w:instrText xml:space="preserve"> PAGEREF _Toc465961163 \h </w:instrText>
        </w:r>
        <w:r w:rsidR="00534F9F">
          <w:rPr>
            <w:noProof/>
            <w:webHidden/>
          </w:rPr>
        </w:r>
        <w:r w:rsidR="00534F9F">
          <w:rPr>
            <w:noProof/>
            <w:webHidden/>
          </w:rPr>
          <w:fldChar w:fldCharType="separate"/>
        </w:r>
        <w:r w:rsidR="00534F9F">
          <w:rPr>
            <w:noProof/>
            <w:webHidden/>
          </w:rPr>
          <w:t>72</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64" w:history="1">
        <w:r w:rsidR="00534F9F" w:rsidRPr="005C0BE0">
          <w:rPr>
            <w:rStyle w:val="Hyperlink"/>
            <w:noProof/>
            <w:lang w:eastAsia="en-AU"/>
          </w:rPr>
          <w:t>Chart 6.1 : Undergraduate and postgraduate commencements</w:t>
        </w:r>
        <w:r w:rsidR="00534F9F">
          <w:rPr>
            <w:noProof/>
            <w:webHidden/>
          </w:rPr>
          <w:tab/>
        </w:r>
        <w:r w:rsidR="00534F9F">
          <w:rPr>
            <w:noProof/>
            <w:webHidden/>
          </w:rPr>
          <w:fldChar w:fldCharType="begin"/>
        </w:r>
        <w:r w:rsidR="00534F9F">
          <w:rPr>
            <w:noProof/>
            <w:webHidden/>
          </w:rPr>
          <w:instrText xml:space="preserve"> PAGEREF _Toc465961164 \h </w:instrText>
        </w:r>
        <w:r w:rsidR="00534F9F">
          <w:rPr>
            <w:noProof/>
            <w:webHidden/>
          </w:rPr>
        </w:r>
        <w:r w:rsidR="00534F9F">
          <w:rPr>
            <w:noProof/>
            <w:webHidden/>
          </w:rPr>
          <w:fldChar w:fldCharType="separate"/>
        </w:r>
        <w:r w:rsidR="00534F9F">
          <w:rPr>
            <w:noProof/>
            <w:webHidden/>
          </w:rPr>
          <w:t>74</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65" w:history="1">
        <w:r w:rsidR="00534F9F" w:rsidRPr="005C0BE0">
          <w:rPr>
            <w:rStyle w:val="Hyperlink"/>
            <w:noProof/>
            <w:lang w:eastAsia="en-AU"/>
          </w:rPr>
          <w:t>Chart 6.2 : Field of education shares of bachelor commencements</w:t>
        </w:r>
        <w:r w:rsidR="00534F9F">
          <w:rPr>
            <w:noProof/>
            <w:webHidden/>
          </w:rPr>
          <w:tab/>
        </w:r>
        <w:r w:rsidR="00534F9F">
          <w:rPr>
            <w:noProof/>
            <w:webHidden/>
          </w:rPr>
          <w:fldChar w:fldCharType="begin"/>
        </w:r>
        <w:r w:rsidR="00534F9F">
          <w:rPr>
            <w:noProof/>
            <w:webHidden/>
          </w:rPr>
          <w:instrText xml:space="preserve"> PAGEREF _Toc465961165 \h </w:instrText>
        </w:r>
        <w:r w:rsidR="00534F9F">
          <w:rPr>
            <w:noProof/>
            <w:webHidden/>
          </w:rPr>
        </w:r>
        <w:r w:rsidR="00534F9F">
          <w:rPr>
            <w:noProof/>
            <w:webHidden/>
          </w:rPr>
          <w:fldChar w:fldCharType="separate"/>
        </w:r>
        <w:r w:rsidR="00534F9F">
          <w:rPr>
            <w:noProof/>
            <w:webHidden/>
          </w:rPr>
          <w:t>75</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66" w:history="1">
        <w:r w:rsidR="00534F9F" w:rsidRPr="005C0BE0">
          <w:rPr>
            <w:rStyle w:val="Hyperlink"/>
            <w:noProof/>
            <w:lang w:eastAsia="en-AU"/>
          </w:rPr>
          <w:t>Chart 6.3 : Comparison of bachelor, sub-bachelor and VET Diploma or higher commencements</w:t>
        </w:r>
        <w:r w:rsidR="00534F9F">
          <w:rPr>
            <w:noProof/>
            <w:webHidden/>
          </w:rPr>
          <w:tab/>
        </w:r>
        <w:r w:rsidR="00534F9F">
          <w:rPr>
            <w:noProof/>
            <w:webHidden/>
          </w:rPr>
          <w:fldChar w:fldCharType="begin"/>
        </w:r>
        <w:r w:rsidR="00534F9F">
          <w:rPr>
            <w:noProof/>
            <w:webHidden/>
          </w:rPr>
          <w:instrText xml:space="preserve"> PAGEREF _Toc465961166 \h </w:instrText>
        </w:r>
        <w:r w:rsidR="00534F9F">
          <w:rPr>
            <w:noProof/>
            <w:webHidden/>
          </w:rPr>
        </w:r>
        <w:r w:rsidR="00534F9F">
          <w:rPr>
            <w:noProof/>
            <w:webHidden/>
          </w:rPr>
          <w:fldChar w:fldCharType="separate"/>
        </w:r>
        <w:r w:rsidR="00534F9F">
          <w:rPr>
            <w:noProof/>
            <w:webHidden/>
          </w:rPr>
          <w:t>76</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67" w:history="1">
        <w:r w:rsidR="00534F9F" w:rsidRPr="005C0BE0">
          <w:rPr>
            <w:rStyle w:val="Hyperlink"/>
            <w:noProof/>
            <w:lang w:eastAsia="en-AU"/>
          </w:rPr>
          <w:t>Chart 6.4 : Comparison of provider mix, by commencements</w:t>
        </w:r>
        <w:r w:rsidR="00534F9F">
          <w:rPr>
            <w:noProof/>
            <w:webHidden/>
          </w:rPr>
          <w:tab/>
        </w:r>
        <w:r w:rsidR="00534F9F">
          <w:rPr>
            <w:noProof/>
            <w:webHidden/>
          </w:rPr>
          <w:fldChar w:fldCharType="begin"/>
        </w:r>
        <w:r w:rsidR="00534F9F">
          <w:rPr>
            <w:noProof/>
            <w:webHidden/>
          </w:rPr>
          <w:instrText xml:space="preserve"> PAGEREF _Toc465961167 \h </w:instrText>
        </w:r>
        <w:r w:rsidR="00534F9F">
          <w:rPr>
            <w:noProof/>
            <w:webHidden/>
          </w:rPr>
        </w:r>
        <w:r w:rsidR="00534F9F">
          <w:rPr>
            <w:noProof/>
            <w:webHidden/>
          </w:rPr>
          <w:fldChar w:fldCharType="separate"/>
        </w:r>
        <w:r w:rsidR="00534F9F">
          <w:rPr>
            <w:noProof/>
            <w:webHidden/>
          </w:rPr>
          <w:t>77</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68" w:history="1">
        <w:r w:rsidR="00534F9F" w:rsidRPr="005C0BE0">
          <w:rPr>
            <w:rStyle w:val="Hyperlink"/>
            <w:noProof/>
          </w:rPr>
          <w:t>Chart 6.5 : Shifts in discipline to industry mapping – Bus/Law, Engineering, IT, Science</w:t>
        </w:r>
        <w:r w:rsidR="00534F9F">
          <w:rPr>
            <w:noProof/>
            <w:webHidden/>
          </w:rPr>
          <w:tab/>
        </w:r>
        <w:r w:rsidR="00534F9F">
          <w:rPr>
            <w:noProof/>
            <w:webHidden/>
          </w:rPr>
          <w:fldChar w:fldCharType="begin"/>
        </w:r>
        <w:r w:rsidR="00534F9F">
          <w:rPr>
            <w:noProof/>
            <w:webHidden/>
          </w:rPr>
          <w:instrText xml:space="preserve"> PAGEREF _Toc465961168 \h </w:instrText>
        </w:r>
        <w:r w:rsidR="00534F9F">
          <w:rPr>
            <w:noProof/>
            <w:webHidden/>
          </w:rPr>
        </w:r>
        <w:r w:rsidR="00534F9F">
          <w:rPr>
            <w:noProof/>
            <w:webHidden/>
          </w:rPr>
          <w:fldChar w:fldCharType="separate"/>
        </w:r>
        <w:r w:rsidR="00534F9F">
          <w:rPr>
            <w:noProof/>
            <w:webHidden/>
          </w:rPr>
          <w:t>78</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69" w:history="1">
        <w:r w:rsidR="00534F9F" w:rsidRPr="005C0BE0">
          <w:rPr>
            <w:rStyle w:val="Hyperlink"/>
            <w:noProof/>
          </w:rPr>
          <w:t>Chart 6.6 : Shifts in discipline to industry mapping - Education, Art, Health</w:t>
        </w:r>
        <w:r w:rsidR="00534F9F">
          <w:rPr>
            <w:noProof/>
            <w:webHidden/>
          </w:rPr>
          <w:tab/>
        </w:r>
        <w:r w:rsidR="00534F9F">
          <w:rPr>
            <w:noProof/>
            <w:webHidden/>
          </w:rPr>
          <w:fldChar w:fldCharType="begin"/>
        </w:r>
        <w:r w:rsidR="00534F9F">
          <w:rPr>
            <w:noProof/>
            <w:webHidden/>
          </w:rPr>
          <w:instrText xml:space="preserve"> PAGEREF _Toc465961169 \h </w:instrText>
        </w:r>
        <w:r w:rsidR="00534F9F">
          <w:rPr>
            <w:noProof/>
            <w:webHidden/>
          </w:rPr>
        </w:r>
        <w:r w:rsidR="00534F9F">
          <w:rPr>
            <w:noProof/>
            <w:webHidden/>
          </w:rPr>
          <w:fldChar w:fldCharType="separate"/>
        </w:r>
        <w:r w:rsidR="00534F9F">
          <w:rPr>
            <w:noProof/>
            <w:webHidden/>
          </w:rPr>
          <w:t>79</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70" w:history="1">
        <w:r w:rsidR="00534F9F" w:rsidRPr="005C0BE0">
          <w:rPr>
            <w:rStyle w:val="Hyperlink"/>
            <w:noProof/>
          </w:rPr>
          <w:t>Chart 6.7 : 2006-2011 Greatest increase in unemployment, by detailed field of study</w:t>
        </w:r>
        <w:r w:rsidR="00534F9F">
          <w:rPr>
            <w:noProof/>
            <w:webHidden/>
          </w:rPr>
          <w:tab/>
        </w:r>
        <w:r w:rsidR="00534F9F">
          <w:rPr>
            <w:noProof/>
            <w:webHidden/>
          </w:rPr>
          <w:fldChar w:fldCharType="begin"/>
        </w:r>
        <w:r w:rsidR="00534F9F">
          <w:rPr>
            <w:noProof/>
            <w:webHidden/>
          </w:rPr>
          <w:instrText xml:space="preserve"> PAGEREF _Toc465961170 \h </w:instrText>
        </w:r>
        <w:r w:rsidR="00534F9F">
          <w:rPr>
            <w:noProof/>
            <w:webHidden/>
          </w:rPr>
        </w:r>
        <w:r w:rsidR="00534F9F">
          <w:rPr>
            <w:noProof/>
            <w:webHidden/>
          </w:rPr>
          <w:fldChar w:fldCharType="separate"/>
        </w:r>
        <w:r w:rsidR="00534F9F">
          <w:rPr>
            <w:noProof/>
            <w:webHidden/>
          </w:rPr>
          <w:t>80</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71" w:history="1">
        <w:r w:rsidR="00534F9F" w:rsidRPr="005C0BE0">
          <w:rPr>
            <w:rStyle w:val="Hyperlink"/>
            <w:noProof/>
          </w:rPr>
          <w:t>Chart 6.8 : 2006-2011 Greatest reduction in unemployment, by detailed field of study</w:t>
        </w:r>
        <w:r w:rsidR="00534F9F">
          <w:rPr>
            <w:noProof/>
            <w:webHidden/>
          </w:rPr>
          <w:tab/>
        </w:r>
        <w:r w:rsidR="00534F9F">
          <w:rPr>
            <w:noProof/>
            <w:webHidden/>
          </w:rPr>
          <w:fldChar w:fldCharType="begin"/>
        </w:r>
        <w:r w:rsidR="00534F9F">
          <w:rPr>
            <w:noProof/>
            <w:webHidden/>
          </w:rPr>
          <w:instrText xml:space="preserve"> PAGEREF _Toc465961171 \h </w:instrText>
        </w:r>
        <w:r w:rsidR="00534F9F">
          <w:rPr>
            <w:noProof/>
            <w:webHidden/>
          </w:rPr>
        </w:r>
        <w:r w:rsidR="00534F9F">
          <w:rPr>
            <w:noProof/>
            <w:webHidden/>
          </w:rPr>
          <w:fldChar w:fldCharType="separate"/>
        </w:r>
        <w:r w:rsidR="00534F9F">
          <w:rPr>
            <w:noProof/>
            <w:webHidden/>
          </w:rPr>
          <w:t>80</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72" w:history="1">
        <w:r w:rsidR="00534F9F" w:rsidRPr="005C0BE0">
          <w:rPr>
            <w:rStyle w:val="Hyperlink"/>
            <w:noProof/>
          </w:rPr>
          <w:t>Chart 6.9 : unemployment rate within 12 months of completing qualification</w:t>
        </w:r>
        <w:r w:rsidR="00534F9F">
          <w:rPr>
            <w:noProof/>
            <w:webHidden/>
          </w:rPr>
          <w:tab/>
        </w:r>
        <w:r w:rsidR="00534F9F">
          <w:rPr>
            <w:noProof/>
            <w:webHidden/>
          </w:rPr>
          <w:fldChar w:fldCharType="begin"/>
        </w:r>
        <w:r w:rsidR="00534F9F">
          <w:rPr>
            <w:noProof/>
            <w:webHidden/>
          </w:rPr>
          <w:instrText xml:space="preserve"> PAGEREF _Toc465961172 \h </w:instrText>
        </w:r>
        <w:r w:rsidR="00534F9F">
          <w:rPr>
            <w:noProof/>
            <w:webHidden/>
          </w:rPr>
        </w:r>
        <w:r w:rsidR="00534F9F">
          <w:rPr>
            <w:noProof/>
            <w:webHidden/>
          </w:rPr>
          <w:fldChar w:fldCharType="separate"/>
        </w:r>
        <w:r w:rsidR="00534F9F">
          <w:rPr>
            <w:noProof/>
            <w:webHidden/>
          </w:rPr>
          <w:t>81</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73" w:history="1">
        <w:r w:rsidR="00534F9F" w:rsidRPr="005C0BE0">
          <w:rPr>
            <w:rStyle w:val="Hyperlink"/>
            <w:noProof/>
          </w:rPr>
          <w:t>Chart 6.10 : Five industries with the largest demand for new university qualifications</w:t>
        </w:r>
        <w:r w:rsidR="00534F9F">
          <w:rPr>
            <w:noProof/>
            <w:webHidden/>
          </w:rPr>
          <w:tab/>
        </w:r>
        <w:r w:rsidR="00534F9F">
          <w:rPr>
            <w:noProof/>
            <w:webHidden/>
          </w:rPr>
          <w:fldChar w:fldCharType="begin"/>
        </w:r>
        <w:r w:rsidR="00534F9F">
          <w:rPr>
            <w:noProof/>
            <w:webHidden/>
          </w:rPr>
          <w:instrText xml:space="preserve"> PAGEREF _Toc465961173 \h </w:instrText>
        </w:r>
        <w:r w:rsidR="00534F9F">
          <w:rPr>
            <w:noProof/>
            <w:webHidden/>
          </w:rPr>
        </w:r>
        <w:r w:rsidR="00534F9F">
          <w:rPr>
            <w:noProof/>
            <w:webHidden/>
          </w:rPr>
          <w:fldChar w:fldCharType="separate"/>
        </w:r>
        <w:r w:rsidR="00534F9F">
          <w:rPr>
            <w:noProof/>
            <w:webHidden/>
          </w:rPr>
          <w:t>82</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74" w:history="1">
        <w:r w:rsidR="00534F9F" w:rsidRPr="005C0BE0">
          <w:rPr>
            <w:rStyle w:val="Hyperlink"/>
            <w:noProof/>
          </w:rPr>
          <w:t>Chart 6.11 : Industry mix of employment, 1985-86 to 2025-26</w:t>
        </w:r>
        <w:r w:rsidR="00534F9F">
          <w:rPr>
            <w:noProof/>
            <w:webHidden/>
          </w:rPr>
          <w:tab/>
        </w:r>
        <w:r w:rsidR="00534F9F">
          <w:rPr>
            <w:noProof/>
            <w:webHidden/>
          </w:rPr>
          <w:fldChar w:fldCharType="begin"/>
        </w:r>
        <w:r w:rsidR="00534F9F">
          <w:rPr>
            <w:noProof/>
            <w:webHidden/>
          </w:rPr>
          <w:instrText xml:space="preserve"> PAGEREF _Toc465961174 \h </w:instrText>
        </w:r>
        <w:r w:rsidR="00534F9F">
          <w:rPr>
            <w:noProof/>
            <w:webHidden/>
          </w:rPr>
        </w:r>
        <w:r w:rsidR="00534F9F">
          <w:rPr>
            <w:noProof/>
            <w:webHidden/>
          </w:rPr>
          <w:fldChar w:fldCharType="separate"/>
        </w:r>
        <w:r w:rsidR="00534F9F">
          <w:rPr>
            <w:noProof/>
            <w:webHidden/>
          </w:rPr>
          <w:t>83</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75" w:history="1">
        <w:r w:rsidR="00534F9F" w:rsidRPr="005C0BE0">
          <w:rPr>
            <w:rStyle w:val="Hyperlink"/>
            <w:noProof/>
          </w:rPr>
          <w:t>Chart B.1 : Average real weekly wages for all workers, by gender, full-time/part-time status and age</w:t>
        </w:r>
        <w:r w:rsidR="00534F9F">
          <w:rPr>
            <w:noProof/>
            <w:webHidden/>
          </w:rPr>
          <w:tab/>
        </w:r>
        <w:r w:rsidR="00534F9F">
          <w:rPr>
            <w:noProof/>
            <w:webHidden/>
          </w:rPr>
          <w:fldChar w:fldCharType="begin"/>
        </w:r>
        <w:r w:rsidR="00534F9F">
          <w:rPr>
            <w:noProof/>
            <w:webHidden/>
          </w:rPr>
          <w:instrText xml:space="preserve"> PAGEREF _Toc465961175 \h </w:instrText>
        </w:r>
        <w:r w:rsidR="00534F9F">
          <w:rPr>
            <w:noProof/>
            <w:webHidden/>
          </w:rPr>
        </w:r>
        <w:r w:rsidR="00534F9F">
          <w:rPr>
            <w:noProof/>
            <w:webHidden/>
          </w:rPr>
          <w:fldChar w:fldCharType="separate"/>
        </w:r>
        <w:r w:rsidR="00534F9F">
          <w:rPr>
            <w:noProof/>
            <w:webHidden/>
          </w:rPr>
          <w:t>100</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76" w:history="1">
        <w:r w:rsidR="00534F9F" w:rsidRPr="005C0BE0">
          <w:rPr>
            <w:rStyle w:val="Hyperlink"/>
            <w:noProof/>
          </w:rPr>
          <w:t>Chart B.2 : Average real weekly wages for all workers, by qualification level and age</w:t>
        </w:r>
        <w:r w:rsidR="00534F9F">
          <w:rPr>
            <w:noProof/>
            <w:webHidden/>
          </w:rPr>
          <w:tab/>
        </w:r>
        <w:r w:rsidR="00534F9F">
          <w:rPr>
            <w:noProof/>
            <w:webHidden/>
          </w:rPr>
          <w:fldChar w:fldCharType="begin"/>
        </w:r>
        <w:r w:rsidR="00534F9F">
          <w:rPr>
            <w:noProof/>
            <w:webHidden/>
          </w:rPr>
          <w:instrText xml:space="preserve"> PAGEREF _Toc465961176 \h </w:instrText>
        </w:r>
        <w:r w:rsidR="00534F9F">
          <w:rPr>
            <w:noProof/>
            <w:webHidden/>
          </w:rPr>
        </w:r>
        <w:r w:rsidR="00534F9F">
          <w:rPr>
            <w:noProof/>
            <w:webHidden/>
          </w:rPr>
          <w:fldChar w:fldCharType="separate"/>
        </w:r>
        <w:r w:rsidR="00534F9F">
          <w:rPr>
            <w:noProof/>
            <w:webHidden/>
          </w:rPr>
          <w:t>101</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77" w:history="1">
        <w:r w:rsidR="00534F9F" w:rsidRPr="005C0BE0">
          <w:rPr>
            <w:rStyle w:val="Hyperlink"/>
            <w:noProof/>
          </w:rPr>
          <w:t>Chart B.3 : Average real weekly wages for all workers, by hours worked</w:t>
        </w:r>
        <w:r w:rsidR="00534F9F">
          <w:rPr>
            <w:noProof/>
            <w:webHidden/>
          </w:rPr>
          <w:tab/>
        </w:r>
        <w:r w:rsidR="00534F9F">
          <w:rPr>
            <w:noProof/>
            <w:webHidden/>
          </w:rPr>
          <w:fldChar w:fldCharType="begin"/>
        </w:r>
        <w:r w:rsidR="00534F9F">
          <w:rPr>
            <w:noProof/>
            <w:webHidden/>
          </w:rPr>
          <w:instrText xml:space="preserve"> PAGEREF _Toc465961177 \h </w:instrText>
        </w:r>
        <w:r w:rsidR="00534F9F">
          <w:rPr>
            <w:noProof/>
            <w:webHidden/>
          </w:rPr>
        </w:r>
        <w:r w:rsidR="00534F9F">
          <w:rPr>
            <w:noProof/>
            <w:webHidden/>
          </w:rPr>
          <w:fldChar w:fldCharType="separate"/>
        </w:r>
        <w:r w:rsidR="00534F9F">
          <w:rPr>
            <w:noProof/>
            <w:webHidden/>
          </w:rPr>
          <w:t>102</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78" w:history="1">
        <w:r w:rsidR="00534F9F" w:rsidRPr="005C0BE0">
          <w:rPr>
            <w:rStyle w:val="Hyperlink"/>
            <w:noProof/>
            <w:lang w:eastAsia="en-AU"/>
          </w:rPr>
          <w:t>Chart C.1 : industry of employment for different disciplines (postgraduate and bachelor combined)</w:t>
        </w:r>
        <w:r w:rsidR="00534F9F">
          <w:rPr>
            <w:noProof/>
            <w:webHidden/>
          </w:rPr>
          <w:tab/>
        </w:r>
        <w:r w:rsidR="00534F9F">
          <w:rPr>
            <w:noProof/>
            <w:webHidden/>
          </w:rPr>
          <w:fldChar w:fldCharType="begin"/>
        </w:r>
        <w:r w:rsidR="00534F9F">
          <w:rPr>
            <w:noProof/>
            <w:webHidden/>
          </w:rPr>
          <w:instrText xml:space="preserve"> PAGEREF _Toc465961178 \h </w:instrText>
        </w:r>
        <w:r w:rsidR="00534F9F">
          <w:rPr>
            <w:noProof/>
            <w:webHidden/>
          </w:rPr>
        </w:r>
        <w:r w:rsidR="00534F9F">
          <w:rPr>
            <w:noProof/>
            <w:webHidden/>
          </w:rPr>
          <w:fldChar w:fldCharType="separate"/>
        </w:r>
        <w:r w:rsidR="00534F9F">
          <w:rPr>
            <w:noProof/>
            <w:webHidden/>
          </w:rPr>
          <w:t>115</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79" w:history="1">
        <w:r w:rsidR="00534F9F" w:rsidRPr="005C0BE0">
          <w:rPr>
            <w:rStyle w:val="Hyperlink"/>
            <w:noProof/>
            <w:lang w:eastAsia="en-AU"/>
          </w:rPr>
          <w:t>Chart C.2 : average annual earnings for different disciplines, incremental from high school averages</w:t>
        </w:r>
        <w:r w:rsidR="00534F9F">
          <w:rPr>
            <w:noProof/>
            <w:webHidden/>
          </w:rPr>
          <w:tab/>
        </w:r>
        <w:r w:rsidR="00534F9F">
          <w:rPr>
            <w:noProof/>
            <w:webHidden/>
          </w:rPr>
          <w:fldChar w:fldCharType="begin"/>
        </w:r>
        <w:r w:rsidR="00534F9F">
          <w:rPr>
            <w:noProof/>
            <w:webHidden/>
          </w:rPr>
          <w:instrText xml:space="preserve"> PAGEREF _Toc465961179 \h </w:instrText>
        </w:r>
        <w:r w:rsidR="00534F9F">
          <w:rPr>
            <w:noProof/>
            <w:webHidden/>
          </w:rPr>
        </w:r>
        <w:r w:rsidR="00534F9F">
          <w:rPr>
            <w:noProof/>
            <w:webHidden/>
          </w:rPr>
          <w:fldChar w:fldCharType="separate"/>
        </w:r>
        <w:r w:rsidR="00534F9F">
          <w:rPr>
            <w:noProof/>
            <w:webHidden/>
          </w:rPr>
          <w:t>116</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80" w:history="1">
        <w:r w:rsidR="00534F9F" w:rsidRPr="005C0BE0">
          <w:rPr>
            <w:rStyle w:val="Hyperlink"/>
            <w:noProof/>
            <w:lang w:eastAsia="en-AU"/>
          </w:rPr>
          <w:t>Chart C.3 : share of employment and wage for postgraduate and undergraduate graduates by discipline</w:t>
        </w:r>
        <w:r w:rsidR="00534F9F">
          <w:rPr>
            <w:noProof/>
            <w:webHidden/>
          </w:rPr>
          <w:tab/>
        </w:r>
        <w:r w:rsidR="00534F9F">
          <w:rPr>
            <w:noProof/>
            <w:webHidden/>
          </w:rPr>
          <w:fldChar w:fldCharType="begin"/>
        </w:r>
        <w:r w:rsidR="00534F9F">
          <w:rPr>
            <w:noProof/>
            <w:webHidden/>
          </w:rPr>
          <w:instrText xml:space="preserve"> PAGEREF _Toc465961180 \h </w:instrText>
        </w:r>
        <w:r w:rsidR="00534F9F">
          <w:rPr>
            <w:noProof/>
            <w:webHidden/>
          </w:rPr>
        </w:r>
        <w:r w:rsidR="00534F9F">
          <w:rPr>
            <w:noProof/>
            <w:webHidden/>
          </w:rPr>
          <w:fldChar w:fldCharType="separate"/>
        </w:r>
        <w:r w:rsidR="00534F9F">
          <w:rPr>
            <w:noProof/>
            <w:webHidden/>
          </w:rPr>
          <w:t>116</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81" w:history="1">
        <w:r w:rsidR="00534F9F" w:rsidRPr="005C0BE0">
          <w:rPr>
            <w:rStyle w:val="Hyperlink"/>
            <w:noProof/>
            <w:lang w:eastAsia="en-AU"/>
          </w:rPr>
          <w:t>Chart C.4 : Average unemployment rate for postgraduate and bachelor graduates by discipline</w:t>
        </w:r>
        <w:r w:rsidR="00534F9F">
          <w:rPr>
            <w:noProof/>
            <w:webHidden/>
          </w:rPr>
          <w:tab/>
        </w:r>
        <w:r w:rsidR="00534F9F">
          <w:rPr>
            <w:noProof/>
            <w:webHidden/>
          </w:rPr>
          <w:fldChar w:fldCharType="begin"/>
        </w:r>
        <w:r w:rsidR="00534F9F">
          <w:rPr>
            <w:noProof/>
            <w:webHidden/>
          </w:rPr>
          <w:instrText xml:space="preserve"> PAGEREF _Toc465961181 \h </w:instrText>
        </w:r>
        <w:r w:rsidR="00534F9F">
          <w:rPr>
            <w:noProof/>
            <w:webHidden/>
          </w:rPr>
        </w:r>
        <w:r w:rsidR="00534F9F">
          <w:rPr>
            <w:noProof/>
            <w:webHidden/>
          </w:rPr>
          <w:fldChar w:fldCharType="separate"/>
        </w:r>
        <w:r w:rsidR="00534F9F">
          <w:rPr>
            <w:noProof/>
            <w:webHidden/>
          </w:rPr>
          <w:t>117</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82" w:history="1">
        <w:r w:rsidR="00534F9F" w:rsidRPr="005C0BE0">
          <w:rPr>
            <w:rStyle w:val="Hyperlink"/>
            <w:noProof/>
            <w:lang w:eastAsia="en-AU"/>
          </w:rPr>
          <w:t>Chart C.5 : Smoothed age-specific wage relative to average (Engineering)</w:t>
        </w:r>
        <w:r w:rsidR="00534F9F">
          <w:rPr>
            <w:noProof/>
            <w:webHidden/>
          </w:rPr>
          <w:tab/>
        </w:r>
        <w:r w:rsidR="00534F9F">
          <w:rPr>
            <w:noProof/>
            <w:webHidden/>
          </w:rPr>
          <w:fldChar w:fldCharType="begin"/>
        </w:r>
        <w:r w:rsidR="00534F9F">
          <w:rPr>
            <w:noProof/>
            <w:webHidden/>
          </w:rPr>
          <w:instrText xml:space="preserve"> PAGEREF _Toc465961182 \h </w:instrText>
        </w:r>
        <w:r w:rsidR="00534F9F">
          <w:rPr>
            <w:noProof/>
            <w:webHidden/>
          </w:rPr>
        </w:r>
        <w:r w:rsidR="00534F9F">
          <w:rPr>
            <w:noProof/>
            <w:webHidden/>
          </w:rPr>
          <w:fldChar w:fldCharType="separate"/>
        </w:r>
        <w:r w:rsidR="00534F9F">
          <w:rPr>
            <w:noProof/>
            <w:webHidden/>
          </w:rPr>
          <w:t>121</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83" w:history="1">
        <w:r w:rsidR="00534F9F" w:rsidRPr="005C0BE0">
          <w:rPr>
            <w:rStyle w:val="Hyperlink"/>
            <w:noProof/>
            <w:lang w:eastAsia="en-AU"/>
          </w:rPr>
          <w:t>Chart C.6 : Smoothed age-specific participation rate (Engineering)</w:t>
        </w:r>
        <w:r w:rsidR="00534F9F">
          <w:rPr>
            <w:noProof/>
            <w:webHidden/>
          </w:rPr>
          <w:tab/>
        </w:r>
        <w:r w:rsidR="00534F9F">
          <w:rPr>
            <w:noProof/>
            <w:webHidden/>
          </w:rPr>
          <w:fldChar w:fldCharType="begin"/>
        </w:r>
        <w:r w:rsidR="00534F9F">
          <w:rPr>
            <w:noProof/>
            <w:webHidden/>
          </w:rPr>
          <w:instrText xml:space="preserve"> PAGEREF _Toc465961183 \h </w:instrText>
        </w:r>
        <w:r w:rsidR="00534F9F">
          <w:rPr>
            <w:noProof/>
            <w:webHidden/>
          </w:rPr>
        </w:r>
        <w:r w:rsidR="00534F9F">
          <w:rPr>
            <w:noProof/>
            <w:webHidden/>
          </w:rPr>
          <w:fldChar w:fldCharType="separate"/>
        </w:r>
        <w:r w:rsidR="00534F9F">
          <w:rPr>
            <w:noProof/>
            <w:webHidden/>
          </w:rPr>
          <w:t>121</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84" w:history="1">
        <w:r w:rsidR="00534F9F" w:rsidRPr="005C0BE0">
          <w:rPr>
            <w:rStyle w:val="Hyperlink"/>
            <w:noProof/>
            <w:lang w:eastAsia="en-AU"/>
          </w:rPr>
          <w:t>Chart C.7 : Smoothed age-specific unemployment rate adjustment relative to average (Engineering)</w:t>
        </w:r>
        <w:r w:rsidR="00534F9F">
          <w:rPr>
            <w:noProof/>
            <w:webHidden/>
          </w:rPr>
          <w:tab/>
        </w:r>
        <w:r w:rsidR="00534F9F">
          <w:rPr>
            <w:noProof/>
            <w:webHidden/>
          </w:rPr>
          <w:fldChar w:fldCharType="begin"/>
        </w:r>
        <w:r w:rsidR="00534F9F">
          <w:rPr>
            <w:noProof/>
            <w:webHidden/>
          </w:rPr>
          <w:instrText xml:space="preserve"> PAGEREF _Toc465961184 \h </w:instrText>
        </w:r>
        <w:r w:rsidR="00534F9F">
          <w:rPr>
            <w:noProof/>
            <w:webHidden/>
          </w:rPr>
        </w:r>
        <w:r w:rsidR="00534F9F">
          <w:rPr>
            <w:noProof/>
            <w:webHidden/>
          </w:rPr>
          <w:fldChar w:fldCharType="separate"/>
        </w:r>
        <w:r w:rsidR="00534F9F">
          <w:rPr>
            <w:noProof/>
            <w:webHidden/>
          </w:rPr>
          <w:t>122</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85" w:history="1">
        <w:r w:rsidR="00534F9F" w:rsidRPr="005C0BE0">
          <w:rPr>
            <w:rStyle w:val="Hyperlink"/>
            <w:noProof/>
            <w:lang w:eastAsia="en-AU"/>
          </w:rPr>
          <w:t>Chart C.8 : Total benefit decomposition profile, Engineering bachelor level</w:t>
        </w:r>
        <w:r w:rsidR="00534F9F">
          <w:rPr>
            <w:noProof/>
            <w:webHidden/>
          </w:rPr>
          <w:tab/>
        </w:r>
        <w:r w:rsidR="00534F9F">
          <w:rPr>
            <w:noProof/>
            <w:webHidden/>
          </w:rPr>
          <w:fldChar w:fldCharType="begin"/>
        </w:r>
        <w:r w:rsidR="00534F9F">
          <w:rPr>
            <w:noProof/>
            <w:webHidden/>
          </w:rPr>
          <w:instrText xml:space="preserve"> PAGEREF _Toc465961185 \h </w:instrText>
        </w:r>
        <w:r w:rsidR="00534F9F">
          <w:rPr>
            <w:noProof/>
            <w:webHidden/>
          </w:rPr>
        </w:r>
        <w:r w:rsidR="00534F9F">
          <w:rPr>
            <w:noProof/>
            <w:webHidden/>
          </w:rPr>
          <w:fldChar w:fldCharType="separate"/>
        </w:r>
        <w:r w:rsidR="00534F9F">
          <w:rPr>
            <w:noProof/>
            <w:webHidden/>
          </w:rPr>
          <w:t>123</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86" w:history="1">
        <w:r w:rsidR="00534F9F" w:rsidRPr="005C0BE0">
          <w:rPr>
            <w:rStyle w:val="Hyperlink"/>
            <w:noProof/>
            <w:lang w:eastAsia="en-AU"/>
          </w:rPr>
          <w:t>Chart D.1 : Skill-specific unemployment rates for sensitivity analysis</w:t>
        </w:r>
        <w:r w:rsidR="00534F9F">
          <w:rPr>
            <w:noProof/>
            <w:webHidden/>
          </w:rPr>
          <w:tab/>
        </w:r>
        <w:r w:rsidR="00534F9F">
          <w:rPr>
            <w:noProof/>
            <w:webHidden/>
          </w:rPr>
          <w:fldChar w:fldCharType="begin"/>
        </w:r>
        <w:r w:rsidR="00534F9F">
          <w:rPr>
            <w:noProof/>
            <w:webHidden/>
          </w:rPr>
          <w:instrText xml:space="preserve"> PAGEREF _Toc465961186 \h </w:instrText>
        </w:r>
        <w:r w:rsidR="00534F9F">
          <w:rPr>
            <w:noProof/>
            <w:webHidden/>
          </w:rPr>
        </w:r>
        <w:r w:rsidR="00534F9F">
          <w:rPr>
            <w:noProof/>
            <w:webHidden/>
          </w:rPr>
          <w:fldChar w:fldCharType="separate"/>
        </w:r>
        <w:r w:rsidR="00534F9F">
          <w:rPr>
            <w:noProof/>
            <w:webHidden/>
          </w:rPr>
          <w:t>124</w:t>
        </w:r>
        <w:r w:rsidR="00534F9F">
          <w:rPr>
            <w:noProof/>
            <w:webHidden/>
          </w:rPr>
          <w:fldChar w:fldCharType="end"/>
        </w:r>
      </w:hyperlink>
    </w:p>
    <w:p w:rsidR="00F41CBD" w:rsidRPr="00DE4E85" w:rsidRDefault="00074523" w:rsidP="002320EB">
      <w:pPr>
        <w:pStyle w:val="Contents-Minor"/>
        <w:jc w:val="both"/>
      </w:pPr>
      <w:r>
        <w:rPr>
          <w:rFonts w:cs="Arial"/>
          <w:sz w:val="24"/>
          <w:szCs w:val="20"/>
        </w:rPr>
        <w:fldChar w:fldCharType="end"/>
      </w:r>
      <w:r w:rsidR="00F41CBD" w:rsidRPr="00E267C5">
        <w:t>Tables</w:t>
      </w:r>
    </w:p>
    <w:p w:rsidR="00534F9F" w:rsidRDefault="00074523">
      <w:pPr>
        <w:pStyle w:val="TOC1"/>
        <w:rPr>
          <w:rFonts w:asciiTheme="minorHAnsi" w:eastAsiaTheme="minorEastAsia" w:hAnsiTheme="minorHAnsi" w:cstheme="minorBidi"/>
          <w:noProof/>
          <w:lang w:eastAsia="en-AU"/>
        </w:rPr>
      </w:pPr>
      <w:r>
        <w:rPr>
          <w:sz w:val="24"/>
          <w:szCs w:val="20"/>
        </w:rPr>
        <w:fldChar w:fldCharType="begin"/>
      </w:r>
      <w:r w:rsidR="00F41CBD">
        <w:rPr>
          <w:sz w:val="24"/>
          <w:szCs w:val="20"/>
        </w:rPr>
        <w:instrText xml:space="preserve"> TOC \h \z \t "Appendix Table Caption,1,Caption_Table,1" </w:instrText>
      </w:r>
      <w:r>
        <w:rPr>
          <w:sz w:val="24"/>
          <w:szCs w:val="20"/>
        </w:rPr>
        <w:fldChar w:fldCharType="separate"/>
      </w:r>
      <w:hyperlink w:anchor="_Toc465961120" w:history="1">
        <w:r w:rsidR="00534F9F" w:rsidRPr="00584D67">
          <w:rPr>
            <w:rStyle w:val="Hyperlink"/>
            <w:noProof/>
          </w:rPr>
          <w:t>Table 1.1 : Current government and student contributions by funding cluster, 2016</w:t>
        </w:r>
        <w:r w:rsidR="00534F9F">
          <w:rPr>
            <w:noProof/>
            <w:webHidden/>
          </w:rPr>
          <w:tab/>
        </w:r>
        <w:r w:rsidR="00534F9F">
          <w:rPr>
            <w:noProof/>
            <w:webHidden/>
          </w:rPr>
          <w:fldChar w:fldCharType="begin"/>
        </w:r>
        <w:r w:rsidR="00534F9F">
          <w:rPr>
            <w:noProof/>
            <w:webHidden/>
          </w:rPr>
          <w:instrText xml:space="preserve"> PAGEREF _Toc465961120 \h </w:instrText>
        </w:r>
        <w:r w:rsidR="00534F9F">
          <w:rPr>
            <w:noProof/>
            <w:webHidden/>
          </w:rPr>
        </w:r>
        <w:r w:rsidR="00534F9F">
          <w:rPr>
            <w:noProof/>
            <w:webHidden/>
          </w:rPr>
          <w:fldChar w:fldCharType="separate"/>
        </w:r>
        <w:r w:rsidR="00534F9F">
          <w:rPr>
            <w:noProof/>
            <w:webHidden/>
          </w:rPr>
          <w:t>5</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21" w:history="1">
        <w:r w:rsidR="00534F9F" w:rsidRPr="00584D67">
          <w:rPr>
            <w:rStyle w:val="Hyperlink"/>
            <w:noProof/>
          </w:rPr>
          <w:t>Table 2.1 : Private benefits from attaining tertiary education in 2009 (2010 PPS USD)</w:t>
        </w:r>
        <w:r w:rsidR="00534F9F">
          <w:rPr>
            <w:noProof/>
            <w:webHidden/>
          </w:rPr>
          <w:tab/>
        </w:r>
        <w:r w:rsidR="00534F9F">
          <w:rPr>
            <w:noProof/>
            <w:webHidden/>
          </w:rPr>
          <w:fldChar w:fldCharType="begin"/>
        </w:r>
        <w:r w:rsidR="00534F9F">
          <w:rPr>
            <w:noProof/>
            <w:webHidden/>
          </w:rPr>
          <w:instrText xml:space="preserve"> PAGEREF _Toc465961121 \h </w:instrText>
        </w:r>
        <w:r w:rsidR="00534F9F">
          <w:rPr>
            <w:noProof/>
            <w:webHidden/>
          </w:rPr>
        </w:r>
        <w:r w:rsidR="00534F9F">
          <w:rPr>
            <w:noProof/>
            <w:webHidden/>
          </w:rPr>
          <w:fldChar w:fldCharType="separate"/>
        </w:r>
        <w:r w:rsidR="00534F9F">
          <w:rPr>
            <w:noProof/>
            <w:webHidden/>
          </w:rPr>
          <w:t>14</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22" w:history="1">
        <w:r w:rsidR="00534F9F" w:rsidRPr="00584D67">
          <w:rPr>
            <w:rStyle w:val="Hyperlink"/>
            <w:noProof/>
            <w:lang w:eastAsia="en-AU"/>
          </w:rPr>
          <w:t>Table 2.2 : Common higher education benefit measures</w:t>
        </w:r>
        <w:r w:rsidR="00534F9F">
          <w:rPr>
            <w:noProof/>
            <w:webHidden/>
          </w:rPr>
          <w:tab/>
        </w:r>
        <w:r w:rsidR="00534F9F">
          <w:rPr>
            <w:noProof/>
            <w:webHidden/>
          </w:rPr>
          <w:fldChar w:fldCharType="begin"/>
        </w:r>
        <w:r w:rsidR="00534F9F">
          <w:rPr>
            <w:noProof/>
            <w:webHidden/>
          </w:rPr>
          <w:instrText xml:space="preserve"> PAGEREF _Toc465961122 \h </w:instrText>
        </w:r>
        <w:r w:rsidR="00534F9F">
          <w:rPr>
            <w:noProof/>
            <w:webHidden/>
          </w:rPr>
        </w:r>
        <w:r w:rsidR="00534F9F">
          <w:rPr>
            <w:noProof/>
            <w:webHidden/>
          </w:rPr>
          <w:fldChar w:fldCharType="separate"/>
        </w:r>
        <w:r w:rsidR="00534F9F">
          <w:rPr>
            <w:noProof/>
            <w:webHidden/>
          </w:rPr>
          <w:t>22</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23" w:history="1">
        <w:r w:rsidR="00534F9F" w:rsidRPr="00584D67">
          <w:rPr>
            <w:rStyle w:val="Hyperlink"/>
            <w:noProof/>
            <w:lang w:eastAsia="en-AU"/>
          </w:rPr>
          <w:t>Table 2.3 : Recent empirical research on market benefits, and the gaps filled by this study</w:t>
        </w:r>
        <w:r w:rsidR="00534F9F">
          <w:rPr>
            <w:noProof/>
            <w:webHidden/>
          </w:rPr>
          <w:tab/>
        </w:r>
        <w:r w:rsidR="00534F9F">
          <w:rPr>
            <w:noProof/>
            <w:webHidden/>
          </w:rPr>
          <w:fldChar w:fldCharType="begin"/>
        </w:r>
        <w:r w:rsidR="00534F9F">
          <w:rPr>
            <w:noProof/>
            <w:webHidden/>
          </w:rPr>
          <w:instrText xml:space="preserve"> PAGEREF _Toc465961123 \h </w:instrText>
        </w:r>
        <w:r w:rsidR="00534F9F">
          <w:rPr>
            <w:noProof/>
            <w:webHidden/>
          </w:rPr>
        </w:r>
        <w:r w:rsidR="00534F9F">
          <w:rPr>
            <w:noProof/>
            <w:webHidden/>
          </w:rPr>
          <w:fldChar w:fldCharType="separate"/>
        </w:r>
        <w:r w:rsidR="00534F9F">
          <w:rPr>
            <w:noProof/>
            <w:webHidden/>
          </w:rPr>
          <w:t>23</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24" w:history="1">
        <w:r w:rsidR="00534F9F" w:rsidRPr="00584D67">
          <w:rPr>
            <w:rStyle w:val="Hyperlink"/>
            <w:noProof/>
            <w:lang w:eastAsia="en-AU"/>
          </w:rPr>
          <w:t>Table 4.2 : Wage premium of employed graduates, key regression results</w:t>
        </w:r>
        <w:r w:rsidR="00534F9F">
          <w:rPr>
            <w:noProof/>
            <w:webHidden/>
          </w:rPr>
          <w:tab/>
        </w:r>
        <w:r w:rsidR="00534F9F">
          <w:rPr>
            <w:noProof/>
            <w:webHidden/>
          </w:rPr>
          <w:fldChar w:fldCharType="begin"/>
        </w:r>
        <w:r w:rsidR="00534F9F">
          <w:rPr>
            <w:noProof/>
            <w:webHidden/>
          </w:rPr>
          <w:instrText xml:space="preserve"> PAGEREF _Toc465961124 \h </w:instrText>
        </w:r>
        <w:r w:rsidR="00534F9F">
          <w:rPr>
            <w:noProof/>
            <w:webHidden/>
          </w:rPr>
        </w:r>
        <w:r w:rsidR="00534F9F">
          <w:rPr>
            <w:noProof/>
            <w:webHidden/>
          </w:rPr>
          <w:fldChar w:fldCharType="separate"/>
        </w:r>
        <w:r w:rsidR="00534F9F">
          <w:rPr>
            <w:noProof/>
            <w:webHidden/>
          </w:rPr>
          <w:t>37</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25" w:history="1">
        <w:r w:rsidR="00534F9F" w:rsidRPr="00584D67">
          <w:rPr>
            <w:rStyle w:val="Hyperlink"/>
            <w:noProof/>
            <w:lang w:eastAsia="en-AU"/>
          </w:rPr>
          <w:t>Table 4.3 : Likelihood of employment, and labour force participation of graduates, key regression results</w:t>
        </w:r>
        <w:r w:rsidR="00534F9F">
          <w:rPr>
            <w:noProof/>
            <w:webHidden/>
          </w:rPr>
          <w:tab/>
        </w:r>
        <w:r w:rsidR="00534F9F">
          <w:rPr>
            <w:noProof/>
            <w:webHidden/>
          </w:rPr>
          <w:fldChar w:fldCharType="begin"/>
        </w:r>
        <w:r w:rsidR="00534F9F">
          <w:rPr>
            <w:noProof/>
            <w:webHidden/>
          </w:rPr>
          <w:instrText xml:space="preserve"> PAGEREF _Toc465961125 \h </w:instrText>
        </w:r>
        <w:r w:rsidR="00534F9F">
          <w:rPr>
            <w:noProof/>
            <w:webHidden/>
          </w:rPr>
        </w:r>
        <w:r w:rsidR="00534F9F">
          <w:rPr>
            <w:noProof/>
            <w:webHidden/>
          </w:rPr>
          <w:fldChar w:fldCharType="separate"/>
        </w:r>
        <w:r w:rsidR="00534F9F">
          <w:rPr>
            <w:noProof/>
            <w:webHidden/>
          </w:rPr>
          <w:t>38</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26" w:history="1">
        <w:r w:rsidR="00534F9F" w:rsidRPr="00584D67">
          <w:rPr>
            <w:rStyle w:val="Hyperlink"/>
            <w:noProof/>
          </w:rPr>
          <w:t>Table 4.4 : Attributable earnings lifetime premiums for bachelor and postgraduate qualifications</w:t>
        </w:r>
        <w:r w:rsidR="00534F9F">
          <w:rPr>
            <w:noProof/>
            <w:webHidden/>
          </w:rPr>
          <w:tab/>
        </w:r>
        <w:r w:rsidR="00534F9F">
          <w:rPr>
            <w:noProof/>
            <w:webHidden/>
          </w:rPr>
          <w:fldChar w:fldCharType="begin"/>
        </w:r>
        <w:r w:rsidR="00534F9F">
          <w:rPr>
            <w:noProof/>
            <w:webHidden/>
          </w:rPr>
          <w:instrText xml:space="preserve"> PAGEREF _Toc465961126 \h </w:instrText>
        </w:r>
        <w:r w:rsidR="00534F9F">
          <w:rPr>
            <w:noProof/>
            <w:webHidden/>
          </w:rPr>
        </w:r>
        <w:r w:rsidR="00534F9F">
          <w:rPr>
            <w:noProof/>
            <w:webHidden/>
          </w:rPr>
          <w:fldChar w:fldCharType="separate"/>
        </w:r>
        <w:r w:rsidR="00534F9F">
          <w:rPr>
            <w:noProof/>
            <w:webHidden/>
          </w:rPr>
          <w:t>42</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27" w:history="1">
        <w:r w:rsidR="00534F9F" w:rsidRPr="00584D67">
          <w:rPr>
            <w:rStyle w:val="Hyperlink"/>
            <w:noProof/>
            <w:lang w:eastAsia="en-AU"/>
          </w:rPr>
          <w:t>Table 4.5 : Relevant literature ranking of earning premiums by discipline</w:t>
        </w:r>
        <w:r w:rsidR="00534F9F">
          <w:rPr>
            <w:noProof/>
            <w:webHidden/>
          </w:rPr>
          <w:tab/>
        </w:r>
        <w:r w:rsidR="00534F9F">
          <w:rPr>
            <w:noProof/>
            <w:webHidden/>
          </w:rPr>
          <w:fldChar w:fldCharType="begin"/>
        </w:r>
        <w:r w:rsidR="00534F9F">
          <w:rPr>
            <w:noProof/>
            <w:webHidden/>
          </w:rPr>
          <w:instrText xml:space="preserve"> PAGEREF _Toc465961127 \h </w:instrText>
        </w:r>
        <w:r w:rsidR="00534F9F">
          <w:rPr>
            <w:noProof/>
            <w:webHidden/>
          </w:rPr>
        </w:r>
        <w:r w:rsidR="00534F9F">
          <w:rPr>
            <w:noProof/>
            <w:webHidden/>
          </w:rPr>
          <w:fldChar w:fldCharType="separate"/>
        </w:r>
        <w:r w:rsidR="00534F9F">
          <w:rPr>
            <w:noProof/>
            <w:webHidden/>
          </w:rPr>
          <w:t>43</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28" w:history="1">
        <w:r w:rsidR="00534F9F" w:rsidRPr="00584D67">
          <w:rPr>
            <w:rStyle w:val="Hyperlink"/>
            <w:noProof/>
          </w:rPr>
          <w:t>Table 5.2 : Labour market spillover analysis, key regression results</w:t>
        </w:r>
        <w:r w:rsidR="00534F9F">
          <w:rPr>
            <w:noProof/>
            <w:webHidden/>
          </w:rPr>
          <w:tab/>
        </w:r>
        <w:r w:rsidR="00534F9F">
          <w:rPr>
            <w:noProof/>
            <w:webHidden/>
          </w:rPr>
          <w:fldChar w:fldCharType="begin"/>
        </w:r>
        <w:r w:rsidR="00534F9F">
          <w:rPr>
            <w:noProof/>
            <w:webHidden/>
          </w:rPr>
          <w:instrText xml:space="preserve"> PAGEREF _Toc465961128 \h </w:instrText>
        </w:r>
        <w:r w:rsidR="00534F9F">
          <w:rPr>
            <w:noProof/>
            <w:webHidden/>
          </w:rPr>
        </w:r>
        <w:r w:rsidR="00534F9F">
          <w:rPr>
            <w:noProof/>
            <w:webHidden/>
          </w:rPr>
          <w:fldChar w:fldCharType="separate"/>
        </w:r>
        <w:r w:rsidR="00534F9F">
          <w:rPr>
            <w:noProof/>
            <w:webHidden/>
          </w:rPr>
          <w:t>49</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29" w:history="1">
        <w:r w:rsidR="00534F9F" w:rsidRPr="00584D67">
          <w:rPr>
            <w:rStyle w:val="Hyperlink"/>
            <w:noProof/>
          </w:rPr>
          <w:t>Table 5.3 : Relative private and public benefits by discipline, bachelor and postgraduate</w:t>
        </w:r>
        <w:r w:rsidR="00534F9F">
          <w:rPr>
            <w:noProof/>
            <w:webHidden/>
          </w:rPr>
          <w:tab/>
        </w:r>
        <w:r w:rsidR="00534F9F">
          <w:rPr>
            <w:noProof/>
            <w:webHidden/>
          </w:rPr>
          <w:fldChar w:fldCharType="begin"/>
        </w:r>
        <w:r w:rsidR="00534F9F">
          <w:rPr>
            <w:noProof/>
            <w:webHidden/>
          </w:rPr>
          <w:instrText xml:space="preserve"> PAGEREF _Toc465961129 \h </w:instrText>
        </w:r>
        <w:r w:rsidR="00534F9F">
          <w:rPr>
            <w:noProof/>
            <w:webHidden/>
          </w:rPr>
        </w:r>
        <w:r w:rsidR="00534F9F">
          <w:rPr>
            <w:noProof/>
            <w:webHidden/>
          </w:rPr>
          <w:fldChar w:fldCharType="separate"/>
        </w:r>
        <w:r w:rsidR="00534F9F">
          <w:rPr>
            <w:noProof/>
            <w:webHidden/>
          </w:rPr>
          <w:t>57</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30" w:history="1">
        <w:r w:rsidR="00534F9F" w:rsidRPr="00584D67">
          <w:rPr>
            <w:rStyle w:val="Hyperlink"/>
            <w:noProof/>
          </w:rPr>
          <w:t>Table 5.4 : Share of wages earned, by discipline, bachelor and postgraduate</w:t>
        </w:r>
        <w:r w:rsidR="00534F9F">
          <w:rPr>
            <w:noProof/>
            <w:webHidden/>
          </w:rPr>
          <w:tab/>
        </w:r>
        <w:r w:rsidR="00534F9F">
          <w:rPr>
            <w:noProof/>
            <w:webHidden/>
          </w:rPr>
          <w:fldChar w:fldCharType="begin"/>
        </w:r>
        <w:r w:rsidR="00534F9F">
          <w:rPr>
            <w:noProof/>
            <w:webHidden/>
          </w:rPr>
          <w:instrText xml:space="preserve"> PAGEREF _Toc465961130 \h </w:instrText>
        </w:r>
        <w:r w:rsidR="00534F9F">
          <w:rPr>
            <w:noProof/>
            <w:webHidden/>
          </w:rPr>
        </w:r>
        <w:r w:rsidR="00534F9F">
          <w:rPr>
            <w:noProof/>
            <w:webHidden/>
          </w:rPr>
          <w:fldChar w:fldCharType="separate"/>
        </w:r>
        <w:r w:rsidR="00534F9F">
          <w:rPr>
            <w:noProof/>
            <w:webHidden/>
          </w:rPr>
          <w:t>57</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31" w:history="1">
        <w:r w:rsidR="00534F9F" w:rsidRPr="00584D67">
          <w:rPr>
            <w:rStyle w:val="Hyperlink"/>
            <w:noProof/>
          </w:rPr>
          <w:t>Table 5.5 : Productivity vs. relative scarcity - share of wage uplift offset by fall in others' wages</w:t>
        </w:r>
        <w:r w:rsidR="00534F9F">
          <w:rPr>
            <w:noProof/>
            <w:webHidden/>
          </w:rPr>
          <w:tab/>
        </w:r>
        <w:r w:rsidR="00534F9F">
          <w:rPr>
            <w:noProof/>
            <w:webHidden/>
          </w:rPr>
          <w:fldChar w:fldCharType="begin"/>
        </w:r>
        <w:r w:rsidR="00534F9F">
          <w:rPr>
            <w:noProof/>
            <w:webHidden/>
          </w:rPr>
          <w:instrText xml:space="preserve"> PAGEREF _Toc465961131 \h </w:instrText>
        </w:r>
        <w:r w:rsidR="00534F9F">
          <w:rPr>
            <w:noProof/>
            <w:webHidden/>
          </w:rPr>
        </w:r>
        <w:r w:rsidR="00534F9F">
          <w:rPr>
            <w:noProof/>
            <w:webHidden/>
          </w:rPr>
          <w:fldChar w:fldCharType="separate"/>
        </w:r>
        <w:r w:rsidR="00534F9F">
          <w:rPr>
            <w:noProof/>
            <w:webHidden/>
          </w:rPr>
          <w:t>60</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32" w:history="1">
        <w:r w:rsidR="00534F9F" w:rsidRPr="00584D67">
          <w:rPr>
            <w:rStyle w:val="Hyperlink"/>
            <w:noProof/>
          </w:rPr>
          <w:t>Table A.1 : Proportion of total social market benefits to education attributable to public market benefits</w:t>
        </w:r>
        <w:r w:rsidR="00534F9F">
          <w:rPr>
            <w:noProof/>
            <w:webHidden/>
          </w:rPr>
          <w:tab/>
        </w:r>
        <w:r w:rsidR="00534F9F">
          <w:rPr>
            <w:noProof/>
            <w:webHidden/>
          </w:rPr>
          <w:fldChar w:fldCharType="begin"/>
        </w:r>
        <w:r w:rsidR="00534F9F">
          <w:rPr>
            <w:noProof/>
            <w:webHidden/>
          </w:rPr>
          <w:instrText xml:space="preserve"> PAGEREF _Toc465961132 \h </w:instrText>
        </w:r>
        <w:r w:rsidR="00534F9F">
          <w:rPr>
            <w:noProof/>
            <w:webHidden/>
          </w:rPr>
        </w:r>
        <w:r w:rsidR="00534F9F">
          <w:rPr>
            <w:noProof/>
            <w:webHidden/>
          </w:rPr>
          <w:fldChar w:fldCharType="separate"/>
        </w:r>
        <w:r w:rsidR="00534F9F">
          <w:rPr>
            <w:noProof/>
            <w:webHidden/>
          </w:rPr>
          <w:t>92</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33" w:history="1">
        <w:r w:rsidR="00534F9F" w:rsidRPr="00584D67">
          <w:rPr>
            <w:rStyle w:val="Hyperlink"/>
            <w:noProof/>
          </w:rPr>
          <w:t>Table A.2 : Proportions and estimates of social returns to Higher Education (OECD)</w:t>
        </w:r>
        <w:r w:rsidR="00534F9F">
          <w:rPr>
            <w:noProof/>
            <w:webHidden/>
          </w:rPr>
          <w:tab/>
        </w:r>
        <w:r w:rsidR="00534F9F">
          <w:rPr>
            <w:noProof/>
            <w:webHidden/>
          </w:rPr>
          <w:fldChar w:fldCharType="begin"/>
        </w:r>
        <w:r w:rsidR="00534F9F">
          <w:rPr>
            <w:noProof/>
            <w:webHidden/>
          </w:rPr>
          <w:instrText xml:space="preserve"> PAGEREF _Toc465961133 \h </w:instrText>
        </w:r>
        <w:r w:rsidR="00534F9F">
          <w:rPr>
            <w:noProof/>
            <w:webHidden/>
          </w:rPr>
        </w:r>
        <w:r w:rsidR="00534F9F">
          <w:rPr>
            <w:noProof/>
            <w:webHidden/>
          </w:rPr>
          <w:fldChar w:fldCharType="separate"/>
        </w:r>
        <w:r w:rsidR="00534F9F">
          <w:rPr>
            <w:noProof/>
            <w:webHidden/>
          </w:rPr>
          <w:t>93</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34" w:history="1">
        <w:r w:rsidR="00534F9F" w:rsidRPr="00584D67">
          <w:rPr>
            <w:rStyle w:val="Hyperlink"/>
            <w:noProof/>
          </w:rPr>
          <w:t>Table B.1 : Fields of education and average real weekly wages</w:t>
        </w:r>
        <w:r w:rsidR="00534F9F">
          <w:rPr>
            <w:noProof/>
            <w:webHidden/>
          </w:rPr>
          <w:tab/>
        </w:r>
        <w:r w:rsidR="00534F9F">
          <w:rPr>
            <w:noProof/>
            <w:webHidden/>
          </w:rPr>
          <w:fldChar w:fldCharType="begin"/>
        </w:r>
        <w:r w:rsidR="00534F9F">
          <w:rPr>
            <w:noProof/>
            <w:webHidden/>
          </w:rPr>
          <w:instrText xml:space="preserve"> PAGEREF _Toc465961134 \h </w:instrText>
        </w:r>
        <w:r w:rsidR="00534F9F">
          <w:rPr>
            <w:noProof/>
            <w:webHidden/>
          </w:rPr>
        </w:r>
        <w:r w:rsidR="00534F9F">
          <w:rPr>
            <w:noProof/>
            <w:webHidden/>
          </w:rPr>
          <w:fldChar w:fldCharType="separate"/>
        </w:r>
        <w:r w:rsidR="00534F9F">
          <w:rPr>
            <w:noProof/>
            <w:webHidden/>
          </w:rPr>
          <w:t>98</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35" w:history="1">
        <w:r w:rsidR="00534F9F" w:rsidRPr="00584D67">
          <w:rPr>
            <w:rStyle w:val="Hyperlink"/>
            <w:noProof/>
          </w:rPr>
          <w:t>Table B.2 : Average real weekly wages by field of education and qualification level</w:t>
        </w:r>
        <w:r w:rsidR="00534F9F">
          <w:rPr>
            <w:noProof/>
            <w:webHidden/>
          </w:rPr>
          <w:tab/>
        </w:r>
        <w:r w:rsidR="00534F9F">
          <w:rPr>
            <w:noProof/>
            <w:webHidden/>
          </w:rPr>
          <w:fldChar w:fldCharType="begin"/>
        </w:r>
        <w:r w:rsidR="00534F9F">
          <w:rPr>
            <w:noProof/>
            <w:webHidden/>
          </w:rPr>
          <w:instrText xml:space="preserve"> PAGEREF _Toc465961135 \h </w:instrText>
        </w:r>
        <w:r w:rsidR="00534F9F">
          <w:rPr>
            <w:noProof/>
            <w:webHidden/>
          </w:rPr>
        </w:r>
        <w:r w:rsidR="00534F9F">
          <w:rPr>
            <w:noProof/>
            <w:webHidden/>
          </w:rPr>
          <w:fldChar w:fldCharType="separate"/>
        </w:r>
        <w:r w:rsidR="00534F9F">
          <w:rPr>
            <w:noProof/>
            <w:webHidden/>
          </w:rPr>
          <w:t>99</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36" w:history="1">
        <w:r w:rsidR="00534F9F" w:rsidRPr="00584D67">
          <w:rPr>
            <w:rStyle w:val="Hyperlink"/>
            <w:noProof/>
          </w:rPr>
          <w:t>Table B.3 : Distribution of observations across ABS Remoteness Area, by state/territory</w:t>
        </w:r>
        <w:r w:rsidR="00534F9F">
          <w:rPr>
            <w:noProof/>
            <w:webHidden/>
          </w:rPr>
          <w:tab/>
        </w:r>
        <w:r w:rsidR="00534F9F">
          <w:rPr>
            <w:noProof/>
            <w:webHidden/>
          </w:rPr>
          <w:fldChar w:fldCharType="begin"/>
        </w:r>
        <w:r w:rsidR="00534F9F">
          <w:rPr>
            <w:noProof/>
            <w:webHidden/>
          </w:rPr>
          <w:instrText xml:space="preserve"> PAGEREF _Toc465961136 \h </w:instrText>
        </w:r>
        <w:r w:rsidR="00534F9F">
          <w:rPr>
            <w:noProof/>
            <w:webHidden/>
          </w:rPr>
        </w:r>
        <w:r w:rsidR="00534F9F">
          <w:rPr>
            <w:noProof/>
            <w:webHidden/>
          </w:rPr>
          <w:fldChar w:fldCharType="separate"/>
        </w:r>
        <w:r w:rsidR="00534F9F">
          <w:rPr>
            <w:noProof/>
            <w:webHidden/>
          </w:rPr>
          <w:t>103</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37" w:history="1">
        <w:r w:rsidR="00534F9F" w:rsidRPr="00584D67">
          <w:rPr>
            <w:rStyle w:val="Hyperlink"/>
            <w:noProof/>
          </w:rPr>
          <w:t>Table B.4 : Coefficient estimates on log weekly wages of employed graduates</w:t>
        </w:r>
        <w:r w:rsidR="00534F9F">
          <w:rPr>
            <w:noProof/>
            <w:webHidden/>
          </w:rPr>
          <w:tab/>
        </w:r>
        <w:r w:rsidR="00534F9F">
          <w:rPr>
            <w:noProof/>
            <w:webHidden/>
          </w:rPr>
          <w:fldChar w:fldCharType="begin"/>
        </w:r>
        <w:r w:rsidR="00534F9F">
          <w:rPr>
            <w:noProof/>
            <w:webHidden/>
          </w:rPr>
          <w:instrText xml:space="preserve"> PAGEREF _Toc465961137 \h </w:instrText>
        </w:r>
        <w:r w:rsidR="00534F9F">
          <w:rPr>
            <w:noProof/>
            <w:webHidden/>
          </w:rPr>
        </w:r>
        <w:r w:rsidR="00534F9F">
          <w:rPr>
            <w:noProof/>
            <w:webHidden/>
          </w:rPr>
          <w:fldChar w:fldCharType="separate"/>
        </w:r>
        <w:r w:rsidR="00534F9F">
          <w:rPr>
            <w:noProof/>
            <w:webHidden/>
          </w:rPr>
          <w:t>105</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38" w:history="1">
        <w:r w:rsidR="00534F9F" w:rsidRPr="00584D67">
          <w:rPr>
            <w:rStyle w:val="Hyperlink"/>
            <w:noProof/>
            <w:lang w:eastAsia="en-AU"/>
          </w:rPr>
          <w:t>Table B.5 : Wage premium of employed graduates, key regression results</w:t>
        </w:r>
        <w:r w:rsidR="00534F9F">
          <w:rPr>
            <w:noProof/>
            <w:webHidden/>
          </w:rPr>
          <w:tab/>
        </w:r>
        <w:r w:rsidR="00534F9F">
          <w:rPr>
            <w:noProof/>
            <w:webHidden/>
          </w:rPr>
          <w:fldChar w:fldCharType="begin"/>
        </w:r>
        <w:r w:rsidR="00534F9F">
          <w:rPr>
            <w:noProof/>
            <w:webHidden/>
          </w:rPr>
          <w:instrText xml:space="preserve"> PAGEREF _Toc465961138 \h </w:instrText>
        </w:r>
        <w:r w:rsidR="00534F9F">
          <w:rPr>
            <w:noProof/>
            <w:webHidden/>
          </w:rPr>
        </w:r>
        <w:r w:rsidR="00534F9F">
          <w:rPr>
            <w:noProof/>
            <w:webHidden/>
          </w:rPr>
          <w:fldChar w:fldCharType="separate"/>
        </w:r>
        <w:r w:rsidR="00534F9F">
          <w:rPr>
            <w:noProof/>
            <w:webHidden/>
          </w:rPr>
          <w:t>106</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39" w:history="1">
        <w:r w:rsidR="00534F9F" w:rsidRPr="00584D67">
          <w:rPr>
            <w:rStyle w:val="Hyperlink"/>
            <w:noProof/>
          </w:rPr>
          <w:t>Table B.6 : Coefficient estimates on likelihood of employment (given participation), and likelihood of labour force participation of graduates</w:t>
        </w:r>
        <w:r w:rsidR="00534F9F">
          <w:rPr>
            <w:noProof/>
            <w:webHidden/>
          </w:rPr>
          <w:tab/>
        </w:r>
        <w:r w:rsidR="00534F9F">
          <w:rPr>
            <w:noProof/>
            <w:webHidden/>
          </w:rPr>
          <w:fldChar w:fldCharType="begin"/>
        </w:r>
        <w:r w:rsidR="00534F9F">
          <w:rPr>
            <w:noProof/>
            <w:webHidden/>
          </w:rPr>
          <w:instrText xml:space="preserve"> PAGEREF _Toc465961139 \h </w:instrText>
        </w:r>
        <w:r w:rsidR="00534F9F">
          <w:rPr>
            <w:noProof/>
            <w:webHidden/>
          </w:rPr>
        </w:r>
        <w:r w:rsidR="00534F9F">
          <w:rPr>
            <w:noProof/>
            <w:webHidden/>
          </w:rPr>
          <w:fldChar w:fldCharType="separate"/>
        </w:r>
        <w:r w:rsidR="00534F9F">
          <w:rPr>
            <w:noProof/>
            <w:webHidden/>
          </w:rPr>
          <w:t>107</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40" w:history="1">
        <w:r w:rsidR="00534F9F" w:rsidRPr="00584D67">
          <w:rPr>
            <w:rStyle w:val="Hyperlink"/>
            <w:noProof/>
          </w:rPr>
          <w:t>Table B.7 : Example of regional average levels of education</w:t>
        </w:r>
        <w:r w:rsidR="00534F9F">
          <w:rPr>
            <w:noProof/>
            <w:webHidden/>
          </w:rPr>
          <w:tab/>
        </w:r>
        <w:r w:rsidR="00534F9F">
          <w:rPr>
            <w:noProof/>
            <w:webHidden/>
          </w:rPr>
          <w:fldChar w:fldCharType="begin"/>
        </w:r>
        <w:r w:rsidR="00534F9F">
          <w:rPr>
            <w:noProof/>
            <w:webHidden/>
          </w:rPr>
          <w:instrText xml:space="preserve"> PAGEREF _Toc465961140 \h </w:instrText>
        </w:r>
        <w:r w:rsidR="00534F9F">
          <w:rPr>
            <w:noProof/>
            <w:webHidden/>
          </w:rPr>
        </w:r>
        <w:r w:rsidR="00534F9F">
          <w:rPr>
            <w:noProof/>
            <w:webHidden/>
          </w:rPr>
          <w:fldChar w:fldCharType="separate"/>
        </w:r>
        <w:r w:rsidR="00534F9F">
          <w:rPr>
            <w:noProof/>
            <w:webHidden/>
          </w:rPr>
          <w:t>109</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41" w:history="1">
        <w:r w:rsidR="00534F9F" w:rsidRPr="00584D67">
          <w:rPr>
            <w:rStyle w:val="Hyperlink"/>
            <w:noProof/>
          </w:rPr>
          <w:t>Table B.8 : Coefficient estimates of labour productivity spillovers from higher education</w:t>
        </w:r>
        <w:r w:rsidR="00534F9F">
          <w:rPr>
            <w:noProof/>
            <w:webHidden/>
          </w:rPr>
          <w:tab/>
        </w:r>
        <w:r w:rsidR="00534F9F">
          <w:rPr>
            <w:noProof/>
            <w:webHidden/>
          </w:rPr>
          <w:fldChar w:fldCharType="begin"/>
        </w:r>
        <w:r w:rsidR="00534F9F">
          <w:rPr>
            <w:noProof/>
            <w:webHidden/>
          </w:rPr>
          <w:instrText xml:space="preserve"> PAGEREF _Toc465961141 \h </w:instrText>
        </w:r>
        <w:r w:rsidR="00534F9F">
          <w:rPr>
            <w:noProof/>
            <w:webHidden/>
          </w:rPr>
        </w:r>
        <w:r w:rsidR="00534F9F">
          <w:rPr>
            <w:noProof/>
            <w:webHidden/>
          </w:rPr>
          <w:fldChar w:fldCharType="separate"/>
        </w:r>
        <w:r w:rsidR="00534F9F">
          <w:rPr>
            <w:noProof/>
            <w:webHidden/>
          </w:rPr>
          <w:t>110</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42" w:history="1">
        <w:r w:rsidR="00534F9F" w:rsidRPr="00584D67">
          <w:rPr>
            <w:rStyle w:val="Hyperlink"/>
            <w:noProof/>
            <w:lang w:eastAsia="en-AU"/>
          </w:rPr>
          <w:t>Table C.1 : Model parameterisation data requirements and sources</w:t>
        </w:r>
        <w:r w:rsidR="00534F9F">
          <w:rPr>
            <w:noProof/>
            <w:webHidden/>
          </w:rPr>
          <w:tab/>
        </w:r>
        <w:r w:rsidR="00534F9F">
          <w:rPr>
            <w:noProof/>
            <w:webHidden/>
          </w:rPr>
          <w:fldChar w:fldCharType="begin"/>
        </w:r>
        <w:r w:rsidR="00534F9F">
          <w:rPr>
            <w:noProof/>
            <w:webHidden/>
          </w:rPr>
          <w:instrText xml:space="preserve"> PAGEREF _Toc465961142 \h </w:instrText>
        </w:r>
        <w:r w:rsidR="00534F9F">
          <w:rPr>
            <w:noProof/>
            <w:webHidden/>
          </w:rPr>
        </w:r>
        <w:r w:rsidR="00534F9F">
          <w:rPr>
            <w:noProof/>
            <w:webHidden/>
          </w:rPr>
          <w:fldChar w:fldCharType="separate"/>
        </w:r>
        <w:r w:rsidR="00534F9F">
          <w:rPr>
            <w:noProof/>
            <w:webHidden/>
          </w:rPr>
          <w:t>112</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43" w:history="1">
        <w:r w:rsidR="00534F9F" w:rsidRPr="00584D67">
          <w:rPr>
            <w:rStyle w:val="Hyperlink"/>
            <w:noProof/>
            <w:lang w:eastAsia="en-AU"/>
          </w:rPr>
          <w:t>Table C.2 : Mapping levels of education into skills</w:t>
        </w:r>
        <w:r w:rsidR="00534F9F">
          <w:rPr>
            <w:noProof/>
            <w:webHidden/>
          </w:rPr>
          <w:tab/>
        </w:r>
        <w:r w:rsidR="00534F9F">
          <w:rPr>
            <w:noProof/>
            <w:webHidden/>
          </w:rPr>
          <w:fldChar w:fldCharType="begin"/>
        </w:r>
        <w:r w:rsidR="00534F9F">
          <w:rPr>
            <w:noProof/>
            <w:webHidden/>
          </w:rPr>
          <w:instrText xml:space="preserve"> PAGEREF _Toc465961143 \h </w:instrText>
        </w:r>
        <w:r w:rsidR="00534F9F">
          <w:rPr>
            <w:noProof/>
            <w:webHidden/>
          </w:rPr>
        </w:r>
        <w:r w:rsidR="00534F9F">
          <w:rPr>
            <w:noProof/>
            <w:webHidden/>
          </w:rPr>
          <w:fldChar w:fldCharType="separate"/>
        </w:r>
        <w:r w:rsidR="00534F9F">
          <w:rPr>
            <w:noProof/>
            <w:webHidden/>
          </w:rPr>
          <w:t>113</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44" w:history="1">
        <w:r w:rsidR="00534F9F" w:rsidRPr="00584D67">
          <w:rPr>
            <w:rStyle w:val="Hyperlink"/>
            <w:noProof/>
            <w:lang w:eastAsia="en-AU"/>
          </w:rPr>
          <w:t>Table C.3 : Mapping fields of study into skills</w:t>
        </w:r>
        <w:r w:rsidR="00534F9F">
          <w:rPr>
            <w:noProof/>
            <w:webHidden/>
          </w:rPr>
          <w:tab/>
        </w:r>
        <w:r w:rsidR="00534F9F">
          <w:rPr>
            <w:noProof/>
            <w:webHidden/>
          </w:rPr>
          <w:fldChar w:fldCharType="begin"/>
        </w:r>
        <w:r w:rsidR="00534F9F">
          <w:rPr>
            <w:noProof/>
            <w:webHidden/>
          </w:rPr>
          <w:instrText xml:space="preserve"> PAGEREF _Toc465961144 \h </w:instrText>
        </w:r>
        <w:r w:rsidR="00534F9F">
          <w:rPr>
            <w:noProof/>
            <w:webHidden/>
          </w:rPr>
        </w:r>
        <w:r w:rsidR="00534F9F">
          <w:rPr>
            <w:noProof/>
            <w:webHidden/>
          </w:rPr>
          <w:fldChar w:fldCharType="separate"/>
        </w:r>
        <w:r w:rsidR="00534F9F">
          <w:rPr>
            <w:noProof/>
            <w:webHidden/>
          </w:rPr>
          <w:t>113</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45" w:history="1">
        <w:r w:rsidR="00534F9F" w:rsidRPr="00584D67">
          <w:rPr>
            <w:rStyle w:val="Hyperlink"/>
            <w:noProof/>
            <w:lang w:eastAsia="en-AU"/>
          </w:rPr>
          <w:t>Table C.4 : Shock generation data requirements and sources</w:t>
        </w:r>
        <w:r w:rsidR="00534F9F">
          <w:rPr>
            <w:noProof/>
            <w:webHidden/>
          </w:rPr>
          <w:tab/>
        </w:r>
        <w:r w:rsidR="00534F9F">
          <w:rPr>
            <w:noProof/>
            <w:webHidden/>
          </w:rPr>
          <w:fldChar w:fldCharType="begin"/>
        </w:r>
        <w:r w:rsidR="00534F9F">
          <w:rPr>
            <w:noProof/>
            <w:webHidden/>
          </w:rPr>
          <w:instrText xml:space="preserve"> PAGEREF _Toc465961145 \h </w:instrText>
        </w:r>
        <w:r w:rsidR="00534F9F">
          <w:rPr>
            <w:noProof/>
            <w:webHidden/>
          </w:rPr>
        </w:r>
        <w:r w:rsidR="00534F9F">
          <w:rPr>
            <w:noProof/>
            <w:webHidden/>
          </w:rPr>
          <w:fldChar w:fldCharType="separate"/>
        </w:r>
        <w:r w:rsidR="00534F9F">
          <w:rPr>
            <w:noProof/>
            <w:webHidden/>
          </w:rPr>
          <w:t>118</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46" w:history="1">
        <w:r w:rsidR="00534F9F" w:rsidRPr="00584D67">
          <w:rPr>
            <w:rStyle w:val="Hyperlink"/>
            <w:noProof/>
            <w:lang w:eastAsia="en-AU"/>
          </w:rPr>
          <w:t>Table D.1 : Select public-private shares for unemployment sensitivity analysis</w:t>
        </w:r>
        <w:r w:rsidR="00534F9F">
          <w:rPr>
            <w:noProof/>
            <w:webHidden/>
          </w:rPr>
          <w:tab/>
        </w:r>
        <w:r w:rsidR="00534F9F">
          <w:rPr>
            <w:noProof/>
            <w:webHidden/>
          </w:rPr>
          <w:fldChar w:fldCharType="begin"/>
        </w:r>
        <w:r w:rsidR="00534F9F">
          <w:rPr>
            <w:noProof/>
            <w:webHidden/>
          </w:rPr>
          <w:instrText xml:space="preserve"> PAGEREF _Toc465961146 \h </w:instrText>
        </w:r>
        <w:r w:rsidR="00534F9F">
          <w:rPr>
            <w:noProof/>
            <w:webHidden/>
          </w:rPr>
        </w:r>
        <w:r w:rsidR="00534F9F">
          <w:rPr>
            <w:noProof/>
            <w:webHidden/>
          </w:rPr>
          <w:fldChar w:fldCharType="separate"/>
        </w:r>
        <w:r w:rsidR="00534F9F">
          <w:rPr>
            <w:noProof/>
            <w:webHidden/>
          </w:rPr>
          <w:t>125</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47" w:history="1">
        <w:r w:rsidR="00534F9F" w:rsidRPr="00584D67">
          <w:rPr>
            <w:rStyle w:val="Hyperlink"/>
            <w:noProof/>
            <w:lang w:eastAsia="en-AU"/>
          </w:rPr>
          <w:t>Table D.2 : Select public-private shares for skill substitutability sensitivity analysis</w:t>
        </w:r>
        <w:r w:rsidR="00534F9F">
          <w:rPr>
            <w:noProof/>
            <w:webHidden/>
          </w:rPr>
          <w:tab/>
        </w:r>
        <w:r w:rsidR="00534F9F">
          <w:rPr>
            <w:noProof/>
            <w:webHidden/>
          </w:rPr>
          <w:fldChar w:fldCharType="begin"/>
        </w:r>
        <w:r w:rsidR="00534F9F">
          <w:rPr>
            <w:noProof/>
            <w:webHidden/>
          </w:rPr>
          <w:instrText xml:space="preserve"> PAGEREF _Toc465961147 \h </w:instrText>
        </w:r>
        <w:r w:rsidR="00534F9F">
          <w:rPr>
            <w:noProof/>
            <w:webHidden/>
          </w:rPr>
        </w:r>
        <w:r w:rsidR="00534F9F">
          <w:rPr>
            <w:noProof/>
            <w:webHidden/>
          </w:rPr>
          <w:fldChar w:fldCharType="separate"/>
        </w:r>
        <w:r w:rsidR="00534F9F">
          <w:rPr>
            <w:noProof/>
            <w:webHidden/>
          </w:rPr>
          <w:t>126</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48" w:history="1">
        <w:r w:rsidR="00534F9F" w:rsidRPr="00584D67">
          <w:rPr>
            <w:rStyle w:val="Hyperlink"/>
            <w:noProof/>
            <w:lang w:eastAsia="en-AU"/>
          </w:rPr>
          <w:t>Table D.3 : Select public-private shares for factor substitutability sensitivity analysis</w:t>
        </w:r>
        <w:r w:rsidR="00534F9F">
          <w:rPr>
            <w:noProof/>
            <w:webHidden/>
          </w:rPr>
          <w:tab/>
        </w:r>
        <w:r w:rsidR="00534F9F">
          <w:rPr>
            <w:noProof/>
            <w:webHidden/>
          </w:rPr>
          <w:fldChar w:fldCharType="begin"/>
        </w:r>
        <w:r w:rsidR="00534F9F">
          <w:rPr>
            <w:noProof/>
            <w:webHidden/>
          </w:rPr>
          <w:instrText xml:space="preserve"> PAGEREF _Toc465961148 \h </w:instrText>
        </w:r>
        <w:r w:rsidR="00534F9F">
          <w:rPr>
            <w:noProof/>
            <w:webHidden/>
          </w:rPr>
        </w:r>
        <w:r w:rsidR="00534F9F">
          <w:rPr>
            <w:noProof/>
            <w:webHidden/>
          </w:rPr>
          <w:fldChar w:fldCharType="separate"/>
        </w:r>
        <w:r w:rsidR="00534F9F">
          <w:rPr>
            <w:noProof/>
            <w:webHidden/>
          </w:rPr>
          <w:t>128</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49" w:history="1">
        <w:r w:rsidR="00534F9F" w:rsidRPr="00584D67">
          <w:rPr>
            <w:rStyle w:val="Hyperlink"/>
            <w:noProof/>
            <w:lang w:eastAsia="en-AU"/>
          </w:rPr>
          <w:t>Table D.4 : Select public-private shares for industry composition sensitivity analysis</w:t>
        </w:r>
        <w:r w:rsidR="00534F9F">
          <w:rPr>
            <w:noProof/>
            <w:webHidden/>
          </w:rPr>
          <w:tab/>
        </w:r>
        <w:r w:rsidR="00534F9F">
          <w:rPr>
            <w:noProof/>
            <w:webHidden/>
          </w:rPr>
          <w:fldChar w:fldCharType="begin"/>
        </w:r>
        <w:r w:rsidR="00534F9F">
          <w:rPr>
            <w:noProof/>
            <w:webHidden/>
          </w:rPr>
          <w:instrText xml:space="preserve"> PAGEREF _Toc465961149 \h </w:instrText>
        </w:r>
        <w:r w:rsidR="00534F9F">
          <w:rPr>
            <w:noProof/>
            <w:webHidden/>
          </w:rPr>
        </w:r>
        <w:r w:rsidR="00534F9F">
          <w:rPr>
            <w:noProof/>
            <w:webHidden/>
          </w:rPr>
          <w:fldChar w:fldCharType="separate"/>
        </w:r>
        <w:r w:rsidR="00534F9F">
          <w:rPr>
            <w:noProof/>
            <w:webHidden/>
          </w:rPr>
          <w:t>129</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50" w:history="1">
        <w:r w:rsidR="00534F9F" w:rsidRPr="00584D67">
          <w:rPr>
            <w:rStyle w:val="Hyperlink"/>
            <w:noProof/>
            <w:lang w:eastAsia="en-AU"/>
          </w:rPr>
          <w:t>Table E.1 : Relative benefits (labour endowment – hypothetical scenario)</w:t>
        </w:r>
        <w:r w:rsidR="00534F9F">
          <w:rPr>
            <w:noProof/>
            <w:webHidden/>
          </w:rPr>
          <w:tab/>
        </w:r>
        <w:r w:rsidR="00534F9F">
          <w:rPr>
            <w:noProof/>
            <w:webHidden/>
          </w:rPr>
          <w:fldChar w:fldCharType="begin"/>
        </w:r>
        <w:r w:rsidR="00534F9F">
          <w:rPr>
            <w:noProof/>
            <w:webHidden/>
          </w:rPr>
          <w:instrText xml:space="preserve"> PAGEREF _Toc465961150 \h </w:instrText>
        </w:r>
        <w:r w:rsidR="00534F9F">
          <w:rPr>
            <w:noProof/>
            <w:webHidden/>
          </w:rPr>
        </w:r>
        <w:r w:rsidR="00534F9F">
          <w:rPr>
            <w:noProof/>
            <w:webHidden/>
          </w:rPr>
          <w:fldChar w:fldCharType="separate"/>
        </w:r>
        <w:r w:rsidR="00534F9F">
          <w:rPr>
            <w:noProof/>
            <w:webHidden/>
          </w:rPr>
          <w:t>131</w:t>
        </w:r>
        <w:r w:rsidR="00534F9F">
          <w:rPr>
            <w:noProof/>
            <w:webHidden/>
          </w:rPr>
          <w:fldChar w:fldCharType="end"/>
        </w:r>
      </w:hyperlink>
    </w:p>
    <w:p w:rsidR="00F41CBD" w:rsidRPr="00DE4E85" w:rsidRDefault="00074523" w:rsidP="002320EB">
      <w:pPr>
        <w:pStyle w:val="Contents-Minor"/>
        <w:jc w:val="both"/>
      </w:pPr>
      <w:r>
        <w:rPr>
          <w:rFonts w:cs="Arial"/>
          <w:sz w:val="24"/>
          <w:szCs w:val="20"/>
        </w:rPr>
        <w:fldChar w:fldCharType="end"/>
      </w:r>
      <w:r w:rsidR="00F41CBD" w:rsidRPr="00381087">
        <w:t>Figures</w:t>
      </w:r>
    </w:p>
    <w:p w:rsidR="00534F9F" w:rsidRDefault="00074523">
      <w:pPr>
        <w:pStyle w:val="TOC1"/>
        <w:rPr>
          <w:rFonts w:asciiTheme="minorHAnsi" w:eastAsiaTheme="minorEastAsia" w:hAnsiTheme="minorHAnsi" w:cstheme="minorBidi"/>
          <w:noProof/>
          <w:lang w:eastAsia="en-AU"/>
        </w:rPr>
      </w:pPr>
      <w:r>
        <w:fldChar w:fldCharType="begin"/>
      </w:r>
      <w:r w:rsidR="00E547D5">
        <w:instrText xml:space="preserve"> TOC \h \z \t "Appendix Figure Caption,1,Caption_Figure,1" </w:instrText>
      </w:r>
      <w:r>
        <w:fldChar w:fldCharType="separate"/>
      </w:r>
      <w:hyperlink w:anchor="_Toc465961111" w:history="1">
        <w:r w:rsidR="00534F9F" w:rsidRPr="001E746A">
          <w:rPr>
            <w:rStyle w:val="Hyperlink"/>
            <w:noProof/>
          </w:rPr>
          <w:t>Figure 2.1 : Illustration of the benefits of higher education</w:t>
        </w:r>
        <w:r w:rsidR="00534F9F">
          <w:rPr>
            <w:noProof/>
            <w:webHidden/>
          </w:rPr>
          <w:tab/>
        </w:r>
        <w:r w:rsidR="00534F9F">
          <w:rPr>
            <w:noProof/>
            <w:webHidden/>
          </w:rPr>
          <w:fldChar w:fldCharType="begin"/>
        </w:r>
        <w:r w:rsidR="00534F9F">
          <w:rPr>
            <w:noProof/>
            <w:webHidden/>
          </w:rPr>
          <w:instrText xml:space="preserve"> PAGEREF _Toc465961111 \h </w:instrText>
        </w:r>
        <w:r w:rsidR="00534F9F">
          <w:rPr>
            <w:noProof/>
            <w:webHidden/>
          </w:rPr>
        </w:r>
        <w:r w:rsidR="00534F9F">
          <w:rPr>
            <w:noProof/>
            <w:webHidden/>
          </w:rPr>
          <w:fldChar w:fldCharType="separate"/>
        </w:r>
        <w:r w:rsidR="00534F9F">
          <w:rPr>
            <w:noProof/>
            <w:webHidden/>
          </w:rPr>
          <w:t>8</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12" w:history="1">
        <w:r w:rsidR="00534F9F" w:rsidRPr="001E746A">
          <w:rPr>
            <w:rStyle w:val="Hyperlink"/>
            <w:noProof/>
            <w:lang w:eastAsia="en-AU"/>
          </w:rPr>
          <w:t>Figure 3.1 : Illustrative summary of approach</w:t>
        </w:r>
        <w:r w:rsidR="00534F9F">
          <w:rPr>
            <w:noProof/>
            <w:webHidden/>
          </w:rPr>
          <w:tab/>
        </w:r>
        <w:r w:rsidR="00534F9F">
          <w:rPr>
            <w:noProof/>
            <w:webHidden/>
          </w:rPr>
          <w:fldChar w:fldCharType="begin"/>
        </w:r>
        <w:r w:rsidR="00534F9F">
          <w:rPr>
            <w:noProof/>
            <w:webHidden/>
          </w:rPr>
          <w:instrText xml:space="preserve"> PAGEREF _Toc465961112 \h </w:instrText>
        </w:r>
        <w:r w:rsidR="00534F9F">
          <w:rPr>
            <w:noProof/>
            <w:webHidden/>
          </w:rPr>
        </w:r>
        <w:r w:rsidR="00534F9F">
          <w:rPr>
            <w:noProof/>
            <w:webHidden/>
          </w:rPr>
          <w:fldChar w:fldCharType="separate"/>
        </w:r>
        <w:r w:rsidR="00534F9F">
          <w:rPr>
            <w:noProof/>
            <w:webHidden/>
          </w:rPr>
          <w:t>28</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13" w:history="1">
        <w:r w:rsidR="00534F9F" w:rsidRPr="001E746A">
          <w:rPr>
            <w:rStyle w:val="Hyperlink"/>
            <w:noProof/>
            <w:lang w:eastAsia="en-AU"/>
          </w:rPr>
          <w:t>Figure 4.1 : Illustrative summary of approach</w:t>
        </w:r>
        <w:r w:rsidR="00534F9F">
          <w:rPr>
            <w:noProof/>
            <w:webHidden/>
          </w:rPr>
          <w:tab/>
        </w:r>
        <w:r w:rsidR="00534F9F">
          <w:rPr>
            <w:noProof/>
            <w:webHidden/>
          </w:rPr>
          <w:fldChar w:fldCharType="begin"/>
        </w:r>
        <w:r w:rsidR="00534F9F">
          <w:rPr>
            <w:noProof/>
            <w:webHidden/>
          </w:rPr>
          <w:instrText xml:space="preserve"> PAGEREF _Toc465961113 \h </w:instrText>
        </w:r>
        <w:r w:rsidR="00534F9F">
          <w:rPr>
            <w:noProof/>
            <w:webHidden/>
          </w:rPr>
        </w:r>
        <w:r w:rsidR="00534F9F">
          <w:rPr>
            <w:noProof/>
            <w:webHidden/>
          </w:rPr>
          <w:fldChar w:fldCharType="separate"/>
        </w:r>
        <w:r w:rsidR="00534F9F">
          <w:rPr>
            <w:noProof/>
            <w:webHidden/>
          </w:rPr>
          <w:t>33</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14" w:history="1">
        <w:r w:rsidR="00534F9F" w:rsidRPr="001E746A">
          <w:rPr>
            <w:rStyle w:val="Hyperlink"/>
            <w:noProof/>
            <w:lang w:eastAsia="en-AU"/>
          </w:rPr>
          <w:t>Figure 5.1 : Illustrative summary of approach</w:t>
        </w:r>
        <w:r w:rsidR="00534F9F">
          <w:rPr>
            <w:noProof/>
            <w:webHidden/>
          </w:rPr>
          <w:tab/>
        </w:r>
        <w:r w:rsidR="00534F9F">
          <w:rPr>
            <w:noProof/>
            <w:webHidden/>
          </w:rPr>
          <w:fldChar w:fldCharType="begin"/>
        </w:r>
        <w:r w:rsidR="00534F9F">
          <w:rPr>
            <w:noProof/>
            <w:webHidden/>
          </w:rPr>
          <w:instrText xml:space="preserve"> PAGEREF _Toc465961114 \h </w:instrText>
        </w:r>
        <w:r w:rsidR="00534F9F">
          <w:rPr>
            <w:noProof/>
            <w:webHidden/>
          </w:rPr>
        </w:r>
        <w:r w:rsidR="00534F9F">
          <w:rPr>
            <w:noProof/>
            <w:webHidden/>
          </w:rPr>
          <w:fldChar w:fldCharType="separate"/>
        </w:r>
        <w:r w:rsidR="00534F9F">
          <w:rPr>
            <w:noProof/>
            <w:webHidden/>
          </w:rPr>
          <w:t>46</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15" w:history="1">
        <w:r w:rsidR="00534F9F" w:rsidRPr="001E746A">
          <w:rPr>
            <w:rStyle w:val="Hyperlink"/>
            <w:noProof/>
          </w:rPr>
          <w:t>Figure 5.2 : The differences in the value of labour services for average high school leavers and graduates, attributing between qualification and demographics</w:t>
        </w:r>
        <w:r w:rsidR="00534F9F">
          <w:rPr>
            <w:noProof/>
            <w:webHidden/>
          </w:rPr>
          <w:tab/>
        </w:r>
        <w:r w:rsidR="00534F9F">
          <w:rPr>
            <w:noProof/>
            <w:webHidden/>
          </w:rPr>
          <w:fldChar w:fldCharType="begin"/>
        </w:r>
        <w:r w:rsidR="00534F9F">
          <w:rPr>
            <w:noProof/>
            <w:webHidden/>
          </w:rPr>
          <w:instrText xml:space="preserve"> PAGEREF _Toc465961115 \h </w:instrText>
        </w:r>
        <w:r w:rsidR="00534F9F">
          <w:rPr>
            <w:noProof/>
            <w:webHidden/>
          </w:rPr>
        </w:r>
        <w:r w:rsidR="00534F9F">
          <w:rPr>
            <w:noProof/>
            <w:webHidden/>
          </w:rPr>
          <w:fldChar w:fldCharType="separate"/>
        </w:r>
        <w:r w:rsidR="00534F9F">
          <w:rPr>
            <w:noProof/>
            <w:webHidden/>
          </w:rPr>
          <w:t>54</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16" w:history="1">
        <w:r w:rsidR="00534F9F" w:rsidRPr="001E746A">
          <w:rPr>
            <w:rStyle w:val="Hyperlink"/>
            <w:noProof/>
            <w:lang w:eastAsia="en-AU"/>
          </w:rPr>
          <w:t>Figure 5.3 : Illustrative summary of approach</w:t>
        </w:r>
        <w:r w:rsidR="00534F9F">
          <w:rPr>
            <w:noProof/>
            <w:webHidden/>
          </w:rPr>
          <w:tab/>
        </w:r>
        <w:r w:rsidR="00534F9F">
          <w:rPr>
            <w:noProof/>
            <w:webHidden/>
          </w:rPr>
          <w:fldChar w:fldCharType="begin"/>
        </w:r>
        <w:r w:rsidR="00534F9F">
          <w:rPr>
            <w:noProof/>
            <w:webHidden/>
          </w:rPr>
          <w:instrText xml:space="preserve"> PAGEREF _Toc465961116 \h </w:instrText>
        </w:r>
        <w:r w:rsidR="00534F9F">
          <w:rPr>
            <w:noProof/>
            <w:webHidden/>
          </w:rPr>
        </w:r>
        <w:r w:rsidR="00534F9F">
          <w:rPr>
            <w:noProof/>
            <w:webHidden/>
          </w:rPr>
          <w:fldChar w:fldCharType="separate"/>
        </w:r>
        <w:r w:rsidR="00534F9F">
          <w:rPr>
            <w:noProof/>
            <w:webHidden/>
          </w:rPr>
          <w:t>63</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17" w:history="1">
        <w:r w:rsidR="00534F9F" w:rsidRPr="001E746A">
          <w:rPr>
            <w:rStyle w:val="Hyperlink"/>
            <w:noProof/>
          </w:rPr>
          <w:t>Figure 6.1 : Mapping of higher education disciplines to industry, 2011</w:t>
        </w:r>
        <w:r w:rsidR="00534F9F">
          <w:rPr>
            <w:noProof/>
            <w:webHidden/>
          </w:rPr>
          <w:tab/>
        </w:r>
        <w:r w:rsidR="00534F9F">
          <w:rPr>
            <w:noProof/>
            <w:webHidden/>
          </w:rPr>
          <w:fldChar w:fldCharType="begin"/>
        </w:r>
        <w:r w:rsidR="00534F9F">
          <w:rPr>
            <w:noProof/>
            <w:webHidden/>
          </w:rPr>
          <w:instrText xml:space="preserve"> PAGEREF _Toc465961117 \h </w:instrText>
        </w:r>
        <w:r w:rsidR="00534F9F">
          <w:rPr>
            <w:noProof/>
            <w:webHidden/>
          </w:rPr>
        </w:r>
        <w:r w:rsidR="00534F9F">
          <w:rPr>
            <w:noProof/>
            <w:webHidden/>
          </w:rPr>
          <w:fldChar w:fldCharType="separate"/>
        </w:r>
        <w:r w:rsidR="00534F9F">
          <w:rPr>
            <w:noProof/>
            <w:webHidden/>
          </w:rPr>
          <w:t>78</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18" w:history="1">
        <w:r w:rsidR="00534F9F" w:rsidRPr="001E746A">
          <w:rPr>
            <w:rStyle w:val="Hyperlink"/>
            <w:noProof/>
          </w:rPr>
          <w:t>Figure A.1 : Illustration of the public-private benefits estimation by Chapman and Lounkaew (2011; 2015)</w:t>
        </w:r>
        <w:r w:rsidR="00534F9F">
          <w:rPr>
            <w:noProof/>
            <w:webHidden/>
          </w:rPr>
          <w:tab/>
        </w:r>
        <w:r w:rsidR="00534F9F">
          <w:rPr>
            <w:noProof/>
            <w:webHidden/>
          </w:rPr>
          <w:fldChar w:fldCharType="begin"/>
        </w:r>
        <w:r w:rsidR="00534F9F">
          <w:rPr>
            <w:noProof/>
            <w:webHidden/>
          </w:rPr>
          <w:instrText xml:space="preserve"> PAGEREF _Toc465961118 \h </w:instrText>
        </w:r>
        <w:r w:rsidR="00534F9F">
          <w:rPr>
            <w:noProof/>
            <w:webHidden/>
          </w:rPr>
        </w:r>
        <w:r w:rsidR="00534F9F">
          <w:rPr>
            <w:noProof/>
            <w:webHidden/>
          </w:rPr>
          <w:fldChar w:fldCharType="separate"/>
        </w:r>
        <w:r w:rsidR="00534F9F">
          <w:rPr>
            <w:noProof/>
            <w:webHidden/>
          </w:rPr>
          <w:t>94</w:t>
        </w:r>
        <w:r w:rsidR="00534F9F">
          <w:rPr>
            <w:noProof/>
            <w:webHidden/>
          </w:rPr>
          <w:fldChar w:fldCharType="end"/>
        </w:r>
      </w:hyperlink>
    </w:p>
    <w:p w:rsidR="00534F9F" w:rsidRDefault="009F06EE">
      <w:pPr>
        <w:pStyle w:val="TOC1"/>
        <w:rPr>
          <w:rFonts w:asciiTheme="minorHAnsi" w:eastAsiaTheme="minorEastAsia" w:hAnsiTheme="minorHAnsi" w:cstheme="minorBidi"/>
          <w:noProof/>
          <w:lang w:eastAsia="en-AU"/>
        </w:rPr>
      </w:pPr>
      <w:hyperlink w:anchor="_Toc465961119" w:history="1">
        <w:r w:rsidR="00534F9F" w:rsidRPr="001E746A">
          <w:rPr>
            <w:rStyle w:val="Hyperlink"/>
            <w:noProof/>
            <w:lang w:eastAsia="en-AU"/>
          </w:rPr>
          <w:t>Figure C.1 : Premium adjustment framework for labour supply shock generation</w:t>
        </w:r>
        <w:r w:rsidR="00534F9F">
          <w:rPr>
            <w:noProof/>
            <w:webHidden/>
          </w:rPr>
          <w:tab/>
        </w:r>
        <w:r w:rsidR="00534F9F">
          <w:rPr>
            <w:noProof/>
            <w:webHidden/>
          </w:rPr>
          <w:fldChar w:fldCharType="begin"/>
        </w:r>
        <w:r w:rsidR="00534F9F">
          <w:rPr>
            <w:noProof/>
            <w:webHidden/>
          </w:rPr>
          <w:instrText xml:space="preserve"> PAGEREF _Toc465961119 \h </w:instrText>
        </w:r>
        <w:r w:rsidR="00534F9F">
          <w:rPr>
            <w:noProof/>
            <w:webHidden/>
          </w:rPr>
        </w:r>
        <w:r w:rsidR="00534F9F">
          <w:rPr>
            <w:noProof/>
            <w:webHidden/>
          </w:rPr>
          <w:fldChar w:fldCharType="separate"/>
        </w:r>
        <w:r w:rsidR="00534F9F">
          <w:rPr>
            <w:noProof/>
            <w:webHidden/>
          </w:rPr>
          <w:t>120</w:t>
        </w:r>
        <w:r w:rsidR="00534F9F">
          <w:rPr>
            <w:noProof/>
            <w:webHidden/>
          </w:rPr>
          <w:fldChar w:fldCharType="end"/>
        </w:r>
      </w:hyperlink>
    </w:p>
    <w:p w:rsidR="009C0EF1" w:rsidRDefault="00074523" w:rsidP="007E622B">
      <w:pPr>
        <w:pStyle w:val="Contents-Major"/>
        <w:spacing w:after="0"/>
        <w:jc w:val="both"/>
        <w:rPr>
          <w:b/>
          <w:bCs/>
          <w:noProof/>
          <w:lang w:val="en-US"/>
        </w:rPr>
      </w:pPr>
      <w:r>
        <w:rPr>
          <w:b/>
          <w:bCs/>
          <w:noProof/>
          <w:lang w:val="en-US"/>
        </w:rPr>
        <w:lastRenderedPageBreak/>
        <w:fldChar w:fldCharType="end"/>
      </w:r>
      <w:bookmarkStart w:id="1" w:name="_Toc228005204"/>
      <w:bookmarkStart w:id="2" w:name="_Toc288198023"/>
    </w:p>
    <w:p w:rsidR="00F41CBD" w:rsidRDefault="00F41CBD" w:rsidP="007E622B">
      <w:pPr>
        <w:pStyle w:val="Contents-Major"/>
        <w:spacing w:after="0"/>
        <w:jc w:val="both"/>
      </w:pPr>
      <w:r>
        <w:t>Glossary</w:t>
      </w:r>
    </w:p>
    <w:p w:rsidR="00F41CBD" w:rsidRPr="0084618E" w:rsidRDefault="0084618E" w:rsidP="0084618E">
      <w:pPr>
        <w:pStyle w:val="BoldPara"/>
        <w:rPr>
          <w:sz w:val="24"/>
        </w:rPr>
      </w:pPr>
      <w:r w:rsidRPr="0084618E">
        <w:rPr>
          <w:sz w:val="24"/>
        </w:rPr>
        <w:t xml:space="preserve">Acronyms </w:t>
      </w:r>
    </w:p>
    <w:tbl>
      <w:tblPr>
        <w:tblStyle w:val="TableAEGlossary"/>
        <w:tblW w:w="0" w:type="auto"/>
        <w:tblBorders>
          <w:top w:val="single" w:sz="4" w:space="0" w:color="002776"/>
          <w:bottom w:val="single" w:sz="4" w:space="0" w:color="002776"/>
        </w:tblBorders>
        <w:tblLook w:val="04A0" w:firstRow="1" w:lastRow="0" w:firstColumn="1" w:lastColumn="0" w:noHBand="0" w:noVBand="1"/>
      </w:tblPr>
      <w:tblGrid>
        <w:gridCol w:w="2174"/>
        <w:gridCol w:w="6046"/>
      </w:tblGrid>
      <w:tr w:rsidR="001F0C47" w:rsidTr="00BB3576">
        <w:trPr>
          <w:cnfStyle w:val="100000000000" w:firstRow="1" w:lastRow="0" w:firstColumn="0" w:lastColumn="0" w:oddVBand="0" w:evenVBand="0" w:oddHBand="0" w:evenHBand="0" w:firstRowFirstColumn="0" w:firstRowLastColumn="0" w:lastRowFirstColumn="0" w:lastRowLastColumn="0"/>
        </w:trPr>
        <w:tc>
          <w:tcPr>
            <w:tcW w:w="2235" w:type="dxa"/>
            <w:vAlign w:val="bottom"/>
          </w:tcPr>
          <w:p w:rsidR="001F0C47" w:rsidRDefault="001F0C47">
            <w:pPr>
              <w:rPr>
                <w:sz w:val="20"/>
              </w:rPr>
            </w:pPr>
            <w:r>
              <w:rPr>
                <w:sz w:val="20"/>
              </w:rPr>
              <w:t>ABS</w:t>
            </w:r>
          </w:p>
        </w:tc>
        <w:tc>
          <w:tcPr>
            <w:tcW w:w="6201" w:type="dxa"/>
          </w:tcPr>
          <w:p w:rsidR="001F0C47" w:rsidRDefault="00144332" w:rsidP="00D53200">
            <w:pPr>
              <w:pStyle w:val="Glossarytext"/>
              <w:jc w:val="both"/>
            </w:pPr>
            <w:r>
              <w:t>Australian Bureau of Statistics</w:t>
            </w:r>
          </w:p>
        </w:tc>
      </w:tr>
      <w:tr w:rsidR="001F0C47" w:rsidTr="00BB3576">
        <w:tc>
          <w:tcPr>
            <w:tcW w:w="2235" w:type="dxa"/>
            <w:vAlign w:val="bottom"/>
          </w:tcPr>
          <w:p w:rsidR="001F0C47" w:rsidRDefault="001F0C47">
            <w:pPr>
              <w:rPr>
                <w:sz w:val="20"/>
              </w:rPr>
            </w:pPr>
            <w:r>
              <w:rPr>
                <w:sz w:val="20"/>
              </w:rPr>
              <w:t>ARIA</w:t>
            </w:r>
          </w:p>
        </w:tc>
        <w:tc>
          <w:tcPr>
            <w:tcW w:w="6201" w:type="dxa"/>
          </w:tcPr>
          <w:p w:rsidR="001F0C47" w:rsidRDefault="00144332" w:rsidP="00F56D38">
            <w:pPr>
              <w:pStyle w:val="Glossarytext"/>
              <w:jc w:val="both"/>
            </w:pPr>
            <w:r w:rsidRPr="00144332">
              <w:t>Accessibility/Remoteness Index of Australia</w:t>
            </w:r>
          </w:p>
        </w:tc>
      </w:tr>
      <w:tr w:rsidR="001F0C47" w:rsidTr="00BB3576">
        <w:tc>
          <w:tcPr>
            <w:tcW w:w="2235" w:type="dxa"/>
            <w:vAlign w:val="bottom"/>
          </w:tcPr>
          <w:p w:rsidR="001F0C47" w:rsidRDefault="001F0C47">
            <w:pPr>
              <w:rPr>
                <w:sz w:val="20"/>
              </w:rPr>
            </w:pPr>
            <w:r>
              <w:rPr>
                <w:sz w:val="20"/>
              </w:rPr>
              <w:t>ASCED</w:t>
            </w:r>
          </w:p>
        </w:tc>
        <w:tc>
          <w:tcPr>
            <w:tcW w:w="6201" w:type="dxa"/>
          </w:tcPr>
          <w:p w:rsidR="001F0C47" w:rsidRDefault="00BE095F" w:rsidP="00D53200">
            <w:pPr>
              <w:pStyle w:val="Glossarytext"/>
              <w:jc w:val="both"/>
            </w:pPr>
            <w:r w:rsidRPr="00BE095F">
              <w:t>Australian Standard Classification of Education</w:t>
            </w:r>
          </w:p>
        </w:tc>
      </w:tr>
      <w:tr w:rsidR="001F0C47" w:rsidTr="00BB3576">
        <w:tc>
          <w:tcPr>
            <w:tcW w:w="2235" w:type="dxa"/>
            <w:vAlign w:val="bottom"/>
          </w:tcPr>
          <w:p w:rsidR="001F0C47" w:rsidRDefault="001F0C47">
            <w:pPr>
              <w:rPr>
                <w:sz w:val="20"/>
              </w:rPr>
            </w:pPr>
            <w:r>
              <w:rPr>
                <w:sz w:val="20"/>
              </w:rPr>
              <w:t>ATN</w:t>
            </w:r>
          </w:p>
        </w:tc>
        <w:tc>
          <w:tcPr>
            <w:tcW w:w="6201" w:type="dxa"/>
          </w:tcPr>
          <w:p w:rsidR="001F0C47" w:rsidRDefault="001F0C47" w:rsidP="002320EB">
            <w:pPr>
              <w:pStyle w:val="Glossarytext"/>
              <w:jc w:val="both"/>
            </w:pPr>
            <w:r>
              <w:t>Australia</w:t>
            </w:r>
            <w:r w:rsidR="00144332">
              <w:t>n Technology Network of universities</w:t>
            </w:r>
          </w:p>
        </w:tc>
      </w:tr>
      <w:tr w:rsidR="001F0C47" w:rsidTr="00BB3576">
        <w:tc>
          <w:tcPr>
            <w:tcW w:w="2235" w:type="dxa"/>
            <w:vAlign w:val="bottom"/>
          </w:tcPr>
          <w:p w:rsidR="001F0C47" w:rsidRDefault="001F0C47">
            <w:pPr>
              <w:rPr>
                <w:sz w:val="20"/>
              </w:rPr>
            </w:pPr>
            <w:r>
              <w:rPr>
                <w:sz w:val="20"/>
              </w:rPr>
              <w:t>CGE</w:t>
            </w:r>
          </w:p>
        </w:tc>
        <w:tc>
          <w:tcPr>
            <w:tcW w:w="6201" w:type="dxa"/>
          </w:tcPr>
          <w:p w:rsidR="001F0C47" w:rsidRDefault="001F0C47" w:rsidP="002320EB">
            <w:pPr>
              <w:pStyle w:val="Glossarytext"/>
              <w:jc w:val="both"/>
            </w:pPr>
            <w:r>
              <w:t>Computable General Equilibrium</w:t>
            </w:r>
          </w:p>
        </w:tc>
      </w:tr>
      <w:tr w:rsidR="001F0C47" w:rsidTr="00BB3576">
        <w:tc>
          <w:tcPr>
            <w:tcW w:w="2235" w:type="dxa"/>
            <w:vAlign w:val="bottom"/>
          </w:tcPr>
          <w:p w:rsidR="001F0C47" w:rsidRDefault="001F0C47">
            <w:pPr>
              <w:rPr>
                <w:sz w:val="20"/>
              </w:rPr>
            </w:pPr>
            <w:r>
              <w:rPr>
                <w:sz w:val="20"/>
              </w:rPr>
              <w:t>CPI</w:t>
            </w:r>
          </w:p>
        </w:tc>
        <w:tc>
          <w:tcPr>
            <w:tcW w:w="6201" w:type="dxa"/>
          </w:tcPr>
          <w:p w:rsidR="001F0C47" w:rsidRDefault="001F0C47" w:rsidP="002320EB">
            <w:pPr>
              <w:pStyle w:val="Glossarytext"/>
              <w:jc w:val="both"/>
            </w:pPr>
            <w:r>
              <w:t>Consumer Price Index</w:t>
            </w:r>
          </w:p>
        </w:tc>
      </w:tr>
      <w:tr w:rsidR="001F0C47" w:rsidTr="00BB3576">
        <w:tc>
          <w:tcPr>
            <w:tcW w:w="2235" w:type="dxa"/>
            <w:vAlign w:val="bottom"/>
          </w:tcPr>
          <w:p w:rsidR="001F0C47" w:rsidRDefault="001F0C47">
            <w:pPr>
              <w:rPr>
                <w:sz w:val="20"/>
              </w:rPr>
            </w:pPr>
            <w:r>
              <w:rPr>
                <w:sz w:val="20"/>
              </w:rPr>
              <w:t>CSP</w:t>
            </w:r>
          </w:p>
        </w:tc>
        <w:tc>
          <w:tcPr>
            <w:tcW w:w="6201" w:type="dxa"/>
          </w:tcPr>
          <w:p w:rsidR="001F0C47" w:rsidRDefault="001F0C47" w:rsidP="002320EB">
            <w:pPr>
              <w:pStyle w:val="Glossarytext"/>
              <w:jc w:val="both"/>
            </w:pPr>
            <w:r>
              <w:t>Commonwealth Supported Place</w:t>
            </w:r>
          </w:p>
        </w:tc>
      </w:tr>
      <w:tr w:rsidR="001F0C47" w:rsidTr="00BB3576">
        <w:tc>
          <w:tcPr>
            <w:tcW w:w="2235" w:type="dxa"/>
            <w:vAlign w:val="bottom"/>
          </w:tcPr>
          <w:p w:rsidR="001F0C47" w:rsidRDefault="001F0C47">
            <w:pPr>
              <w:rPr>
                <w:sz w:val="20"/>
              </w:rPr>
            </w:pPr>
            <w:r>
              <w:rPr>
                <w:sz w:val="20"/>
              </w:rPr>
              <w:t>DDS</w:t>
            </w:r>
          </w:p>
        </w:tc>
        <w:tc>
          <w:tcPr>
            <w:tcW w:w="6201" w:type="dxa"/>
          </w:tcPr>
          <w:p w:rsidR="001F0C47" w:rsidRDefault="001F0C47" w:rsidP="002320EB">
            <w:pPr>
              <w:pStyle w:val="Glossarytext"/>
              <w:jc w:val="both"/>
            </w:pPr>
            <w:r>
              <w:t>Demand-Driven System</w:t>
            </w:r>
          </w:p>
        </w:tc>
      </w:tr>
      <w:tr w:rsidR="001F0C47" w:rsidTr="00BB3576">
        <w:tc>
          <w:tcPr>
            <w:tcW w:w="2235" w:type="dxa"/>
            <w:vAlign w:val="bottom"/>
          </w:tcPr>
          <w:p w:rsidR="001F0C47" w:rsidRDefault="001F0C47">
            <w:pPr>
              <w:rPr>
                <w:sz w:val="20"/>
              </w:rPr>
            </w:pPr>
            <w:r>
              <w:rPr>
                <w:sz w:val="20"/>
              </w:rPr>
              <w:t>GDP</w:t>
            </w:r>
          </w:p>
        </w:tc>
        <w:tc>
          <w:tcPr>
            <w:tcW w:w="6201" w:type="dxa"/>
          </w:tcPr>
          <w:p w:rsidR="001F0C47" w:rsidRDefault="001F0C47" w:rsidP="002320EB">
            <w:pPr>
              <w:pStyle w:val="Glossarytext"/>
              <w:jc w:val="both"/>
            </w:pPr>
            <w:r>
              <w:t>Gross Domestic Product</w:t>
            </w:r>
          </w:p>
        </w:tc>
      </w:tr>
      <w:tr w:rsidR="001F0C47" w:rsidTr="00BB3576">
        <w:tc>
          <w:tcPr>
            <w:tcW w:w="2235" w:type="dxa"/>
            <w:vAlign w:val="bottom"/>
          </w:tcPr>
          <w:p w:rsidR="001F0C47" w:rsidRDefault="001F0C47">
            <w:pPr>
              <w:rPr>
                <w:sz w:val="20"/>
              </w:rPr>
            </w:pPr>
            <w:r>
              <w:rPr>
                <w:sz w:val="20"/>
              </w:rPr>
              <w:t>GNP</w:t>
            </w:r>
          </w:p>
        </w:tc>
        <w:tc>
          <w:tcPr>
            <w:tcW w:w="6201" w:type="dxa"/>
          </w:tcPr>
          <w:p w:rsidR="001F0C47" w:rsidRDefault="001F0C47" w:rsidP="001F0C47">
            <w:pPr>
              <w:pStyle w:val="Glossarytext"/>
              <w:jc w:val="both"/>
            </w:pPr>
            <w:r>
              <w:t>Gross National Product</w:t>
            </w:r>
          </w:p>
        </w:tc>
      </w:tr>
      <w:tr w:rsidR="001F0C47" w:rsidTr="00BB3576">
        <w:tc>
          <w:tcPr>
            <w:tcW w:w="2235" w:type="dxa"/>
            <w:vAlign w:val="bottom"/>
          </w:tcPr>
          <w:p w:rsidR="001F0C47" w:rsidRDefault="001F0C47">
            <w:pPr>
              <w:rPr>
                <w:sz w:val="20"/>
              </w:rPr>
            </w:pPr>
            <w:r>
              <w:rPr>
                <w:sz w:val="20"/>
              </w:rPr>
              <w:t>GO8</w:t>
            </w:r>
          </w:p>
        </w:tc>
        <w:tc>
          <w:tcPr>
            <w:tcW w:w="6201" w:type="dxa"/>
          </w:tcPr>
          <w:p w:rsidR="001F0C47" w:rsidRDefault="00144332" w:rsidP="00D53200">
            <w:pPr>
              <w:pStyle w:val="Glossarytext"/>
              <w:jc w:val="both"/>
            </w:pPr>
            <w:r>
              <w:t>Group of Eight universities</w:t>
            </w:r>
          </w:p>
        </w:tc>
      </w:tr>
      <w:tr w:rsidR="00CB710D" w:rsidTr="00BB3576">
        <w:tc>
          <w:tcPr>
            <w:tcW w:w="2235" w:type="dxa"/>
            <w:vAlign w:val="bottom"/>
          </w:tcPr>
          <w:p w:rsidR="00CB710D" w:rsidRDefault="00CB710D">
            <w:pPr>
              <w:rPr>
                <w:sz w:val="20"/>
              </w:rPr>
            </w:pPr>
            <w:r>
              <w:rPr>
                <w:sz w:val="20"/>
              </w:rPr>
              <w:t>GTAP</w:t>
            </w:r>
          </w:p>
        </w:tc>
        <w:tc>
          <w:tcPr>
            <w:tcW w:w="6201" w:type="dxa"/>
          </w:tcPr>
          <w:p w:rsidR="00CB710D" w:rsidRDefault="00CB710D" w:rsidP="00D53200">
            <w:pPr>
              <w:pStyle w:val="Glossarytext"/>
              <w:jc w:val="both"/>
            </w:pPr>
            <w:r>
              <w:t>Global Trade Analysis Project</w:t>
            </w:r>
          </w:p>
        </w:tc>
      </w:tr>
      <w:tr w:rsidR="001F0C47" w:rsidTr="00BB3576">
        <w:tc>
          <w:tcPr>
            <w:tcW w:w="2235" w:type="dxa"/>
            <w:vAlign w:val="bottom"/>
          </w:tcPr>
          <w:p w:rsidR="001F0C47" w:rsidRDefault="001F0C47">
            <w:pPr>
              <w:rPr>
                <w:sz w:val="20"/>
              </w:rPr>
            </w:pPr>
            <w:r>
              <w:rPr>
                <w:sz w:val="20"/>
              </w:rPr>
              <w:t>HECS</w:t>
            </w:r>
          </w:p>
        </w:tc>
        <w:tc>
          <w:tcPr>
            <w:tcW w:w="6201" w:type="dxa"/>
          </w:tcPr>
          <w:p w:rsidR="001F0C47" w:rsidRDefault="001F0C47" w:rsidP="002320EB">
            <w:pPr>
              <w:pStyle w:val="Glossarytext"/>
              <w:jc w:val="both"/>
            </w:pPr>
            <w:r>
              <w:t>Higher Education Contribution Scheme</w:t>
            </w:r>
          </w:p>
        </w:tc>
      </w:tr>
      <w:tr w:rsidR="001F0C47" w:rsidTr="00BB3576">
        <w:tc>
          <w:tcPr>
            <w:tcW w:w="2235" w:type="dxa"/>
            <w:vAlign w:val="bottom"/>
          </w:tcPr>
          <w:p w:rsidR="001F0C47" w:rsidRDefault="001F0C47">
            <w:pPr>
              <w:rPr>
                <w:sz w:val="20"/>
              </w:rPr>
            </w:pPr>
            <w:r>
              <w:rPr>
                <w:sz w:val="20"/>
              </w:rPr>
              <w:t>HELP</w:t>
            </w:r>
          </w:p>
        </w:tc>
        <w:tc>
          <w:tcPr>
            <w:tcW w:w="6201" w:type="dxa"/>
          </w:tcPr>
          <w:p w:rsidR="001F0C47" w:rsidRDefault="001F0C47" w:rsidP="00BB3576">
            <w:pPr>
              <w:pStyle w:val="Glossarytext"/>
              <w:jc w:val="both"/>
            </w:pPr>
            <w:r>
              <w:t>Higher Education Loan Program</w:t>
            </w:r>
          </w:p>
        </w:tc>
      </w:tr>
      <w:tr w:rsidR="001F0C47" w:rsidTr="00BB3576">
        <w:tc>
          <w:tcPr>
            <w:tcW w:w="2235" w:type="dxa"/>
            <w:vAlign w:val="bottom"/>
          </w:tcPr>
          <w:p w:rsidR="001F0C47" w:rsidRDefault="001F0C47">
            <w:pPr>
              <w:rPr>
                <w:sz w:val="20"/>
              </w:rPr>
            </w:pPr>
            <w:r>
              <w:rPr>
                <w:sz w:val="20"/>
              </w:rPr>
              <w:t>HILDA</w:t>
            </w:r>
          </w:p>
        </w:tc>
        <w:tc>
          <w:tcPr>
            <w:tcW w:w="6201" w:type="dxa"/>
          </w:tcPr>
          <w:p w:rsidR="001F0C47" w:rsidRDefault="001F0C47" w:rsidP="002320EB">
            <w:pPr>
              <w:pStyle w:val="Glossarytext"/>
              <w:jc w:val="both"/>
            </w:pPr>
            <w:r>
              <w:t>Household Labour and Income Dynamics survey</w:t>
            </w:r>
          </w:p>
        </w:tc>
      </w:tr>
      <w:tr w:rsidR="001F0C47" w:rsidTr="00BB3576">
        <w:tc>
          <w:tcPr>
            <w:tcW w:w="2235" w:type="dxa"/>
            <w:vAlign w:val="bottom"/>
          </w:tcPr>
          <w:p w:rsidR="001F0C47" w:rsidRDefault="001F0C47">
            <w:pPr>
              <w:rPr>
                <w:sz w:val="20"/>
              </w:rPr>
            </w:pPr>
            <w:r>
              <w:rPr>
                <w:sz w:val="20"/>
              </w:rPr>
              <w:t>IRR</w:t>
            </w:r>
          </w:p>
        </w:tc>
        <w:tc>
          <w:tcPr>
            <w:tcW w:w="6201" w:type="dxa"/>
          </w:tcPr>
          <w:p w:rsidR="001F0C47" w:rsidRDefault="001F0C47" w:rsidP="002320EB">
            <w:pPr>
              <w:pStyle w:val="Glossarytext"/>
              <w:jc w:val="both"/>
            </w:pPr>
            <w:r>
              <w:t>Internal Rate of Return</w:t>
            </w:r>
          </w:p>
        </w:tc>
      </w:tr>
      <w:tr w:rsidR="001F0C47" w:rsidTr="00BB3576">
        <w:tc>
          <w:tcPr>
            <w:tcW w:w="2235" w:type="dxa"/>
            <w:vAlign w:val="bottom"/>
          </w:tcPr>
          <w:p w:rsidR="001F0C47" w:rsidRDefault="001F0C47">
            <w:pPr>
              <w:rPr>
                <w:sz w:val="20"/>
              </w:rPr>
            </w:pPr>
            <w:r>
              <w:rPr>
                <w:sz w:val="20"/>
              </w:rPr>
              <w:t>IRU</w:t>
            </w:r>
          </w:p>
        </w:tc>
        <w:tc>
          <w:tcPr>
            <w:tcW w:w="6201" w:type="dxa"/>
          </w:tcPr>
          <w:p w:rsidR="001F0C47" w:rsidRDefault="001F0C47" w:rsidP="002320EB">
            <w:pPr>
              <w:pStyle w:val="Glossarytext"/>
              <w:jc w:val="both"/>
            </w:pPr>
            <w:r>
              <w:rPr>
                <w:rStyle w:val="Boldword"/>
                <w:b w:val="0"/>
                <w:color w:val="auto"/>
              </w:rPr>
              <w:t>Innovative Research Universities</w:t>
            </w:r>
          </w:p>
        </w:tc>
      </w:tr>
      <w:tr w:rsidR="001F0C47" w:rsidTr="00BB3576">
        <w:tc>
          <w:tcPr>
            <w:tcW w:w="2235" w:type="dxa"/>
            <w:vAlign w:val="bottom"/>
          </w:tcPr>
          <w:p w:rsidR="001F0C47" w:rsidRDefault="001F0C47">
            <w:pPr>
              <w:rPr>
                <w:sz w:val="20"/>
              </w:rPr>
            </w:pPr>
            <w:r>
              <w:rPr>
                <w:sz w:val="20"/>
              </w:rPr>
              <w:t>NCVER</w:t>
            </w:r>
          </w:p>
        </w:tc>
        <w:tc>
          <w:tcPr>
            <w:tcW w:w="6201" w:type="dxa"/>
          </w:tcPr>
          <w:p w:rsidR="001F0C47" w:rsidRDefault="001F0C47" w:rsidP="002320EB">
            <w:pPr>
              <w:pStyle w:val="Glossarytext"/>
              <w:jc w:val="both"/>
            </w:pPr>
            <w:r>
              <w:t>National Centre for Vocational Education Research</w:t>
            </w:r>
          </w:p>
        </w:tc>
      </w:tr>
      <w:tr w:rsidR="001F0C47" w:rsidTr="00BB3576">
        <w:tc>
          <w:tcPr>
            <w:tcW w:w="2235" w:type="dxa"/>
            <w:vAlign w:val="bottom"/>
          </w:tcPr>
          <w:p w:rsidR="001F0C47" w:rsidRDefault="001F0C47">
            <w:pPr>
              <w:rPr>
                <w:sz w:val="20"/>
              </w:rPr>
            </w:pPr>
            <w:r>
              <w:rPr>
                <w:sz w:val="20"/>
              </w:rPr>
              <w:t>NPV</w:t>
            </w:r>
          </w:p>
        </w:tc>
        <w:tc>
          <w:tcPr>
            <w:tcW w:w="6201" w:type="dxa"/>
          </w:tcPr>
          <w:p w:rsidR="001F0C47" w:rsidRDefault="001F0C47" w:rsidP="002320EB">
            <w:pPr>
              <w:pStyle w:val="Glossarytext"/>
              <w:jc w:val="both"/>
            </w:pPr>
            <w:r>
              <w:t>Net Present Value</w:t>
            </w:r>
          </w:p>
        </w:tc>
      </w:tr>
      <w:tr w:rsidR="001F0C47" w:rsidTr="00BB3576">
        <w:tc>
          <w:tcPr>
            <w:tcW w:w="2235" w:type="dxa"/>
            <w:vAlign w:val="bottom"/>
          </w:tcPr>
          <w:p w:rsidR="001F0C47" w:rsidRDefault="001F0C47">
            <w:pPr>
              <w:rPr>
                <w:sz w:val="20"/>
              </w:rPr>
            </w:pPr>
            <w:r>
              <w:rPr>
                <w:sz w:val="20"/>
              </w:rPr>
              <w:t>OBPR</w:t>
            </w:r>
          </w:p>
        </w:tc>
        <w:tc>
          <w:tcPr>
            <w:tcW w:w="6201" w:type="dxa"/>
          </w:tcPr>
          <w:p w:rsidR="001F0C47" w:rsidRDefault="001F0C47" w:rsidP="002320EB">
            <w:pPr>
              <w:pStyle w:val="Glossarytext"/>
              <w:jc w:val="both"/>
            </w:pPr>
            <w:r>
              <w:t>Office of Best Practice Regulation</w:t>
            </w:r>
          </w:p>
        </w:tc>
      </w:tr>
      <w:tr w:rsidR="001F0C47" w:rsidTr="00BB3576">
        <w:tc>
          <w:tcPr>
            <w:tcW w:w="2235" w:type="dxa"/>
            <w:vAlign w:val="bottom"/>
          </w:tcPr>
          <w:p w:rsidR="001F0C47" w:rsidRDefault="001F0C47">
            <w:pPr>
              <w:rPr>
                <w:sz w:val="20"/>
              </w:rPr>
            </w:pPr>
            <w:r>
              <w:rPr>
                <w:sz w:val="20"/>
              </w:rPr>
              <w:t>OECD</w:t>
            </w:r>
          </w:p>
        </w:tc>
        <w:tc>
          <w:tcPr>
            <w:tcW w:w="6201" w:type="dxa"/>
          </w:tcPr>
          <w:p w:rsidR="001F0C47" w:rsidRDefault="001F0C47" w:rsidP="002320EB">
            <w:pPr>
              <w:pStyle w:val="Glossarytext"/>
              <w:jc w:val="both"/>
            </w:pPr>
            <w:r w:rsidRPr="001F0C47">
              <w:t>Organisation for Economic Co-operation and Development</w:t>
            </w:r>
          </w:p>
        </w:tc>
      </w:tr>
      <w:tr w:rsidR="001F0C47" w:rsidTr="00BB3576">
        <w:tc>
          <w:tcPr>
            <w:tcW w:w="2235" w:type="dxa"/>
            <w:vAlign w:val="bottom"/>
          </w:tcPr>
          <w:p w:rsidR="001F0C47" w:rsidRDefault="001F0C47">
            <w:pPr>
              <w:rPr>
                <w:sz w:val="20"/>
              </w:rPr>
            </w:pPr>
            <w:r>
              <w:rPr>
                <w:sz w:val="20"/>
              </w:rPr>
              <w:t>OLS</w:t>
            </w:r>
          </w:p>
        </w:tc>
        <w:tc>
          <w:tcPr>
            <w:tcW w:w="6201" w:type="dxa"/>
          </w:tcPr>
          <w:p w:rsidR="001F0C47" w:rsidRDefault="001F0C47" w:rsidP="002320EB">
            <w:pPr>
              <w:pStyle w:val="Glossarytext"/>
              <w:jc w:val="both"/>
            </w:pPr>
            <w:r>
              <w:t>Ordinary Least Squares</w:t>
            </w:r>
          </w:p>
        </w:tc>
      </w:tr>
      <w:tr w:rsidR="001F0C47" w:rsidTr="00BB3576">
        <w:tc>
          <w:tcPr>
            <w:tcW w:w="2235" w:type="dxa"/>
            <w:vAlign w:val="bottom"/>
          </w:tcPr>
          <w:p w:rsidR="001F0C47" w:rsidRDefault="001F0C47">
            <w:pPr>
              <w:rPr>
                <w:sz w:val="20"/>
              </w:rPr>
            </w:pPr>
            <w:r>
              <w:rPr>
                <w:sz w:val="20"/>
              </w:rPr>
              <w:t>PISA</w:t>
            </w:r>
          </w:p>
        </w:tc>
        <w:tc>
          <w:tcPr>
            <w:tcW w:w="6201" w:type="dxa"/>
          </w:tcPr>
          <w:p w:rsidR="001F0C47" w:rsidRDefault="001F0C47" w:rsidP="002320EB">
            <w:pPr>
              <w:pStyle w:val="Glossarytext"/>
              <w:jc w:val="both"/>
            </w:pPr>
            <w:r>
              <w:t>Programme for International Student Assessment</w:t>
            </w:r>
          </w:p>
        </w:tc>
      </w:tr>
      <w:tr w:rsidR="001F0C47" w:rsidTr="00BB3576">
        <w:tc>
          <w:tcPr>
            <w:tcW w:w="2235" w:type="dxa"/>
            <w:vAlign w:val="bottom"/>
          </w:tcPr>
          <w:p w:rsidR="001F0C47" w:rsidRDefault="001F0C47">
            <w:pPr>
              <w:rPr>
                <w:sz w:val="20"/>
              </w:rPr>
            </w:pPr>
            <w:r>
              <w:rPr>
                <w:sz w:val="20"/>
              </w:rPr>
              <w:t>PPS</w:t>
            </w:r>
          </w:p>
        </w:tc>
        <w:tc>
          <w:tcPr>
            <w:tcW w:w="6201" w:type="dxa"/>
          </w:tcPr>
          <w:p w:rsidR="001F0C47" w:rsidRDefault="00483E2E" w:rsidP="00483E2E">
            <w:pPr>
              <w:pStyle w:val="Glossarytext"/>
              <w:jc w:val="both"/>
            </w:pPr>
            <w:r>
              <w:t>Purchasing Power Scaled</w:t>
            </w:r>
          </w:p>
        </w:tc>
      </w:tr>
      <w:tr w:rsidR="001F0C47" w:rsidTr="00BB3576">
        <w:tc>
          <w:tcPr>
            <w:tcW w:w="2235" w:type="dxa"/>
            <w:vAlign w:val="bottom"/>
          </w:tcPr>
          <w:p w:rsidR="001F0C47" w:rsidRDefault="001F0C47">
            <w:pPr>
              <w:rPr>
                <w:sz w:val="20"/>
              </w:rPr>
            </w:pPr>
            <w:r>
              <w:rPr>
                <w:sz w:val="20"/>
              </w:rPr>
              <w:t>RUN</w:t>
            </w:r>
          </w:p>
        </w:tc>
        <w:tc>
          <w:tcPr>
            <w:tcW w:w="6201" w:type="dxa"/>
          </w:tcPr>
          <w:p w:rsidR="001F0C47" w:rsidRDefault="001F0C47" w:rsidP="002320EB">
            <w:pPr>
              <w:pStyle w:val="Glossarytext"/>
              <w:jc w:val="both"/>
            </w:pPr>
            <w:r>
              <w:t>Regional Universities Network</w:t>
            </w:r>
          </w:p>
        </w:tc>
      </w:tr>
      <w:tr w:rsidR="001F0C47" w:rsidTr="00BB3576">
        <w:tc>
          <w:tcPr>
            <w:tcW w:w="2235" w:type="dxa"/>
            <w:vAlign w:val="bottom"/>
          </w:tcPr>
          <w:p w:rsidR="001F0C47" w:rsidRDefault="001F0C47">
            <w:pPr>
              <w:rPr>
                <w:sz w:val="20"/>
              </w:rPr>
            </w:pPr>
            <w:r>
              <w:rPr>
                <w:sz w:val="20"/>
              </w:rPr>
              <w:t>VET</w:t>
            </w:r>
          </w:p>
        </w:tc>
        <w:tc>
          <w:tcPr>
            <w:tcW w:w="6201" w:type="dxa"/>
          </w:tcPr>
          <w:p w:rsidR="001F0C47" w:rsidRDefault="001F0C47" w:rsidP="002320EB">
            <w:pPr>
              <w:pStyle w:val="Glossarytext"/>
              <w:jc w:val="both"/>
            </w:pPr>
            <w:r>
              <w:t>Vocational Education and Training</w:t>
            </w:r>
          </w:p>
        </w:tc>
      </w:tr>
      <w:bookmarkEnd w:id="1"/>
      <w:bookmarkEnd w:id="2"/>
    </w:tbl>
    <w:p w:rsidR="0084618E" w:rsidRDefault="0084618E" w:rsidP="002320EB">
      <w:pPr>
        <w:pStyle w:val="SingleLeft"/>
        <w:sectPr w:rsidR="0084618E" w:rsidSect="000175EC">
          <w:footerReference w:type="first" r:id="rId11"/>
          <w:pgSz w:w="11906" w:h="16838" w:code="9"/>
          <w:pgMar w:top="2268" w:right="1134" w:bottom="1134" w:left="2552" w:header="720" w:footer="720" w:gutter="0"/>
          <w:pgNumType w:fmt="lowerRoman" w:start="1"/>
          <w:cols w:space="720"/>
          <w:titlePg/>
          <w:docGrid w:linePitch="360"/>
        </w:sectPr>
      </w:pPr>
    </w:p>
    <w:p w:rsidR="00B42CB5" w:rsidRPr="00014351" w:rsidRDefault="00607799" w:rsidP="002320EB">
      <w:pPr>
        <w:pStyle w:val="MajorHeading"/>
        <w:numPr>
          <w:ilvl w:val="0"/>
          <w:numId w:val="0"/>
        </w:numPr>
        <w:jc w:val="both"/>
      </w:pPr>
      <w:bookmarkStart w:id="3" w:name="_Toc465961187"/>
      <w:r>
        <w:lastRenderedPageBreak/>
        <w:t>Executive summary</w:t>
      </w:r>
      <w:bookmarkEnd w:id="3"/>
      <w:r>
        <w:t xml:space="preserve"> </w:t>
      </w:r>
    </w:p>
    <w:p w:rsidR="0055318E" w:rsidRDefault="0055318E" w:rsidP="0055318E">
      <w:pPr>
        <w:pStyle w:val="BodyText"/>
        <w:rPr>
          <w:szCs w:val="22"/>
        </w:rPr>
      </w:pPr>
      <w:r>
        <w:rPr>
          <w:szCs w:val="22"/>
        </w:rPr>
        <w:t>It is well established that</w:t>
      </w:r>
      <w:r w:rsidR="00997DE6">
        <w:rPr>
          <w:szCs w:val="22"/>
        </w:rPr>
        <w:t>, on average,</w:t>
      </w:r>
      <w:r>
        <w:rPr>
          <w:szCs w:val="22"/>
        </w:rPr>
        <w:t xml:space="preserve"> higher education graduates achieve </w:t>
      </w:r>
      <w:r w:rsidRPr="000E4273">
        <w:rPr>
          <w:szCs w:val="22"/>
        </w:rPr>
        <w:t xml:space="preserve">higher labour market outcomes than those with lower </w:t>
      </w:r>
      <w:r>
        <w:rPr>
          <w:szCs w:val="22"/>
        </w:rPr>
        <w:t>level</w:t>
      </w:r>
      <w:r w:rsidRPr="000E4273">
        <w:rPr>
          <w:szCs w:val="22"/>
        </w:rPr>
        <w:t xml:space="preserve"> qualifications – employment rates are</w:t>
      </w:r>
      <w:r>
        <w:rPr>
          <w:szCs w:val="22"/>
        </w:rPr>
        <w:t xml:space="preserve"> higher, average hours worked are higher and, most significantly, lifetime earnings are higher. Although part of this is due to a student’s innate ability and personal characteristics, a large part of this is due to formal education, including higher education.</w:t>
      </w:r>
    </w:p>
    <w:p w:rsidR="0055318E" w:rsidRDefault="0055318E" w:rsidP="0055318E">
      <w:pPr>
        <w:pStyle w:val="BodyText"/>
        <w:rPr>
          <w:szCs w:val="22"/>
        </w:rPr>
      </w:pPr>
      <w:r>
        <w:rPr>
          <w:szCs w:val="22"/>
        </w:rPr>
        <w:t xml:space="preserve">The private benefits individuals receive from higher education reflect in large part the increased labour productivity that results from the knowledge and skills – the </w:t>
      </w:r>
      <w:r>
        <w:rPr>
          <w:i/>
          <w:szCs w:val="22"/>
        </w:rPr>
        <w:t>human capital –</w:t>
      </w:r>
      <w:r>
        <w:rPr>
          <w:szCs w:val="22"/>
        </w:rPr>
        <w:t xml:space="preserve"> they accumulate through their study. This accumulation is a key driver of economic growth and living standards, with broader benefits ‘spilling over’ to the public through increases to government revenue, economic incomes (including wages) and greater levels of employment.</w:t>
      </w:r>
    </w:p>
    <w:p w:rsidR="0055318E" w:rsidRDefault="0055318E" w:rsidP="0055318E">
      <w:pPr>
        <w:pStyle w:val="BodyText"/>
      </w:pPr>
      <w:r>
        <w:t xml:space="preserve">How higher education providers are funded </w:t>
      </w:r>
      <w:r w:rsidR="00A84900">
        <w:t>for</w:t>
      </w:r>
      <w:r>
        <w:t xml:space="preserve"> teaching and learning programs can play an important role in determining how many students graduate with different qualification levels, in different disciplines and across different providers. As such, the design of funding systems plays a critical role in supporting the accumulation of human capital in the economy and driving long-term economic growth.</w:t>
      </w:r>
    </w:p>
    <w:p w:rsidR="0055318E" w:rsidRDefault="0055318E" w:rsidP="0055318E">
      <w:pPr>
        <w:pStyle w:val="BodyText"/>
        <w:rPr>
          <w:szCs w:val="22"/>
        </w:rPr>
      </w:pPr>
      <w:r>
        <w:rPr>
          <w:szCs w:val="22"/>
        </w:rPr>
        <w:t xml:space="preserve">Under current higher education funding arrangements, the total contribution towards teaching and learning at higher education providers (from both private and public sources) is capped by </w:t>
      </w:r>
      <w:r w:rsidR="00DF11BF">
        <w:rPr>
          <w:szCs w:val="22"/>
        </w:rPr>
        <w:t xml:space="preserve">Government </w:t>
      </w:r>
      <w:r w:rsidR="0012359A">
        <w:rPr>
          <w:szCs w:val="22"/>
        </w:rPr>
        <w:t>for the majority of students</w:t>
      </w:r>
      <w:r>
        <w:rPr>
          <w:szCs w:val="22"/>
        </w:rPr>
        <w:t xml:space="preserve">. </w:t>
      </w:r>
      <w:r w:rsidR="002C4CD8">
        <w:rPr>
          <w:szCs w:val="22"/>
        </w:rPr>
        <w:t>I</w:t>
      </w:r>
      <w:r>
        <w:rPr>
          <w:szCs w:val="22"/>
        </w:rPr>
        <w:t>n this context, the principle</w:t>
      </w:r>
      <w:r w:rsidR="00A84900">
        <w:rPr>
          <w:szCs w:val="22"/>
        </w:rPr>
        <w:t>s</w:t>
      </w:r>
      <w:r>
        <w:rPr>
          <w:szCs w:val="22"/>
        </w:rPr>
        <w:t xml:space="preserve"> by which funding rates may be determined </w:t>
      </w:r>
      <w:r w:rsidR="00A84900">
        <w:rPr>
          <w:szCs w:val="22"/>
        </w:rPr>
        <w:t>relate to</w:t>
      </w:r>
      <w:r>
        <w:rPr>
          <w:szCs w:val="22"/>
        </w:rPr>
        <w:t xml:space="preserve"> estimates of efficient costs of delivery and the </w:t>
      </w:r>
      <w:r w:rsidRPr="002C4F48">
        <w:rPr>
          <w:rStyle w:val="Boldword"/>
        </w:rPr>
        <w:t>relative magnitude of private and public benefits from higher education</w:t>
      </w:r>
      <w:r>
        <w:rPr>
          <w:szCs w:val="22"/>
        </w:rPr>
        <w:t>.</w:t>
      </w:r>
    </w:p>
    <w:p w:rsidR="0055318E" w:rsidRDefault="00331477" w:rsidP="0055318E">
      <w:pPr>
        <w:pStyle w:val="BodyText"/>
      </w:pPr>
      <w:r>
        <w:t>This implies</w:t>
      </w:r>
      <w:r w:rsidR="0055318E">
        <w:t xml:space="preserve"> that student and government contributions towards the cost of higher education </w:t>
      </w:r>
      <w:r w:rsidR="0055318E" w:rsidRPr="00F370FC">
        <w:rPr>
          <w:rStyle w:val="Boldword"/>
        </w:rPr>
        <w:t>require an empirical evidence base</w:t>
      </w:r>
      <w:r w:rsidR="0055318E">
        <w:rPr>
          <w:rStyle w:val="Boldword"/>
        </w:rPr>
        <w:t xml:space="preserve"> of private and public benefits</w:t>
      </w:r>
      <w:r w:rsidR="0055318E" w:rsidRPr="00C13EAE">
        <w:rPr>
          <w:rStyle w:val="FootnoteReference"/>
          <w:lang w:eastAsia="en-AU"/>
        </w:rPr>
        <w:footnoteReference w:id="2"/>
      </w:r>
      <w:r w:rsidR="0055318E">
        <w:t>. In the context of the model of delivery for higher education qualifications, this evidence base is necessarily defined at the higher education qualification (e.g. bachelor vs. sub-bachelor)</w:t>
      </w:r>
      <w:r w:rsidR="00DF11BF">
        <w:t xml:space="preserve"> and</w:t>
      </w:r>
      <w:r w:rsidR="0055318E">
        <w:t xml:space="preserve"> discipline</w:t>
      </w:r>
      <w:r w:rsidR="00DF11BF">
        <w:t xml:space="preserve"> level</w:t>
      </w:r>
      <w:r w:rsidR="0055318E">
        <w:t xml:space="preserve"> (i.e. field of education)</w:t>
      </w:r>
      <w:r w:rsidR="00A71E53">
        <w:t>,</w:t>
      </w:r>
      <w:r w:rsidR="0055318E">
        <w:t xml:space="preserve"> and potentially </w:t>
      </w:r>
      <w:r w:rsidR="00DF11BF">
        <w:t xml:space="preserve">by </w:t>
      </w:r>
      <w:r w:rsidR="0055318E">
        <w:t xml:space="preserve">provider </w:t>
      </w:r>
      <w:r w:rsidR="00997DE6">
        <w:t>type</w:t>
      </w:r>
      <w:r w:rsidR="0055318E">
        <w:t>.</w:t>
      </w:r>
    </w:p>
    <w:p w:rsidR="0055318E" w:rsidRDefault="0055318E" w:rsidP="0055318E">
      <w:pPr>
        <w:pStyle w:val="BodyText"/>
      </w:pPr>
      <w:r>
        <w:t xml:space="preserve">While there is extensive </w:t>
      </w:r>
      <w:r w:rsidR="00DF11BF">
        <w:t xml:space="preserve">research </w:t>
      </w:r>
      <w:r>
        <w:t xml:space="preserve">on the aggregate private and public benefits from higher education, there is a relative dearth of empirical research that considers private and public benefits at the </w:t>
      </w:r>
      <w:r w:rsidR="00DF11BF">
        <w:t xml:space="preserve">disaggregated </w:t>
      </w:r>
      <w:r>
        <w:t>levels noted above – and how these might change over time.</w:t>
      </w:r>
    </w:p>
    <w:p w:rsidR="0055318E" w:rsidRDefault="0055318E" w:rsidP="0055318E">
      <w:pPr>
        <w:pStyle w:val="BodyText"/>
        <w:rPr>
          <w:lang w:eastAsia="en-AU"/>
        </w:rPr>
      </w:pPr>
      <w:r>
        <w:t xml:space="preserve">Against this backdrop, the Department of Education and Training </w:t>
      </w:r>
      <w:r w:rsidR="00DF11BF">
        <w:t xml:space="preserve">engaged </w:t>
      </w:r>
      <w:r>
        <w:t xml:space="preserve">Deloitte Access Economics </w:t>
      </w:r>
      <w:r w:rsidRPr="00C725B0">
        <w:rPr>
          <w:lang w:eastAsia="en-AU"/>
        </w:rPr>
        <w:t xml:space="preserve">to </w:t>
      </w:r>
      <w:r w:rsidRPr="000E4273">
        <w:rPr>
          <w:rStyle w:val="Boldword"/>
        </w:rPr>
        <w:t>further develop this empirical evidence base</w:t>
      </w:r>
      <w:r w:rsidRPr="00C725B0">
        <w:rPr>
          <w:lang w:eastAsia="en-AU"/>
        </w:rPr>
        <w:t xml:space="preserve"> </w:t>
      </w:r>
      <w:r>
        <w:rPr>
          <w:lang w:eastAsia="en-AU"/>
        </w:rPr>
        <w:t>regarding the</w:t>
      </w:r>
      <w:r w:rsidRPr="00C725B0">
        <w:rPr>
          <w:lang w:eastAsia="en-AU"/>
        </w:rPr>
        <w:t xml:space="preserve"> </w:t>
      </w:r>
      <w:r>
        <w:rPr>
          <w:lang w:eastAsia="en-AU"/>
        </w:rPr>
        <w:t xml:space="preserve">relative </w:t>
      </w:r>
      <w:r w:rsidRPr="00C725B0">
        <w:rPr>
          <w:lang w:eastAsia="en-AU"/>
        </w:rPr>
        <w:t xml:space="preserve">public and private benefits </w:t>
      </w:r>
      <w:r>
        <w:rPr>
          <w:lang w:eastAsia="en-AU"/>
        </w:rPr>
        <w:t xml:space="preserve">from </w:t>
      </w:r>
      <w:r w:rsidRPr="00C725B0">
        <w:rPr>
          <w:lang w:eastAsia="en-AU"/>
        </w:rPr>
        <w:t>higher education</w:t>
      </w:r>
      <w:r>
        <w:rPr>
          <w:lang w:eastAsia="en-AU"/>
        </w:rPr>
        <w:t xml:space="preserve">. This has been </w:t>
      </w:r>
      <w:r w:rsidRPr="00DF11BF">
        <w:rPr>
          <w:lang w:eastAsia="en-AU"/>
        </w:rPr>
        <w:t xml:space="preserve">achieved by </w:t>
      </w:r>
      <w:r w:rsidRPr="00C13EAE">
        <w:t>building on the existing base</w:t>
      </w:r>
      <w:r>
        <w:rPr>
          <w:lang w:eastAsia="en-AU"/>
        </w:rPr>
        <w:t xml:space="preserve"> of research and </w:t>
      </w:r>
      <w:r w:rsidRPr="00C13EAE">
        <w:rPr>
          <w:rStyle w:val="Boldword"/>
        </w:rPr>
        <w:t>employing new empirical methods</w:t>
      </w:r>
      <w:r>
        <w:rPr>
          <w:lang w:eastAsia="en-AU"/>
        </w:rPr>
        <w:t xml:space="preserve"> to: (1) more comprehensively estimate the extent of private and public benefits from higher education; and (2) do so at a greater level of detail.</w:t>
      </w:r>
    </w:p>
    <w:p w:rsidR="0055318E" w:rsidRDefault="0055318E" w:rsidP="0055318E">
      <w:pPr>
        <w:pStyle w:val="HeadingC"/>
      </w:pPr>
      <w:r>
        <w:lastRenderedPageBreak/>
        <w:t>Depth and extent of the existing literature</w:t>
      </w:r>
    </w:p>
    <w:p w:rsidR="0055318E" w:rsidRDefault="0055318E" w:rsidP="0055318E">
      <w:pPr>
        <w:pStyle w:val="BodyText"/>
      </w:pPr>
      <w:r>
        <w:t>Private and public benefits are known to have market and non-market dimensions (</w:t>
      </w:r>
      <w:r>
        <w:fldChar w:fldCharType="begin"/>
      </w:r>
      <w:r>
        <w:instrText xml:space="preserve"> REF _Ref457501160 \r \h </w:instrText>
      </w:r>
      <w:r>
        <w:fldChar w:fldCharType="separate"/>
      </w:r>
      <w:r w:rsidR="00534F9F">
        <w:t>Table i</w:t>
      </w:r>
      <w:r>
        <w:fldChar w:fldCharType="end"/>
      </w:r>
      <w:r>
        <w:t>):</w:t>
      </w:r>
    </w:p>
    <w:p w:rsidR="0055318E" w:rsidRDefault="0055318E" w:rsidP="0055318E">
      <w:pPr>
        <w:pStyle w:val="Bullet1"/>
      </w:pPr>
      <w:r>
        <w:t xml:space="preserve">Market benefits are measured in terms of economic output, with public market benefits generally captured by income measures that result from increased levels of labour productivity. </w:t>
      </w:r>
    </w:p>
    <w:p w:rsidR="0055318E" w:rsidRDefault="0055318E" w:rsidP="0055318E">
      <w:pPr>
        <w:pStyle w:val="Bullet1"/>
      </w:pPr>
      <w:r>
        <w:t>Non-market benefits – which may be measured in pecuniary or non-pecuniary terms – are broader in nature, and capture benefits to individuals and society that manifest, often indirectly, from higher levels of educational attainment and human capital.</w:t>
      </w:r>
    </w:p>
    <w:p w:rsidR="0055318E" w:rsidRPr="00654B96" w:rsidRDefault="0055318E" w:rsidP="0055318E">
      <w:pPr>
        <w:pStyle w:val="BodyText"/>
        <w:rPr>
          <w:rStyle w:val="Boldword"/>
          <w:b w:val="0"/>
          <w:color w:val="auto"/>
        </w:rPr>
      </w:pPr>
      <w:r>
        <w:rPr>
          <w:rStyle w:val="Boldword"/>
          <w:b w:val="0"/>
          <w:color w:val="auto"/>
        </w:rPr>
        <w:t>For reasons of tractability in empirical analysis, previous studies primarily focus on quantitative measures of market benefits from higher education, with non-market benefits broadly referenced in qualitative terms.</w:t>
      </w:r>
    </w:p>
    <w:p w:rsidR="0055318E" w:rsidRPr="00654B96" w:rsidRDefault="0055318E" w:rsidP="0055318E">
      <w:pPr>
        <w:pStyle w:val="ExecTableCaption"/>
        <w:rPr>
          <w:rStyle w:val="Boldword"/>
          <w:b/>
          <w:i/>
          <w:color w:val="002776" w:themeColor="accent1"/>
        </w:rPr>
      </w:pPr>
      <w:bookmarkStart w:id="4" w:name="_Ref457501160"/>
      <w:r w:rsidRPr="00654B96">
        <w:rPr>
          <w:rStyle w:val="Boldword"/>
          <w:b/>
          <w:color w:val="002776" w:themeColor="accent1"/>
        </w:rPr>
        <w:t>:</w:t>
      </w:r>
      <w:r w:rsidRPr="00654B96">
        <w:rPr>
          <w:rStyle w:val="Boldword"/>
          <w:b/>
          <w:i/>
          <w:color w:val="002776" w:themeColor="accent1"/>
        </w:rPr>
        <w:t xml:space="preserve"> </w:t>
      </w:r>
      <w:r w:rsidRPr="00654B96">
        <w:rPr>
          <w:rStyle w:val="Boldword"/>
          <w:b/>
          <w:color w:val="002776" w:themeColor="accent1"/>
        </w:rPr>
        <w:t xml:space="preserve">Common </w:t>
      </w:r>
      <w:r>
        <w:rPr>
          <w:rStyle w:val="Boldword"/>
          <w:b/>
          <w:color w:val="002776" w:themeColor="accent1"/>
        </w:rPr>
        <w:t xml:space="preserve">higher education </w:t>
      </w:r>
      <w:r w:rsidRPr="00654B96">
        <w:rPr>
          <w:rStyle w:val="Boldword"/>
          <w:b/>
          <w:color w:val="002776" w:themeColor="accent1"/>
        </w:rPr>
        <w:t>benefit measures</w:t>
      </w:r>
      <w:bookmarkEnd w:id="4"/>
    </w:p>
    <w:tbl>
      <w:tblPr>
        <w:tblStyle w:val="TableAETotals"/>
        <w:tblW w:w="8908" w:type="dxa"/>
        <w:jc w:val="center"/>
        <w:tblLook w:val="0420" w:firstRow="1" w:lastRow="0" w:firstColumn="0" w:lastColumn="0" w:noHBand="0" w:noVBand="1"/>
      </w:tblPr>
      <w:tblGrid>
        <w:gridCol w:w="1239"/>
        <w:gridCol w:w="3449"/>
        <w:gridCol w:w="4220"/>
      </w:tblGrid>
      <w:tr w:rsidR="0055318E" w:rsidRPr="009F491F" w:rsidTr="0083262F">
        <w:trPr>
          <w:cnfStyle w:val="100000000000" w:firstRow="1" w:lastRow="0" w:firstColumn="0" w:lastColumn="0" w:oddVBand="0" w:evenVBand="0" w:oddHBand="0" w:evenHBand="0" w:firstRowFirstColumn="0" w:firstRowLastColumn="0" w:lastRowFirstColumn="0" w:lastRowLastColumn="0"/>
          <w:trHeight w:val="40"/>
          <w:jc w:val="center"/>
        </w:trPr>
        <w:tc>
          <w:tcPr>
            <w:tcW w:w="1239" w:type="dxa"/>
            <w:hideMark/>
          </w:tcPr>
          <w:p w:rsidR="0055318E" w:rsidRPr="009F491F" w:rsidRDefault="0055318E" w:rsidP="0083262F">
            <w:pPr>
              <w:rPr>
                <w:rFonts w:ascii="Arial" w:hAnsi="Arial" w:cs="Arial"/>
                <w:sz w:val="20"/>
                <w:lang w:eastAsia="en-AU"/>
              </w:rPr>
            </w:pPr>
          </w:p>
        </w:tc>
        <w:tc>
          <w:tcPr>
            <w:tcW w:w="3449" w:type="dxa"/>
            <w:hideMark/>
          </w:tcPr>
          <w:p w:rsidR="0055318E" w:rsidRPr="009F491F" w:rsidRDefault="0055318E" w:rsidP="0083262F">
            <w:pPr>
              <w:jc w:val="center"/>
              <w:rPr>
                <w:rFonts w:ascii="Arial" w:hAnsi="Arial" w:cs="Arial"/>
                <w:sz w:val="20"/>
                <w:lang w:eastAsia="en-AU"/>
              </w:rPr>
            </w:pPr>
            <w:r w:rsidRPr="009F491F">
              <w:rPr>
                <w:rFonts w:cs="Arial"/>
                <w:b/>
                <w:bCs/>
                <w:color w:val="000000"/>
                <w:kern w:val="24"/>
                <w:sz w:val="20"/>
                <w:lang w:eastAsia="en-AU"/>
              </w:rPr>
              <w:t>Private</w:t>
            </w:r>
          </w:p>
        </w:tc>
        <w:tc>
          <w:tcPr>
            <w:tcW w:w="0" w:type="auto"/>
            <w:hideMark/>
          </w:tcPr>
          <w:p w:rsidR="0055318E" w:rsidRPr="009F491F" w:rsidRDefault="0055318E" w:rsidP="0083262F">
            <w:pPr>
              <w:jc w:val="center"/>
              <w:rPr>
                <w:rFonts w:ascii="Arial" w:hAnsi="Arial" w:cs="Arial"/>
                <w:sz w:val="20"/>
                <w:lang w:eastAsia="en-AU"/>
              </w:rPr>
            </w:pPr>
            <w:r w:rsidRPr="009F491F">
              <w:rPr>
                <w:rFonts w:cs="Arial"/>
                <w:b/>
                <w:bCs/>
                <w:color w:val="000000"/>
                <w:kern w:val="24"/>
                <w:sz w:val="20"/>
                <w:lang w:eastAsia="en-AU"/>
              </w:rPr>
              <w:t>Public</w:t>
            </w:r>
          </w:p>
        </w:tc>
      </w:tr>
      <w:tr w:rsidR="0055318E" w:rsidRPr="009F491F" w:rsidTr="0083262F">
        <w:trPr>
          <w:trHeight w:val="345"/>
          <w:jc w:val="center"/>
        </w:trPr>
        <w:tc>
          <w:tcPr>
            <w:tcW w:w="1239" w:type="dxa"/>
            <w:vMerge w:val="restart"/>
            <w:tcBorders>
              <w:top w:val="single" w:sz="8" w:space="0" w:color="002776"/>
              <w:bottom w:val="nil"/>
            </w:tcBorders>
            <w:vAlign w:val="center"/>
            <w:hideMark/>
          </w:tcPr>
          <w:p w:rsidR="0055318E" w:rsidRPr="009F491F" w:rsidRDefault="0055318E" w:rsidP="0083262F">
            <w:pPr>
              <w:rPr>
                <w:rFonts w:ascii="Arial" w:hAnsi="Arial" w:cs="Arial"/>
                <w:sz w:val="20"/>
                <w:lang w:eastAsia="en-AU"/>
              </w:rPr>
            </w:pPr>
            <w:r w:rsidRPr="009F491F">
              <w:rPr>
                <w:rFonts w:cs="Arial"/>
                <w:b/>
                <w:bCs/>
                <w:color w:val="000000"/>
                <w:kern w:val="24"/>
                <w:sz w:val="20"/>
                <w:lang w:eastAsia="en-AU"/>
              </w:rPr>
              <w:t>Market</w:t>
            </w:r>
          </w:p>
        </w:tc>
        <w:tc>
          <w:tcPr>
            <w:tcW w:w="3449" w:type="dxa"/>
            <w:vMerge w:val="restart"/>
            <w:tcBorders>
              <w:top w:val="single" w:sz="8" w:space="0" w:color="002776"/>
              <w:bottom w:val="nil"/>
            </w:tcBorders>
            <w:vAlign w:val="center"/>
            <w:hideMark/>
          </w:tcPr>
          <w:p w:rsidR="0055318E" w:rsidRPr="009F491F" w:rsidRDefault="0055318E" w:rsidP="0083262F">
            <w:pPr>
              <w:rPr>
                <w:rFonts w:ascii="Arial" w:hAnsi="Arial" w:cs="Arial"/>
                <w:sz w:val="20"/>
                <w:lang w:eastAsia="en-AU"/>
              </w:rPr>
            </w:pPr>
            <w:r w:rsidRPr="009F491F">
              <w:rPr>
                <w:rFonts w:cs="Arial"/>
                <w:color w:val="000000"/>
                <w:kern w:val="24"/>
                <w:sz w:val="20"/>
                <w:lang w:eastAsia="en-AU"/>
              </w:rPr>
              <w:t>Increased earnings (through employment and productivity effects)</w:t>
            </w:r>
          </w:p>
        </w:tc>
        <w:tc>
          <w:tcPr>
            <w:tcW w:w="0" w:type="auto"/>
            <w:tcBorders>
              <w:top w:val="single" w:sz="8" w:space="0" w:color="002776"/>
              <w:bottom w:val="nil"/>
            </w:tcBorders>
            <w:vAlign w:val="center"/>
            <w:hideMark/>
          </w:tcPr>
          <w:p w:rsidR="0055318E" w:rsidRPr="009F491F" w:rsidRDefault="0055318E" w:rsidP="0083262F">
            <w:pPr>
              <w:rPr>
                <w:rFonts w:ascii="Arial" w:hAnsi="Arial" w:cs="Arial"/>
                <w:sz w:val="20"/>
                <w:lang w:eastAsia="en-AU"/>
              </w:rPr>
            </w:pPr>
            <w:r w:rsidRPr="009F491F">
              <w:rPr>
                <w:rFonts w:cs="Arial"/>
                <w:color w:val="000000"/>
                <w:kern w:val="24"/>
                <w:sz w:val="20"/>
                <w:lang w:eastAsia="en-AU"/>
              </w:rPr>
              <w:t>Net government receipts</w:t>
            </w:r>
          </w:p>
        </w:tc>
      </w:tr>
      <w:tr w:rsidR="0055318E" w:rsidRPr="009F491F" w:rsidTr="0083262F">
        <w:trPr>
          <w:trHeight w:val="70"/>
          <w:jc w:val="center"/>
        </w:trPr>
        <w:tc>
          <w:tcPr>
            <w:tcW w:w="1239" w:type="dxa"/>
            <w:vMerge/>
            <w:tcBorders>
              <w:top w:val="nil"/>
              <w:bottom w:val="single" w:sz="4" w:space="0" w:color="auto"/>
            </w:tcBorders>
            <w:vAlign w:val="center"/>
            <w:hideMark/>
          </w:tcPr>
          <w:p w:rsidR="0055318E" w:rsidRPr="009F491F" w:rsidRDefault="0055318E" w:rsidP="0083262F">
            <w:pPr>
              <w:rPr>
                <w:rFonts w:ascii="Arial" w:hAnsi="Arial" w:cs="Arial"/>
                <w:sz w:val="20"/>
                <w:lang w:eastAsia="en-AU"/>
              </w:rPr>
            </w:pPr>
          </w:p>
        </w:tc>
        <w:tc>
          <w:tcPr>
            <w:tcW w:w="3449" w:type="dxa"/>
            <w:vMerge/>
            <w:tcBorders>
              <w:top w:val="nil"/>
              <w:bottom w:val="single" w:sz="4" w:space="0" w:color="auto"/>
            </w:tcBorders>
            <w:vAlign w:val="center"/>
            <w:hideMark/>
          </w:tcPr>
          <w:p w:rsidR="0055318E" w:rsidRPr="009F491F" w:rsidRDefault="0055318E" w:rsidP="0083262F">
            <w:pPr>
              <w:rPr>
                <w:rFonts w:ascii="Arial" w:hAnsi="Arial" w:cs="Arial"/>
                <w:sz w:val="20"/>
                <w:lang w:eastAsia="en-AU"/>
              </w:rPr>
            </w:pPr>
          </w:p>
        </w:tc>
        <w:tc>
          <w:tcPr>
            <w:tcW w:w="0" w:type="auto"/>
            <w:tcBorders>
              <w:top w:val="nil"/>
              <w:bottom w:val="single" w:sz="4" w:space="0" w:color="auto"/>
            </w:tcBorders>
            <w:shd w:val="clear" w:color="auto" w:fill="auto"/>
            <w:vAlign w:val="center"/>
            <w:hideMark/>
          </w:tcPr>
          <w:p w:rsidR="0055318E" w:rsidRPr="00654B96" w:rsidRDefault="0055318E" w:rsidP="0083262F">
            <w:pPr>
              <w:rPr>
                <w:rStyle w:val="Boldword"/>
                <w:b w:val="0"/>
                <w:color w:val="auto"/>
                <w:sz w:val="20"/>
              </w:rPr>
            </w:pPr>
            <w:r>
              <w:rPr>
                <w:rStyle w:val="Boldword"/>
                <w:b w:val="0"/>
                <w:color w:val="auto"/>
                <w:sz w:val="20"/>
              </w:rPr>
              <w:t>Labour p</w:t>
            </w:r>
            <w:r w:rsidRPr="00654B96">
              <w:rPr>
                <w:rStyle w:val="Boldword"/>
                <w:b w:val="0"/>
                <w:color w:val="auto"/>
                <w:sz w:val="20"/>
              </w:rPr>
              <w:t>roductivity spillovers</w:t>
            </w:r>
            <w:r>
              <w:rPr>
                <w:rStyle w:val="Boldword"/>
                <w:b w:val="0"/>
                <w:color w:val="auto"/>
                <w:sz w:val="20"/>
              </w:rPr>
              <w:t xml:space="preserve"> </w:t>
            </w:r>
          </w:p>
        </w:tc>
      </w:tr>
      <w:tr w:rsidR="0055318E" w:rsidRPr="009F491F" w:rsidTr="0083262F">
        <w:trPr>
          <w:trHeight w:val="584"/>
          <w:jc w:val="center"/>
        </w:trPr>
        <w:tc>
          <w:tcPr>
            <w:tcW w:w="1239" w:type="dxa"/>
            <w:tcBorders>
              <w:top w:val="single" w:sz="4" w:space="0" w:color="auto"/>
            </w:tcBorders>
            <w:vAlign w:val="center"/>
            <w:hideMark/>
          </w:tcPr>
          <w:p w:rsidR="0055318E" w:rsidRPr="009F491F" w:rsidRDefault="0055318E" w:rsidP="0083262F">
            <w:pPr>
              <w:rPr>
                <w:rFonts w:ascii="Arial" w:hAnsi="Arial" w:cs="Arial"/>
                <w:sz w:val="20"/>
                <w:lang w:eastAsia="en-AU"/>
              </w:rPr>
            </w:pPr>
            <w:r w:rsidRPr="009F491F">
              <w:rPr>
                <w:rFonts w:cs="Arial"/>
                <w:b/>
                <w:bCs/>
                <w:color w:val="000000"/>
                <w:kern w:val="24"/>
                <w:sz w:val="20"/>
                <w:lang w:eastAsia="en-AU"/>
              </w:rPr>
              <w:t xml:space="preserve">Non-market </w:t>
            </w:r>
          </w:p>
        </w:tc>
        <w:tc>
          <w:tcPr>
            <w:tcW w:w="3449" w:type="dxa"/>
            <w:tcBorders>
              <w:top w:val="single" w:sz="4" w:space="0" w:color="auto"/>
            </w:tcBorders>
            <w:vAlign w:val="center"/>
            <w:hideMark/>
          </w:tcPr>
          <w:p w:rsidR="0055318E" w:rsidRPr="009F491F" w:rsidRDefault="0055318E" w:rsidP="0083262F">
            <w:pPr>
              <w:rPr>
                <w:rFonts w:ascii="Arial" w:hAnsi="Arial" w:cs="Arial"/>
                <w:sz w:val="20"/>
                <w:lang w:eastAsia="en-AU"/>
              </w:rPr>
            </w:pPr>
            <w:r w:rsidRPr="009F491F">
              <w:rPr>
                <w:rFonts w:cs="Arial"/>
                <w:color w:val="000000"/>
                <w:kern w:val="24"/>
                <w:sz w:val="20"/>
                <w:lang w:eastAsia="en-AU"/>
              </w:rPr>
              <w:t>Improved health and wellbeing, pure consumption effects</w:t>
            </w:r>
            <w:r>
              <w:rPr>
                <w:rFonts w:cs="Arial"/>
                <w:color w:val="000000"/>
                <w:kern w:val="24"/>
                <w:sz w:val="20"/>
                <w:lang w:eastAsia="en-AU"/>
              </w:rPr>
              <w:t>, etc.</w:t>
            </w:r>
          </w:p>
        </w:tc>
        <w:tc>
          <w:tcPr>
            <w:tcW w:w="0" w:type="auto"/>
            <w:tcBorders>
              <w:top w:val="single" w:sz="4" w:space="0" w:color="auto"/>
            </w:tcBorders>
            <w:vAlign w:val="center"/>
            <w:hideMark/>
          </w:tcPr>
          <w:p w:rsidR="0055318E" w:rsidRPr="009F491F" w:rsidRDefault="0055318E" w:rsidP="0083262F">
            <w:pPr>
              <w:rPr>
                <w:rFonts w:ascii="Arial" w:hAnsi="Arial" w:cs="Arial"/>
                <w:sz w:val="20"/>
                <w:lang w:eastAsia="en-AU"/>
              </w:rPr>
            </w:pPr>
            <w:r w:rsidRPr="009F491F">
              <w:rPr>
                <w:rFonts w:cs="Arial"/>
                <w:color w:val="000000"/>
                <w:kern w:val="24"/>
                <w:sz w:val="20"/>
                <w:lang w:eastAsia="en-AU"/>
              </w:rPr>
              <w:t>Broader benefits like increased political stability, lower rates of poverty</w:t>
            </w:r>
            <w:r>
              <w:rPr>
                <w:rFonts w:cs="Arial"/>
                <w:color w:val="000000"/>
                <w:kern w:val="24"/>
                <w:sz w:val="20"/>
                <w:lang w:eastAsia="en-AU"/>
              </w:rPr>
              <w:t xml:space="preserve"> or</w:t>
            </w:r>
            <w:r w:rsidRPr="009F491F">
              <w:rPr>
                <w:rFonts w:cs="Arial"/>
                <w:color w:val="000000"/>
                <w:kern w:val="24"/>
                <w:sz w:val="20"/>
                <w:lang w:eastAsia="en-AU"/>
              </w:rPr>
              <w:t xml:space="preserve"> reduced inequality.</w:t>
            </w:r>
          </w:p>
        </w:tc>
      </w:tr>
    </w:tbl>
    <w:p w:rsidR="0055318E" w:rsidRPr="00F370FC" w:rsidRDefault="0055318E" w:rsidP="0055318E">
      <w:pPr>
        <w:pStyle w:val="BodyText"/>
        <w:rPr>
          <w:rStyle w:val="Boldword"/>
          <w:i/>
          <w:color w:val="00B0F0"/>
        </w:rPr>
      </w:pPr>
      <w:r w:rsidRPr="00F370FC">
        <w:rPr>
          <w:rStyle w:val="Boldword"/>
          <w:i/>
          <w:color w:val="00B0F0"/>
        </w:rPr>
        <w:t>Private</w:t>
      </w:r>
      <w:r>
        <w:rPr>
          <w:rStyle w:val="Boldword"/>
          <w:i/>
          <w:color w:val="00B0F0"/>
        </w:rPr>
        <w:t xml:space="preserve"> market</w:t>
      </w:r>
      <w:r w:rsidRPr="00F370FC">
        <w:rPr>
          <w:rStyle w:val="Boldword"/>
          <w:i/>
          <w:color w:val="00B0F0"/>
        </w:rPr>
        <w:t xml:space="preserve"> benefits</w:t>
      </w:r>
    </w:p>
    <w:p w:rsidR="0055318E" w:rsidRDefault="0055318E" w:rsidP="0055318E">
      <w:pPr>
        <w:pStyle w:val="BodyText"/>
      </w:pPr>
      <w:r>
        <w:t>Some Australian studies have considered the private returns to higher education by qualification, discipline and provider (Daly et al., 2015; and Norton, 2014). These studies use an accounting method to measure the total returns to higher education over an individual’s lifetime, calculating total income for the average worker with a given higher education qualification, relative to the average worker with no post-school qualification.</w:t>
      </w:r>
    </w:p>
    <w:p w:rsidR="0055318E" w:rsidRPr="00856E31" w:rsidRDefault="0055318E" w:rsidP="0055318E">
      <w:pPr>
        <w:pStyle w:val="BodyText"/>
      </w:pPr>
      <w:r>
        <w:t xml:space="preserve">These studies, while being detailed in their scope, typically </w:t>
      </w:r>
      <w:r w:rsidRPr="000E4273">
        <w:rPr>
          <w:rStyle w:val="Boldword"/>
        </w:rPr>
        <w:t>over-estimate the causal return from higher education</w:t>
      </w:r>
      <w:r>
        <w:t xml:space="preserve"> attainment. This is because they do not recognise the differences in demographic characteristics and innate ability between individuals who do and do not have a higher education qualification, thereby conflating demographic and inherent ability drivers of private wages and employment outcomes with qualification returns.</w:t>
      </w:r>
    </w:p>
    <w:p w:rsidR="0055318E" w:rsidRDefault="0055318E" w:rsidP="0055318E">
      <w:pPr>
        <w:pStyle w:val="BodyText"/>
      </w:pPr>
      <w:r>
        <w:t xml:space="preserve">A number of Australian studies have sought to account for these inherent cohort biases in observed wage and employment outcomes through the use of econometric methods (Wilkins, 2015; and Leigh, 2008). However these studies, while providing more accurate measures of private benefits, </w:t>
      </w:r>
      <w:r w:rsidRPr="000E4273">
        <w:rPr>
          <w:rStyle w:val="Boldword"/>
        </w:rPr>
        <w:t xml:space="preserve">have not determined </w:t>
      </w:r>
      <w:r>
        <w:rPr>
          <w:rStyle w:val="Boldword"/>
        </w:rPr>
        <w:t xml:space="preserve">a consensus view on the </w:t>
      </w:r>
      <w:r w:rsidRPr="000E4273">
        <w:rPr>
          <w:rStyle w:val="Boldword"/>
        </w:rPr>
        <w:t>relative private benefits by higher education discipline</w:t>
      </w:r>
      <w:r>
        <w:t xml:space="preserve"> (i.e. field of education). </w:t>
      </w:r>
    </w:p>
    <w:p w:rsidR="0055318E" w:rsidRPr="00F370FC" w:rsidRDefault="0055318E" w:rsidP="0055318E">
      <w:pPr>
        <w:pStyle w:val="BodyText"/>
        <w:rPr>
          <w:rStyle w:val="Boldword"/>
          <w:i/>
          <w:color w:val="00B0F0"/>
        </w:rPr>
      </w:pPr>
      <w:r>
        <w:rPr>
          <w:rStyle w:val="Boldword"/>
          <w:i/>
          <w:color w:val="00B0F0"/>
        </w:rPr>
        <w:t>Public</w:t>
      </w:r>
      <w:r w:rsidRPr="00F370FC">
        <w:rPr>
          <w:rStyle w:val="Boldword"/>
          <w:i/>
          <w:color w:val="00B0F0"/>
        </w:rPr>
        <w:t xml:space="preserve"> </w:t>
      </w:r>
      <w:r>
        <w:rPr>
          <w:rStyle w:val="Boldword"/>
          <w:i/>
          <w:color w:val="00B0F0"/>
        </w:rPr>
        <w:t xml:space="preserve">market </w:t>
      </w:r>
      <w:r w:rsidRPr="00F370FC">
        <w:rPr>
          <w:rStyle w:val="Boldword"/>
          <w:i/>
          <w:color w:val="00B0F0"/>
        </w:rPr>
        <w:t>benefits</w:t>
      </w:r>
    </w:p>
    <w:p w:rsidR="0055318E" w:rsidRDefault="0055318E" w:rsidP="0055318E">
      <w:pPr>
        <w:pStyle w:val="BodyText"/>
      </w:pPr>
      <w:r>
        <w:t xml:space="preserve">Relative to research on the private returns to higher education, few studies have sought to comprehensively estimate the public returns from higher education. </w:t>
      </w:r>
    </w:p>
    <w:p w:rsidR="0055318E" w:rsidRDefault="0055318E" w:rsidP="0055318E">
      <w:pPr>
        <w:pStyle w:val="BodyText"/>
      </w:pPr>
      <w:r>
        <w:t xml:space="preserve">Recent studies by Norton (2012) and the OECD (2014) have measured public benefits solely through additional net receipts to government, which result from </w:t>
      </w:r>
      <w:r w:rsidR="00DF11BF">
        <w:t xml:space="preserve">the </w:t>
      </w:r>
      <w:r>
        <w:t xml:space="preserve">higher income levels </w:t>
      </w:r>
      <w:r>
        <w:lastRenderedPageBreak/>
        <w:t xml:space="preserve">that follow from higher education attainment. Most notably, these studies </w:t>
      </w:r>
      <w:r w:rsidRPr="000E4273">
        <w:rPr>
          <w:rStyle w:val="Boldword"/>
        </w:rPr>
        <w:t>have not sought to capture any broader market-based spillover benefits</w:t>
      </w:r>
      <w:r>
        <w:t xml:space="preserve"> that result from increased levels of labour productivity due to higher levels of human capital in the economy.</w:t>
      </w:r>
    </w:p>
    <w:p w:rsidR="0055318E" w:rsidRDefault="0055318E" w:rsidP="0055318E">
      <w:pPr>
        <w:pStyle w:val="BodyText"/>
      </w:pPr>
      <w:r>
        <w:t>Chapman and Lounkaew (2011</w:t>
      </w:r>
      <w:r w:rsidR="00D97DE2">
        <w:t>,</w:t>
      </w:r>
      <w:r>
        <w:t xml:space="preserve"> 2015) is the most notable Australian study that has sought to measure the broader public benefits from higher education. This study incorporates returns to government through taxation (like Norton, 2012) as well as additional spillover returns drawn directly from McMahon (2004)</w:t>
      </w:r>
      <w:r>
        <w:rPr>
          <w:rStyle w:val="FootnoteReference"/>
        </w:rPr>
        <w:footnoteReference w:id="3"/>
      </w:r>
      <w:r>
        <w:t xml:space="preserve">. Overall, however, these public benefit measures are considered by the authors to be ‘uncomfortably aggregate’ in nature, and </w:t>
      </w:r>
      <w:r w:rsidRPr="000E4273">
        <w:rPr>
          <w:rStyle w:val="Boldword"/>
        </w:rPr>
        <w:t>are not defined at a discipline, qualification or provider level</w:t>
      </w:r>
      <w:r>
        <w:t>.</w:t>
      </w:r>
    </w:p>
    <w:p w:rsidR="0055318E" w:rsidRDefault="0055318E" w:rsidP="0055318E">
      <w:pPr>
        <w:pStyle w:val="BodyText"/>
        <w:rPr>
          <w:rStyle w:val="Boldword"/>
          <w:i/>
          <w:color w:val="00B0F0"/>
        </w:rPr>
      </w:pPr>
      <w:r>
        <w:rPr>
          <w:rStyle w:val="Boldword"/>
          <w:i/>
          <w:color w:val="00B0F0"/>
        </w:rPr>
        <w:t xml:space="preserve">Summarising the scope for this study to extend the established evidence base </w:t>
      </w:r>
    </w:p>
    <w:p w:rsidR="0055318E" w:rsidRDefault="0055318E" w:rsidP="0055318E">
      <w:pPr>
        <w:pStyle w:val="BodyText"/>
        <w:rPr>
          <w:lang w:eastAsia="en-AU"/>
        </w:rPr>
      </w:pPr>
      <w:r>
        <w:rPr>
          <w:lang w:eastAsia="en-AU"/>
        </w:rPr>
        <w:t xml:space="preserve">Given the frame of reference regarding higher education funding provided above – and in light of the evidence required to systematically and confidentially inform this – a number of limitations exist in the current empirical evidence base. These gaps, which are summarised at </w:t>
      </w:r>
      <w:r>
        <w:rPr>
          <w:lang w:eastAsia="en-AU"/>
        </w:rPr>
        <w:fldChar w:fldCharType="begin"/>
      </w:r>
      <w:r>
        <w:rPr>
          <w:lang w:eastAsia="en-AU"/>
        </w:rPr>
        <w:instrText xml:space="preserve"> REF _Ref457504429 \r \h </w:instrText>
      </w:r>
      <w:r>
        <w:rPr>
          <w:lang w:eastAsia="en-AU"/>
        </w:rPr>
      </w:r>
      <w:r>
        <w:rPr>
          <w:lang w:eastAsia="en-AU"/>
        </w:rPr>
        <w:fldChar w:fldCharType="separate"/>
      </w:r>
      <w:r w:rsidR="00534F9F">
        <w:rPr>
          <w:lang w:eastAsia="en-AU"/>
        </w:rPr>
        <w:t>Table ii</w:t>
      </w:r>
      <w:r>
        <w:rPr>
          <w:lang w:eastAsia="en-AU"/>
        </w:rPr>
        <w:fldChar w:fldCharType="end"/>
      </w:r>
      <w:r>
        <w:rPr>
          <w:lang w:eastAsia="en-AU"/>
        </w:rPr>
        <w:t>, include:</w:t>
      </w:r>
    </w:p>
    <w:p w:rsidR="0055318E" w:rsidRDefault="0055318E" w:rsidP="0055318E">
      <w:pPr>
        <w:pStyle w:val="Bullet1"/>
      </w:pPr>
      <w:r>
        <w:t xml:space="preserve">econometric estimates of private benefits that are defined at a discipline level, and </w:t>
      </w:r>
    </w:p>
    <w:p w:rsidR="0055318E" w:rsidRDefault="0055318E" w:rsidP="0055318E">
      <w:pPr>
        <w:pStyle w:val="Bullet1"/>
      </w:pPr>
      <w:proofErr w:type="gramStart"/>
      <w:r>
        <w:t>robust</w:t>
      </w:r>
      <w:proofErr w:type="gramEnd"/>
      <w:r>
        <w:t xml:space="preserve"> estimates of broader market-based spillovers, defined at all levels of higher education.</w:t>
      </w:r>
    </w:p>
    <w:p w:rsidR="0055318E" w:rsidRDefault="0055318E" w:rsidP="0055318E">
      <w:pPr>
        <w:pStyle w:val="BodyText"/>
        <w:rPr>
          <w:lang w:eastAsia="en-AU"/>
        </w:rPr>
      </w:pPr>
      <w:r>
        <w:rPr>
          <w:lang w:eastAsia="en-AU"/>
        </w:rPr>
        <w:t>As well as attempting to extend the evidence base in these areas, this study provides the first opportunity to bring all of these considerations together in a single contemporary and Australian-specific report.</w:t>
      </w:r>
    </w:p>
    <w:p w:rsidR="0055318E" w:rsidRPr="00A078D3" w:rsidRDefault="0055318E" w:rsidP="0055318E">
      <w:pPr>
        <w:pStyle w:val="ExecTableCaption"/>
        <w:rPr>
          <w:lang w:eastAsia="en-AU"/>
        </w:rPr>
      </w:pPr>
      <w:bookmarkStart w:id="5" w:name="_Ref457504429"/>
      <w:r>
        <w:rPr>
          <w:lang w:eastAsia="en-AU"/>
        </w:rPr>
        <w:t>: Recent empirical research on market benefits, and the gaps filled by this study</w:t>
      </w:r>
      <w:bookmarkEnd w:id="5"/>
    </w:p>
    <w:tbl>
      <w:tblPr>
        <w:tblStyle w:val="TableAETotals1"/>
        <w:tblW w:w="0" w:type="auto"/>
        <w:tblLook w:val="0420" w:firstRow="1" w:lastRow="0" w:firstColumn="0" w:lastColumn="0" w:noHBand="0" w:noVBand="1"/>
      </w:tblPr>
      <w:tblGrid>
        <w:gridCol w:w="1648"/>
        <w:gridCol w:w="1518"/>
        <w:gridCol w:w="1518"/>
        <w:gridCol w:w="1567"/>
        <w:gridCol w:w="1969"/>
      </w:tblGrid>
      <w:tr w:rsidR="0055318E" w:rsidRPr="00A078D3" w:rsidTr="0083262F">
        <w:trPr>
          <w:cnfStyle w:val="100000000000" w:firstRow="1" w:lastRow="0" w:firstColumn="0" w:lastColumn="0" w:oddVBand="0" w:evenVBand="0" w:oddHBand="0" w:evenHBand="0" w:firstRowFirstColumn="0" w:firstRowLastColumn="0" w:lastRowFirstColumn="0" w:lastRowLastColumn="0"/>
          <w:trHeight w:val="92"/>
        </w:trPr>
        <w:tc>
          <w:tcPr>
            <w:tcW w:w="0" w:type="auto"/>
            <w:tcBorders>
              <w:bottom w:val="nil"/>
            </w:tcBorders>
          </w:tcPr>
          <w:p w:rsidR="0055318E" w:rsidRPr="00A078D3" w:rsidRDefault="0055318E" w:rsidP="0083262F">
            <w:pPr>
              <w:pStyle w:val="BodyText"/>
              <w:spacing w:before="0"/>
              <w:rPr>
                <w:sz w:val="20"/>
              </w:rPr>
            </w:pPr>
          </w:p>
        </w:tc>
        <w:tc>
          <w:tcPr>
            <w:tcW w:w="0" w:type="auto"/>
            <w:gridSpan w:val="2"/>
            <w:tcBorders>
              <w:bottom w:val="single" w:sz="4" w:space="0" w:color="002776" w:themeColor="accent1"/>
              <w:right w:val="single" w:sz="4" w:space="0" w:color="auto"/>
            </w:tcBorders>
          </w:tcPr>
          <w:p w:rsidR="0055318E" w:rsidRPr="00A078D3" w:rsidRDefault="0055318E" w:rsidP="0083262F">
            <w:pPr>
              <w:pStyle w:val="BodyText"/>
              <w:spacing w:before="0"/>
              <w:jc w:val="center"/>
              <w:rPr>
                <w:b/>
                <w:bCs/>
                <w:sz w:val="20"/>
              </w:rPr>
            </w:pPr>
            <w:r>
              <w:rPr>
                <w:b/>
                <w:bCs/>
                <w:sz w:val="20"/>
              </w:rPr>
              <w:t>Private</w:t>
            </w:r>
          </w:p>
        </w:tc>
        <w:tc>
          <w:tcPr>
            <w:tcW w:w="0" w:type="auto"/>
            <w:gridSpan w:val="2"/>
            <w:tcBorders>
              <w:left w:val="single" w:sz="4" w:space="0" w:color="auto"/>
              <w:bottom w:val="single" w:sz="4" w:space="0" w:color="002776" w:themeColor="accent1"/>
            </w:tcBorders>
          </w:tcPr>
          <w:p w:rsidR="0055318E" w:rsidRPr="00A078D3" w:rsidRDefault="0055318E" w:rsidP="0083262F">
            <w:pPr>
              <w:pStyle w:val="BodyText"/>
              <w:spacing w:before="0"/>
              <w:jc w:val="center"/>
              <w:rPr>
                <w:b/>
                <w:bCs/>
                <w:sz w:val="20"/>
              </w:rPr>
            </w:pPr>
            <w:r>
              <w:rPr>
                <w:b/>
                <w:bCs/>
                <w:sz w:val="20"/>
              </w:rPr>
              <w:t>Public</w:t>
            </w:r>
          </w:p>
        </w:tc>
      </w:tr>
      <w:tr w:rsidR="0055318E" w:rsidRPr="00A078D3" w:rsidTr="0083262F">
        <w:trPr>
          <w:trHeight w:val="70"/>
        </w:trPr>
        <w:tc>
          <w:tcPr>
            <w:tcW w:w="0" w:type="auto"/>
            <w:tcBorders>
              <w:top w:val="nil"/>
              <w:bottom w:val="single" w:sz="12" w:space="0" w:color="002776" w:themeColor="accent1"/>
            </w:tcBorders>
            <w:hideMark/>
          </w:tcPr>
          <w:p w:rsidR="0055318E" w:rsidRPr="00BD72E1" w:rsidRDefault="0055318E" w:rsidP="0083262F">
            <w:pPr>
              <w:pStyle w:val="BodyText"/>
              <w:spacing w:before="0"/>
              <w:rPr>
                <w:i/>
                <w:color w:val="002776" w:themeColor="accent1"/>
                <w:sz w:val="20"/>
              </w:rPr>
            </w:pPr>
            <w:r w:rsidRPr="00BD72E1">
              <w:rPr>
                <w:i/>
                <w:color w:val="002776" w:themeColor="accent1"/>
                <w:sz w:val="20"/>
              </w:rPr>
              <w:t>Benefits measured by:</w:t>
            </w:r>
          </w:p>
        </w:tc>
        <w:tc>
          <w:tcPr>
            <w:tcW w:w="0" w:type="auto"/>
            <w:tcBorders>
              <w:top w:val="single" w:sz="4" w:space="0" w:color="002776" w:themeColor="accent1"/>
              <w:bottom w:val="single" w:sz="12" w:space="0" w:color="002776" w:themeColor="accent1"/>
            </w:tcBorders>
            <w:hideMark/>
          </w:tcPr>
          <w:p w:rsidR="0055318E" w:rsidRPr="00A078D3" w:rsidRDefault="0055318E" w:rsidP="0083262F">
            <w:pPr>
              <w:pStyle w:val="BodyText"/>
              <w:spacing w:before="0"/>
              <w:jc w:val="center"/>
              <w:rPr>
                <w:sz w:val="20"/>
              </w:rPr>
            </w:pPr>
            <w:r>
              <w:rPr>
                <w:b/>
                <w:bCs/>
                <w:sz w:val="20"/>
              </w:rPr>
              <w:t>A</w:t>
            </w:r>
            <w:r w:rsidRPr="00A078D3">
              <w:rPr>
                <w:b/>
                <w:bCs/>
                <w:sz w:val="20"/>
              </w:rPr>
              <w:t>ccounting methods</w:t>
            </w:r>
          </w:p>
        </w:tc>
        <w:tc>
          <w:tcPr>
            <w:tcW w:w="0" w:type="auto"/>
            <w:tcBorders>
              <w:top w:val="single" w:sz="4" w:space="0" w:color="002776" w:themeColor="accent1"/>
              <w:bottom w:val="single" w:sz="12" w:space="0" w:color="002776" w:themeColor="accent1"/>
              <w:right w:val="single" w:sz="4" w:space="0" w:color="auto"/>
            </w:tcBorders>
            <w:hideMark/>
          </w:tcPr>
          <w:p w:rsidR="0055318E" w:rsidRPr="00A078D3" w:rsidRDefault="0055318E" w:rsidP="0083262F">
            <w:pPr>
              <w:pStyle w:val="BodyText"/>
              <w:spacing w:before="0"/>
              <w:jc w:val="center"/>
              <w:rPr>
                <w:sz w:val="20"/>
              </w:rPr>
            </w:pPr>
            <w:r>
              <w:rPr>
                <w:b/>
                <w:bCs/>
                <w:sz w:val="20"/>
              </w:rPr>
              <w:t>E</w:t>
            </w:r>
            <w:r w:rsidRPr="00A078D3">
              <w:rPr>
                <w:b/>
                <w:bCs/>
                <w:sz w:val="20"/>
              </w:rPr>
              <w:t>conometric methods</w:t>
            </w:r>
          </w:p>
        </w:tc>
        <w:tc>
          <w:tcPr>
            <w:tcW w:w="1605" w:type="dxa"/>
            <w:tcBorders>
              <w:top w:val="single" w:sz="4" w:space="0" w:color="002776" w:themeColor="accent1"/>
              <w:left w:val="single" w:sz="4" w:space="0" w:color="auto"/>
              <w:bottom w:val="single" w:sz="12" w:space="0" w:color="002776" w:themeColor="accent1"/>
            </w:tcBorders>
            <w:hideMark/>
          </w:tcPr>
          <w:p w:rsidR="0055318E" w:rsidRPr="00A078D3" w:rsidRDefault="0055318E" w:rsidP="0083262F">
            <w:pPr>
              <w:pStyle w:val="BodyText"/>
              <w:spacing w:before="0"/>
              <w:jc w:val="center"/>
              <w:rPr>
                <w:sz w:val="20"/>
              </w:rPr>
            </w:pPr>
            <w:r>
              <w:rPr>
                <w:b/>
                <w:bCs/>
                <w:sz w:val="20"/>
              </w:rPr>
              <w:t xml:space="preserve">Government </w:t>
            </w:r>
            <w:r w:rsidRPr="00A078D3">
              <w:rPr>
                <w:b/>
                <w:bCs/>
                <w:sz w:val="20"/>
              </w:rPr>
              <w:t>receipts</w:t>
            </w:r>
          </w:p>
        </w:tc>
        <w:tc>
          <w:tcPr>
            <w:tcW w:w="2091" w:type="dxa"/>
            <w:tcBorders>
              <w:top w:val="single" w:sz="4" w:space="0" w:color="002776" w:themeColor="accent1"/>
              <w:bottom w:val="single" w:sz="12" w:space="0" w:color="002776" w:themeColor="accent1"/>
            </w:tcBorders>
            <w:hideMark/>
          </w:tcPr>
          <w:p w:rsidR="0055318E" w:rsidRPr="00A078D3" w:rsidRDefault="0055318E" w:rsidP="0083262F">
            <w:pPr>
              <w:pStyle w:val="BodyText"/>
              <w:spacing w:before="0"/>
              <w:jc w:val="center"/>
              <w:rPr>
                <w:sz w:val="20"/>
              </w:rPr>
            </w:pPr>
            <w:r>
              <w:rPr>
                <w:b/>
                <w:bCs/>
                <w:sz w:val="20"/>
              </w:rPr>
              <w:t xml:space="preserve">Broader </w:t>
            </w:r>
            <w:r w:rsidRPr="00A078D3">
              <w:rPr>
                <w:b/>
                <w:bCs/>
                <w:sz w:val="20"/>
              </w:rPr>
              <w:t>spillovers</w:t>
            </w:r>
          </w:p>
        </w:tc>
      </w:tr>
      <w:tr w:rsidR="0055318E" w:rsidRPr="00A078D3" w:rsidTr="0083262F">
        <w:trPr>
          <w:trHeight w:val="772"/>
        </w:trPr>
        <w:tc>
          <w:tcPr>
            <w:tcW w:w="0" w:type="auto"/>
            <w:tcBorders>
              <w:top w:val="single" w:sz="12" w:space="0" w:color="002776" w:themeColor="accent1"/>
              <w:bottom w:val="single" w:sz="4" w:space="0" w:color="auto"/>
              <w:right w:val="single" w:sz="4" w:space="0" w:color="auto"/>
            </w:tcBorders>
            <w:hideMark/>
          </w:tcPr>
          <w:p w:rsidR="0055318E" w:rsidRPr="00BD72E1" w:rsidRDefault="0055318E" w:rsidP="0083262F">
            <w:pPr>
              <w:pStyle w:val="BodyText"/>
              <w:spacing w:before="0"/>
              <w:jc w:val="left"/>
              <w:rPr>
                <w:color w:val="002776" w:themeColor="accent1"/>
                <w:sz w:val="20"/>
              </w:rPr>
            </w:pPr>
            <w:r w:rsidRPr="00BD72E1">
              <w:rPr>
                <w:b/>
                <w:bCs/>
                <w:i/>
                <w:iCs/>
                <w:color w:val="002776" w:themeColor="accent1"/>
                <w:sz w:val="20"/>
              </w:rPr>
              <w:t>Field of study</w:t>
            </w:r>
          </w:p>
        </w:tc>
        <w:tc>
          <w:tcPr>
            <w:tcW w:w="0" w:type="auto"/>
            <w:vMerge w:val="restart"/>
            <w:tcBorders>
              <w:top w:val="single" w:sz="12" w:space="0" w:color="002776" w:themeColor="accent1"/>
              <w:left w:val="single" w:sz="4" w:space="0" w:color="auto"/>
              <w:bottom w:val="single" w:sz="4" w:space="0" w:color="auto"/>
              <w:right w:val="single" w:sz="4" w:space="0" w:color="auto"/>
            </w:tcBorders>
            <w:vAlign w:val="center"/>
            <w:hideMark/>
          </w:tcPr>
          <w:p w:rsidR="0055318E" w:rsidRPr="00A078D3" w:rsidRDefault="0055318E" w:rsidP="0083262F">
            <w:pPr>
              <w:pStyle w:val="BodyText"/>
              <w:numPr>
                <w:ilvl w:val="0"/>
                <w:numId w:val="22"/>
              </w:numPr>
              <w:spacing w:before="0"/>
              <w:ind w:left="170" w:hanging="170"/>
              <w:jc w:val="left"/>
              <w:rPr>
                <w:sz w:val="20"/>
              </w:rPr>
            </w:pPr>
            <w:r w:rsidRPr="00A078D3">
              <w:rPr>
                <w:sz w:val="20"/>
              </w:rPr>
              <w:t>Daly et al. (2015)</w:t>
            </w:r>
          </w:p>
          <w:p w:rsidR="0055318E" w:rsidRPr="00A078D3" w:rsidRDefault="0055318E" w:rsidP="0083262F">
            <w:pPr>
              <w:pStyle w:val="BodyText"/>
              <w:numPr>
                <w:ilvl w:val="0"/>
                <w:numId w:val="22"/>
              </w:numPr>
              <w:spacing w:before="0"/>
              <w:ind w:left="170" w:hanging="170"/>
              <w:jc w:val="left"/>
              <w:rPr>
                <w:sz w:val="20"/>
              </w:rPr>
            </w:pPr>
            <w:r w:rsidRPr="00A078D3">
              <w:rPr>
                <w:sz w:val="20"/>
              </w:rPr>
              <w:t>Norton (201</w:t>
            </w:r>
            <w:r>
              <w:rPr>
                <w:sz w:val="20"/>
              </w:rPr>
              <w:t>2</w:t>
            </w:r>
            <w:r w:rsidRPr="00A078D3">
              <w:rPr>
                <w:sz w:val="20"/>
              </w:rPr>
              <w:t>)</w:t>
            </w:r>
          </w:p>
        </w:tc>
        <w:tc>
          <w:tcPr>
            <w:tcW w:w="0" w:type="auto"/>
            <w:tcBorders>
              <w:top w:val="single" w:sz="12" w:space="0" w:color="002776" w:themeColor="accent1"/>
              <w:left w:val="single" w:sz="4" w:space="0" w:color="auto"/>
              <w:bottom w:val="single" w:sz="4" w:space="0" w:color="auto"/>
              <w:right w:val="single" w:sz="4" w:space="0" w:color="auto"/>
            </w:tcBorders>
            <w:shd w:val="clear" w:color="auto" w:fill="C6D9F1" w:themeFill="text2" w:themeFillTint="33"/>
            <w:vAlign w:val="center"/>
            <w:hideMark/>
          </w:tcPr>
          <w:p w:rsidR="0055318E" w:rsidRPr="00A078D3" w:rsidRDefault="0055318E" w:rsidP="0083262F">
            <w:pPr>
              <w:pStyle w:val="BodyText"/>
              <w:spacing w:before="0"/>
              <w:jc w:val="left"/>
              <w:rPr>
                <w:sz w:val="20"/>
              </w:rPr>
            </w:pPr>
            <w:r w:rsidRPr="00A078D3">
              <w:rPr>
                <w:b/>
                <w:bCs/>
                <w:sz w:val="20"/>
              </w:rPr>
              <w:t>Gap filled by this</w:t>
            </w:r>
            <w:r>
              <w:rPr>
                <w:b/>
                <w:bCs/>
                <w:sz w:val="20"/>
              </w:rPr>
              <w:t xml:space="preserve"> </w:t>
            </w:r>
            <w:r w:rsidRPr="00A078D3">
              <w:rPr>
                <w:b/>
                <w:bCs/>
                <w:sz w:val="20"/>
              </w:rPr>
              <w:t xml:space="preserve">study </w:t>
            </w:r>
          </w:p>
        </w:tc>
        <w:tc>
          <w:tcPr>
            <w:tcW w:w="1605" w:type="dxa"/>
            <w:vMerge w:val="restart"/>
            <w:tcBorders>
              <w:top w:val="single" w:sz="12" w:space="0" w:color="002776" w:themeColor="accent1"/>
              <w:left w:val="single" w:sz="4" w:space="0" w:color="auto"/>
              <w:bottom w:val="single" w:sz="4" w:space="0" w:color="auto"/>
              <w:right w:val="single" w:sz="4" w:space="0" w:color="auto"/>
            </w:tcBorders>
            <w:vAlign w:val="center"/>
            <w:hideMark/>
          </w:tcPr>
          <w:p w:rsidR="0055318E" w:rsidRPr="00A078D3" w:rsidRDefault="0055318E" w:rsidP="0083262F">
            <w:pPr>
              <w:pStyle w:val="BodyText"/>
              <w:numPr>
                <w:ilvl w:val="0"/>
                <w:numId w:val="23"/>
              </w:numPr>
              <w:spacing w:before="0"/>
              <w:ind w:left="170" w:hanging="170"/>
              <w:jc w:val="left"/>
              <w:rPr>
                <w:sz w:val="20"/>
              </w:rPr>
            </w:pPr>
            <w:r w:rsidRPr="00A078D3">
              <w:rPr>
                <w:sz w:val="20"/>
              </w:rPr>
              <w:t>Norton (201</w:t>
            </w:r>
            <w:r>
              <w:rPr>
                <w:sz w:val="20"/>
              </w:rPr>
              <w:t>2</w:t>
            </w:r>
            <w:r w:rsidRPr="00A078D3">
              <w:rPr>
                <w:sz w:val="20"/>
              </w:rPr>
              <w:t>)</w:t>
            </w:r>
          </w:p>
        </w:tc>
        <w:tc>
          <w:tcPr>
            <w:tcW w:w="2091" w:type="dxa"/>
            <w:vMerge w:val="restart"/>
            <w:tcBorders>
              <w:top w:val="single" w:sz="12" w:space="0" w:color="002776" w:themeColor="accent1"/>
              <w:left w:val="single" w:sz="4" w:space="0" w:color="auto"/>
              <w:bottom w:val="single" w:sz="4" w:space="0" w:color="auto"/>
            </w:tcBorders>
            <w:shd w:val="clear" w:color="auto" w:fill="C6D9F1" w:themeFill="text2" w:themeFillTint="33"/>
            <w:vAlign w:val="center"/>
            <w:hideMark/>
          </w:tcPr>
          <w:p w:rsidR="0055318E" w:rsidRPr="00A078D3" w:rsidRDefault="0055318E" w:rsidP="0083262F">
            <w:pPr>
              <w:pStyle w:val="BodyText"/>
              <w:spacing w:before="0"/>
              <w:jc w:val="left"/>
              <w:rPr>
                <w:sz w:val="20"/>
              </w:rPr>
            </w:pPr>
            <w:r w:rsidRPr="00A078D3">
              <w:rPr>
                <w:b/>
                <w:bCs/>
                <w:sz w:val="20"/>
              </w:rPr>
              <w:t xml:space="preserve">Gap filled by this study </w:t>
            </w:r>
          </w:p>
        </w:tc>
      </w:tr>
      <w:tr w:rsidR="0055318E" w:rsidRPr="00A078D3" w:rsidTr="0083262F">
        <w:trPr>
          <w:trHeight w:val="60"/>
        </w:trPr>
        <w:tc>
          <w:tcPr>
            <w:tcW w:w="0" w:type="auto"/>
            <w:tcBorders>
              <w:top w:val="single" w:sz="4" w:space="0" w:color="auto"/>
              <w:bottom w:val="single" w:sz="4" w:space="0" w:color="auto"/>
              <w:right w:val="single" w:sz="4" w:space="0" w:color="auto"/>
            </w:tcBorders>
            <w:hideMark/>
          </w:tcPr>
          <w:p w:rsidR="0055318E" w:rsidRPr="00BD72E1" w:rsidRDefault="0055318E" w:rsidP="0083262F">
            <w:pPr>
              <w:pStyle w:val="BodyText"/>
              <w:spacing w:before="0"/>
              <w:jc w:val="left"/>
              <w:rPr>
                <w:color w:val="002776" w:themeColor="accent1"/>
                <w:sz w:val="20"/>
              </w:rPr>
            </w:pPr>
            <w:r w:rsidRPr="00BD72E1">
              <w:rPr>
                <w:b/>
                <w:bCs/>
                <w:i/>
                <w:iCs/>
                <w:color w:val="002776" w:themeColor="accent1"/>
                <w:sz w:val="20"/>
              </w:rPr>
              <w:t>Qualification level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18E" w:rsidRPr="00A078D3" w:rsidRDefault="0055318E" w:rsidP="0083262F">
            <w:pPr>
              <w:pStyle w:val="BodyText"/>
              <w:spacing w:before="0"/>
              <w:ind w:left="170" w:hanging="170"/>
              <w:jc w:val="left"/>
              <w:rPr>
                <w:sz w:val="20"/>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55318E" w:rsidRPr="00A078D3" w:rsidRDefault="0055318E" w:rsidP="0083262F">
            <w:pPr>
              <w:pStyle w:val="BodyText"/>
              <w:numPr>
                <w:ilvl w:val="0"/>
                <w:numId w:val="24"/>
              </w:numPr>
              <w:spacing w:before="0"/>
              <w:ind w:left="170" w:hanging="170"/>
              <w:jc w:val="left"/>
              <w:rPr>
                <w:sz w:val="20"/>
              </w:rPr>
            </w:pPr>
            <w:r w:rsidRPr="00A078D3">
              <w:rPr>
                <w:sz w:val="20"/>
              </w:rPr>
              <w:t xml:space="preserve">Wilkins (2015) – </w:t>
            </w:r>
            <w:r w:rsidRPr="00A078D3">
              <w:rPr>
                <w:i/>
                <w:iCs/>
                <w:sz w:val="20"/>
              </w:rPr>
              <w:t>also looked at provider level</w:t>
            </w:r>
          </w:p>
          <w:p w:rsidR="0055318E" w:rsidRPr="00A078D3" w:rsidRDefault="0055318E" w:rsidP="0083262F">
            <w:pPr>
              <w:pStyle w:val="BodyText"/>
              <w:numPr>
                <w:ilvl w:val="0"/>
                <w:numId w:val="24"/>
              </w:numPr>
              <w:spacing w:before="0"/>
              <w:ind w:left="170" w:hanging="170"/>
              <w:jc w:val="left"/>
              <w:rPr>
                <w:sz w:val="20"/>
              </w:rPr>
            </w:pPr>
            <w:r w:rsidRPr="00A078D3">
              <w:rPr>
                <w:sz w:val="20"/>
              </w:rPr>
              <w:t>Sinning (201</w:t>
            </w:r>
            <w:r>
              <w:rPr>
                <w:sz w:val="20"/>
              </w:rPr>
              <w:t>4</w:t>
            </w:r>
            <w:r w:rsidRPr="00A078D3">
              <w:rPr>
                <w:sz w:val="20"/>
              </w:rPr>
              <w:t>)</w:t>
            </w:r>
          </w:p>
          <w:p w:rsidR="0055318E" w:rsidRPr="00A078D3" w:rsidRDefault="0055318E" w:rsidP="0083262F">
            <w:pPr>
              <w:pStyle w:val="BodyText"/>
              <w:numPr>
                <w:ilvl w:val="0"/>
                <w:numId w:val="24"/>
              </w:numPr>
              <w:spacing w:before="0"/>
              <w:ind w:left="170" w:hanging="170"/>
              <w:jc w:val="left"/>
              <w:rPr>
                <w:sz w:val="20"/>
              </w:rPr>
            </w:pPr>
            <w:r w:rsidRPr="00A078D3">
              <w:rPr>
                <w:sz w:val="20"/>
              </w:rPr>
              <w:t>Leigh (2008)</w:t>
            </w: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55318E" w:rsidRPr="00A078D3" w:rsidRDefault="0055318E" w:rsidP="0083262F">
            <w:pPr>
              <w:pStyle w:val="BodyText"/>
              <w:spacing w:before="0"/>
              <w:ind w:left="170" w:hanging="170"/>
              <w:jc w:val="left"/>
              <w:rPr>
                <w:sz w:val="20"/>
              </w:rPr>
            </w:pPr>
          </w:p>
        </w:tc>
        <w:tc>
          <w:tcPr>
            <w:tcW w:w="2091" w:type="dxa"/>
            <w:vMerge/>
            <w:tcBorders>
              <w:top w:val="single" w:sz="4" w:space="0" w:color="auto"/>
              <w:left w:val="single" w:sz="4" w:space="0" w:color="auto"/>
              <w:bottom w:val="single" w:sz="4" w:space="0" w:color="auto"/>
            </w:tcBorders>
            <w:shd w:val="clear" w:color="auto" w:fill="C6D9F1" w:themeFill="text2" w:themeFillTint="33"/>
            <w:vAlign w:val="center"/>
            <w:hideMark/>
          </w:tcPr>
          <w:p w:rsidR="0055318E" w:rsidRPr="00A078D3" w:rsidRDefault="0055318E" w:rsidP="0083262F">
            <w:pPr>
              <w:pStyle w:val="BodyText"/>
              <w:spacing w:before="0"/>
              <w:ind w:left="170" w:hanging="170"/>
              <w:jc w:val="left"/>
              <w:rPr>
                <w:sz w:val="20"/>
              </w:rPr>
            </w:pPr>
          </w:p>
        </w:tc>
      </w:tr>
      <w:tr w:rsidR="0055318E" w:rsidRPr="00A078D3" w:rsidTr="0083262F">
        <w:trPr>
          <w:trHeight w:val="1048"/>
        </w:trPr>
        <w:tc>
          <w:tcPr>
            <w:tcW w:w="0" w:type="auto"/>
            <w:tcBorders>
              <w:top w:val="single" w:sz="4" w:space="0" w:color="auto"/>
              <w:bottom w:val="single" w:sz="12" w:space="0" w:color="002776"/>
              <w:right w:val="single" w:sz="4" w:space="0" w:color="auto"/>
            </w:tcBorders>
            <w:hideMark/>
          </w:tcPr>
          <w:p w:rsidR="0055318E" w:rsidRPr="00BD72E1" w:rsidRDefault="0055318E" w:rsidP="0083262F">
            <w:pPr>
              <w:pStyle w:val="BodyText"/>
              <w:spacing w:before="0"/>
              <w:jc w:val="left"/>
              <w:rPr>
                <w:color w:val="002776" w:themeColor="accent1"/>
                <w:sz w:val="20"/>
              </w:rPr>
            </w:pPr>
            <w:r w:rsidRPr="00BD72E1">
              <w:rPr>
                <w:b/>
                <w:bCs/>
                <w:i/>
                <w:iCs/>
                <w:color w:val="002776" w:themeColor="accent1"/>
                <w:sz w:val="20"/>
              </w:rPr>
              <w:t>At an aggregate level</w:t>
            </w:r>
          </w:p>
        </w:tc>
        <w:tc>
          <w:tcPr>
            <w:tcW w:w="0" w:type="auto"/>
            <w:tcBorders>
              <w:top w:val="single" w:sz="4" w:space="0" w:color="auto"/>
              <w:left w:val="single" w:sz="4" w:space="0" w:color="auto"/>
              <w:bottom w:val="single" w:sz="12" w:space="0" w:color="002776"/>
              <w:right w:val="single" w:sz="4" w:space="0" w:color="auto"/>
            </w:tcBorders>
            <w:vAlign w:val="center"/>
            <w:hideMark/>
          </w:tcPr>
          <w:p w:rsidR="0055318E" w:rsidRPr="00A078D3" w:rsidRDefault="0055318E" w:rsidP="0083262F">
            <w:pPr>
              <w:pStyle w:val="BodyText"/>
              <w:numPr>
                <w:ilvl w:val="0"/>
                <w:numId w:val="25"/>
              </w:numPr>
              <w:spacing w:before="0"/>
              <w:ind w:left="170" w:hanging="170"/>
              <w:jc w:val="left"/>
              <w:rPr>
                <w:sz w:val="20"/>
              </w:rPr>
            </w:pPr>
            <w:r w:rsidRPr="00A078D3">
              <w:rPr>
                <w:sz w:val="20"/>
              </w:rPr>
              <w:t>Chapman and Lounkaew (2011, 2015)</w:t>
            </w:r>
          </w:p>
          <w:p w:rsidR="0055318E" w:rsidRPr="00A078D3" w:rsidRDefault="0055318E" w:rsidP="0083262F">
            <w:pPr>
              <w:pStyle w:val="BodyText"/>
              <w:numPr>
                <w:ilvl w:val="0"/>
                <w:numId w:val="25"/>
              </w:numPr>
              <w:spacing w:before="0"/>
              <w:ind w:left="170" w:hanging="170"/>
              <w:jc w:val="left"/>
              <w:rPr>
                <w:sz w:val="20"/>
              </w:rPr>
            </w:pPr>
            <w:r w:rsidRPr="00A078D3">
              <w:rPr>
                <w:sz w:val="20"/>
              </w:rPr>
              <w:t>OECD Education at a Glance (2014)</w:t>
            </w:r>
          </w:p>
        </w:tc>
        <w:tc>
          <w:tcPr>
            <w:tcW w:w="0" w:type="auto"/>
            <w:vMerge/>
            <w:tcBorders>
              <w:top w:val="single" w:sz="4" w:space="0" w:color="auto"/>
              <w:left w:val="single" w:sz="4" w:space="0" w:color="auto"/>
              <w:bottom w:val="single" w:sz="12" w:space="0" w:color="002776"/>
              <w:right w:val="single" w:sz="4" w:space="0" w:color="auto"/>
            </w:tcBorders>
            <w:vAlign w:val="center"/>
            <w:hideMark/>
          </w:tcPr>
          <w:p w:rsidR="0055318E" w:rsidRPr="00A078D3" w:rsidRDefault="0055318E" w:rsidP="0083262F">
            <w:pPr>
              <w:pStyle w:val="BodyText"/>
              <w:spacing w:before="0"/>
              <w:ind w:left="170" w:hanging="170"/>
              <w:jc w:val="left"/>
              <w:rPr>
                <w:sz w:val="20"/>
              </w:rPr>
            </w:pPr>
          </w:p>
        </w:tc>
        <w:tc>
          <w:tcPr>
            <w:tcW w:w="1605" w:type="dxa"/>
            <w:tcBorders>
              <w:top w:val="single" w:sz="4" w:space="0" w:color="auto"/>
              <w:left w:val="single" w:sz="4" w:space="0" w:color="auto"/>
              <w:bottom w:val="single" w:sz="12" w:space="0" w:color="002776"/>
              <w:right w:val="single" w:sz="4" w:space="0" w:color="auto"/>
            </w:tcBorders>
            <w:vAlign w:val="center"/>
            <w:hideMark/>
          </w:tcPr>
          <w:p w:rsidR="0055318E" w:rsidRPr="00A078D3" w:rsidRDefault="0055318E" w:rsidP="0083262F">
            <w:pPr>
              <w:pStyle w:val="BodyText"/>
              <w:numPr>
                <w:ilvl w:val="0"/>
                <w:numId w:val="25"/>
              </w:numPr>
              <w:spacing w:before="0"/>
              <w:ind w:left="170" w:hanging="170"/>
              <w:jc w:val="left"/>
              <w:rPr>
                <w:sz w:val="20"/>
              </w:rPr>
            </w:pPr>
            <w:r w:rsidRPr="00A078D3">
              <w:rPr>
                <w:sz w:val="20"/>
              </w:rPr>
              <w:t>OECD education at a glance (2014)</w:t>
            </w:r>
          </w:p>
          <w:p w:rsidR="0055318E" w:rsidRPr="00A078D3" w:rsidRDefault="0055318E" w:rsidP="0083262F">
            <w:pPr>
              <w:pStyle w:val="BodyText"/>
              <w:numPr>
                <w:ilvl w:val="0"/>
                <w:numId w:val="25"/>
              </w:numPr>
              <w:spacing w:before="0"/>
              <w:ind w:left="170" w:hanging="170"/>
              <w:jc w:val="left"/>
              <w:rPr>
                <w:sz w:val="20"/>
              </w:rPr>
            </w:pPr>
            <w:r w:rsidRPr="00A078D3">
              <w:rPr>
                <w:sz w:val="20"/>
              </w:rPr>
              <w:t>Norton (201</w:t>
            </w:r>
            <w:r>
              <w:rPr>
                <w:sz w:val="20"/>
              </w:rPr>
              <w:t>2</w:t>
            </w:r>
            <w:r w:rsidRPr="00A078D3">
              <w:rPr>
                <w:sz w:val="20"/>
              </w:rPr>
              <w:t>)</w:t>
            </w:r>
          </w:p>
        </w:tc>
        <w:tc>
          <w:tcPr>
            <w:tcW w:w="2091" w:type="dxa"/>
            <w:tcBorders>
              <w:top w:val="single" w:sz="4" w:space="0" w:color="auto"/>
              <w:left w:val="single" w:sz="4" w:space="0" w:color="auto"/>
              <w:bottom w:val="single" w:sz="12" w:space="0" w:color="002776"/>
            </w:tcBorders>
            <w:shd w:val="clear" w:color="auto" w:fill="FFFFFF" w:themeFill="background1"/>
            <w:vAlign w:val="center"/>
            <w:hideMark/>
          </w:tcPr>
          <w:p w:rsidR="0055318E" w:rsidRPr="00A078D3" w:rsidRDefault="0055318E" w:rsidP="0083262F">
            <w:pPr>
              <w:pStyle w:val="BodyText"/>
              <w:numPr>
                <w:ilvl w:val="0"/>
                <w:numId w:val="25"/>
              </w:numPr>
              <w:spacing w:before="0"/>
              <w:ind w:left="170" w:hanging="170"/>
              <w:jc w:val="left"/>
              <w:rPr>
                <w:sz w:val="20"/>
              </w:rPr>
            </w:pPr>
            <w:r w:rsidRPr="00A078D3">
              <w:rPr>
                <w:sz w:val="20"/>
              </w:rPr>
              <w:t>McMahon (various)</w:t>
            </w:r>
          </w:p>
          <w:p w:rsidR="0055318E" w:rsidRPr="00A078D3" w:rsidRDefault="0055318E" w:rsidP="0083262F">
            <w:pPr>
              <w:pStyle w:val="BodyText"/>
              <w:numPr>
                <w:ilvl w:val="0"/>
                <w:numId w:val="25"/>
              </w:numPr>
              <w:spacing w:before="0"/>
              <w:ind w:left="170" w:hanging="170"/>
              <w:jc w:val="left"/>
              <w:rPr>
                <w:sz w:val="20"/>
              </w:rPr>
            </w:pPr>
            <w:r w:rsidRPr="00A078D3">
              <w:rPr>
                <w:sz w:val="20"/>
              </w:rPr>
              <w:t>Chapman and Lounkaew (2011, 2015)</w:t>
            </w:r>
            <w:r>
              <w:rPr>
                <w:rStyle w:val="FootnoteReference"/>
              </w:rPr>
              <w:footnoteReference w:id="4"/>
            </w:r>
            <w:r w:rsidRPr="00A078D3">
              <w:rPr>
                <w:sz w:val="20"/>
              </w:rPr>
              <w:t xml:space="preserve"> – </w:t>
            </w:r>
            <w:r w:rsidRPr="00A078D3">
              <w:rPr>
                <w:i/>
                <w:iCs/>
                <w:sz w:val="20"/>
              </w:rPr>
              <w:t xml:space="preserve">draws explicitly on McMahon </w:t>
            </w:r>
          </w:p>
        </w:tc>
      </w:tr>
    </w:tbl>
    <w:p w:rsidR="0055318E" w:rsidRPr="00840B45" w:rsidRDefault="0055318E" w:rsidP="0055318E">
      <w:pPr>
        <w:pStyle w:val="HeadingC"/>
        <w:rPr>
          <w:szCs w:val="22"/>
        </w:rPr>
      </w:pPr>
      <w:r w:rsidRPr="00840B45">
        <w:lastRenderedPageBreak/>
        <w:t>Analytical approach</w:t>
      </w:r>
      <w:r>
        <w:t xml:space="preserve"> to this </w:t>
      </w:r>
      <w:r w:rsidR="00D6369D">
        <w:t>study</w:t>
      </w:r>
    </w:p>
    <w:p w:rsidR="0055318E" w:rsidRDefault="0055318E" w:rsidP="0055318E">
      <w:pPr>
        <w:pStyle w:val="BodyText"/>
        <w:rPr>
          <w:lang w:eastAsia="en-AU"/>
        </w:rPr>
      </w:pPr>
      <w:r>
        <w:rPr>
          <w:lang w:eastAsia="en-AU"/>
        </w:rPr>
        <w:t xml:space="preserve">The analytical approach to this study progressed in a number of discrete but interrelated stages, summarised in </w:t>
      </w:r>
      <w:r>
        <w:rPr>
          <w:lang w:eastAsia="en-AU"/>
        </w:rPr>
        <w:fldChar w:fldCharType="begin"/>
      </w:r>
      <w:r>
        <w:rPr>
          <w:lang w:eastAsia="en-AU"/>
        </w:rPr>
        <w:instrText xml:space="preserve"> REF _Ref457505895 \r \h </w:instrText>
      </w:r>
      <w:r>
        <w:rPr>
          <w:lang w:eastAsia="en-AU"/>
        </w:rPr>
      </w:r>
      <w:r>
        <w:rPr>
          <w:lang w:eastAsia="en-AU"/>
        </w:rPr>
        <w:fldChar w:fldCharType="separate"/>
      </w:r>
      <w:r w:rsidR="00534F9F">
        <w:rPr>
          <w:lang w:eastAsia="en-AU"/>
        </w:rPr>
        <w:t>Figure i</w:t>
      </w:r>
      <w:r>
        <w:rPr>
          <w:lang w:eastAsia="en-AU"/>
        </w:rPr>
        <w:fldChar w:fldCharType="end"/>
      </w:r>
      <w:r>
        <w:rPr>
          <w:lang w:eastAsia="en-AU"/>
        </w:rPr>
        <w:t xml:space="preserve">, below. These stages build sequentially towards a comprehensive assessment of the private and public benefits of higher education at the qualification, discipline and provider level. </w:t>
      </w:r>
    </w:p>
    <w:p w:rsidR="0055318E" w:rsidRPr="00A060C2" w:rsidRDefault="0055318E" w:rsidP="0055318E">
      <w:pPr>
        <w:pStyle w:val="BodyText"/>
        <w:rPr>
          <w:lang w:eastAsia="en-AU"/>
        </w:rPr>
      </w:pPr>
      <w:r>
        <w:rPr>
          <w:lang w:eastAsia="en-AU"/>
        </w:rPr>
        <w:t xml:space="preserve">The step highlighted in </w:t>
      </w:r>
      <w:r w:rsidRPr="00A060C2">
        <w:rPr>
          <w:rStyle w:val="Boldword"/>
        </w:rPr>
        <w:t>dark blue</w:t>
      </w:r>
      <w:r>
        <w:rPr>
          <w:rStyle w:val="Boldword"/>
        </w:rPr>
        <w:t xml:space="preserve"> </w:t>
      </w:r>
      <w:r>
        <w:rPr>
          <w:rStyle w:val="Boldword"/>
          <w:b w:val="0"/>
          <w:color w:val="auto"/>
        </w:rPr>
        <w:t>represent</w:t>
      </w:r>
      <w:r w:rsidR="00A71E53">
        <w:rPr>
          <w:rStyle w:val="Boldword"/>
          <w:b w:val="0"/>
          <w:color w:val="auto"/>
        </w:rPr>
        <w:t>s the</w:t>
      </w:r>
      <w:r>
        <w:rPr>
          <w:rStyle w:val="Boldword"/>
          <w:b w:val="0"/>
          <w:color w:val="auto"/>
        </w:rPr>
        <w:t xml:space="preserve"> intermediate step to the final estimates of private and public benefits, which are achieved through the </w:t>
      </w:r>
      <w:r w:rsidRPr="00A060C2">
        <w:rPr>
          <w:rStyle w:val="Boldword"/>
          <w:color w:val="00B0F0"/>
        </w:rPr>
        <w:t>light blue</w:t>
      </w:r>
      <w:r w:rsidRPr="00A060C2">
        <w:rPr>
          <w:rStyle w:val="Boldword"/>
          <w:b w:val="0"/>
          <w:color w:val="00B0F0"/>
        </w:rPr>
        <w:t xml:space="preserve"> </w:t>
      </w:r>
      <w:r>
        <w:rPr>
          <w:rStyle w:val="Boldword"/>
          <w:b w:val="0"/>
          <w:color w:val="auto"/>
        </w:rPr>
        <w:t xml:space="preserve">steps. The final </w:t>
      </w:r>
      <w:r w:rsidRPr="00A060C2">
        <w:rPr>
          <w:rStyle w:val="Boldword"/>
          <w:color w:val="3C8A2E" w:themeColor="accent4"/>
        </w:rPr>
        <w:t>green</w:t>
      </w:r>
      <w:r>
        <w:rPr>
          <w:rStyle w:val="Boldword"/>
          <w:b w:val="0"/>
          <w:color w:val="auto"/>
        </w:rPr>
        <w:t xml:space="preserve"> step incorporates additional qualitative examinations of non-market benefits, as well as complex market benefits that are difficult to capture in existing modelling frameworks.</w:t>
      </w:r>
    </w:p>
    <w:p w:rsidR="0055318E" w:rsidRPr="008144DD" w:rsidRDefault="0055318E" w:rsidP="0055318E">
      <w:pPr>
        <w:pStyle w:val="ExecFigureCaption"/>
        <w:rPr>
          <w:lang w:eastAsia="en-AU"/>
        </w:rPr>
      </w:pPr>
      <w:bookmarkStart w:id="6" w:name="_Ref457505895"/>
      <w:r>
        <w:rPr>
          <w:lang w:eastAsia="en-AU"/>
        </w:rPr>
        <w:t xml:space="preserve">: </w:t>
      </w:r>
      <w:r w:rsidRPr="008144DD">
        <w:rPr>
          <w:lang w:eastAsia="en-AU"/>
        </w:rPr>
        <w:t xml:space="preserve">Illustrative summary of </w:t>
      </w:r>
      <w:r w:rsidR="00112638">
        <w:rPr>
          <w:lang w:eastAsia="en-AU"/>
        </w:rPr>
        <w:t xml:space="preserve">analytical </w:t>
      </w:r>
      <w:r w:rsidRPr="008144DD">
        <w:rPr>
          <w:lang w:eastAsia="en-AU"/>
        </w:rPr>
        <w:t>approach</w:t>
      </w:r>
      <w:bookmarkEnd w:id="6"/>
    </w:p>
    <w:p w:rsidR="0055318E" w:rsidRDefault="00FA2D1E" w:rsidP="00FA2D1E">
      <w:pPr>
        <w:pStyle w:val="BodyText"/>
        <w:ind w:left="-851"/>
        <w:jc w:val="center"/>
        <w:rPr>
          <w:lang w:eastAsia="en-AU"/>
        </w:rPr>
      </w:pPr>
      <w:r w:rsidRPr="00FA2D1E">
        <w:rPr>
          <w:noProof/>
          <w:lang w:eastAsia="en-AU"/>
        </w:rPr>
        <w:drawing>
          <wp:inline distT="0" distB="0" distL="0" distR="0" wp14:anchorId="1BB9FC65" wp14:editId="49147BCB">
            <wp:extent cx="5949209" cy="2639028"/>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7419" cy="2642670"/>
                    </a:xfrm>
                    <a:prstGeom prst="rect">
                      <a:avLst/>
                    </a:prstGeom>
                    <a:noFill/>
                    <a:ln>
                      <a:noFill/>
                    </a:ln>
                  </pic:spPr>
                </pic:pic>
              </a:graphicData>
            </a:graphic>
          </wp:inline>
        </w:drawing>
      </w:r>
    </w:p>
    <w:p w:rsidR="0055318E" w:rsidRPr="006D41F7" w:rsidRDefault="0055318E" w:rsidP="0055318E">
      <w:pPr>
        <w:pStyle w:val="BodyText"/>
        <w:rPr>
          <w:b/>
          <w:i/>
          <w:color w:val="00B0F0"/>
          <w:lang w:eastAsia="en-AU"/>
        </w:rPr>
      </w:pPr>
      <w:r w:rsidRPr="00F370FC">
        <w:rPr>
          <w:rStyle w:val="Boldword"/>
          <w:i/>
          <w:color w:val="00B0F0"/>
        </w:rPr>
        <w:t>Private</w:t>
      </w:r>
      <w:r>
        <w:rPr>
          <w:rStyle w:val="Boldword"/>
          <w:i/>
          <w:color w:val="00B0F0"/>
        </w:rPr>
        <w:t xml:space="preserve"> market</w:t>
      </w:r>
      <w:r w:rsidRPr="00F370FC">
        <w:rPr>
          <w:rStyle w:val="Boldword"/>
          <w:i/>
          <w:color w:val="00B0F0"/>
        </w:rPr>
        <w:t xml:space="preserve"> benefits</w:t>
      </w:r>
    </w:p>
    <w:p w:rsidR="0055318E" w:rsidRPr="00A966ED" w:rsidRDefault="0055318E" w:rsidP="0055318E">
      <w:pPr>
        <w:pStyle w:val="BodyText"/>
        <w:rPr>
          <w:lang w:eastAsia="en-AU"/>
        </w:rPr>
      </w:pPr>
      <w:r w:rsidRPr="00F3696D">
        <w:rPr>
          <w:b/>
          <w:i/>
          <w:color w:val="002776" w:themeColor="accent1"/>
          <w:lang w:eastAsia="en-AU"/>
        </w:rPr>
        <w:t>Step 1:</w:t>
      </w:r>
      <w:r w:rsidRPr="00A966ED">
        <w:rPr>
          <w:b/>
          <w:color w:val="002776" w:themeColor="accent1"/>
          <w:lang w:eastAsia="en-AU"/>
        </w:rPr>
        <w:t xml:space="preserve"> </w:t>
      </w:r>
      <w:r w:rsidRPr="00A966ED">
        <w:rPr>
          <w:lang w:eastAsia="en-AU"/>
        </w:rPr>
        <w:t xml:space="preserve">The first measure in the determination of private market benefits is the gross wage premium (and difference in probability of employment) for those with a higher education qualification, by qualification level, discipline and provider type. </w:t>
      </w:r>
    </w:p>
    <w:p w:rsidR="0055318E" w:rsidRPr="00A966ED" w:rsidRDefault="0055318E" w:rsidP="0055318E">
      <w:pPr>
        <w:pStyle w:val="Bullet1"/>
        <w:rPr>
          <w:b/>
          <w:color w:val="002776" w:themeColor="accent1"/>
        </w:rPr>
      </w:pPr>
      <w:r>
        <w:t xml:space="preserve">This measure of wage gain is relative to those who enter the labour market with no post-school qualification (though is also reported for those with post-school VET and those with a </w:t>
      </w:r>
      <w:r w:rsidR="0075680D">
        <w:t>b</w:t>
      </w:r>
      <w:r>
        <w:t xml:space="preserve">achelor </w:t>
      </w:r>
      <w:r w:rsidR="001307D4">
        <w:t xml:space="preserve">qualification </w:t>
      </w:r>
      <w:r>
        <w:t>who have completed a post-graduate qualification).</w:t>
      </w:r>
    </w:p>
    <w:p w:rsidR="0055318E" w:rsidRDefault="0055318E" w:rsidP="0055318E">
      <w:pPr>
        <w:pStyle w:val="BodyText"/>
        <w:rPr>
          <w:lang w:eastAsia="en-AU"/>
        </w:rPr>
      </w:pPr>
      <w:r w:rsidRPr="00F3696D">
        <w:rPr>
          <w:b/>
          <w:i/>
          <w:color w:val="002776" w:themeColor="accent1"/>
          <w:lang w:eastAsia="en-AU"/>
        </w:rPr>
        <w:t>Step 2:</w:t>
      </w:r>
      <w:r w:rsidRPr="00A966ED">
        <w:rPr>
          <w:color w:val="002776" w:themeColor="accent1"/>
          <w:lang w:eastAsia="en-AU"/>
        </w:rPr>
        <w:t xml:space="preserve"> </w:t>
      </w:r>
      <w:r>
        <w:rPr>
          <w:lang w:eastAsia="en-AU"/>
        </w:rPr>
        <w:t xml:space="preserve">Recognising that a wide range of factors affect individuals’ earning outcomes, beyond just educational qualifications, econometric methods are used to separate the </w:t>
      </w:r>
      <w:r w:rsidRPr="00F3696D">
        <w:rPr>
          <w:b/>
          <w:color w:val="002776" w:themeColor="accent1"/>
          <w:lang w:eastAsia="en-AU"/>
        </w:rPr>
        <w:t>qualification effects</w:t>
      </w:r>
      <w:r>
        <w:rPr>
          <w:lang w:eastAsia="en-AU"/>
        </w:rPr>
        <w:t xml:space="preserve"> from other factors (e.g. ability and </w:t>
      </w:r>
      <w:r w:rsidRPr="00FB743B">
        <w:rPr>
          <w:lang w:eastAsia="en-AU"/>
        </w:rPr>
        <w:t>demographic characteristics</w:t>
      </w:r>
      <w:r>
        <w:rPr>
          <w:lang w:eastAsia="en-AU"/>
        </w:rPr>
        <w:t xml:space="preserve">). </w:t>
      </w:r>
    </w:p>
    <w:p w:rsidR="0055318E" w:rsidRPr="00315BA0" w:rsidRDefault="0055318E" w:rsidP="0055318E">
      <w:pPr>
        <w:pStyle w:val="Bullet1"/>
      </w:pPr>
      <w:r w:rsidRPr="00315BA0">
        <w:t xml:space="preserve">The attributable qualification effects are separated from other factors using regression analysis of the Household Income, Labour </w:t>
      </w:r>
      <w:r>
        <w:t>Dynamics</w:t>
      </w:r>
      <w:r w:rsidRPr="00315BA0">
        <w:t xml:space="preserve"> in Australia (HILDA) Survey. </w:t>
      </w:r>
    </w:p>
    <w:p w:rsidR="0055318E" w:rsidRPr="00315BA0" w:rsidRDefault="0055318E" w:rsidP="0055318E">
      <w:pPr>
        <w:pStyle w:val="Bullet1"/>
      </w:pPr>
      <w:r w:rsidRPr="00315BA0">
        <w:t xml:space="preserve">Wages and labour market status are estimated as a function of qualification level and field, in conjunction with age, demographic characteristics, cognitive ability, and other time/geographic fixed effects. </w:t>
      </w:r>
    </w:p>
    <w:p w:rsidR="0055318E" w:rsidRPr="00315BA0" w:rsidRDefault="0055318E" w:rsidP="0055318E">
      <w:pPr>
        <w:pStyle w:val="Bullet1"/>
      </w:pPr>
      <w:r w:rsidRPr="00315BA0">
        <w:lastRenderedPageBreak/>
        <w:t>From these statistical results, observed wage</w:t>
      </w:r>
      <w:r w:rsidR="00415368">
        <w:t>,</w:t>
      </w:r>
      <w:r w:rsidRPr="00315BA0">
        <w:t xml:space="preserve"> </w:t>
      </w:r>
      <w:r w:rsidR="00415368">
        <w:t xml:space="preserve">employment and participation </w:t>
      </w:r>
      <w:r w:rsidRPr="00315BA0">
        <w:t xml:space="preserve">premiums are split into qualification effects and demographic/other effects. </w:t>
      </w:r>
    </w:p>
    <w:p w:rsidR="0055318E" w:rsidRPr="00315BA0" w:rsidRDefault="0055318E" w:rsidP="0055318E">
      <w:pPr>
        <w:pStyle w:val="Bullet1"/>
      </w:pPr>
      <w:r w:rsidRPr="00315BA0">
        <w:t xml:space="preserve">The qualification effect split is then incorporated into the post-tax </w:t>
      </w:r>
      <w:r w:rsidR="00415368">
        <w:t>earnings</w:t>
      </w:r>
      <w:r w:rsidR="00415368" w:rsidRPr="00315BA0">
        <w:t xml:space="preserve"> </w:t>
      </w:r>
      <w:r>
        <w:t xml:space="preserve">premium </w:t>
      </w:r>
      <w:r w:rsidRPr="00315BA0">
        <w:t xml:space="preserve">calculations, and the subsequent </w:t>
      </w:r>
      <w:r>
        <w:t>economy-wide</w:t>
      </w:r>
      <w:r w:rsidRPr="00315BA0">
        <w:t xml:space="preserve"> simulations in </w:t>
      </w:r>
      <w:r w:rsidR="00331477">
        <w:t>S</w:t>
      </w:r>
      <w:r w:rsidRPr="00315BA0">
        <w:t xml:space="preserve">tep 4. </w:t>
      </w:r>
    </w:p>
    <w:p w:rsidR="0055318E" w:rsidRPr="006D41F7" w:rsidRDefault="0055318E" w:rsidP="0055318E">
      <w:pPr>
        <w:pStyle w:val="BodyText"/>
        <w:rPr>
          <w:b/>
          <w:i/>
          <w:color w:val="00B0F0"/>
          <w:lang w:eastAsia="en-AU"/>
        </w:rPr>
      </w:pPr>
      <w:r>
        <w:rPr>
          <w:rStyle w:val="Boldword"/>
          <w:i/>
          <w:color w:val="00B0F0"/>
        </w:rPr>
        <w:t>Public market</w:t>
      </w:r>
      <w:r w:rsidRPr="00F370FC">
        <w:rPr>
          <w:rStyle w:val="Boldword"/>
          <w:i/>
          <w:color w:val="00B0F0"/>
        </w:rPr>
        <w:t xml:space="preserve"> benefits</w:t>
      </w:r>
    </w:p>
    <w:p w:rsidR="0055318E" w:rsidRPr="00DB12C1" w:rsidRDefault="0055318E" w:rsidP="0055318E">
      <w:pPr>
        <w:pStyle w:val="BodyText"/>
        <w:rPr>
          <w:lang w:eastAsia="en-AU"/>
        </w:rPr>
      </w:pPr>
      <w:r w:rsidRPr="00CD18A1">
        <w:rPr>
          <w:b/>
          <w:i/>
          <w:color w:val="002776" w:themeColor="accent1"/>
          <w:lang w:eastAsia="en-AU"/>
        </w:rPr>
        <w:t>Step 3:</w:t>
      </w:r>
      <w:r w:rsidRPr="00CD18A1">
        <w:rPr>
          <w:color w:val="002776" w:themeColor="accent1"/>
          <w:lang w:eastAsia="en-AU"/>
        </w:rPr>
        <w:t xml:space="preserve"> </w:t>
      </w:r>
      <w:r>
        <w:rPr>
          <w:lang w:eastAsia="en-AU"/>
        </w:rPr>
        <w:t xml:space="preserve">Increasing the number of persons with a specific higher education qualification increases the productivity of the industry they enter, through their higher human capital. If demand for such workers were to be unchanged, it would also reduce the relative scarcity of workers with that level qualification, while increasing the relative scarcity of workers with no post-school qualification. The resultant </w:t>
      </w:r>
      <w:r w:rsidRPr="00DB12C1">
        <w:rPr>
          <w:lang w:eastAsia="en-AU"/>
        </w:rPr>
        <w:t xml:space="preserve">impact on the wages of other workers in the labour market from these two effects is examined in this </w:t>
      </w:r>
      <w:r>
        <w:rPr>
          <w:lang w:eastAsia="en-AU"/>
        </w:rPr>
        <w:t>component of the analysis:</w:t>
      </w:r>
      <w:r w:rsidRPr="00DB12C1">
        <w:rPr>
          <w:lang w:eastAsia="en-AU"/>
        </w:rPr>
        <w:t xml:space="preserve"> </w:t>
      </w:r>
    </w:p>
    <w:p w:rsidR="0055318E" w:rsidRPr="00A966ED" w:rsidRDefault="0055318E" w:rsidP="0055318E">
      <w:pPr>
        <w:pStyle w:val="Bullet1"/>
      </w:pPr>
      <w:r>
        <w:t>t</w:t>
      </w:r>
      <w:r w:rsidRPr="00A966ED">
        <w:t xml:space="preserve">he </w:t>
      </w:r>
      <w:r>
        <w:t>regression</w:t>
      </w:r>
      <w:r w:rsidRPr="00A966ED">
        <w:t xml:space="preserve"> analysis conducted in </w:t>
      </w:r>
      <w:r>
        <w:t>S</w:t>
      </w:r>
      <w:r w:rsidRPr="00A966ED">
        <w:t>tep 2 is extended to include a variable for the average qualification mix in a regional labour market</w:t>
      </w:r>
      <w:r>
        <w:t>;</w:t>
      </w:r>
    </w:p>
    <w:p w:rsidR="0055318E" w:rsidRPr="00A966ED" w:rsidRDefault="0055318E" w:rsidP="0055318E">
      <w:pPr>
        <w:pStyle w:val="Bullet1"/>
      </w:pPr>
      <w:r>
        <w:t>t</w:t>
      </w:r>
      <w:r w:rsidRPr="00A966ED">
        <w:t xml:space="preserve">hese estimates show how the </w:t>
      </w:r>
      <w:r>
        <w:t>local skills mix</w:t>
      </w:r>
      <w:r w:rsidRPr="00A966ED">
        <w:t xml:space="preserve"> </w:t>
      </w:r>
      <w:r>
        <w:t>a</w:t>
      </w:r>
      <w:r w:rsidRPr="00A966ED">
        <w:t>ffect</w:t>
      </w:r>
      <w:r>
        <w:t>s wages for those with and without higher education; and</w:t>
      </w:r>
    </w:p>
    <w:p w:rsidR="0055318E" w:rsidRPr="00DB12C1" w:rsidRDefault="0055318E" w:rsidP="0055318E">
      <w:pPr>
        <w:pStyle w:val="Bullet1"/>
      </w:pPr>
      <w:proofErr w:type="gramStart"/>
      <w:r w:rsidRPr="00A966ED">
        <w:t>these</w:t>
      </w:r>
      <w:proofErr w:type="gramEnd"/>
      <w:r w:rsidRPr="00A966ED">
        <w:t xml:space="preserve"> results provide an </w:t>
      </w:r>
      <w:r w:rsidRPr="00A966ED">
        <w:rPr>
          <w:b/>
          <w:color w:val="002776" w:themeColor="accent1"/>
        </w:rPr>
        <w:t>empirical reference point</w:t>
      </w:r>
      <w:r w:rsidRPr="00A966ED">
        <w:t xml:space="preserve">, rather than a direct input, for the simulated wage changes that are part of the </w:t>
      </w:r>
      <w:r>
        <w:t>computable general equilibrium (</w:t>
      </w:r>
      <w:r w:rsidRPr="00A966ED">
        <w:t>CGE</w:t>
      </w:r>
      <w:r>
        <w:t>)</w:t>
      </w:r>
      <w:r w:rsidRPr="00A966ED">
        <w:t xml:space="preserve"> analysis in </w:t>
      </w:r>
      <w:r w:rsidR="00112638">
        <w:t>S</w:t>
      </w:r>
      <w:r w:rsidR="00112638" w:rsidRPr="00A966ED">
        <w:t xml:space="preserve">tep </w:t>
      </w:r>
      <w:r w:rsidRPr="00A966ED">
        <w:t xml:space="preserve">4.  </w:t>
      </w:r>
    </w:p>
    <w:p w:rsidR="0055318E" w:rsidRDefault="0055318E" w:rsidP="0055318E">
      <w:pPr>
        <w:pStyle w:val="BodyText"/>
        <w:rPr>
          <w:lang w:eastAsia="en-AU"/>
        </w:rPr>
      </w:pPr>
      <w:r w:rsidRPr="00CD18A1">
        <w:rPr>
          <w:b/>
          <w:i/>
          <w:color w:val="002776" w:themeColor="accent1"/>
          <w:lang w:eastAsia="en-AU"/>
        </w:rPr>
        <w:t>Step 4:</w:t>
      </w:r>
      <w:r w:rsidRPr="00CD18A1">
        <w:rPr>
          <w:color w:val="002776" w:themeColor="accent1"/>
          <w:lang w:eastAsia="en-AU"/>
        </w:rPr>
        <w:t xml:space="preserve"> </w:t>
      </w:r>
      <w:r w:rsidRPr="00DB12C1">
        <w:rPr>
          <w:lang w:eastAsia="en-AU"/>
        </w:rPr>
        <w:t>As the number of students with higher education qualifications rises, so does overall labour pro</w:t>
      </w:r>
      <w:r w:rsidRPr="00F626A1">
        <w:rPr>
          <w:lang w:eastAsia="en-AU"/>
        </w:rPr>
        <w:t>ductivity</w:t>
      </w:r>
      <w:r>
        <w:rPr>
          <w:lang w:eastAsia="en-AU"/>
        </w:rPr>
        <w:t xml:space="preserve"> (as estimated at Step 2)</w:t>
      </w:r>
      <w:r w:rsidRPr="00F626A1">
        <w:rPr>
          <w:lang w:eastAsia="en-AU"/>
        </w:rPr>
        <w:t xml:space="preserve">, </w:t>
      </w:r>
      <w:r>
        <w:rPr>
          <w:lang w:eastAsia="en-AU"/>
        </w:rPr>
        <w:t>increasing output within industries. This increase in output leads to greater incomes for labour and capital holders</w:t>
      </w:r>
      <w:r w:rsidR="00EC3F25">
        <w:rPr>
          <w:lang w:eastAsia="en-AU"/>
        </w:rPr>
        <w:t>,</w:t>
      </w:r>
      <w:r>
        <w:rPr>
          <w:lang w:eastAsia="en-AU"/>
        </w:rPr>
        <w:t xml:space="preserve"> and also revenue for government through taxation of these factor incomes. These increased returns result in increased investment in the economy, generating increases in total employment and economic growth. These higher incomes stimulate further consumption and investment, causing </w:t>
      </w:r>
      <w:r w:rsidR="00112638">
        <w:rPr>
          <w:lang w:eastAsia="en-AU"/>
        </w:rPr>
        <w:t xml:space="preserve">additional </w:t>
      </w:r>
      <w:r>
        <w:rPr>
          <w:lang w:eastAsia="en-AU"/>
        </w:rPr>
        <w:t xml:space="preserve">flow-on economic activity. These public benefits are best measured through a dynamic economy-wide framework such as a CGE model, in terms of </w:t>
      </w:r>
      <w:r w:rsidRPr="007424D5">
        <w:rPr>
          <w:lang w:eastAsia="en-AU"/>
        </w:rPr>
        <w:t xml:space="preserve">increased </w:t>
      </w:r>
      <w:r w:rsidRPr="004D182C">
        <w:rPr>
          <w:lang w:eastAsia="en-AU"/>
        </w:rPr>
        <w:t xml:space="preserve">Gross National </w:t>
      </w:r>
      <w:r w:rsidRPr="007424D5">
        <w:rPr>
          <w:lang w:eastAsia="en-AU"/>
        </w:rPr>
        <w:t>Product</w:t>
      </w:r>
      <w:r>
        <w:rPr>
          <w:lang w:eastAsia="en-AU"/>
        </w:rPr>
        <w:t xml:space="preserve"> (GNP). The GNP measure of economic activity accounts for changes in foreign capital flows, which is likely in the context of increased investment, and so is the most appropriate </w:t>
      </w:r>
      <w:r w:rsidR="00EC3F25">
        <w:rPr>
          <w:lang w:eastAsia="en-AU"/>
        </w:rPr>
        <w:t xml:space="preserve">organising framework </w:t>
      </w:r>
      <w:r>
        <w:rPr>
          <w:lang w:eastAsia="en-AU"/>
        </w:rPr>
        <w:t xml:space="preserve">here. </w:t>
      </w:r>
    </w:p>
    <w:p w:rsidR="0055318E" w:rsidRDefault="0055318E" w:rsidP="0055318E">
      <w:pPr>
        <w:pStyle w:val="Bullet1"/>
      </w:pPr>
      <w:r w:rsidRPr="000E3D02">
        <w:rPr>
          <w:rStyle w:val="Boldword"/>
        </w:rPr>
        <w:t>Deloitte Access Economics</w:t>
      </w:r>
      <w:r>
        <w:rPr>
          <w:rStyle w:val="Boldword"/>
        </w:rPr>
        <w:t>’</w:t>
      </w:r>
      <w:r w:rsidRPr="000E3D02">
        <w:rPr>
          <w:rStyle w:val="Boldword"/>
        </w:rPr>
        <w:t xml:space="preserve"> CGE</w:t>
      </w:r>
      <w:r w:rsidR="00112638">
        <w:rPr>
          <w:rStyle w:val="Boldword"/>
        </w:rPr>
        <w:t xml:space="preserve"> </w:t>
      </w:r>
      <w:r w:rsidRPr="000E3D02">
        <w:rPr>
          <w:rStyle w:val="Boldword"/>
        </w:rPr>
        <w:t>model of the Australian economy</w:t>
      </w:r>
      <w:r>
        <w:rPr>
          <w:rStyle w:val="Boldword"/>
        </w:rPr>
        <w:t xml:space="preserve"> is applied here,</w:t>
      </w:r>
      <w:r>
        <w:t xml:space="preserve"> simulating how the additional endowment of human capital in each industry drives growth in production;</w:t>
      </w:r>
    </w:p>
    <w:p w:rsidR="0055318E" w:rsidRDefault="0055318E" w:rsidP="0055318E">
      <w:pPr>
        <w:pStyle w:val="Bullet1"/>
      </w:pPr>
      <w:r>
        <w:t xml:space="preserve">the effects of labour services from a particular higher education qualification </w:t>
      </w:r>
      <w:r w:rsidR="00A876CC">
        <w:t>are</w:t>
      </w:r>
      <w:r>
        <w:t xml:space="preserve"> estimated by conducting simulations of the Australian economy in the CGE model; </w:t>
      </w:r>
    </w:p>
    <w:p w:rsidR="0055318E" w:rsidRDefault="0055318E" w:rsidP="0055318E">
      <w:pPr>
        <w:pStyle w:val="Bullet1"/>
      </w:pPr>
      <w:r>
        <w:t xml:space="preserve">these labour services estimates are adjusted for demographic effects, which influence observed wage premiums and employment probabilities, as estimated in </w:t>
      </w:r>
      <w:r w:rsidR="00112638">
        <w:t xml:space="preserve">Step </w:t>
      </w:r>
      <w:r>
        <w:t xml:space="preserve">2; </w:t>
      </w:r>
    </w:p>
    <w:p w:rsidR="008C0311" w:rsidRDefault="008C0311" w:rsidP="008C0311">
      <w:pPr>
        <w:pStyle w:val="Bullet1"/>
      </w:pPr>
      <w:r>
        <w:t xml:space="preserve">wages are determined endogenously within the CGE model, simultaneously reflecting the relative scarcity effect (increased supply of graduates relative to non-graduates) and productivity effect (the pool of skills has expanded); </w:t>
      </w:r>
    </w:p>
    <w:p w:rsidR="005B1323" w:rsidRDefault="0055318E" w:rsidP="008C0311">
      <w:pPr>
        <w:pStyle w:val="Bullet1"/>
      </w:pPr>
      <w:r>
        <w:t xml:space="preserve">the CGE model </w:t>
      </w:r>
      <w:r w:rsidR="00112638">
        <w:t xml:space="preserve">produces </w:t>
      </w:r>
      <w:r>
        <w:t>annual estimates of GNP impact over the 46 years of a typical working lifetime (aged 19-65) - these also account for variation in wages and likelihood of employment over a typical career; and</w:t>
      </w:r>
      <w:r w:rsidR="005B1323">
        <w:t xml:space="preserve"> </w:t>
      </w:r>
    </w:p>
    <w:p w:rsidR="0055318E" w:rsidRDefault="0055318E" w:rsidP="0055318E">
      <w:pPr>
        <w:pStyle w:val="Bullet1"/>
      </w:pPr>
      <w:proofErr w:type="gramStart"/>
      <w:r>
        <w:lastRenderedPageBreak/>
        <w:t>the</w:t>
      </w:r>
      <w:proofErr w:type="gramEnd"/>
      <w:r>
        <w:t xml:space="preserve"> stream of annual GNP impact estimates are expressed as a single figure using a </w:t>
      </w:r>
      <w:r w:rsidR="00112638">
        <w:t>net pre</w:t>
      </w:r>
      <w:r w:rsidR="007F5DCA">
        <w:t>s</w:t>
      </w:r>
      <w:r w:rsidR="00112638">
        <w:t>ent value (</w:t>
      </w:r>
      <w:r>
        <w:t>NPV</w:t>
      </w:r>
      <w:r w:rsidR="00112638">
        <w:t>)</w:t>
      </w:r>
      <w:r>
        <w:t xml:space="preserve"> formula, from which the private benefits (an NPV </w:t>
      </w:r>
      <w:r w:rsidR="0030006C">
        <w:t xml:space="preserve">of </w:t>
      </w:r>
      <w:r>
        <w:t>post-tax wage increments) are deducted to produce public benefits and private benefits estimates.</w:t>
      </w:r>
    </w:p>
    <w:p w:rsidR="0055318E" w:rsidRPr="006D41F7" w:rsidRDefault="0055318E" w:rsidP="0055318E">
      <w:pPr>
        <w:pStyle w:val="BodyText"/>
        <w:rPr>
          <w:b/>
          <w:i/>
          <w:color w:val="00B0F0"/>
          <w:lang w:eastAsia="en-AU"/>
        </w:rPr>
      </w:pPr>
      <w:r>
        <w:rPr>
          <w:rStyle w:val="Boldword"/>
          <w:i/>
          <w:color w:val="00B0F0"/>
        </w:rPr>
        <w:t>Broader</w:t>
      </w:r>
      <w:r w:rsidRPr="00F370FC">
        <w:rPr>
          <w:rStyle w:val="Boldword"/>
          <w:i/>
          <w:color w:val="00B0F0"/>
        </w:rPr>
        <w:t xml:space="preserve"> </w:t>
      </w:r>
      <w:r>
        <w:rPr>
          <w:rStyle w:val="Boldword"/>
          <w:i/>
          <w:color w:val="00B0F0"/>
        </w:rPr>
        <w:t xml:space="preserve">public </w:t>
      </w:r>
      <w:r w:rsidRPr="00F370FC">
        <w:rPr>
          <w:rStyle w:val="Boldword"/>
          <w:i/>
          <w:color w:val="00B0F0"/>
        </w:rPr>
        <w:t>benefits</w:t>
      </w:r>
    </w:p>
    <w:p w:rsidR="0055318E" w:rsidRPr="00F3696D" w:rsidRDefault="0055318E" w:rsidP="0055318E">
      <w:pPr>
        <w:pStyle w:val="BodyText"/>
        <w:rPr>
          <w:lang w:eastAsia="en-AU"/>
        </w:rPr>
      </w:pPr>
      <w:r w:rsidRPr="00F3696D">
        <w:rPr>
          <w:b/>
          <w:i/>
          <w:color w:val="002776" w:themeColor="accent1"/>
          <w:lang w:eastAsia="en-AU"/>
        </w:rPr>
        <w:t xml:space="preserve">Step 5: </w:t>
      </w:r>
      <w:r w:rsidRPr="00F3696D">
        <w:rPr>
          <w:lang w:eastAsia="en-AU"/>
        </w:rPr>
        <w:t xml:space="preserve">There are a number of additional market and non-market </w:t>
      </w:r>
      <w:r>
        <w:rPr>
          <w:lang w:eastAsia="en-AU"/>
        </w:rPr>
        <w:t xml:space="preserve">public </w:t>
      </w:r>
      <w:r w:rsidRPr="00F3696D">
        <w:rPr>
          <w:lang w:eastAsia="en-AU"/>
        </w:rPr>
        <w:t xml:space="preserve">benefits that are </w:t>
      </w:r>
      <w:r w:rsidR="00EC3F25">
        <w:rPr>
          <w:lang w:eastAsia="en-AU"/>
        </w:rPr>
        <w:t>understood</w:t>
      </w:r>
      <w:r w:rsidR="00EC3F25" w:rsidRPr="00F3696D">
        <w:rPr>
          <w:lang w:eastAsia="en-AU"/>
        </w:rPr>
        <w:t xml:space="preserve"> </w:t>
      </w:r>
      <w:r w:rsidRPr="00F3696D">
        <w:rPr>
          <w:lang w:eastAsia="en-AU"/>
        </w:rPr>
        <w:t>to flow from higher education attainment, which are not captured in the quantitative analysis set out in steps 1-4.</w:t>
      </w:r>
      <w:r w:rsidR="00602A2C">
        <w:rPr>
          <w:lang w:eastAsia="en-AU"/>
        </w:rPr>
        <w:t xml:space="preserve"> </w:t>
      </w:r>
    </w:p>
    <w:p w:rsidR="0055318E" w:rsidRDefault="00112638" w:rsidP="0055318E">
      <w:pPr>
        <w:pStyle w:val="Bullet1"/>
      </w:pPr>
      <w:r>
        <w:t>C</w:t>
      </w:r>
      <w:r w:rsidR="0055318E">
        <w:t>omprehensively quantifying the likely magnitude of these benefits by field of stud</w:t>
      </w:r>
      <w:r w:rsidR="0055318E" w:rsidRPr="00B95740">
        <w:t xml:space="preserve">y is </w:t>
      </w:r>
      <w:r>
        <w:t>a complex and extensive</w:t>
      </w:r>
      <w:r w:rsidR="0055318E" w:rsidRPr="00B95740">
        <w:t xml:space="preserve"> research </w:t>
      </w:r>
      <w:r>
        <w:t>exercise</w:t>
      </w:r>
      <w:r w:rsidR="0055318E">
        <w:t xml:space="preserve"> which cannot be </w:t>
      </w:r>
      <w:r>
        <w:t xml:space="preserve">conducted </w:t>
      </w:r>
      <w:r w:rsidR="0055318E">
        <w:t xml:space="preserve">in a single analytical framework akin to </w:t>
      </w:r>
      <w:r>
        <w:t xml:space="preserve">the one </w:t>
      </w:r>
      <w:r w:rsidR="0055318E">
        <w:t>applied here</w:t>
      </w:r>
      <w:r>
        <w:t>.  Accordingly</w:t>
      </w:r>
      <w:r w:rsidR="0055318E">
        <w:t>,</w:t>
      </w:r>
      <w:r w:rsidR="0055318E" w:rsidRPr="00B95740">
        <w:t xml:space="preserve"> </w:t>
      </w:r>
      <w:r w:rsidR="00A6424C">
        <w:t>this report provides</w:t>
      </w:r>
      <w:r w:rsidR="0055318E" w:rsidRPr="00B95740">
        <w:t xml:space="preserve"> </w:t>
      </w:r>
      <w:r w:rsidR="0055318E" w:rsidRPr="00A966ED">
        <w:t xml:space="preserve">a </w:t>
      </w:r>
      <w:r w:rsidR="0055318E" w:rsidRPr="00B95740">
        <w:t>systematic categorisation</w:t>
      </w:r>
      <w:r w:rsidR="0055318E" w:rsidRPr="00A966ED">
        <w:t xml:space="preserve"> of these broader </w:t>
      </w:r>
      <w:r w:rsidR="0055318E">
        <w:t xml:space="preserve">public </w:t>
      </w:r>
      <w:r w:rsidR="0055318E" w:rsidRPr="00A966ED">
        <w:t xml:space="preserve">benefits, </w:t>
      </w:r>
      <w:r w:rsidR="0055318E">
        <w:t xml:space="preserve">and the fields of study that </w:t>
      </w:r>
      <w:r>
        <w:t>they are most likely to be associated with</w:t>
      </w:r>
      <w:r w:rsidR="0055318E" w:rsidRPr="00A966ED">
        <w:t>.</w:t>
      </w:r>
    </w:p>
    <w:p w:rsidR="0055318E" w:rsidRDefault="0055318E" w:rsidP="0055318E">
      <w:pPr>
        <w:pStyle w:val="HeadingC"/>
      </w:pPr>
      <w:r>
        <w:t>Results from the analysis</w:t>
      </w:r>
    </w:p>
    <w:p w:rsidR="00E30924" w:rsidRDefault="00E30924" w:rsidP="00E30924">
      <w:pPr>
        <w:pStyle w:val="BodyText"/>
        <w:rPr>
          <w:rStyle w:val="Boldword"/>
          <w:i/>
          <w:color w:val="00B0F0"/>
        </w:rPr>
      </w:pPr>
      <w:r>
        <w:rPr>
          <w:rStyle w:val="Boldword"/>
          <w:i/>
          <w:color w:val="00B0F0"/>
        </w:rPr>
        <w:t>Observed wage relativities</w:t>
      </w:r>
    </w:p>
    <w:p w:rsidR="00E30924" w:rsidRPr="00E30924" w:rsidRDefault="00E30924" w:rsidP="00E30924">
      <w:pPr>
        <w:pStyle w:val="BodyText"/>
        <w:rPr>
          <w:lang w:eastAsia="en-AU"/>
        </w:rPr>
      </w:pPr>
      <w:r w:rsidRPr="00E30924">
        <w:t>The chart</w:t>
      </w:r>
      <w:r w:rsidR="00385686">
        <w:t>s</w:t>
      </w:r>
      <w:r w:rsidRPr="00E30924">
        <w:t xml:space="preserve"> below show the observed </w:t>
      </w:r>
      <w:r>
        <w:t xml:space="preserve">wage relativities </w:t>
      </w:r>
      <w:r w:rsidR="00385686">
        <w:t xml:space="preserve">for different study disciplines and qualification levels. </w:t>
      </w:r>
      <w:r w:rsidR="00024D74">
        <w:t xml:space="preserve">As is </w:t>
      </w:r>
      <w:r w:rsidR="00E41994">
        <w:t>widely acknowle</w:t>
      </w:r>
      <w:r w:rsidR="007F5DCA">
        <w:t>d</w:t>
      </w:r>
      <w:r w:rsidR="00E41994">
        <w:t>ged</w:t>
      </w:r>
      <w:r w:rsidR="00024D74">
        <w:t xml:space="preserve">, there are significant differentials in observed wages across study disciplines and qualification levels. However, these are reflective of </w:t>
      </w:r>
      <w:r w:rsidR="00FB492A">
        <w:t>differentials in other characteristics such as demographics and cognitive ability</w:t>
      </w:r>
      <w:r w:rsidR="00DD475B">
        <w:t xml:space="preserve"> which</w:t>
      </w:r>
      <w:r w:rsidR="00FB492A">
        <w:t xml:space="preserve"> need to be accounted for </w:t>
      </w:r>
      <w:r w:rsidR="00DD475B">
        <w:t xml:space="preserve">in estimating </w:t>
      </w:r>
      <w:r w:rsidR="00FB492A">
        <w:t xml:space="preserve">the benefits </w:t>
      </w:r>
      <w:r w:rsidR="00DD475B">
        <w:t xml:space="preserve">attributable to </w:t>
      </w:r>
      <w:r w:rsidR="00FB492A">
        <w:t>the qualification itself.</w:t>
      </w:r>
    </w:p>
    <w:p w:rsidR="00E30924" w:rsidRPr="006D41F7" w:rsidRDefault="00E30924" w:rsidP="00385686">
      <w:pPr>
        <w:pStyle w:val="ExecChartCaption"/>
        <w:rPr>
          <w:lang w:eastAsia="en-AU"/>
        </w:rPr>
      </w:pPr>
      <w:r>
        <w:rPr>
          <w:lang w:eastAsia="en-AU"/>
        </w:rPr>
        <w:t xml:space="preserve">: </w:t>
      </w:r>
      <w:r w:rsidR="00385686" w:rsidRPr="00385686">
        <w:rPr>
          <w:lang w:eastAsia="en-AU"/>
        </w:rPr>
        <w:t xml:space="preserve">Average weekly wages by </w:t>
      </w:r>
      <w:r w:rsidR="00385686">
        <w:rPr>
          <w:lang w:eastAsia="en-AU"/>
        </w:rPr>
        <w:t>study discipline</w:t>
      </w:r>
      <w:r w:rsidR="00385686" w:rsidRPr="00385686">
        <w:rPr>
          <w:lang w:eastAsia="en-AU"/>
        </w:rPr>
        <w:t xml:space="preserve"> (full-time employees, </w:t>
      </w:r>
      <w:r w:rsidR="00BA5502">
        <w:rPr>
          <w:lang w:eastAsia="en-AU"/>
        </w:rPr>
        <w:t>2012 dollars</w:t>
      </w:r>
      <w:r w:rsidR="00385686" w:rsidRPr="00385686">
        <w:rPr>
          <w:lang w:eastAsia="en-AU"/>
        </w:rPr>
        <w:t>)</w:t>
      </w:r>
    </w:p>
    <w:p w:rsidR="00E30924" w:rsidRDefault="00E30924" w:rsidP="00E30924">
      <w:pPr>
        <w:pStyle w:val="BodyText"/>
      </w:pPr>
      <w:r>
        <w:rPr>
          <w:noProof/>
          <w:lang w:eastAsia="en-AU"/>
        </w:rPr>
        <w:drawing>
          <wp:inline distT="0" distB="0" distL="0" distR="0" wp14:anchorId="31DDF111" wp14:editId="2A75D63E">
            <wp:extent cx="4752975" cy="27144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5983" cy="2716150"/>
                    </a:xfrm>
                    <a:prstGeom prst="rect">
                      <a:avLst/>
                    </a:prstGeom>
                    <a:noFill/>
                  </pic:spPr>
                </pic:pic>
              </a:graphicData>
            </a:graphic>
          </wp:inline>
        </w:drawing>
      </w:r>
    </w:p>
    <w:p w:rsidR="00385686" w:rsidRDefault="00385686" w:rsidP="00385686">
      <w:pPr>
        <w:pStyle w:val="Source"/>
      </w:pPr>
      <w:r>
        <w:t>Source: Deloitte Access Economics, HILDA survey</w:t>
      </w:r>
      <w:r w:rsidR="0012359A">
        <w:t>. Observations of wages from 2001-2014 are scaled to 2011-12 real dollars</w:t>
      </w:r>
    </w:p>
    <w:p w:rsidR="00385686" w:rsidRPr="006D41F7" w:rsidRDefault="00385686" w:rsidP="00385686">
      <w:pPr>
        <w:pStyle w:val="ExecChartCaption"/>
        <w:rPr>
          <w:lang w:eastAsia="en-AU"/>
        </w:rPr>
      </w:pPr>
      <w:r>
        <w:rPr>
          <w:lang w:eastAsia="en-AU"/>
        </w:rPr>
        <w:lastRenderedPageBreak/>
        <w:t xml:space="preserve">: </w:t>
      </w:r>
      <w:r w:rsidRPr="00385686">
        <w:rPr>
          <w:lang w:eastAsia="en-AU"/>
        </w:rPr>
        <w:t>Average weekly wages by qualification level (</w:t>
      </w:r>
      <w:r w:rsidR="00BA5502" w:rsidRPr="00385686">
        <w:rPr>
          <w:lang w:eastAsia="en-AU"/>
        </w:rPr>
        <w:t xml:space="preserve">full-time employees, </w:t>
      </w:r>
      <w:r w:rsidR="00BA5502">
        <w:rPr>
          <w:lang w:eastAsia="en-AU"/>
        </w:rPr>
        <w:t>2012 dollars</w:t>
      </w:r>
      <w:r w:rsidR="00BA5502" w:rsidRPr="00385686" w:rsidDel="00BA5502">
        <w:rPr>
          <w:lang w:eastAsia="en-AU"/>
        </w:rPr>
        <w:t xml:space="preserve"> </w:t>
      </w:r>
      <w:r w:rsidRPr="00385686">
        <w:rPr>
          <w:lang w:eastAsia="en-AU"/>
        </w:rPr>
        <w:t>)</w:t>
      </w:r>
    </w:p>
    <w:p w:rsidR="0003480A" w:rsidRDefault="0003480A" w:rsidP="00FB492A">
      <w:pPr>
        <w:pStyle w:val="BodyText"/>
        <w:jc w:val="center"/>
      </w:pPr>
      <w:r>
        <w:rPr>
          <w:noProof/>
          <w:lang w:eastAsia="en-AU"/>
        </w:rPr>
        <w:drawing>
          <wp:inline distT="0" distB="0" distL="0" distR="0" wp14:anchorId="05A8E3CA" wp14:editId="3B377900">
            <wp:extent cx="4391025" cy="244723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4207" cy="2449004"/>
                    </a:xfrm>
                    <a:prstGeom prst="rect">
                      <a:avLst/>
                    </a:prstGeom>
                    <a:noFill/>
                  </pic:spPr>
                </pic:pic>
              </a:graphicData>
            </a:graphic>
          </wp:inline>
        </w:drawing>
      </w:r>
    </w:p>
    <w:p w:rsidR="00385686" w:rsidRDefault="00385686" w:rsidP="00024D74">
      <w:pPr>
        <w:pStyle w:val="Source"/>
      </w:pPr>
      <w:r>
        <w:t>Source: Deloitte Access Economics, HILDA survey</w:t>
      </w:r>
      <w:r w:rsidR="0012359A">
        <w:t>. Observations of wages from 2001-2014 are scaled to 2011-12 real dollars</w:t>
      </w:r>
    </w:p>
    <w:p w:rsidR="0055318E" w:rsidRDefault="00FB492A" w:rsidP="0055318E">
      <w:pPr>
        <w:pStyle w:val="BodyText"/>
        <w:rPr>
          <w:rStyle w:val="Boldword"/>
          <w:i/>
          <w:color w:val="00B0F0"/>
        </w:rPr>
      </w:pPr>
      <w:r>
        <w:rPr>
          <w:rStyle w:val="Boldword"/>
          <w:i/>
          <w:color w:val="00B0F0"/>
        </w:rPr>
        <w:t>Estimating p</w:t>
      </w:r>
      <w:r w:rsidR="0055318E">
        <w:rPr>
          <w:rStyle w:val="Boldword"/>
          <w:i/>
          <w:color w:val="00B0F0"/>
        </w:rPr>
        <w:t>rivate</w:t>
      </w:r>
      <w:r w:rsidR="0055318E" w:rsidRPr="00F370FC">
        <w:rPr>
          <w:rStyle w:val="Boldword"/>
          <w:i/>
          <w:color w:val="00B0F0"/>
        </w:rPr>
        <w:t xml:space="preserve"> </w:t>
      </w:r>
      <w:r w:rsidR="0055318E">
        <w:rPr>
          <w:rStyle w:val="Boldword"/>
          <w:i/>
          <w:color w:val="00B0F0"/>
        </w:rPr>
        <w:t xml:space="preserve">market </w:t>
      </w:r>
      <w:r w:rsidR="0055318E" w:rsidRPr="00F370FC">
        <w:rPr>
          <w:rStyle w:val="Boldword"/>
          <w:i/>
          <w:color w:val="00B0F0"/>
        </w:rPr>
        <w:t>benefits</w:t>
      </w:r>
    </w:p>
    <w:p w:rsidR="0055318E" w:rsidRPr="0071434F" w:rsidRDefault="0055318E" w:rsidP="0055318E">
      <w:pPr>
        <w:pStyle w:val="BodyText"/>
      </w:pPr>
      <w:r>
        <w:t xml:space="preserve">After controlling for demographic and ability effects, econometric analysis on private market </w:t>
      </w:r>
      <w:r w:rsidRPr="0071434F">
        <w:t>benefits, including combined wage and employment effects from higher education</w:t>
      </w:r>
      <w:r w:rsidR="00B813D6">
        <w:t>,</w:t>
      </w:r>
      <w:r w:rsidRPr="0071434F">
        <w:t xml:space="preserve"> </w:t>
      </w:r>
      <w:r w:rsidR="00B813D6">
        <w:t>demonstrates</w:t>
      </w:r>
      <w:r w:rsidRPr="0071434F">
        <w:t xml:space="preserve"> that: </w:t>
      </w:r>
    </w:p>
    <w:p w:rsidR="0055318E" w:rsidRPr="0071434F" w:rsidRDefault="0055318E" w:rsidP="0055318E">
      <w:pPr>
        <w:pStyle w:val="Bullet1"/>
      </w:pPr>
      <w:r w:rsidRPr="0071434F">
        <w:t xml:space="preserve">there are positive earnings premiums for postgraduate degree holders and bachelor degree holders, relative to those with no post-school qualification </w:t>
      </w:r>
      <w:r w:rsidRPr="00F3696D">
        <w:t xml:space="preserve">and relative to VET </w:t>
      </w:r>
      <w:r w:rsidR="001307D4">
        <w:t xml:space="preserve">qualification </w:t>
      </w:r>
      <w:r w:rsidRPr="00F3696D">
        <w:t>holders in their respective field of study</w:t>
      </w:r>
      <w:r w:rsidRPr="0071434F">
        <w:t xml:space="preserve">; </w:t>
      </w:r>
    </w:p>
    <w:p w:rsidR="0055318E" w:rsidRPr="0071434F" w:rsidRDefault="0055318E" w:rsidP="0055318E">
      <w:pPr>
        <w:pStyle w:val="Bullet1"/>
      </w:pPr>
      <w:r w:rsidRPr="0071434F">
        <w:t>wage premiums for sub-bachelor degrees are positive</w:t>
      </w:r>
      <w:r w:rsidR="00273CF6">
        <w:t xml:space="preserve"> (noting they include Advanced Diploma and Diploma qualifications obtained through both VET and higher education providers)</w:t>
      </w:r>
      <w:r w:rsidRPr="0071434F">
        <w:t xml:space="preserve">, but statistically insignificant, </w:t>
      </w:r>
      <w:r w:rsidRPr="00F3696D">
        <w:t xml:space="preserve">meaning the findings </w:t>
      </w:r>
      <w:r w:rsidRPr="0071434F">
        <w:t xml:space="preserve">of qualification effect for sub-bachelor degrees are less certain than bachelor or postgraduate qualifications; </w:t>
      </w:r>
    </w:p>
    <w:p w:rsidR="0055318E" w:rsidRDefault="0055318E" w:rsidP="0055318E">
      <w:pPr>
        <w:pStyle w:val="Bullet1"/>
      </w:pPr>
      <w:r w:rsidRPr="0071434F">
        <w:t>the disciplines of Other</w:t>
      </w:r>
      <w:r>
        <w:t xml:space="preserve"> Health (Health less Medicine), Education, Engineering and Business have significant positive wage premiums, followed by Arts, Science, IT and Medicine which each have similar estimated returns; </w:t>
      </w:r>
    </w:p>
    <w:p w:rsidR="0055318E" w:rsidRDefault="0055318E" w:rsidP="0055318E">
      <w:pPr>
        <w:pStyle w:val="Bullet1"/>
      </w:pPr>
      <w:r>
        <w:t xml:space="preserve">on </w:t>
      </w:r>
      <w:r w:rsidRPr="00F10F95">
        <w:t xml:space="preserve">average, </w:t>
      </w:r>
      <w:r w:rsidRPr="00F3696D">
        <w:t>52</w:t>
      </w:r>
      <w:r>
        <w:t xml:space="preserve">% of the observed difference in earnings between bachelor degree holders and those without any post-school education can be attributed to </w:t>
      </w:r>
      <w:r w:rsidRPr="00F3696D">
        <w:rPr>
          <w:b/>
          <w:color w:val="002776" w:themeColor="accent1"/>
        </w:rPr>
        <w:t>qualification  effects</w:t>
      </w:r>
      <w:r>
        <w:t xml:space="preserve"> (rather than demographics or innate ability); </w:t>
      </w:r>
    </w:p>
    <w:p w:rsidR="0055318E" w:rsidRDefault="0055318E" w:rsidP="0055318E">
      <w:pPr>
        <w:pStyle w:val="Bullet2"/>
      </w:pPr>
      <w:proofErr w:type="gramStart"/>
      <w:r>
        <w:t>most</w:t>
      </w:r>
      <w:proofErr w:type="gramEnd"/>
      <w:r>
        <w:t xml:space="preserve"> of the variability in the qualification effect share is across disciplines, rather than across qualification levels – the qualification effect explains 53% of the difference between postgraduate degrees and those without any post-school education (i.e. negligible difference to the bachelor result)</w:t>
      </w:r>
      <w:r w:rsidR="007E4DF3">
        <w:t>.</w:t>
      </w:r>
    </w:p>
    <w:p w:rsidR="0094296D" w:rsidRDefault="00563068" w:rsidP="00DA4CA5">
      <w:pPr>
        <w:pStyle w:val="Bullet1"/>
      </w:pPr>
      <w:r>
        <w:t>w</w:t>
      </w:r>
      <w:r w:rsidR="00415368">
        <w:t>hen combining  wage, employment and participation effects, the overall earnings premium for bachelor level studies attributable to the qualification is 50.4% of the observed differential</w:t>
      </w:r>
      <w:r>
        <w:t>; and</w:t>
      </w:r>
    </w:p>
    <w:p w:rsidR="0055318E" w:rsidRDefault="00563068" w:rsidP="0055318E">
      <w:pPr>
        <w:pStyle w:val="Bullet1"/>
      </w:pPr>
      <w:proofErr w:type="gramStart"/>
      <w:r>
        <w:t>t</w:t>
      </w:r>
      <w:r w:rsidR="0055318E">
        <w:t>here</w:t>
      </w:r>
      <w:proofErr w:type="gramEnd"/>
      <w:r w:rsidR="0055318E">
        <w:t xml:space="preserve"> are some observed differentials in mean wages for qualifications by provider type. H</w:t>
      </w:r>
      <w:r w:rsidR="0055318E" w:rsidRPr="00FA1BA4">
        <w:t>owever</w:t>
      </w:r>
      <w:r w:rsidR="0055318E">
        <w:t>,</w:t>
      </w:r>
      <w:r w:rsidR="0055318E" w:rsidRPr="00FA1BA4">
        <w:t xml:space="preserve"> these effects are not</w:t>
      </w:r>
      <w:r w:rsidR="0055318E">
        <w:t xml:space="preserve"> statistically significant when age, demographics, and measures of cognitive ability are taken into account. </w:t>
      </w:r>
    </w:p>
    <w:p w:rsidR="0055318E" w:rsidRDefault="0055318E" w:rsidP="0055318E">
      <w:pPr>
        <w:pStyle w:val="BodyText"/>
      </w:pPr>
      <w:r>
        <w:lastRenderedPageBreak/>
        <w:t xml:space="preserve">A summary of the relative private returns from higher education by level and discipline is summarised </w:t>
      </w:r>
      <w:r w:rsidRPr="00CD18A1">
        <w:t xml:space="preserve">in </w:t>
      </w:r>
      <w:r w:rsidRPr="00CD18A1">
        <w:fldChar w:fldCharType="begin"/>
      </w:r>
      <w:r w:rsidRPr="00CD18A1">
        <w:instrText xml:space="preserve"> REF _Ref457978996 \r \h </w:instrText>
      </w:r>
      <w:r>
        <w:instrText xml:space="preserve"> \* MERGEFORMAT </w:instrText>
      </w:r>
      <w:r w:rsidRPr="00CD18A1">
        <w:fldChar w:fldCharType="separate"/>
      </w:r>
      <w:r w:rsidR="00534F9F">
        <w:t>Table iii</w:t>
      </w:r>
      <w:r w:rsidRPr="00CD18A1">
        <w:fldChar w:fldCharType="end"/>
      </w:r>
      <w:r w:rsidRPr="00CD18A1">
        <w:t xml:space="preserve"> below.</w:t>
      </w:r>
      <w:r>
        <w:t xml:space="preserve"> </w:t>
      </w:r>
    </w:p>
    <w:p w:rsidR="0055318E" w:rsidRDefault="0055318E" w:rsidP="0055318E">
      <w:pPr>
        <w:pStyle w:val="ExecTableCaption"/>
      </w:pPr>
      <w:bookmarkStart w:id="7" w:name="_Ref457978996"/>
      <w:r>
        <w:t>:  Attributable e</w:t>
      </w:r>
      <w:r w:rsidRPr="00AF4C12">
        <w:t>arnings premium</w:t>
      </w:r>
      <w:r>
        <w:t>s for bachelor and postgraduate qualifications</w:t>
      </w:r>
      <w:bookmarkEnd w:id="7"/>
      <w:r w:rsidRPr="00AF4C12">
        <w:t xml:space="preserve"> </w:t>
      </w:r>
    </w:p>
    <w:tbl>
      <w:tblPr>
        <w:tblW w:w="5000" w:type="pct"/>
        <w:tblLayout w:type="fixed"/>
        <w:tblCellMar>
          <w:left w:w="0" w:type="dxa"/>
          <w:right w:w="0" w:type="dxa"/>
        </w:tblCellMar>
        <w:tblLook w:val="04A0" w:firstRow="1" w:lastRow="0" w:firstColumn="1" w:lastColumn="0" w:noHBand="0" w:noVBand="1"/>
      </w:tblPr>
      <w:tblGrid>
        <w:gridCol w:w="1408"/>
        <w:gridCol w:w="19"/>
        <w:gridCol w:w="773"/>
        <w:gridCol w:w="603"/>
        <w:gridCol w:w="603"/>
        <w:gridCol w:w="603"/>
        <w:gridCol w:w="605"/>
        <w:gridCol w:w="603"/>
        <w:gridCol w:w="603"/>
        <w:gridCol w:w="605"/>
        <w:gridCol w:w="603"/>
        <w:gridCol w:w="603"/>
        <w:gridCol w:w="589"/>
      </w:tblGrid>
      <w:tr w:rsidR="00022EA7" w:rsidRPr="00574710" w:rsidTr="00DA4CA5">
        <w:trPr>
          <w:trHeight w:val="540"/>
        </w:trPr>
        <w:tc>
          <w:tcPr>
            <w:tcW w:w="856" w:type="pct"/>
            <w:tcBorders>
              <w:top w:val="single" w:sz="12" w:space="0" w:color="002776"/>
              <w:left w:val="nil"/>
              <w:bottom w:val="single" w:sz="8" w:space="0" w:color="002776"/>
              <w:right w:val="nil"/>
            </w:tcBorders>
            <w:shd w:val="clear" w:color="auto" w:fill="auto"/>
            <w:hideMark/>
          </w:tcPr>
          <w:p w:rsidR="00022EA7" w:rsidRPr="00444981" w:rsidRDefault="00022EA7" w:rsidP="005815D8">
            <w:pPr>
              <w:outlineLvl w:val="0"/>
              <w:rPr>
                <w:rFonts w:asciiTheme="minorHAnsi" w:hAnsiTheme="minorHAnsi"/>
                <w:color w:val="000000"/>
                <w:sz w:val="20"/>
              </w:rPr>
            </w:pPr>
            <w:r w:rsidRPr="00444981">
              <w:rPr>
                <w:rFonts w:asciiTheme="minorHAnsi" w:hAnsiTheme="minorHAnsi"/>
                <w:color w:val="000000"/>
                <w:sz w:val="20"/>
              </w:rPr>
              <w:t> </w:t>
            </w:r>
          </w:p>
        </w:tc>
        <w:tc>
          <w:tcPr>
            <w:tcW w:w="480" w:type="pct"/>
            <w:gridSpan w:val="2"/>
            <w:tcBorders>
              <w:top w:val="single" w:sz="12" w:space="0" w:color="002776"/>
              <w:left w:val="nil"/>
              <w:bottom w:val="single" w:sz="8" w:space="0" w:color="002776"/>
              <w:right w:val="nil"/>
            </w:tcBorders>
            <w:shd w:val="clear" w:color="auto" w:fill="auto"/>
            <w:vAlign w:val="center"/>
            <w:hideMark/>
          </w:tcPr>
          <w:p w:rsidR="00022EA7" w:rsidRPr="00444981" w:rsidRDefault="00022EA7" w:rsidP="005815D8">
            <w:pPr>
              <w:jc w:val="center"/>
              <w:outlineLvl w:val="0"/>
              <w:rPr>
                <w:rFonts w:asciiTheme="minorHAnsi" w:hAnsiTheme="minorHAnsi"/>
                <w:b/>
                <w:bCs/>
                <w:color w:val="002776"/>
                <w:sz w:val="20"/>
              </w:rPr>
            </w:pPr>
            <w:r>
              <w:rPr>
                <w:rFonts w:cs="Arial"/>
                <w:b/>
                <w:bCs/>
                <w:color w:val="002776"/>
                <w:sz w:val="20"/>
              </w:rPr>
              <w:t>Med.</w:t>
            </w:r>
          </w:p>
        </w:tc>
        <w:tc>
          <w:tcPr>
            <w:tcW w:w="367" w:type="pct"/>
            <w:tcBorders>
              <w:top w:val="single" w:sz="12" w:space="0" w:color="002776"/>
              <w:left w:val="nil"/>
              <w:bottom w:val="single" w:sz="8" w:space="0" w:color="002776"/>
              <w:right w:val="nil"/>
            </w:tcBorders>
            <w:shd w:val="clear" w:color="auto" w:fill="auto"/>
            <w:vAlign w:val="center"/>
            <w:hideMark/>
          </w:tcPr>
          <w:p w:rsidR="00022EA7" w:rsidRPr="00444981" w:rsidRDefault="00022EA7" w:rsidP="00022EA7">
            <w:pPr>
              <w:jc w:val="center"/>
              <w:outlineLvl w:val="0"/>
              <w:rPr>
                <w:rFonts w:asciiTheme="minorHAnsi" w:hAnsiTheme="minorHAnsi"/>
                <w:b/>
                <w:bCs/>
                <w:color w:val="002776"/>
                <w:sz w:val="20"/>
              </w:rPr>
            </w:pPr>
            <w:r>
              <w:rPr>
                <w:rFonts w:cs="Arial"/>
                <w:b/>
                <w:bCs/>
                <w:color w:val="002776"/>
                <w:sz w:val="20"/>
              </w:rPr>
              <w:t>Nurs.</w:t>
            </w:r>
          </w:p>
        </w:tc>
        <w:tc>
          <w:tcPr>
            <w:tcW w:w="367" w:type="pct"/>
            <w:tcBorders>
              <w:top w:val="single" w:sz="12" w:space="0" w:color="002776"/>
              <w:left w:val="nil"/>
              <w:bottom w:val="single" w:sz="8" w:space="0" w:color="002776"/>
              <w:right w:val="nil"/>
            </w:tcBorders>
            <w:shd w:val="clear" w:color="auto" w:fill="auto"/>
            <w:vAlign w:val="center"/>
            <w:hideMark/>
          </w:tcPr>
          <w:p w:rsidR="00022EA7" w:rsidRPr="00444981" w:rsidRDefault="00022EA7" w:rsidP="005815D8">
            <w:pPr>
              <w:jc w:val="center"/>
              <w:outlineLvl w:val="0"/>
              <w:rPr>
                <w:rFonts w:asciiTheme="minorHAnsi" w:hAnsiTheme="minorHAnsi"/>
                <w:b/>
                <w:bCs/>
                <w:color w:val="002776"/>
                <w:sz w:val="20"/>
              </w:rPr>
            </w:pPr>
            <w:r>
              <w:rPr>
                <w:rFonts w:cs="Arial"/>
                <w:b/>
                <w:bCs/>
                <w:color w:val="002776"/>
                <w:sz w:val="20"/>
              </w:rPr>
              <w:t>Other Health</w:t>
            </w:r>
          </w:p>
        </w:tc>
        <w:tc>
          <w:tcPr>
            <w:tcW w:w="367" w:type="pct"/>
            <w:tcBorders>
              <w:top w:val="single" w:sz="12" w:space="0" w:color="002776"/>
              <w:left w:val="nil"/>
              <w:bottom w:val="single" w:sz="8" w:space="0" w:color="002776"/>
              <w:right w:val="nil"/>
            </w:tcBorders>
            <w:shd w:val="clear" w:color="auto" w:fill="auto"/>
            <w:vAlign w:val="center"/>
            <w:hideMark/>
          </w:tcPr>
          <w:p w:rsidR="00022EA7" w:rsidRPr="00444981" w:rsidRDefault="00022EA7" w:rsidP="005815D8">
            <w:pPr>
              <w:jc w:val="center"/>
              <w:outlineLvl w:val="0"/>
              <w:rPr>
                <w:rFonts w:asciiTheme="minorHAnsi" w:hAnsiTheme="minorHAnsi"/>
                <w:b/>
                <w:bCs/>
                <w:color w:val="002776"/>
                <w:sz w:val="20"/>
              </w:rPr>
            </w:pPr>
            <w:r>
              <w:rPr>
                <w:rFonts w:cs="Arial"/>
                <w:b/>
                <w:bCs/>
                <w:color w:val="002776"/>
                <w:sz w:val="20"/>
              </w:rPr>
              <w:t>Educ.</w:t>
            </w:r>
          </w:p>
        </w:tc>
        <w:tc>
          <w:tcPr>
            <w:tcW w:w="368" w:type="pct"/>
            <w:tcBorders>
              <w:top w:val="single" w:sz="12" w:space="0" w:color="002776"/>
              <w:left w:val="nil"/>
              <w:bottom w:val="single" w:sz="8" w:space="0" w:color="002776"/>
              <w:right w:val="nil"/>
            </w:tcBorders>
            <w:shd w:val="clear" w:color="auto" w:fill="auto"/>
            <w:vAlign w:val="center"/>
            <w:hideMark/>
          </w:tcPr>
          <w:p w:rsidR="00022EA7" w:rsidRPr="00444981" w:rsidRDefault="00022EA7" w:rsidP="005815D8">
            <w:pPr>
              <w:jc w:val="center"/>
              <w:outlineLvl w:val="0"/>
              <w:rPr>
                <w:rFonts w:asciiTheme="minorHAnsi" w:hAnsiTheme="minorHAnsi"/>
                <w:b/>
                <w:bCs/>
                <w:color w:val="002776"/>
                <w:sz w:val="20"/>
              </w:rPr>
            </w:pPr>
            <w:r>
              <w:rPr>
                <w:rFonts w:cs="Arial"/>
                <w:b/>
                <w:bCs/>
                <w:color w:val="002776"/>
                <w:sz w:val="20"/>
              </w:rPr>
              <w:t>Eng.</w:t>
            </w:r>
          </w:p>
        </w:tc>
        <w:tc>
          <w:tcPr>
            <w:tcW w:w="367" w:type="pct"/>
            <w:tcBorders>
              <w:top w:val="single" w:sz="12" w:space="0" w:color="002776"/>
              <w:left w:val="nil"/>
              <w:bottom w:val="single" w:sz="8" w:space="0" w:color="002776"/>
              <w:right w:val="nil"/>
            </w:tcBorders>
            <w:shd w:val="clear" w:color="auto" w:fill="auto"/>
            <w:vAlign w:val="center"/>
            <w:hideMark/>
          </w:tcPr>
          <w:p w:rsidR="00022EA7" w:rsidRPr="00444981" w:rsidRDefault="00022EA7" w:rsidP="005815D8">
            <w:pPr>
              <w:jc w:val="center"/>
              <w:outlineLvl w:val="0"/>
              <w:rPr>
                <w:rFonts w:asciiTheme="minorHAnsi" w:hAnsiTheme="minorHAnsi"/>
                <w:b/>
                <w:bCs/>
                <w:color w:val="002776"/>
                <w:sz w:val="20"/>
              </w:rPr>
            </w:pPr>
            <w:r>
              <w:rPr>
                <w:rFonts w:cs="Arial"/>
                <w:b/>
                <w:bCs/>
                <w:color w:val="002776"/>
                <w:sz w:val="20"/>
              </w:rPr>
              <w:t>Mgmt</w:t>
            </w:r>
          </w:p>
        </w:tc>
        <w:tc>
          <w:tcPr>
            <w:tcW w:w="367" w:type="pct"/>
            <w:tcBorders>
              <w:top w:val="single" w:sz="12" w:space="0" w:color="002776"/>
              <w:left w:val="nil"/>
              <w:bottom w:val="single" w:sz="8" w:space="0" w:color="002776"/>
              <w:right w:val="nil"/>
            </w:tcBorders>
            <w:shd w:val="clear" w:color="auto" w:fill="auto"/>
            <w:vAlign w:val="center"/>
            <w:hideMark/>
          </w:tcPr>
          <w:p w:rsidR="00022EA7" w:rsidRPr="00444981" w:rsidRDefault="00022EA7" w:rsidP="005815D8">
            <w:pPr>
              <w:jc w:val="center"/>
              <w:outlineLvl w:val="0"/>
              <w:rPr>
                <w:rFonts w:asciiTheme="minorHAnsi" w:hAnsiTheme="minorHAnsi"/>
                <w:b/>
                <w:bCs/>
                <w:color w:val="002776"/>
                <w:sz w:val="20"/>
              </w:rPr>
            </w:pPr>
            <w:r>
              <w:rPr>
                <w:rFonts w:cs="Arial"/>
                <w:b/>
                <w:bCs/>
                <w:color w:val="002776"/>
                <w:sz w:val="20"/>
              </w:rPr>
              <w:t>Law</w:t>
            </w:r>
          </w:p>
        </w:tc>
        <w:tc>
          <w:tcPr>
            <w:tcW w:w="368" w:type="pct"/>
            <w:tcBorders>
              <w:top w:val="single" w:sz="12" w:space="0" w:color="002776"/>
              <w:left w:val="nil"/>
              <w:bottom w:val="single" w:sz="8" w:space="0" w:color="002776"/>
              <w:right w:val="nil"/>
            </w:tcBorders>
            <w:shd w:val="clear" w:color="auto" w:fill="auto"/>
            <w:vAlign w:val="center"/>
            <w:hideMark/>
          </w:tcPr>
          <w:p w:rsidR="00022EA7" w:rsidRPr="00444981" w:rsidRDefault="00022EA7" w:rsidP="005815D8">
            <w:pPr>
              <w:jc w:val="center"/>
              <w:outlineLvl w:val="0"/>
              <w:rPr>
                <w:rFonts w:asciiTheme="minorHAnsi" w:hAnsiTheme="minorHAnsi"/>
                <w:b/>
                <w:bCs/>
                <w:color w:val="002776"/>
                <w:sz w:val="20"/>
              </w:rPr>
            </w:pPr>
            <w:r>
              <w:rPr>
                <w:rFonts w:cs="Arial"/>
                <w:b/>
                <w:bCs/>
                <w:color w:val="002776"/>
                <w:sz w:val="20"/>
              </w:rPr>
              <w:t>Arts</w:t>
            </w:r>
          </w:p>
        </w:tc>
        <w:tc>
          <w:tcPr>
            <w:tcW w:w="367" w:type="pct"/>
            <w:tcBorders>
              <w:top w:val="single" w:sz="12" w:space="0" w:color="002776"/>
              <w:left w:val="nil"/>
              <w:bottom w:val="single" w:sz="8" w:space="0" w:color="002776"/>
              <w:right w:val="nil"/>
            </w:tcBorders>
            <w:shd w:val="clear" w:color="auto" w:fill="auto"/>
            <w:vAlign w:val="center"/>
            <w:hideMark/>
          </w:tcPr>
          <w:p w:rsidR="00022EA7" w:rsidRPr="00444981" w:rsidRDefault="00022EA7" w:rsidP="00022EA7">
            <w:pPr>
              <w:jc w:val="center"/>
              <w:outlineLvl w:val="0"/>
              <w:rPr>
                <w:rFonts w:asciiTheme="minorHAnsi" w:hAnsiTheme="minorHAnsi"/>
                <w:b/>
                <w:bCs/>
                <w:color w:val="002776"/>
                <w:sz w:val="20"/>
              </w:rPr>
            </w:pPr>
            <w:r>
              <w:rPr>
                <w:rFonts w:cs="Arial"/>
                <w:b/>
                <w:bCs/>
                <w:color w:val="002776"/>
                <w:sz w:val="20"/>
              </w:rPr>
              <w:t>Sci.</w:t>
            </w:r>
          </w:p>
        </w:tc>
        <w:tc>
          <w:tcPr>
            <w:tcW w:w="367" w:type="pct"/>
            <w:tcBorders>
              <w:top w:val="single" w:sz="12" w:space="0" w:color="002776"/>
              <w:left w:val="nil"/>
              <w:bottom w:val="single" w:sz="8" w:space="0" w:color="002776"/>
              <w:right w:val="nil"/>
            </w:tcBorders>
            <w:vAlign w:val="center"/>
          </w:tcPr>
          <w:p w:rsidR="00022EA7" w:rsidRPr="006E4888" w:rsidRDefault="00022EA7" w:rsidP="005815D8">
            <w:pPr>
              <w:jc w:val="center"/>
              <w:outlineLvl w:val="0"/>
              <w:rPr>
                <w:rFonts w:asciiTheme="minorHAnsi" w:hAnsiTheme="minorHAnsi"/>
                <w:b/>
                <w:bCs/>
                <w:color w:val="002776"/>
                <w:sz w:val="20"/>
              </w:rPr>
            </w:pPr>
            <w:r>
              <w:rPr>
                <w:rFonts w:cs="Arial"/>
                <w:b/>
                <w:bCs/>
                <w:color w:val="002776"/>
                <w:sz w:val="20"/>
              </w:rPr>
              <w:t>IT</w:t>
            </w:r>
          </w:p>
        </w:tc>
        <w:tc>
          <w:tcPr>
            <w:tcW w:w="360" w:type="pct"/>
            <w:tcBorders>
              <w:top w:val="single" w:sz="12" w:space="0" w:color="002776"/>
              <w:left w:val="nil"/>
              <w:bottom w:val="single" w:sz="8" w:space="0" w:color="002776"/>
              <w:right w:val="nil"/>
            </w:tcBorders>
            <w:shd w:val="clear" w:color="auto" w:fill="auto"/>
            <w:vAlign w:val="center"/>
            <w:hideMark/>
          </w:tcPr>
          <w:p w:rsidR="00022EA7" w:rsidRPr="00444981" w:rsidRDefault="00022EA7" w:rsidP="005815D8">
            <w:pPr>
              <w:jc w:val="center"/>
              <w:outlineLvl w:val="0"/>
              <w:rPr>
                <w:rFonts w:asciiTheme="minorHAnsi" w:hAnsiTheme="minorHAnsi"/>
                <w:b/>
                <w:bCs/>
                <w:color w:val="002776"/>
                <w:sz w:val="20"/>
              </w:rPr>
            </w:pPr>
            <w:r>
              <w:rPr>
                <w:rFonts w:cs="Arial"/>
                <w:b/>
                <w:bCs/>
                <w:color w:val="002776"/>
                <w:sz w:val="20"/>
              </w:rPr>
              <w:t>Ave.</w:t>
            </w:r>
          </w:p>
        </w:tc>
      </w:tr>
      <w:tr w:rsidR="00022EA7" w:rsidRPr="00574710" w:rsidTr="00DA4CA5">
        <w:trPr>
          <w:trHeight w:val="320"/>
        </w:trPr>
        <w:tc>
          <w:tcPr>
            <w:tcW w:w="856" w:type="pct"/>
            <w:tcBorders>
              <w:top w:val="single" w:sz="12" w:space="0" w:color="002776"/>
              <w:left w:val="nil"/>
              <w:right w:val="nil"/>
            </w:tcBorders>
            <w:shd w:val="clear" w:color="auto" w:fill="auto"/>
          </w:tcPr>
          <w:p w:rsidR="005E3967" w:rsidRPr="00CD18A1" w:rsidRDefault="005E3967" w:rsidP="005815D8">
            <w:pPr>
              <w:outlineLvl w:val="0"/>
              <w:rPr>
                <w:rFonts w:asciiTheme="minorHAnsi" w:hAnsiTheme="minorHAnsi"/>
                <w:b/>
                <w:color w:val="000000"/>
                <w:sz w:val="20"/>
              </w:rPr>
            </w:pPr>
            <w:r w:rsidRPr="00CD18A1">
              <w:rPr>
                <w:rFonts w:asciiTheme="minorHAnsi" w:hAnsiTheme="minorHAnsi"/>
                <w:b/>
                <w:color w:val="002776" w:themeColor="accent1"/>
                <w:sz w:val="20"/>
              </w:rPr>
              <w:t>Bachelor level</w:t>
            </w:r>
          </w:p>
        </w:tc>
        <w:tc>
          <w:tcPr>
            <w:tcW w:w="480" w:type="pct"/>
            <w:gridSpan w:val="2"/>
            <w:tcBorders>
              <w:top w:val="single" w:sz="12" w:space="0" w:color="002776"/>
              <w:left w:val="nil"/>
              <w:right w:val="nil"/>
            </w:tcBorders>
            <w:shd w:val="clear" w:color="auto" w:fill="auto"/>
            <w:vAlign w:val="center"/>
          </w:tcPr>
          <w:p w:rsidR="005E3967" w:rsidRPr="00444981" w:rsidRDefault="005E3967" w:rsidP="005815D8">
            <w:pPr>
              <w:jc w:val="center"/>
              <w:outlineLvl w:val="0"/>
              <w:rPr>
                <w:rFonts w:asciiTheme="minorHAnsi" w:hAnsiTheme="minorHAnsi"/>
                <w:b/>
                <w:bCs/>
                <w:color w:val="002776"/>
                <w:sz w:val="20"/>
              </w:rPr>
            </w:pPr>
          </w:p>
        </w:tc>
        <w:tc>
          <w:tcPr>
            <w:tcW w:w="367" w:type="pct"/>
            <w:tcBorders>
              <w:top w:val="single" w:sz="12" w:space="0" w:color="002776"/>
              <w:left w:val="nil"/>
              <w:right w:val="nil"/>
            </w:tcBorders>
            <w:shd w:val="clear" w:color="auto" w:fill="auto"/>
            <w:vAlign w:val="center"/>
          </w:tcPr>
          <w:p w:rsidR="005E3967" w:rsidRPr="00444981" w:rsidRDefault="005E3967" w:rsidP="005815D8">
            <w:pPr>
              <w:jc w:val="center"/>
              <w:outlineLvl w:val="0"/>
              <w:rPr>
                <w:rFonts w:asciiTheme="minorHAnsi" w:hAnsiTheme="minorHAnsi"/>
                <w:b/>
                <w:bCs/>
                <w:color w:val="002776"/>
                <w:sz w:val="20"/>
              </w:rPr>
            </w:pPr>
          </w:p>
        </w:tc>
        <w:tc>
          <w:tcPr>
            <w:tcW w:w="367" w:type="pct"/>
            <w:tcBorders>
              <w:top w:val="single" w:sz="12" w:space="0" w:color="002776"/>
              <w:left w:val="nil"/>
              <w:right w:val="nil"/>
            </w:tcBorders>
            <w:shd w:val="clear" w:color="auto" w:fill="auto"/>
            <w:vAlign w:val="center"/>
          </w:tcPr>
          <w:p w:rsidR="005E3967" w:rsidRPr="00444981" w:rsidRDefault="005E3967" w:rsidP="005815D8">
            <w:pPr>
              <w:jc w:val="center"/>
              <w:outlineLvl w:val="0"/>
              <w:rPr>
                <w:rFonts w:asciiTheme="minorHAnsi" w:hAnsiTheme="minorHAnsi"/>
                <w:b/>
                <w:bCs/>
                <w:color w:val="002776"/>
                <w:sz w:val="20"/>
              </w:rPr>
            </w:pPr>
          </w:p>
        </w:tc>
        <w:tc>
          <w:tcPr>
            <w:tcW w:w="367" w:type="pct"/>
            <w:tcBorders>
              <w:top w:val="single" w:sz="12" w:space="0" w:color="002776"/>
              <w:left w:val="nil"/>
              <w:right w:val="nil"/>
            </w:tcBorders>
            <w:shd w:val="clear" w:color="auto" w:fill="auto"/>
            <w:vAlign w:val="center"/>
          </w:tcPr>
          <w:p w:rsidR="005E3967" w:rsidRPr="00444981" w:rsidRDefault="005E3967" w:rsidP="005815D8">
            <w:pPr>
              <w:jc w:val="center"/>
              <w:outlineLvl w:val="0"/>
              <w:rPr>
                <w:rFonts w:asciiTheme="minorHAnsi" w:hAnsiTheme="minorHAnsi"/>
                <w:b/>
                <w:bCs/>
                <w:color w:val="002776"/>
                <w:sz w:val="20"/>
              </w:rPr>
            </w:pPr>
          </w:p>
        </w:tc>
        <w:tc>
          <w:tcPr>
            <w:tcW w:w="368" w:type="pct"/>
            <w:tcBorders>
              <w:top w:val="single" w:sz="12" w:space="0" w:color="002776"/>
              <w:left w:val="nil"/>
              <w:right w:val="nil"/>
            </w:tcBorders>
            <w:shd w:val="clear" w:color="auto" w:fill="auto"/>
            <w:vAlign w:val="center"/>
          </w:tcPr>
          <w:p w:rsidR="005E3967" w:rsidRPr="00444981" w:rsidRDefault="005E3967" w:rsidP="005815D8">
            <w:pPr>
              <w:jc w:val="center"/>
              <w:outlineLvl w:val="0"/>
              <w:rPr>
                <w:rFonts w:asciiTheme="minorHAnsi" w:hAnsiTheme="minorHAnsi"/>
                <w:b/>
                <w:bCs/>
                <w:color w:val="002776"/>
                <w:sz w:val="20"/>
              </w:rPr>
            </w:pPr>
          </w:p>
        </w:tc>
        <w:tc>
          <w:tcPr>
            <w:tcW w:w="367" w:type="pct"/>
            <w:tcBorders>
              <w:top w:val="single" w:sz="12" w:space="0" w:color="002776"/>
              <w:left w:val="nil"/>
              <w:right w:val="nil"/>
            </w:tcBorders>
            <w:shd w:val="clear" w:color="auto" w:fill="auto"/>
            <w:vAlign w:val="center"/>
          </w:tcPr>
          <w:p w:rsidR="005E3967" w:rsidRPr="00444981" w:rsidRDefault="005E3967" w:rsidP="005815D8">
            <w:pPr>
              <w:jc w:val="center"/>
              <w:outlineLvl w:val="0"/>
              <w:rPr>
                <w:rFonts w:asciiTheme="minorHAnsi" w:hAnsiTheme="minorHAnsi"/>
                <w:b/>
                <w:bCs/>
                <w:color w:val="002776"/>
                <w:sz w:val="20"/>
              </w:rPr>
            </w:pPr>
          </w:p>
        </w:tc>
        <w:tc>
          <w:tcPr>
            <w:tcW w:w="367" w:type="pct"/>
            <w:tcBorders>
              <w:top w:val="single" w:sz="12" w:space="0" w:color="002776"/>
              <w:left w:val="nil"/>
              <w:right w:val="nil"/>
            </w:tcBorders>
            <w:shd w:val="clear" w:color="auto" w:fill="auto"/>
            <w:vAlign w:val="center"/>
          </w:tcPr>
          <w:p w:rsidR="005E3967" w:rsidRPr="00444981" w:rsidRDefault="005E3967" w:rsidP="005815D8">
            <w:pPr>
              <w:jc w:val="center"/>
              <w:outlineLvl w:val="0"/>
              <w:rPr>
                <w:rFonts w:asciiTheme="minorHAnsi" w:hAnsiTheme="minorHAnsi"/>
                <w:b/>
                <w:bCs/>
                <w:color w:val="002776"/>
                <w:sz w:val="20"/>
              </w:rPr>
            </w:pPr>
          </w:p>
        </w:tc>
        <w:tc>
          <w:tcPr>
            <w:tcW w:w="368" w:type="pct"/>
            <w:tcBorders>
              <w:top w:val="single" w:sz="12" w:space="0" w:color="002776"/>
              <w:left w:val="nil"/>
              <w:right w:val="nil"/>
            </w:tcBorders>
            <w:shd w:val="clear" w:color="auto" w:fill="auto"/>
            <w:vAlign w:val="center"/>
          </w:tcPr>
          <w:p w:rsidR="005E3967" w:rsidRPr="00444981" w:rsidRDefault="005E3967" w:rsidP="005815D8">
            <w:pPr>
              <w:jc w:val="center"/>
              <w:outlineLvl w:val="0"/>
              <w:rPr>
                <w:rFonts w:asciiTheme="minorHAnsi" w:hAnsiTheme="minorHAnsi"/>
                <w:b/>
                <w:bCs/>
                <w:color w:val="002776"/>
                <w:sz w:val="20"/>
              </w:rPr>
            </w:pPr>
          </w:p>
        </w:tc>
        <w:tc>
          <w:tcPr>
            <w:tcW w:w="367" w:type="pct"/>
            <w:tcBorders>
              <w:top w:val="single" w:sz="12" w:space="0" w:color="002776"/>
              <w:left w:val="nil"/>
              <w:right w:val="nil"/>
            </w:tcBorders>
            <w:shd w:val="clear" w:color="auto" w:fill="auto"/>
            <w:vAlign w:val="center"/>
          </w:tcPr>
          <w:p w:rsidR="005E3967" w:rsidRPr="00444981" w:rsidRDefault="005E3967" w:rsidP="005815D8">
            <w:pPr>
              <w:jc w:val="center"/>
              <w:outlineLvl w:val="0"/>
              <w:rPr>
                <w:rFonts w:asciiTheme="minorHAnsi" w:hAnsiTheme="minorHAnsi"/>
                <w:b/>
                <w:bCs/>
                <w:color w:val="002776"/>
                <w:sz w:val="20"/>
              </w:rPr>
            </w:pPr>
          </w:p>
        </w:tc>
        <w:tc>
          <w:tcPr>
            <w:tcW w:w="367" w:type="pct"/>
            <w:tcBorders>
              <w:top w:val="single" w:sz="12" w:space="0" w:color="002776"/>
              <w:left w:val="nil"/>
              <w:right w:val="nil"/>
            </w:tcBorders>
            <w:shd w:val="clear" w:color="auto" w:fill="auto"/>
          </w:tcPr>
          <w:p w:rsidR="005E3967" w:rsidRPr="00CD18A1" w:rsidRDefault="005E3967" w:rsidP="005815D8">
            <w:pPr>
              <w:jc w:val="center"/>
              <w:outlineLvl w:val="0"/>
              <w:rPr>
                <w:rFonts w:asciiTheme="minorHAnsi" w:hAnsiTheme="minorHAnsi"/>
                <w:bCs/>
                <w:color w:val="002776"/>
                <w:sz w:val="20"/>
              </w:rPr>
            </w:pPr>
          </w:p>
        </w:tc>
        <w:tc>
          <w:tcPr>
            <w:tcW w:w="360" w:type="pct"/>
            <w:tcBorders>
              <w:top w:val="single" w:sz="12" w:space="0" w:color="002776"/>
              <w:left w:val="nil"/>
              <w:right w:val="nil"/>
            </w:tcBorders>
            <w:shd w:val="clear" w:color="auto" w:fill="auto"/>
            <w:vAlign w:val="center"/>
          </w:tcPr>
          <w:p w:rsidR="005E3967" w:rsidRPr="00CD18A1" w:rsidRDefault="005E3967" w:rsidP="005815D8">
            <w:pPr>
              <w:jc w:val="center"/>
              <w:outlineLvl w:val="0"/>
              <w:rPr>
                <w:rFonts w:asciiTheme="minorHAnsi" w:hAnsiTheme="minorHAnsi"/>
                <w:bCs/>
                <w:color w:val="002776"/>
                <w:sz w:val="20"/>
              </w:rPr>
            </w:pPr>
          </w:p>
        </w:tc>
      </w:tr>
      <w:tr w:rsidR="00022EA7" w:rsidRPr="00574710" w:rsidTr="00DA4CA5">
        <w:trPr>
          <w:trHeight w:val="320"/>
        </w:trPr>
        <w:tc>
          <w:tcPr>
            <w:tcW w:w="856" w:type="pct"/>
            <w:tcBorders>
              <w:left w:val="nil"/>
              <w:right w:val="nil"/>
            </w:tcBorders>
            <w:shd w:val="clear" w:color="auto" w:fill="auto"/>
            <w:vAlign w:val="bottom"/>
          </w:tcPr>
          <w:p w:rsidR="00022EA7" w:rsidRPr="00DA4CA5" w:rsidRDefault="00022EA7" w:rsidP="005815D8">
            <w:pPr>
              <w:outlineLvl w:val="0"/>
              <w:rPr>
                <w:rFonts w:asciiTheme="minorHAnsi" w:hAnsiTheme="minorHAnsi"/>
                <w:color w:val="002776" w:themeColor="accent1"/>
                <w:sz w:val="18"/>
                <w:szCs w:val="18"/>
              </w:rPr>
            </w:pPr>
            <w:r w:rsidRPr="00DA4CA5">
              <w:rPr>
                <w:rFonts w:asciiTheme="minorHAnsi" w:hAnsiTheme="minorHAnsi" w:cs="Arial"/>
                <w:bCs/>
                <w:sz w:val="18"/>
                <w:szCs w:val="18"/>
              </w:rPr>
              <w:t>Sample size (n)</w:t>
            </w:r>
          </w:p>
        </w:tc>
        <w:tc>
          <w:tcPr>
            <w:tcW w:w="480" w:type="pct"/>
            <w:gridSpan w:val="2"/>
            <w:tcBorders>
              <w:left w:val="nil"/>
              <w:right w:val="nil"/>
            </w:tcBorders>
            <w:shd w:val="clear" w:color="auto" w:fill="auto"/>
            <w:vAlign w:val="bottom"/>
          </w:tcPr>
          <w:p w:rsidR="00022EA7" w:rsidRPr="00DA4CA5" w:rsidRDefault="00022EA7" w:rsidP="005815D8">
            <w:pPr>
              <w:jc w:val="center"/>
              <w:outlineLvl w:val="0"/>
              <w:rPr>
                <w:rFonts w:asciiTheme="minorHAnsi" w:hAnsiTheme="minorHAnsi"/>
                <w:b/>
                <w:bCs/>
                <w:color w:val="002776"/>
                <w:sz w:val="18"/>
                <w:szCs w:val="18"/>
              </w:rPr>
            </w:pPr>
            <w:r w:rsidRPr="00DA4CA5">
              <w:rPr>
                <w:rFonts w:asciiTheme="minorHAnsi" w:hAnsiTheme="minorHAnsi" w:cs="Arial"/>
                <w:sz w:val="18"/>
                <w:szCs w:val="18"/>
              </w:rPr>
              <w:t>262</w:t>
            </w:r>
          </w:p>
        </w:tc>
        <w:tc>
          <w:tcPr>
            <w:tcW w:w="367" w:type="pct"/>
            <w:tcBorders>
              <w:left w:val="nil"/>
              <w:right w:val="nil"/>
            </w:tcBorders>
            <w:shd w:val="clear" w:color="auto" w:fill="auto"/>
            <w:vAlign w:val="bottom"/>
          </w:tcPr>
          <w:p w:rsidR="00022EA7" w:rsidRPr="00DA4CA5" w:rsidRDefault="00022EA7" w:rsidP="005815D8">
            <w:pPr>
              <w:jc w:val="center"/>
              <w:outlineLvl w:val="0"/>
              <w:rPr>
                <w:rFonts w:asciiTheme="minorHAnsi" w:hAnsiTheme="minorHAnsi"/>
                <w:b/>
                <w:bCs/>
                <w:color w:val="002776"/>
                <w:sz w:val="18"/>
                <w:szCs w:val="18"/>
              </w:rPr>
            </w:pPr>
            <w:r w:rsidRPr="00DA4CA5">
              <w:rPr>
                <w:rFonts w:asciiTheme="minorHAnsi" w:hAnsiTheme="minorHAnsi" w:cs="Arial"/>
                <w:sz w:val="18"/>
                <w:szCs w:val="18"/>
              </w:rPr>
              <w:t>1</w:t>
            </w:r>
            <w:r w:rsidR="007E4DF3">
              <w:rPr>
                <w:rFonts w:asciiTheme="minorHAnsi" w:hAnsiTheme="minorHAnsi" w:cs="Arial"/>
                <w:sz w:val="18"/>
                <w:szCs w:val="18"/>
              </w:rPr>
              <w:t>,</w:t>
            </w:r>
            <w:r w:rsidRPr="00DA4CA5">
              <w:rPr>
                <w:rFonts w:asciiTheme="minorHAnsi" w:hAnsiTheme="minorHAnsi" w:cs="Arial"/>
                <w:sz w:val="18"/>
                <w:szCs w:val="18"/>
              </w:rPr>
              <w:t>261</w:t>
            </w:r>
          </w:p>
        </w:tc>
        <w:tc>
          <w:tcPr>
            <w:tcW w:w="367" w:type="pct"/>
            <w:tcBorders>
              <w:left w:val="nil"/>
              <w:right w:val="nil"/>
            </w:tcBorders>
            <w:shd w:val="clear" w:color="auto" w:fill="auto"/>
            <w:vAlign w:val="bottom"/>
          </w:tcPr>
          <w:p w:rsidR="00022EA7" w:rsidRPr="00DA4CA5" w:rsidRDefault="00022EA7" w:rsidP="005815D8">
            <w:pPr>
              <w:jc w:val="center"/>
              <w:outlineLvl w:val="0"/>
              <w:rPr>
                <w:rFonts w:asciiTheme="minorHAnsi" w:hAnsiTheme="minorHAnsi"/>
                <w:b/>
                <w:bCs/>
                <w:color w:val="002776"/>
                <w:sz w:val="18"/>
                <w:szCs w:val="18"/>
              </w:rPr>
            </w:pPr>
            <w:r w:rsidRPr="00DA4CA5">
              <w:rPr>
                <w:rFonts w:asciiTheme="minorHAnsi" w:hAnsiTheme="minorHAnsi" w:cs="Arial"/>
                <w:sz w:val="18"/>
                <w:szCs w:val="18"/>
              </w:rPr>
              <w:t>790</w:t>
            </w:r>
          </w:p>
        </w:tc>
        <w:tc>
          <w:tcPr>
            <w:tcW w:w="367" w:type="pct"/>
            <w:tcBorders>
              <w:left w:val="nil"/>
              <w:right w:val="nil"/>
            </w:tcBorders>
            <w:shd w:val="clear" w:color="auto" w:fill="auto"/>
            <w:vAlign w:val="bottom"/>
          </w:tcPr>
          <w:p w:rsidR="00022EA7" w:rsidRPr="00DA4CA5" w:rsidRDefault="00022EA7" w:rsidP="005815D8">
            <w:pPr>
              <w:jc w:val="center"/>
              <w:outlineLvl w:val="0"/>
              <w:rPr>
                <w:rFonts w:asciiTheme="minorHAnsi" w:hAnsiTheme="minorHAnsi"/>
                <w:b/>
                <w:bCs/>
                <w:color w:val="002776"/>
                <w:sz w:val="18"/>
                <w:szCs w:val="18"/>
              </w:rPr>
            </w:pPr>
            <w:r w:rsidRPr="00DA4CA5">
              <w:rPr>
                <w:rFonts w:asciiTheme="minorHAnsi" w:hAnsiTheme="minorHAnsi" w:cs="Arial"/>
                <w:sz w:val="18"/>
                <w:szCs w:val="18"/>
              </w:rPr>
              <w:t>2</w:t>
            </w:r>
            <w:r w:rsidR="007E4DF3">
              <w:rPr>
                <w:rFonts w:asciiTheme="minorHAnsi" w:hAnsiTheme="minorHAnsi" w:cs="Arial"/>
                <w:sz w:val="18"/>
                <w:szCs w:val="18"/>
              </w:rPr>
              <w:t>,</w:t>
            </w:r>
            <w:r w:rsidRPr="00DA4CA5">
              <w:rPr>
                <w:rFonts w:asciiTheme="minorHAnsi" w:hAnsiTheme="minorHAnsi" w:cs="Arial"/>
                <w:sz w:val="18"/>
                <w:szCs w:val="18"/>
              </w:rPr>
              <w:t>404</w:t>
            </w:r>
          </w:p>
        </w:tc>
        <w:tc>
          <w:tcPr>
            <w:tcW w:w="368" w:type="pct"/>
            <w:tcBorders>
              <w:left w:val="nil"/>
              <w:right w:val="nil"/>
            </w:tcBorders>
            <w:shd w:val="clear" w:color="auto" w:fill="auto"/>
            <w:vAlign w:val="bottom"/>
          </w:tcPr>
          <w:p w:rsidR="00022EA7" w:rsidRPr="00DA4CA5" w:rsidRDefault="00022EA7" w:rsidP="005815D8">
            <w:pPr>
              <w:jc w:val="center"/>
              <w:outlineLvl w:val="0"/>
              <w:rPr>
                <w:rFonts w:asciiTheme="minorHAnsi" w:hAnsiTheme="minorHAnsi"/>
                <w:b/>
                <w:bCs/>
                <w:color w:val="002776"/>
                <w:sz w:val="18"/>
                <w:szCs w:val="18"/>
              </w:rPr>
            </w:pPr>
            <w:r w:rsidRPr="00DA4CA5">
              <w:rPr>
                <w:rFonts w:asciiTheme="minorHAnsi" w:hAnsiTheme="minorHAnsi" w:cs="Arial"/>
                <w:sz w:val="18"/>
                <w:szCs w:val="18"/>
              </w:rPr>
              <w:t>1</w:t>
            </w:r>
            <w:r w:rsidR="007E4DF3">
              <w:rPr>
                <w:rFonts w:asciiTheme="minorHAnsi" w:hAnsiTheme="minorHAnsi" w:cs="Arial"/>
                <w:sz w:val="18"/>
                <w:szCs w:val="18"/>
              </w:rPr>
              <w:t>,</w:t>
            </w:r>
            <w:r w:rsidRPr="00DA4CA5">
              <w:rPr>
                <w:rFonts w:asciiTheme="minorHAnsi" w:hAnsiTheme="minorHAnsi" w:cs="Arial"/>
                <w:sz w:val="18"/>
                <w:szCs w:val="18"/>
              </w:rPr>
              <w:t>518</w:t>
            </w:r>
          </w:p>
        </w:tc>
        <w:tc>
          <w:tcPr>
            <w:tcW w:w="367" w:type="pct"/>
            <w:tcBorders>
              <w:left w:val="nil"/>
              <w:right w:val="nil"/>
            </w:tcBorders>
            <w:shd w:val="clear" w:color="auto" w:fill="auto"/>
            <w:vAlign w:val="bottom"/>
          </w:tcPr>
          <w:p w:rsidR="00022EA7" w:rsidRPr="00DA4CA5" w:rsidRDefault="00022EA7" w:rsidP="005815D8">
            <w:pPr>
              <w:jc w:val="center"/>
              <w:outlineLvl w:val="0"/>
              <w:rPr>
                <w:rFonts w:asciiTheme="minorHAnsi" w:hAnsiTheme="minorHAnsi"/>
                <w:b/>
                <w:bCs/>
                <w:color w:val="002776"/>
                <w:sz w:val="18"/>
                <w:szCs w:val="18"/>
              </w:rPr>
            </w:pPr>
            <w:r w:rsidRPr="00DA4CA5">
              <w:rPr>
                <w:rFonts w:asciiTheme="minorHAnsi" w:hAnsiTheme="minorHAnsi" w:cs="Arial"/>
                <w:sz w:val="18"/>
                <w:szCs w:val="18"/>
              </w:rPr>
              <w:t>2</w:t>
            </w:r>
            <w:r w:rsidR="007E4DF3">
              <w:rPr>
                <w:rFonts w:asciiTheme="minorHAnsi" w:hAnsiTheme="minorHAnsi" w:cs="Arial"/>
                <w:sz w:val="18"/>
                <w:szCs w:val="18"/>
              </w:rPr>
              <w:t>,</w:t>
            </w:r>
            <w:r w:rsidRPr="00DA4CA5">
              <w:rPr>
                <w:rFonts w:asciiTheme="minorHAnsi" w:hAnsiTheme="minorHAnsi" w:cs="Arial"/>
                <w:sz w:val="18"/>
                <w:szCs w:val="18"/>
              </w:rPr>
              <w:t>694</w:t>
            </w:r>
          </w:p>
        </w:tc>
        <w:tc>
          <w:tcPr>
            <w:tcW w:w="367" w:type="pct"/>
            <w:tcBorders>
              <w:left w:val="nil"/>
              <w:right w:val="nil"/>
            </w:tcBorders>
            <w:shd w:val="clear" w:color="auto" w:fill="auto"/>
            <w:vAlign w:val="bottom"/>
          </w:tcPr>
          <w:p w:rsidR="00022EA7" w:rsidRPr="00DA4CA5" w:rsidRDefault="00022EA7" w:rsidP="005815D8">
            <w:pPr>
              <w:jc w:val="center"/>
              <w:outlineLvl w:val="0"/>
              <w:rPr>
                <w:rFonts w:asciiTheme="minorHAnsi" w:hAnsiTheme="minorHAnsi"/>
                <w:b/>
                <w:bCs/>
                <w:color w:val="002776"/>
                <w:sz w:val="18"/>
                <w:szCs w:val="18"/>
              </w:rPr>
            </w:pPr>
            <w:r w:rsidRPr="00DA4CA5">
              <w:rPr>
                <w:rFonts w:asciiTheme="minorHAnsi" w:hAnsiTheme="minorHAnsi" w:cs="Arial"/>
                <w:sz w:val="18"/>
                <w:szCs w:val="18"/>
              </w:rPr>
              <w:t>463</w:t>
            </w:r>
          </w:p>
        </w:tc>
        <w:tc>
          <w:tcPr>
            <w:tcW w:w="368" w:type="pct"/>
            <w:tcBorders>
              <w:left w:val="nil"/>
              <w:right w:val="nil"/>
            </w:tcBorders>
            <w:shd w:val="clear" w:color="auto" w:fill="auto"/>
            <w:vAlign w:val="bottom"/>
          </w:tcPr>
          <w:p w:rsidR="00022EA7" w:rsidRPr="00DA4CA5" w:rsidRDefault="00022EA7" w:rsidP="005815D8">
            <w:pPr>
              <w:jc w:val="center"/>
              <w:outlineLvl w:val="0"/>
              <w:rPr>
                <w:rFonts w:asciiTheme="minorHAnsi" w:hAnsiTheme="minorHAnsi"/>
                <w:b/>
                <w:bCs/>
                <w:color w:val="002776"/>
                <w:sz w:val="18"/>
                <w:szCs w:val="18"/>
              </w:rPr>
            </w:pPr>
            <w:r w:rsidRPr="00DA4CA5">
              <w:rPr>
                <w:rFonts w:asciiTheme="minorHAnsi" w:hAnsiTheme="minorHAnsi" w:cs="Arial"/>
                <w:sz w:val="18"/>
                <w:szCs w:val="18"/>
              </w:rPr>
              <w:t>2309</w:t>
            </w:r>
          </w:p>
        </w:tc>
        <w:tc>
          <w:tcPr>
            <w:tcW w:w="367" w:type="pct"/>
            <w:tcBorders>
              <w:left w:val="nil"/>
              <w:right w:val="nil"/>
            </w:tcBorders>
            <w:shd w:val="clear" w:color="auto" w:fill="auto"/>
            <w:vAlign w:val="bottom"/>
          </w:tcPr>
          <w:p w:rsidR="00022EA7" w:rsidRPr="00DA4CA5" w:rsidRDefault="00022EA7" w:rsidP="005815D8">
            <w:pPr>
              <w:jc w:val="center"/>
              <w:outlineLvl w:val="0"/>
              <w:rPr>
                <w:rFonts w:asciiTheme="minorHAnsi" w:hAnsiTheme="minorHAnsi"/>
                <w:b/>
                <w:bCs/>
                <w:color w:val="002776"/>
                <w:sz w:val="18"/>
                <w:szCs w:val="18"/>
              </w:rPr>
            </w:pPr>
            <w:r w:rsidRPr="00DA4CA5">
              <w:rPr>
                <w:rFonts w:asciiTheme="minorHAnsi" w:hAnsiTheme="minorHAnsi" w:cs="Arial"/>
                <w:sz w:val="18"/>
                <w:szCs w:val="18"/>
              </w:rPr>
              <w:t>1145</w:t>
            </w:r>
          </w:p>
        </w:tc>
        <w:tc>
          <w:tcPr>
            <w:tcW w:w="367" w:type="pct"/>
            <w:tcBorders>
              <w:left w:val="nil"/>
              <w:right w:val="nil"/>
            </w:tcBorders>
            <w:shd w:val="clear" w:color="auto" w:fill="auto"/>
            <w:vAlign w:val="bottom"/>
          </w:tcPr>
          <w:p w:rsidR="00022EA7" w:rsidRPr="00DA4CA5" w:rsidRDefault="00022EA7" w:rsidP="005815D8">
            <w:pPr>
              <w:jc w:val="center"/>
              <w:outlineLvl w:val="0"/>
              <w:rPr>
                <w:rFonts w:asciiTheme="minorHAnsi" w:hAnsiTheme="minorHAnsi"/>
                <w:bCs/>
                <w:color w:val="002776"/>
                <w:sz w:val="18"/>
                <w:szCs w:val="18"/>
              </w:rPr>
            </w:pPr>
            <w:r w:rsidRPr="00DA4CA5">
              <w:rPr>
                <w:rFonts w:asciiTheme="minorHAnsi" w:hAnsiTheme="minorHAnsi" w:cs="Arial"/>
                <w:sz w:val="18"/>
                <w:szCs w:val="18"/>
              </w:rPr>
              <w:t>670</w:t>
            </w:r>
          </w:p>
        </w:tc>
        <w:tc>
          <w:tcPr>
            <w:tcW w:w="360" w:type="pct"/>
            <w:tcBorders>
              <w:left w:val="nil"/>
              <w:right w:val="nil"/>
            </w:tcBorders>
            <w:shd w:val="clear" w:color="auto" w:fill="auto"/>
            <w:vAlign w:val="bottom"/>
          </w:tcPr>
          <w:p w:rsidR="00022EA7" w:rsidRPr="00DA4CA5" w:rsidRDefault="00022EA7" w:rsidP="005815D8">
            <w:pPr>
              <w:jc w:val="center"/>
              <w:outlineLvl w:val="0"/>
              <w:rPr>
                <w:rFonts w:asciiTheme="minorHAnsi" w:hAnsiTheme="minorHAnsi"/>
                <w:bCs/>
                <w:color w:val="002776"/>
                <w:sz w:val="18"/>
                <w:szCs w:val="18"/>
              </w:rPr>
            </w:pPr>
            <w:r w:rsidRPr="00DA4CA5">
              <w:rPr>
                <w:rFonts w:asciiTheme="minorHAnsi" w:hAnsiTheme="minorHAnsi" w:cs="Arial"/>
                <w:color w:val="000000"/>
                <w:sz w:val="18"/>
                <w:szCs w:val="18"/>
              </w:rPr>
              <w:t>13,516</w:t>
            </w:r>
          </w:p>
        </w:tc>
      </w:tr>
      <w:tr w:rsidR="00022EA7" w:rsidRPr="00F10F95" w:rsidTr="00DA4CA5">
        <w:trPr>
          <w:trHeight w:val="285"/>
        </w:trPr>
        <w:tc>
          <w:tcPr>
            <w:tcW w:w="1336" w:type="pct"/>
            <w:gridSpan w:val="3"/>
            <w:tcBorders>
              <w:top w:val="nil"/>
              <w:left w:val="nil"/>
              <w:bottom w:val="nil"/>
              <w:right w:val="nil"/>
            </w:tcBorders>
            <w:shd w:val="clear" w:color="auto" w:fill="auto"/>
            <w:noWrap/>
            <w:hideMark/>
          </w:tcPr>
          <w:p w:rsidR="005E3967" w:rsidRPr="00CD18A1" w:rsidRDefault="005E3967" w:rsidP="005815D8">
            <w:pPr>
              <w:outlineLvl w:val="0"/>
              <w:rPr>
                <w:rFonts w:asciiTheme="minorHAnsi" w:hAnsiTheme="minorHAnsi"/>
                <w:bCs/>
                <w:i/>
                <w:color w:val="002776"/>
                <w:sz w:val="20"/>
              </w:rPr>
            </w:pPr>
            <w:r>
              <w:rPr>
                <w:rFonts w:asciiTheme="minorHAnsi" w:hAnsiTheme="minorHAnsi"/>
                <w:bCs/>
                <w:i/>
                <w:color w:val="000000"/>
                <w:sz w:val="20"/>
              </w:rPr>
              <w:t>Percentage</w:t>
            </w:r>
            <w:r w:rsidRPr="00CD18A1">
              <w:rPr>
                <w:rFonts w:asciiTheme="minorHAnsi" w:hAnsiTheme="minorHAnsi"/>
                <w:bCs/>
                <w:i/>
                <w:color w:val="000000"/>
                <w:sz w:val="20"/>
              </w:rPr>
              <w:t xml:space="preserve"> premium</w:t>
            </w:r>
          </w:p>
        </w:tc>
        <w:tc>
          <w:tcPr>
            <w:tcW w:w="367"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7"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7"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8"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7"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7"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8"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7"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7" w:type="pct"/>
            <w:tcBorders>
              <w:top w:val="nil"/>
              <w:left w:val="nil"/>
              <w:bottom w:val="nil"/>
              <w:right w:val="nil"/>
            </w:tcBorders>
            <w:shd w:val="clear" w:color="auto" w:fill="auto"/>
          </w:tcPr>
          <w:p w:rsidR="005E3967" w:rsidRPr="00CD18A1" w:rsidRDefault="005E3967" w:rsidP="005815D8">
            <w:pPr>
              <w:outlineLvl w:val="0"/>
              <w:rPr>
                <w:rFonts w:asciiTheme="minorHAnsi" w:hAnsiTheme="minorHAnsi"/>
                <w:b/>
                <w:bCs/>
                <w:color w:val="002776" w:themeColor="accent1"/>
                <w:sz w:val="20"/>
              </w:rPr>
            </w:pPr>
          </w:p>
        </w:tc>
        <w:tc>
          <w:tcPr>
            <w:tcW w:w="360" w:type="pct"/>
            <w:tcBorders>
              <w:top w:val="nil"/>
              <w:left w:val="nil"/>
              <w:bottom w:val="nil"/>
              <w:right w:val="nil"/>
            </w:tcBorders>
            <w:shd w:val="clear" w:color="auto" w:fill="auto"/>
            <w:vAlign w:val="center"/>
            <w:hideMark/>
          </w:tcPr>
          <w:p w:rsidR="005E3967" w:rsidRPr="00CD18A1" w:rsidRDefault="005E3967" w:rsidP="005815D8">
            <w:pPr>
              <w:outlineLvl w:val="0"/>
              <w:rPr>
                <w:rFonts w:asciiTheme="minorHAnsi" w:hAnsiTheme="minorHAnsi"/>
                <w:b/>
                <w:bCs/>
                <w:color w:val="002776" w:themeColor="accent1"/>
                <w:sz w:val="20"/>
              </w:rPr>
            </w:pPr>
          </w:p>
        </w:tc>
      </w:tr>
      <w:tr w:rsidR="00022EA7" w:rsidRPr="00F10F95" w:rsidTr="00DA4CA5">
        <w:trPr>
          <w:trHeight w:val="255"/>
        </w:trPr>
        <w:tc>
          <w:tcPr>
            <w:tcW w:w="856" w:type="pct"/>
            <w:tcBorders>
              <w:top w:val="nil"/>
              <w:left w:val="nil"/>
              <w:bottom w:val="nil"/>
              <w:right w:val="nil"/>
            </w:tcBorders>
            <w:shd w:val="clear" w:color="auto" w:fill="auto"/>
            <w:vAlign w:val="center"/>
            <w:hideMark/>
          </w:tcPr>
          <w:p w:rsidR="005E3967" w:rsidRPr="00444981" w:rsidRDefault="005E3967" w:rsidP="005815D8">
            <w:pPr>
              <w:ind w:left="108"/>
              <w:jc w:val="both"/>
              <w:outlineLvl w:val="0"/>
              <w:rPr>
                <w:rFonts w:asciiTheme="minorHAnsi" w:hAnsiTheme="minorHAnsi"/>
                <w:i/>
                <w:iCs/>
                <w:color w:val="000000"/>
                <w:sz w:val="20"/>
              </w:rPr>
            </w:pPr>
            <w:r w:rsidRPr="00444981">
              <w:rPr>
                <w:rFonts w:asciiTheme="minorHAnsi" w:hAnsiTheme="minorHAnsi"/>
                <w:i/>
                <w:iCs/>
                <w:color w:val="000000"/>
                <w:sz w:val="20"/>
              </w:rPr>
              <w:t>Undiscounted</w:t>
            </w:r>
          </w:p>
        </w:tc>
        <w:tc>
          <w:tcPr>
            <w:tcW w:w="480" w:type="pct"/>
            <w:gridSpan w:val="2"/>
            <w:tcBorders>
              <w:top w:val="nil"/>
              <w:left w:val="nil"/>
              <w:bottom w:val="nil"/>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107%</w:t>
            </w:r>
          </w:p>
        </w:tc>
        <w:tc>
          <w:tcPr>
            <w:tcW w:w="367" w:type="pct"/>
            <w:tcBorders>
              <w:top w:val="nil"/>
              <w:left w:val="nil"/>
              <w:bottom w:val="nil"/>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94%</w:t>
            </w:r>
          </w:p>
        </w:tc>
        <w:tc>
          <w:tcPr>
            <w:tcW w:w="367" w:type="pct"/>
            <w:tcBorders>
              <w:top w:val="nil"/>
              <w:left w:val="nil"/>
              <w:bottom w:val="nil"/>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92%</w:t>
            </w:r>
          </w:p>
        </w:tc>
        <w:tc>
          <w:tcPr>
            <w:tcW w:w="367" w:type="pct"/>
            <w:tcBorders>
              <w:top w:val="nil"/>
              <w:left w:val="nil"/>
              <w:bottom w:val="nil"/>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47%</w:t>
            </w:r>
          </w:p>
        </w:tc>
        <w:tc>
          <w:tcPr>
            <w:tcW w:w="368" w:type="pct"/>
            <w:tcBorders>
              <w:top w:val="nil"/>
              <w:left w:val="nil"/>
              <w:bottom w:val="nil"/>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51%</w:t>
            </w:r>
          </w:p>
        </w:tc>
        <w:tc>
          <w:tcPr>
            <w:tcW w:w="367" w:type="pct"/>
            <w:tcBorders>
              <w:top w:val="nil"/>
              <w:left w:val="nil"/>
              <w:bottom w:val="nil"/>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37%</w:t>
            </w:r>
          </w:p>
        </w:tc>
        <w:tc>
          <w:tcPr>
            <w:tcW w:w="367" w:type="pct"/>
            <w:tcBorders>
              <w:top w:val="nil"/>
              <w:left w:val="nil"/>
              <w:bottom w:val="nil"/>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58%</w:t>
            </w:r>
          </w:p>
        </w:tc>
        <w:tc>
          <w:tcPr>
            <w:tcW w:w="368" w:type="pct"/>
            <w:tcBorders>
              <w:top w:val="nil"/>
              <w:left w:val="nil"/>
              <w:bottom w:val="nil"/>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20%</w:t>
            </w:r>
          </w:p>
        </w:tc>
        <w:tc>
          <w:tcPr>
            <w:tcW w:w="367" w:type="pct"/>
            <w:tcBorders>
              <w:top w:val="nil"/>
              <w:left w:val="nil"/>
              <w:bottom w:val="nil"/>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35%</w:t>
            </w:r>
          </w:p>
        </w:tc>
        <w:tc>
          <w:tcPr>
            <w:tcW w:w="367" w:type="pct"/>
            <w:tcBorders>
              <w:top w:val="nil"/>
              <w:left w:val="nil"/>
              <w:bottom w:val="nil"/>
              <w:right w:val="nil"/>
            </w:tcBorders>
            <w:vAlign w:val="center"/>
          </w:tcPr>
          <w:p w:rsidR="005E3967" w:rsidRPr="006E4888" w:rsidRDefault="005E3967" w:rsidP="005815D8">
            <w:pPr>
              <w:jc w:val="center"/>
              <w:outlineLvl w:val="0"/>
              <w:rPr>
                <w:sz w:val="18"/>
              </w:rPr>
            </w:pPr>
            <w:r w:rsidRPr="0064325C">
              <w:rPr>
                <w:sz w:val="18"/>
              </w:rPr>
              <w:t>39%</w:t>
            </w:r>
          </w:p>
        </w:tc>
        <w:tc>
          <w:tcPr>
            <w:tcW w:w="360" w:type="pct"/>
            <w:tcBorders>
              <w:top w:val="nil"/>
              <w:left w:val="nil"/>
              <w:bottom w:val="nil"/>
              <w:right w:val="nil"/>
            </w:tcBorders>
            <w:shd w:val="clear" w:color="auto" w:fill="auto"/>
            <w:vAlign w:val="center"/>
            <w:hideMark/>
          </w:tcPr>
          <w:p w:rsidR="005E3967" w:rsidRPr="00CD18A1" w:rsidRDefault="005E3967" w:rsidP="005815D8">
            <w:pPr>
              <w:jc w:val="center"/>
              <w:outlineLvl w:val="0"/>
              <w:rPr>
                <w:rFonts w:asciiTheme="minorHAnsi" w:hAnsiTheme="minorHAnsi"/>
                <w:b/>
                <w:color w:val="002776" w:themeColor="accent1"/>
                <w:sz w:val="18"/>
              </w:rPr>
            </w:pPr>
            <w:r w:rsidRPr="0064325C">
              <w:rPr>
                <w:b/>
                <w:color w:val="002776" w:themeColor="accent1"/>
                <w:sz w:val="18"/>
              </w:rPr>
              <w:t>49%</w:t>
            </w:r>
          </w:p>
        </w:tc>
      </w:tr>
      <w:tr w:rsidR="00022EA7" w:rsidRPr="00F10F95" w:rsidTr="00DA4CA5">
        <w:trPr>
          <w:trHeight w:val="255"/>
        </w:trPr>
        <w:tc>
          <w:tcPr>
            <w:tcW w:w="856" w:type="pct"/>
            <w:tcBorders>
              <w:top w:val="nil"/>
              <w:left w:val="nil"/>
              <w:bottom w:val="single" w:sz="4" w:space="0" w:color="002776" w:themeColor="accent1"/>
              <w:right w:val="nil"/>
            </w:tcBorders>
            <w:shd w:val="clear" w:color="auto" w:fill="auto"/>
            <w:noWrap/>
            <w:vAlign w:val="bottom"/>
            <w:hideMark/>
          </w:tcPr>
          <w:p w:rsidR="005E3967" w:rsidRPr="00444981" w:rsidRDefault="005E3967" w:rsidP="005815D8">
            <w:pPr>
              <w:ind w:left="108"/>
              <w:outlineLvl w:val="0"/>
              <w:rPr>
                <w:rFonts w:asciiTheme="minorHAnsi" w:hAnsiTheme="minorHAnsi"/>
                <w:i/>
                <w:iCs/>
                <w:color w:val="000000"/>
                <w:sz w:val="20"/>
              </w:rPr>
            </w:pPr>
            <w:r w:rsidRPr="00444981">
              <w:rPr>
                <w:rFonts w:asciiTheme="minorHAnsi" w:hAnsiTheme="minorHAnsi"/>
                <w:i/>
                <w:iCs/>
                <w:color w:val="000000"/>
                <w:sz w:val="20"/>
              </w:rPr>
              <w:t>Discounted NPV</w:t>
            </w:r>
          </w:p>
        </w:tc>
        <w:tc>
          <w:tcPr>
            <w:tcW w:w="480" w:type="pct"/>
            <w:gridSpan w:val="2"/>
            <w:tcBorders>
              <w:top w:val="nil"/>
              <w:left w:val="nil"/>
              <w:bottom w:val="single" w:sz="4" w:space="0" w:color="002776" w:themeColor="accent1"/>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75%</w:t>
            </w:r>
          </w:p>
        </w:tc>
        <w:tc>
          <w:tcPr>
            <w:tcW w:w="367" w:type="pct"/>
            <w:tcBorders>
              <w:top w:val="nil"/>
              <w:left w:val="nil"/>
              <w:bottom w:val="single" w:sz="4" w:space="0" w:color="002776" w:themeColor="accent1"/>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84%</w:t>
            </w:r>
          </w:p>
        </w:tc>
        <w:tc>
          <w:tcPr>
            <w:tcW w:w="367" w:type="pct"/>
            <w:tcBorders>
              <w:top w:val="nil"/>
              <w:left w:val="nil"/>
              <w:bottom w:val="single" w:sz="4" w:space="0" w:color="002776" w:themeColor="accent1"/>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82%</w:t>
            </w:r>
          </w:p>
        </w:tc>
        <w:tc>
          <w:tcPr>
            <w:tcW w:w="367" w:type="pct"/>
            <w:tcBorders>
              <w:top w:val="nil"/>
              <w:left w:val="nil"/>
              <w:bottom w:val="single" w:sz="4" w:space="0" w:color="002776" w:themeColor="accent1"/>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38%</w:t>
            </w:r>
          </w:p>
        </w:tc>
        <w:tc>
          <w:tcPr>
            <w:tcW w:w="368" w:type="pct"/>
            <w:tcBorders>
              <w:top w:val="nil"/>
              <w:left w:val="nil"/>
              <w:bottom w:val="single" w:sz="4" w:space="0" w:color="002776" w:themeColor="accent1"/>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43%</w:t>
            </w:r>
          </w:p>
        </w:tc>
        <w:tc>
          <w:tcPr>
            <w:tcW w:w="367" w:type="pct"/>
            <w:tcBorders>
              <w:top w:val="nil"/>
              <w:left w:val="nil"/>
              <w:bottom w:val="single" w:sz="4" w:space="0" w:color="002776" w:themeColor="accent1"/>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30%</w:t>
            </w:r>
          </w:p>
        </w:tc>
        <w:tc>
          <w:tcPr>
            <w:tcW w:w="367" w:type="pct"/>
            <w:tcBorders>
              <w:top w:val="nil"/>
              <w:left w:val="nil"/>
              <w:bottom w:val="single" w:sz="4" w:space="0" w:color="002776" w:themeColor="accent1"/>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47%</w:t>
            </w:r>
          </w:p>
        </w:tc>
        <w:tc>
          <w:tcPr>
            <w:tcW w:w="368" w:type="pct"/>
            <w:tcBorders>
              <w:top w:val="nil"/>
              <w:left w:val="nil"/>
              <w:bottom w:val="single" w:sz="4" w:space="0" w:color="002776" w:themeColor="accent1"/>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18%</w:t>
            </w:r>
          </w:p>
        </w:tc>
        <w:tc>
          <w:tcPr>
            <w:tcW w:w="367" w:type="pct"/>
            <w:tcBorders>
              <w:top w:val="nil"/>
              <w:left w:val="nil"/>
              <w:bottom w:val="single" w:sz="4" w:space="0" w:color="002776" w:themeColor="accent1"/>
              <w:right w:val="nil"/>
            </w:tcBorders>
            <w:shd w:val="clear" w:color="auto" w:fill="auto"/>
            <w:vAlign w:val="center"/>
            <w:hideMark/>
          </w:tcPr>
          <w:p w:rsidR="005E3967" w:rsidRPr="00AF4C12" w:rsidRDefault="005E3967" w:rsidP="005815D8">
            <w:pPr>
              <w:jc w:val="center"/>
              <w:outlineLvl w:val="0"/>
              <w:rPr>
                <w:rFonts w:asciiTheme="minorHAnsi" w:hAnsiTheme="minorHAnsi"/>
                <w:color w:val="000000"/>
                <w:sz w:val="18"/>
              </w:rPr>
            </w:pPr>
            <w:r w:rsidRPr="0064325C">
              <w:rPr>
                <w:sz w:val="18"/>
              </w:rPr>
              <w:t>26%</w:t>
            </w:r>
          </w:p>
        </w:tc>
        <w:tc>
          <w:tcPr>
            <w:tcW w:w="367" w:type="pct"/>
            <w:tcBorders>
              <w:top w:val="nil"/>
              <w:left w:val="nil"/>
              <w:bottom w:val="single" w:sz="4" w:space="0" w:color="002776" w:themeColor="accent1"/>
              <w:right w:val="nil"/>
            </w:tcBorders>
            <w:vAlign w:val="center"/>
          </w:tcPr>
          <w:p w:rsidR="005E3967" w:rsidRPr="006E4888" w:rsidRDefault="005E3967" w:rsidP="005815D8">
            <w:pPr>
              <w:jc w:val="center"/>
              <w:outlineLvl w:val="0"/>
              <w:rPr>
                <w:sz w:val="18"/>
              </w:rPr>
            </w:pPr>
            <w:r w:rsidRPr="0064325C">
              <w:rPr>
                <w:sz w:val="18"/>
              </w:rPr>
              <w:t>32%</w:t>
            </w:r>
          </w:p>
        </w:tc>
        <w:tc>
          <w:tcPr>
            <w:tcW w:w="360" w:type="pct"/>
            <w:tcBorders>
              <w:top w:val="nil"/>
              <w:left w:val="nil"/>
              <w:bottom w:val="single" w:sz="4" w:space="0" w:color="002776" w:themeColor="accent1"/>
              <w:right w:val="nil"/>
            </w:tcBorders>
            <w:shd w:val="clear" w:color="auto" w:fill="auto"/>
            <w:vAlign w:val="center"/>
            <w:hideMark/>
          </w:tcPr>
          <w:p w:rsidR="005E3967" w:rsidRPr="00CD18A1" w:rsidRDefault="005E3967" w:rsidP="005815D8">
            <w:pPr>
              <w:jc w:val="center"/>
              <w:outlineLvl w:val="0"/>
              <w:rPr>
                <w:rFonts w:asciiTheme="minorHAnsi" w:hAnsiTheme="minorHAnsi"/>
                <w:b/>
                <w:color w:val="002776" w:themeColor="accent1"/>
                <w:sz w:val="18"/>
              </w:rPr>
            </w:pPr>
            <w:r w:rsidRPr="0064325C">
              <w:rPr>
                <w:b/>
                <w:color w:val="002776" w:themeColor="accent1"/>
                <w:sz w:val="18"/>
              </w:rPr>
              <w:t>41%</w:t>
            </w:r>
          </w:p>
        </w:tc>
      </w:tr>
      <w:tr w:rsidR="00022EA7" w:rsidRPr="00F10F95" w:rsidTr="00DA4CA5">
        <w:trPr>
          <w:trHeight w:val="255"/>
        </w:trPr>
        <w:tc>
          <w:tcPr>
            <w:tcW w:w="1336" w:type="pct"/>
            <w:gridSpan w:val="3"/>
            <w:tcBorders>
              <w:top w:val="single" w:sz="4" w:space="0" w:color="002776" w:themeColor="accent1"/>
              <w:left w:val="nil"/>
              <w:bottom w:val="nil"/>
              <w:right w:val="nil"/>
            </w:tcBorders>
            <w:shd w:val="clear" w:color="auto" w:fill="auto"/>
            <w:noWrap/>
            <w:hideMark/>
          </w:tcPr>
          <w:p w:rsidR="005E3967" w:rsidRPr="00CD18A1" w:rsidRDefault="005E3967" w:rsidP="005815D8">
            <w:pPr>
              <w:outlineLvl w:val="0"/>
              <w:rPr>
                <w:rFonts w:asciiTheme="minorHAnsi" w:hAnsiTheme="minorHAnsi"/>
                <w:bCs/>
                <w:i/>
                <w:color w:val="000000"/>
                <w:sz w:val="20"/>
              </w:rPr>
            </w:pPr>
            <w:r w:rsidRPr="00CD18A1">
              <w:rPr>
                <w:rFonts w:asciiTheme="minorHAnsi" w:hAnsiTheme="minorHAnsi"/>
                <w:bCs/>
                <w:i/>
                <w:color w:val="000000"/>
                <w:sz w:val="20"/>
              </w:rPr>
              <w:t>Dollar premium ($ million)</w:t>
            </w:r>
          </w:p>
        </w:tc>
        <w:tc>
          <w:tcPr>
            <w:tcW w:w="367"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7"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7"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8"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7"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7"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8"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7"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7" w:type="pct"/>
            <w:tcBorders>
              <w:top w:val="single" w:sz="4" w:space="0" w:color="002776" w:themeColor="accent1"/>
              <w:left w:val="nil"/>
              <w:bottom w:val="nil"/>
              <w:right w:val="nil"/>
            </w:tcBorders>
            <w:shd w:val="clear" w:color="auto" w:fill="auto"/>
          </w:tcPr>
          <w:p w:rsidR="005E3967" w:rsidRPr="00CD18A1" w:rsidRDefault="005E3967" w:rsidP="005815D8">
            <w:pPr>
              <w:jc w:val="center"/>
              <w:outlineLvl w:val="0"/>
              <w:rPr>
                <w:rFonts w:asciiTheme="minorHAnsi" w:hAnsiTheme="minorHAnsi"/>
                <w:b/>
                <w:color w:val="002776" w:themeColor="accent1"/>
                <w:sz w:val="20"/>
              </w:rPr>
            </w:pPr>
          </w:p>
        </w:tc>
        <w:tc>
          <w:tcPr>
            <w:tcW w:w="360" w:type="pct"/>
            <w:tcBorders>
              <w:top w:val="single" w:sz="4" w:space="0" w:color="002776" w:themeColor="accent1"/>
              <w:left w:val="nil"/>
              <w:bottom w:val="nil"/>
              <w:right w:val="nil"/>
            </w:tcBorders>
            <w:shd w:val="clear" w:color="auto" w:fill="auto"/>
            <w:vAlign w:val="center"/>
            <w:hideMark/>
          </w:tcPr>
          <w:p w:rsidR="005E3967" w:rsidRPr="0083778F" w:rsidRDefault="005E3967" w:rsidP="005815D8">
            <w:pPr>
              <w:jc w:val="center"/>
              <w:outlineLvl w:val="0"/>
              <w:rPr>
                <w:rFonts w:asciiTheme="minorHAnsi" w:hAnsiTheme="minorHAnsi"/>
                <w:b/>
                <w:color w:val="002776" w:themeColor="accent1"/>
                <w:sz w:val="20"/>
              </w:rPr>
            </w:pPr>
          </w:p>
        </w:tc>
      </w:tr>
      <w:tr w:rsidR="00022EA7" w:rsidRPr="00F10F95" w:rsidTr="00DA4CA5">
        <w:trPr>
          <w:trHeight w:val="255"/>
        </w:trPr>
        <w:tc>
          <w:tcPr>
            <w:tcW w:w="856" w:type="pct"/>
            <w:tcBorders>
              <w:top w:val="nil"/>
              <w:left w:val="nil"/>
              <w:bottom w:val="nil"/>
              <w:right w:val="nil"/>
            </w:tcBorders>
            <w:shd w:val="clear" w:color="auto" w:fill="auto"/>
            <w:vAlign w:val="center"/>
            <w:hideMark/>
          </w:tcPr>
          <w:p w:rsidR="005E3967" w:rsidRPr="00444981" w:rsidRDefault="005E3967" w:rsidP="005815D8">
            <w:pPr>
              <w:ind w:left="108"/>
              <w:jc w:val="both"/>
              <w:outlineLvl w:val="0"/>
              <w:rPr>
                <w:rFonts w:asciiTheme="minorHAnsi" w:hAnsiTheme="minorHAnsi"/>
                <w:i/>
                <w:iCs/>
                <w:color w:val="000000"/>
                <w:sz w:val="20"/>
              </w:rPr>
            </w:pPr>
            <w:r w:rsidRPr="00444981">
              <w:rPr>
                <w:rFonts w:asciiTheme="minorHAnsi" w:hAnsiTheme="minorHAnsi"/>
                <w:i/>
                <w:iCs/>
                <w:color w:val="000000"/>
                <w:sz w:val="20"/>
              </w:rPr>
              <w:t>Undiscounted</w:t>
            </w:r>
          </w:p>
        </w:tc>
        <w:tc>
          <w:tcPr>
            <w:tcW w:w="480" w:type="pct"/>
            <w:gridSpan w:val="2"/>
            <w:tcBorders>
              <w:top w:val="nil"/>
              <w:left w:val="nil"/>
              <w:bottom w:val="nil"/>
              <w:right w:val="nil"/>
            </w:tcBorders>
            <w:shd w:val="clear" w:color="auto" w:fill="auto"/>
            <w:vAlign w:val="center"/>
            <w:hideMark/>
          </w:tcPr>
          <w:p w:rsidR="005E3967" w:rsidRPr="00D941D5" w:rsidRDefault="005E3967" w:rsidP="005815D8">
            <w:pPr>
              <w:jc w:val="center"/>
              <w:outlineLvl w:val="0"/>
              <w:rPr>
                <w:rFonts w:asciiTheme="minorHAnsi" w:hAnsiTheme="minorHAnsi"/>
                <w:color w:val="000000"/>
                <w:sz w:val="18"/>
              </w:rPr>
            </w:pPr>
            <w:r w:rsidRPr="0064325C">
              <w:rPr>
                <w:sz w:val="18"/>
                <w:szCs w:val="18"/>
              </w:rPr>
              <w:t>$1.07</w:t>
            </w:r>
          </w:p>
        </w:tc>
        <w:tc>
          <w:tcPr>
            <w:tcW w:w="367" w:type="pct"/>
            <w:tcBorders>
              <w:top w:val="nil"/>
              <w:left w:val="nil"/>
              <w:bottom w:val="nil"/>
              <w:right w:val="nil"/>
            </w:tcBorders>
            <w:shd w:val="clear" w:color="auto" w:fill="auto"/>
            <w:vAlign w:val="center"/>
            <w:hideMark/>
          </w:tcPr>
          <w:p w:rsidR="005E3967" w:rsidRPr="00D941D5" w:rsidRDefault="005E3967" w:rsidP="005815D8">
            <w:pPr>
              <w:jc w:val="center"/>
              <w:outlineLvl w:val="0"/>
              <w:rPr>
                <w:rFonts w:asciiTheme="minorHAnsi" w:hAnsiTheme="minorHAnsi"/>
                <w:color w:val="000000"/>
                <w:sz w:val="18"/>
              </w:rPr>
            </w:pPr>
            <w:r w:rsidRPr="0064325C">
              <w:rPr>
                <w:sz w:val="18"/>
                <w:szCs w:val="18"/>
              </w:rPr>
              <w:t>$0.94</w:t>
            </w:r>
          </w:p>
        </w:tc>
        <w:tc>
          <w:tcPr>
            <w:tcW w:w="367" w:type="pct"/>
            <w:tcBorders>
              <w:top w:val="nil"/>
              <w:left w:val="nil"/>
              <w:bottom w:val="nil"/>
              <w:right w:val="nil"/>
            </w:tcBorders>
            <w:shd w:val="clear" w:color="auto" w:fill="auto"/>
            <w:vAlign w:val="center"/>
            <w:hideMark/>
          </w:tcPr>
          <w:p w:rsidR="005E3967" w:rsidRPr="00D941D5" w:rsidRDefault="005E3967" w:rsidP="005815D8">
            <w:pPr>
              <w:jc w:val="center"/>
              <w:outlineLvl w:val="0"/>
              <w:rPr>
                <w:rFonts w:asciiTheme="minorHAnsi" w:hAnsiTheme="minorHAnsi"/>
                <w:color w:val="000000"/>
                <w:sz w:val="18"/>
              </w:rPr>
            </w:pPr>
            <w:r w:rsidRPr="0064325C">
              <w:rPr>
                <w:sz w:val="18"/>
                <w:szCs w:val="18"/>
              </w:rPr>
              <w:t>$0.91</w:t>
            </w:r>
          </w:p>
        </w:tc>
        <w:tc>
          <w:tcPr>
            <w:tcW w:w="367" w:type="pct"/>
            <w:tcBorders>
              <w:top w:val="nil"/>
              <w:left w:val="nil"/>
              <w:bottom w:val="nil"/>
              <w:right w:val="nil"/>
            </w:tcBorders>
            <w:shd w:val="clear" w:color="auto" w:fill="auto"/>
            <w:vAlign w:val="center"/>
            <w:hideMark/>
          </w:tcPr>
          <w:p w:rsidR="005E3967" w:rsidRPr="00D941D5" w:rsidRDefault="005E3967" w:rsidP="005815D8">
            <w:pPr>
              <w:jc w:val="center"/>
              <w:outlineLvl w:val="0"/>
              <w:rPr>
                <w:rFonts w:asciiTheme="minorHAnsi" w:hAnsiTheme="minorHAnsi"/>
                <w:color w:val="000000"/>
                <w:sz w:val="18"/>
              </w:rPr>
            </w:pPr>
            <w:r w:rsidRPr="0064325C">
              <w:rPr>
                <w:sz w:val="18"/>
                <w:szCs w:val="18"/>
              </w:rPr>
              <w:t>$0.47</w:t>
            </w:r>
          </w:p>
        </w:tc>
        <w:tc>
          <w:tcPr>
            <w:tcW w:w="368" w:type="pct"/>
            <w:tcBorders>
              <w:top w:val="nil"/>
              <w:left w:val="nil"/>
              <w:bottom w:val="nil"/>
              <w:right w:val="nil"/>
            </w:tcBorders>
            <w:shd w:val="clear" w:color="auto" w:fill="auto"/>
            <w:vAlign w:val="center"/>
            <w:hideMark/>
          </w:tcPr>
          <w:p w:rsidR="005E3967" w:rsidRPr="00D941D5" w:rsidRDefault="005E3967" w:rsidP="005815D8">
            <w:pPr>
              <w:jc w:val="center"/>
              <w:outlineLvl w:val="0"/>
              <w:rPr>
                <w:rFonts w:asciiTheme="minorHAnsi" w:hAnsiTheme="minorHAnsi"/>
                <w:color w:val="000000"/>
                <w:sz w:val="18"/>
              </w:rPr>
            </w:pPr>
            <w:r w:rsidRPr="0064325C">
              <w:rPr>
                <w:sz w:val="18"/>
                <w:szCs w:val="18"/>
              </w:rPr>
              <w:t>$0.51</w:t>
            </w:r>
          </w:p>
        </w:tc>
        <w:tc>
          <w:tcPr>
            <w:tcW w:w="367" w:type="pct"/>
            <w:tcBorders>
              <w:top w:val="nil"/>
              <w:left w:val="nil"/>
              <w:bottom w:val="nil"/>
              <w:right w:val="nil"/>
            </w:tcBorders>
            <w:shd w:val="clear" w:color="auto" w:fill="auto"/>
            <w:vAlign w:val="center"/>
            <w:hideMark/>
          </w:tcPr>
          <w:p w:rsidR="005E3967" w:rsidRPr="00D941D5" w:rsidRDefault="005E3967" w:rsidP="005815D8">
            <w:pPr>
              <w:jc w:val="center"/>
              <w:outlineLvl w:val="0"/>
              <w:rPr>
                <w:rFonts w:asciiTheme="minorHAnsi" w:hAnsiTheme="minorHAnsi"/>
                <w:color w:val="000000"/>
                <w:sz w:val="18"/>
              </w:rPr>
            </w:pPr>
            <w:r w:rsidRPr="0064325C">
              <w:rPr>
                <w:sz w:val="18"/>
                <w:szCs w:val="18"/>
              </w:rPr>
              <w:t>$0.37</w:t>
            </w:r>
          </w:p>
        </w:tc>
        <w:tc>
          <w:tcPr>
            <w:tcW w:w="367" w:type="pct"/>
            <w:tcBorders>
              <w:top w:val="nil"/>
              <w:left w:val="nil"/>
              <w:bottom w:val="nil"/>
              <w:right w:val="nil"/>
            </w:tcBorders>
            <w:shd w:val="clear" w:color="auto" w:fill="auto"/>
            <w:vAlign w:val="center"/>
            <w:hideMark/>
          </w:tcPr>
          <w:p w:rsidR="005E3967" w:rsidRPr="00D941D5" w:rsidRDefault="005E3967" w:rsidP="005815D8">
            <w:pPr>
              <w:jc w:val="center"/>
              <w:outlineLvl w:val="0"/>
              <w:rPr>
                <w:rFonts w:asciiTheme="minorHAnsi" w:hAnsiTheme="minorHAnsi"/>
                <w:color w:val="000000"/>
                <w:sz w:val="18"/>
              </w:rPr>
            </w:pPr>
            <w:r w:rsidRPr="0064325C">
              <w:rPr>
                <w:sz w:val="18"/>
                <w:szCs w:val="18"/>
              </w:rPr>
              <w:t>$0.57</w:t>
            </w:r>
          </w:p>
        </w:tc>
        <w:tc>
          <w:tcPr>
            <w:tcW w:w="368" w:type="pct"/>
            <w:tcBorders>
              <w:top w:val="nil"/>
              <w:left w:val="nil"/>
              <w:bottom w:val="nil"/>
              <w:right w:val="nil"/>
            </w:tcBorders>
            <w:shd w:val="clear" w:color="auto" w:fill="auto"/>
            <w:vAlign w:val="center"/>
            <w:hideMark/>
          </w:tcPr>
          <w:p w:rsidR="005E3967" w:rsidRPr="00D941D5" w:rsidRDefault="005E3967" w:rsidP="005815D8">
            <w:pPr>
              <w:jc w:val="center"/>
              <w:outlineLvl w:val="0"/>
              <w:rPr>
                <w:rFonts w:asciiTheme="minorHAnsi" w:hAnsiTheme="minorHAnsi"/>
                <w:color w:val="000000"/>
                <w:sz w:val="18"/>
              </w:rPr>
            </w:pPr>
            <w:r w:rsidRPr="0064325C">
              <w:rPr>
                <w:sz w:val="18"/>
                <w:szCs w:val="18"/>
              </w:rPr>
              <w:t>$0.20</w:t>
            </w:r>
          </w:p>
        </w:tc>
        <w:tc>
          <w:tcPr>
            <w:tcW w:w="367" w:type="pct"/>
            <w:tcBorders>
              <w:top w:val="nil"/>
              <w:left w:val="nil"/>
              <w:bottom w:val="nil"/>
              <w:right w:val="nil"/>
            </w:tcBorders>
            <w:shd w:val="clear" w:color="auto" w:fill="auto"/>
            <w:vAlign w:val="center"/>
            <w:hideMark/>
          </w:tcPr>
          <w:p w:rsidR="005E3967" w:rsidRPr="00D941D5" w:rsidRDefault="005E3967" w:rsidP="005815D8">
            <w:pPr>
              <w:jc w:val="center"/>
              <w:outlineLvl w:val="0"/>
              <w:rPr>
                <w:rFonts w:asciiTheme="minorHAnsi" w:hAnsiTheme="minorHAnsi"/>
                <w:color w:val="000000"/>
                <w:sz w:val="18"/>
              </w:rPr>
            </w:pPr>
            <w:r w:rsidRPr="0064325C">
              <w:rPr>
                <w:sz w:val="18"/>
                <w:szCs w:val="18"/>
              </w:rPr>
              <w:t>$0.35</w:t>
            </w:r>
          </w:p>
        </w:tc>
        <w:tc>
          <w:tcPr>
            <w:tcW w:w="367" w:type="pct"/>
            <w:tcBorders>
              <w:top w:val="nil"/>
              <w:left w:val="nil"/>
              <w:bottom w:val="nil"/>
              <w:right w:val="nil"/>
            </w:tcBorders>
            <w:vAlign w:val="center"/>
          </w:tcPr>
          <w:p w:rsidR="005E3967" w:rsidRPr="006E4888" w:rsidRDefault="005E3967" w:rsidP="005815D8">
            <w:pPr>
              <w:jc w:val="center"/>
              <w:outlineLvl w:val="0"/>
              <w:rPr>
                <w:sz w:val="18"/>
                <w:szCs w:val="18"/>
              </w:rPr>
            </w:pPr>
            <w:r w:rsidRPr="0064325C">
              <w:rPr>
                <w:sz w:val="18"/>
                <w:szCs w:val="18"/>
              </w:rPr>
              <w:t>$0.39</w:t>
            </w:r>
          </w:p>
        </w:tc>
        <w:tc>
          <w:tcPr>
            <w:tcW w:w="360" w:type="pct"/>
            <w:tcBorders>
              <w:top w:val="nil"/>
              <w:left w:val="nil"/>
              <w:bottom w:val="nil"/>
              <w:right w:val="nil"/>
            </w:tcBorders>
            <w:shd w:val="clear" w:color="auto" w:fill="auto"/>
            <w:vAlign w:val="center"/>
            <w:hideMark/>
          </w:tcPr>
          <w:p w:rsidR="005E3967" w:rsidRPr="00CD18A1" w:rsidRDefault="005E3967" w:rsidP="005815D8">
            <w:pPr>
              <w:jc w:val="center"/>
              <w:outlineLvl w:val="0"/>
              <w:rPr>
                <w:rFonts w:asciiTheme="minorHAnsi" w:hAnsiTheme="minorHAnsi"/>
                <w:b/>
                <w:color w:val="002776" w:themeColor="accent1"/>
                <w:sz w:val="18"/>
              </w:rPr>
            </w:pPr>
            <w:r w:rsidRPr="0064325C">
              <w:rPr>
                <w:b/>
                <w:color w:val="002776" w:themeColor="accent1"/>
                <w:sz w:val="18"/>
                <w:szCs w:val="18"/>
              </w:rPr>
              <w:t>$0.49</w:t>
            </w:r>
          </w:p>
        </w:tc>
      </w:tr>
      <w:tr w:rsidR="005378A6" w:rsidRPr="00F10F95" w:rsidTr="00DA4CA5">
        <w:trPr>
          <w:trHeight w:val="270"/>
        </w:trPr>
        <w:tc>
          <w:tcPr>
            <w:tcW w:w="856" w:type="pct"/>
            <w:tcBorders>
              <w:top w:val="nil"/>
              <w:left w:val="nil"/>
              <w:bottom w:val="single" w:sz="8" w:space="0" w:color="002776" w:themeColor="accent1"/>
              <w:right w:val="nil"/>
            </w:tcBorders>
            <w:shd w:val="clear" w:color="auto" w:fill="auto"/>
            <w:vAlign w:val="center"/>
            <w:hideMark/>
          </w:tcPr>
          <w:p w:rsidR="005378A6" w:rsidRPr="00444981" w:rsidRDefault="005378A6" w:rsidP="005815D8">
            <w:pPr>
              <w:ind w:left="108"/>
              <w:jc w:val="both"/>
              <w:outlineLvl w:val="0"/>
              <w:rPr>
                <w:rFonts w:asciiTheme="minorHAnsi" w:hAnsiTheme="minorHAnsi"/>
                <w:i/>
                <w:iCs/>
                <w:color w:val="000000"/>
                <w:sz w:val="20"/>
              </w:rPr>
            </w:pPr>
            <w:r w:rsidRPr="00444981">
              <w:rPr>
                <w:rFonts w:asciiTheme="minorHAnsi" w:hAnsiTheme="minorHAnsi"/>
                <w:i/>
                <w:iCs/>
                <w:color w:val="000000"/>
                <w:sz w:val="20"/>
              </w:rPr>
              <w:t>Discounted NPV</w:t>
            </w:r>
          </w:p>
        </w:tc>
        <w:tc>
          <w:tcPr>
            <w:tcW w:w="480" w:type="pct"/>
            <w:gridSpan w:val="2"/>
            <w:tcBorders>
              <w:top w:val="nil"/>
              <w:left w:val="nil"/>
              <w:bottom w:val="single" w:sz="8" w:space="0" w:color="002776" w:themeColor="accent1"/>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$0.22</w:t>
            </w:r>
          </w:p>
        </w:tc>
        <w:tc>
          <w:tcPr>
            <w:tcW w:w="367" w:type="pct"/>
            <w:tcBorders>
              <w:top w:val="nil"/>
              <w:left w:val="nil"/>
              <w:bottom w:val="single" w:sz="8" w:space="0" w:color="002776" w:themeColor="accent1"/>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$0.25</w:t>
            </w:r>
          </w:p>
        </w:tc>
        <w:tc>
          <w:tcPr>
            <w:tcW w:w="367" w:type="pct"/>
            <w:tcBorders>
              <w:top w:val="nil"/>
              <w:left w:val="nil"/>
              <w:bottom w:val="single" w:sz="8" w:space="0" w:color="002776" w:themeColor="accent1"/>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$0.19</w:t>
            </w:r>
          </w:p>
        </w:tc>
        <w:tc>
          <w:tcPr>
            <w:tcW w:w="367" w:type="pct"/>
            <w:tcBorders>
              <w:top w:val="nil"/>
              <w:left w:val="nil"/>
              <w:bottom w:val="single" w:sz="8" w:space="0" w:color="002776" w:themeColor="accent1"/>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$0.11</w:t>
            </w:r>
          </w:p>
        </w:tc>
        <w:tc>
          <w:tcPr>
            <w:tcW w:w="368" w:type="pct"/>
            <w:tcBorders>
              <w:top w:val="nil"/>
              <w:left w:val="nil"/>
              <w:bottom w:val="single" w:sz="8" w:space="0" w:color="002776" w:themeColor="accent1"/>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$0.13</w:t>
            </w:r>
          </w:p>
        </w:tc>
        <w:tc>
          <w:tcPr>
            <w:tcW w:w="367" w:type="pct"/>
            <w:tcBorders>
              <w:top w:val="nil"/>
              <w:left w:val="nil"/>
              <w:bottom w:val="single" w:sz="8" w:space="0" w:color="002776" w:themeColor="accent1"/>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$0.09</w:t>
            </w:r>
          </w:p>
        </w:tc>
        <w:tc>
          <w:tcPr>
            <w:tcW w:w="367" w:type="pct"/>
            <w:tcBorders>
              <w:top w:val="nil"/>
              <w:left w:val="nil"/>
              <w:bottom w:val="single" w:sz="8" w:space="0" w:color="002776" w:themeColor="accent1"/>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$0.14</w:t>
            </w:r>
          </w:p>
        </w:tc>
        <w:tc>
          <w:tcPr>
            <w:tcW w:w="368" w:type="pct"/>
            <w:tcBorders>
              <w:top w:val="nil"/>
              <w:left w:val="nil"/>
              <w:bottom w:val="single" w:sz="8" w:space="0" w:color="002776" w:themeColor="accent1"/>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$0.05</w:t>
            </w:r>
          </w:p>
        </w:tc>
        <w:tc>
          <w:tcPr>
            <w:tcW w:w="367" w:type="pct"/>
            <w:tcBorders>
              <w:top w:val="nil"/>
              <w:left w:val="nil"/>
              <w:bottom w:val="single" w:sz="8" w:space="0" w:color="002776" w:themeColor="accent1"/>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$0.08</w:t>
            </w:r>
          </w:p>
        </w:tc>
        <w:tc>
          <w:tcPr>
            <w:tcW w:w="367" w:type="pct"/>
            <w:tcBorders>
              <w:top w:val="nil"/>
              <w:left w:val="nil"/>
              <w:bottom w:val="single" w:sz="8" w:space="0" w:color="002776" w:themeColor="accent1"/>
              <w:right w:val="nil"/>
            </w:tcBorders>
            <w:vAlign w:val="center"/>
          </w:tcPr>
          <w:p w:rsidR="005378A6" w:rsidRPr="005378A6" w:rsidRDefault="005378A6" w:rsidP="005815D8">
            <w:pPr>
              <w:jc w:val="center"/>
              <w:outlineLvl w:val="0"/>
              <w:rPr>
                <w:sz w:val="18"/>
                <w:szCs w:val="18"/>
              </w:rPr>
            </w:pPr>
            <w:r w:rsidRPr="00DA4CA5">
              <w:rPr>
                <w:color w:val="000000"/>
                <w:sz w:val="18"/>
                <w:szCs w:val="18"/>
              </w:rPr>
              <w:t>$0.10</w:t>
            </w:r>
          </w:p>
        </w:tc>
        <w:tc>
          <w:tcPr>
            <w:tcW w:w="360" w:type="pct"/>
            <w:tcBorders>
              <w:top w:val="nil"/>
              <w:left w:val="nil"/>
              <w:bottom w:val="single" w:sz="8" w:space="0" w:color="002776" w:themeColor="accent1"/>
              <w:right w:val="nil"/>
            </w:tcBorders>
            <w:shd w:val="clear" w:color="auto" w:fill="auto"/>
            <w:vAlign w:val="center"/>
            <w:hideMark/>
          </w:tcPr>
          <w:p w:rsidR="005378A6" w:rsidRPr="005378A6" w:rsidRDefault="005378A6" w:rsidP="005815D8">
            <w:pPr>
              <w:jc w:val="center"/>
              <w:outlineLvl w:val="0"/>
              <w:rPr>
                <w:rFonts w:asciiTheme="minorHAnsi" w:hAnsiTheme="minorHAnsi"/>
                <w:b/>
                <w:color w:val="002776" w:themeColor="accent1"/>
                <w:sz w:val="18"/>
                <w:szCs w:val="18"/>
              </w:rPr>
            </w:pPr>
            <w:r w:rsidRPr="005378A6">
              <w:rPr>
                <w:b/>
                <w:bCs/>
                <w:color w:val="002776"/>
                <w:sz w:val="18"/>
                <w:szCs w:val="18"/>
              </w:rPr>
              <w:t>$0.12</w:t>
            </w:r>
          </w:p>
        </w:tc>
      </w:tr>
      <w:tr w:rsidR="005E3967" w:rsidRPr="00F10F95" w:rsidTr="00DA4CA5">
        <w:trPr>
          <w:trHeight w:val="270"/>
        </w:trPr>
        <w:tc>
          <w:tcPr>
            <w:tcW w:w="1336" w:type="pct"/>
            <w:gridSpan w:val="3"/>
            <w:tcBorders>
              <w:top w:val="single" w:sz="8" w:space="0" w:color="002776" w:themeColor="accent1"/>
              <w:left w:val="nil"/>
              <w:bottom w:val="nil"/>
              <w:right w:val="nil"/>
            </w:tcBorders>
            <w:shd w:val="clear" w:color="auto" w:fill="auto"/>
            <w:vAlign w:val="center"/>
          </w:tcPr>
          <w:p w:rsidR="005E3967" w:rsidRPr="00D13CF9" w:rsidRDefault="005E3967" w:rsidP="00DA4CA5">
            <w:pPr>
              <w:outlineLvl w:val="0"/>
              <w:rPr>
                <w:color w:val="000000"/>
                <w:sz w:val="18"/>
              </w:rPr>
            </w:pPr>
            <w:r w:rsidRPr="00CD18A1">
              <w:rPr>
                <w:rFonts w:asciiTheme="minorHAnsi" w:hAnsiTheme="minorHAnsi"/>
                <w:b/>
                <w:iCs/>
                <w:color w:val="002776" w:themeColor="accent1"/>
                <w:sz w:val="20"/>
              </w:rPr>
              <w:t>Postgraduate level</w:t>
            </w:r>
          </w:p>
        </w:tc>
        <w:tc>
          <w:tcPr>
            <w:tcW w:w="367" w:type="pct"/>
            <w:tcBorders>
              <w:top w:val="single" w:sz="8" w:space="0" w:color="002776" w:themeColor="accent1"/>
              <w:left w:val="nil"/>
              <w:bottom w:val="nil"/>
              <w:right w:val="nil"/>
            </w:tcBorders>
            <w:shd w:val="clear" w:color="auto" w:fill="auto"/>
            <w:vAlign w:val="center"/>
          </w:tcPr>
          <w:p w:rsidR="005E3967" w:rsidRPr="00D13CF9" w:rsidRDefault="005E3967" w:rsidP="005815D8">
            <w:pPr>
              <w:jc w:val="center"/>
              <w:outlineLvl w:val="0"/>
              <w:rPr>
                <w:color w:val="000000"/>
                <w:sz w:val="18"/>
              </w:rPr>
            </w:pPr>
          </w:p>
        </w:tc>
        <w:tc>
          <w:tcPr>
            <w:tcW w:w="367" w:type="pct"/>
            <w:tcBorders>
              <w:top w:val="single" w:sz="8" w:space="0" w:color="002776" w:themeColor="accent1"/>
              <w:left w:val="nil"/>
              <w:bottom w:val="nil"/>
              <w:right w:val="nil"/>
            </w:tcBorders>
            <w:shd w:val="clear" w:color="auto" w:fill="auto"/>
            <w:vAlign w:val="center"/>
          </w:tcPr>
          <w:p w:rsidR="005E3967" w:rsidRPr="00D13CF9" w:rsidRDefault="005E3967" w:rsidP="005815D8">
            <w:pPr>
              <w:jc w:val="center"/>
              <w:outlineLvl w:val="0"/>
              <w:rPr>
                <w:color w:val="000000"/>
                <w:sz w:val="18"/>
              </w:rPr>
            </w:pPr>
          </w:p>
        </w:tc>
        <w:tc>
          <w:tcPr>
            <w:tcW w:w="367" w:type="pct"/>
            <w:tcBorders>
              <w:top w:val="single" w:sz="8" w:space="0" w:color="002776" w:themeColor="accent1"/>
              <w:left w:val="nil"/>
              <w:bottom w:val="nil"/>
              <w:right w:val="nil"/>
            </w:tcBorders>
            <w:shd w:val="clear" w:color="auto" w:fill="auto"/>
            <w:vAlign w:val="center"/>
          </w:tcPr>
          <w:p w:rsidR="005E3967" w:rsidRPr="00D13CF9" w:rsidRDefault="005E3967" w:rsidP="005815D8">
            <w:pPr>
              <w:jc w:val="center"/>
              <w:outlineLvl w:val="0"/>
              <w:rPr>
                <w:color w:val="000000"/>
                <w:sz w:val="18"/>
              </w:rPr>
            </w:pPr>
          </w:p>
        </w:tc>
        <w:tc>
          <w:tcPr>
            <w:tcW w:w="368" w:type="pct"/>
            <w:tcBorders>
              <w:top w:val="single" w:sz="8" w:space="0" w:color="002776" w:themeColor="accent1"/>
              <w:left w:val="nil"/>
              <w:bottom w:val="nil"/>
              <w:right w:val="nil"/>
            </w:tcBorders>
            <w:shd w:val="clear" w:color="auto" w:fill="auto"/>
            <w:vAlign w:val="center"/>
          </w:tcPr>
          <w:p w:rsidR="005E3967" w:rsidRPr="00D13CF9" w:rsidRDefault="005E3967" w:rsidP="005815D8">
            <w:pPr>
              <w:jc w:val="center"/>
              <w:outlineLvl w:val="0"/>
              <w:rPr>
                <w:color w:val="000000"/>
                <w:sz w:val="18"/>
              </w:rPr>
            </w:pPr>
          </w:p>
        </w:tc>
        <w:tc>
          <w:tcPr>
            <w:tcW w:w="367" w:type="pct"/>
            <w:tcBorders>
              <w:top w:val="single" w:sz="8" w:space="0" w:color="002776" w:themeColor="accent1"/>
              <w:left w:val="nil"/>
              <w:bottom w:val="nil"/>
              <w:right w:val="nil"/>
            </w:tcBorders>
            <w:shd w:val="clear" w:color="auto" w:fill="auto"/>
            <w:vAlign w:val="center"/>
          </w:tcPr>
          <w:p w:rsidR="005E3967" w:rsidRPr="00D13CF9" w:rsidRDefault="005E3967" w:rsidP="005815D8">
            <w:pPr>
              <w:jc w:val="center"/>
              <w:outlineLvl w:val="0"/>
              <w:rPr>
                <w:color w:val="000000"/>
                <w:sz w:val="18"/>
              </w:rPr>
            </w:pPr>
          </w:p>
        </w:tc>
        <w:tc>
          <w:tcPr>
            <w:tcW w:w="367" w:type="pct"/>
            <w:tcBorders>
              <w:top w:val="single" w:sz="8" w:space="0" w:color="002776" w:themeColor="accent1"/>
              <w:left w:val="nil"/>
              <w:bottom w:val="nil"/>
              <w:right w:val="nil"/>
            </w:tcBorders>
            <w:shd w:val="clear" w:color="auto" w:fill="auto"/>
            <w:vAlign w:val="center"/>
          </w:tcPr>
          <w:p w:rsidR="005E3967" w:rsidRPr="00D13CF9" w:rsidRDefault="005E3967" w:rsidP="005815D8">
            <w:pPr>
              <w:jc w:val="center"/>
              <w:outlineLvl w:val="0"/>
              <w:rPr>
                <w:color w:val="000000"/>
                <w:sz w:val="18"/>
              </w:rPr>
            </w:pPr>
          </w:p>
        </w:tc>
        <w:tc>
          <w:tcPr>
            <w:tcW w:w="368" w:type="pct"/>
            <w:tcBorders>
              <w:top w:val="single" w:sz="8" w:space="0" w:color="002776" w:themeColor="accent1"/>
              <w:left w:val="nil"/>
              <w:bottom w:val="nil"/>
              <w:right w:val="nil"/>
            </w:tcBorders>
            <w:shd w:val="clear" w:color="auto" w:fill="auto"/>
            <w:vAlign w:val="center"/>
          </w:tcPr>
          <w:p w:rsidR="005E3967" w:rsidRPr="00D13CF9" w:rsidRDefault="005E3967" w:rsidP="005815D8">
            <w:pPr>
              <w:jc w:val="center"/>
              <w:outlineLvl w:val="0"/>
              <w:rPr>
                <w:color w:val="000000"/>
                <w:sz w:val="18"/>
              </w:rPr>
            </w:pPr>
          </w:p>
        </w:tc>
        <w:tc>
          <w:tcPr>
            <w:tcW w:w="367" w:type="pct"/>
            <w:tcBorders>
              <w:top w:val="single" w:sz="8" w:space="0" w:color="002776" w:themeColor="accent1"/>
              <w:left w:val="nil"/>
              <w:bottom w:val="nil"/>
              <w:right w:val="nil"/>
            </w:tcBorders>
            <w:shd w:val="clear" w:color="auto" w:fill="auto"/>
            <w:vAlign w:val="center"/>
          </w:tcPr>
          <w:p w:rsidR="005E3967" w:rsidRPr="00D13CF9" w:rsidRDefault="005E3967" w:rsidP="005815D8">
            <w:pPr>
              <w:jc w:val="center"/>
              <w:outlineLvl w:val="0"/>
              <w:rPr>
                <w:color w:val="000000"/>
                <w:sz w:val="18"/>
              </w:rPr>
            </w:pPr>
          </w:p>
        </w:tc>
        <w:tc>
          <w:tcPr>
            <w:tcW w:w="367" w:type="pct"/>
            <w:tcBorders>
              <w:top w:val="single" w:sz="8" w:space="0" w:color="002776" w:themeColor="accent1"/>
              <w:left w:val="nil"/>
              <w:bottom w:val="nil"/>
              <w:right w:val="nil"/>
            </w:tcBorders>
            <w:shd w:val="clear" w:color="auto" w:fill="auto"/>
          </w:tcPr>
          <w:p w:rsidR="005E3967" w:rsidRPr="00CD18A1" w:rsidRDefault="005E3967" w:rsidP="005815D8">
            <w:pPr>
              <w:jc w:val="center"/>
              <w:outlineLvl w:val="0"/>
              <w:rPr>
                <w:b/>
                <w:color w:val="002776" w:themeColor="accent1"/>
                <w:sz w:val="18"/>
              </w:rPr>
            </w:pPr>
          </w:p>
        </w:tc>
        <w:tc>
          <w:tcPr>
            <w:tcW w:w="360" w:type="pct"/>
            <w:tcBorders>
              <w:top w:val="single" w:sz="8" w:space="0" w:color="002776" w:themeColor="accent1"/>
              <w:left w:val="nil"/>
              <w:bottom w:val="nil"/>
              <w:right w:val="nil"/>
            </w:tcBorders>
            <w:shd w:val="clear" w:color="auto" w:fill="auto"/>
            <w:vAlign w:val="center"/>
          </w:tcPr>
          <w:p w:rsidR="005E3967" w:rsidRPr="00CD18A1" w:rsidRDefault="005E3967" w:rsidP="005815D8">
            <w:pPr>
              <w:jc w:val="center"/>
              <w:outlineLvl w:val="0"/>
              <w:rPr>
                <w:b/>
                <w:color w:val="002776" w:themeColor="accent1"/>
                <w:sz w:val="18"/>
              </w:rPr>
            </w:pPr>
          </w:p>
        </w:tc>
      </w:tr>
      <w:tr w:rsidR="00022EA7" w:rsidRPr="00022EA7" w:rsidTr="00DA4CA5">
        <w:trPr>
          <w:trHeight w:val="270"/>
        </w:trPr>
        <w:tc>
          <w:tcPr>
            <w:tcW w:w="867" w:type="pct"/>
            <w:gridSpan w:val="2"/>
            <w:tcBorders>
              <w:left w:val="nil"/>
              <w:bottom w:val="nil"/>
              <w:right w:val="nil"/>
            </w:tcBorders>
            <w:shd w:val="clear" w:color="auto" w:fill="auto"/>
          </w:tcPr>
          <w:p w:rsidR="00022EA7" w:rsidRPr="00DA4CA5" w:rsidRDefault="00022EA7" w:rsidP="005E3967">
            <w:pPr>
              <w:outlineLvl w:val="0"/>
              <w:rPr>
                <w:rFonts w:asciiTheme="minorHAnsi" w:hAnsiTheme="minorHAnsi"/>
                <w:b/>
                <w:iCs/>
                <w:color w:val="002776" w:themeColor="accent1"/>
                <w:sz w:val="18"/>
              </w:rPr>
            </w:pPr>
            <w:r w:rsidRPr="00DA4CA5">
              <w:rPr>
                <w:sz w:val="18"/>
              </w:rPr>
              <w:t>Sample size (n)</w:t>
            </w:r>
          </w:p>
        </w:tc>
        <w:tc>
          <w:tcPr>
            <w:tcW w:w="470" w:type="pct"/>
            <w:tcBorders>
              <w:left w:val="nil"/>
              <w:bottom w:val="nil"/>
              <w:right w:val="nil"/>
            </w:tcBorders>
            <w:shd w:val="clear" w:color="auto" w:fill="auto"/>
          </w:tcPr>
          <w:p w:rsidR="00022EA7" w:rsidRPr="00DA4CA5" w:rsidRDefault="00022EA7" w:rsidP="00DA4CA5">
            <w:pPr>
              <w:jc w:val="center"/>
              <w:outlineLvl w:val="0"/>
              <w:rPr>
                <w:rFonts w:asciiTheme="minorHAnsi" w:hAnsiTheme="minorHAnsi"/>
                <w:b/>
                <w:iCs/>
                <w:color w:val="002776" w:themeColor="accent1"/>
                <w:sz w:val="18"/>
              </w:rPr>
            </w:pPr>
            <w:r w:rsidRPr="00DA4CA5">
              <w:rPr>
                <w:sz w:val="18"/>
              </w:rPr>
              <w:t>238</w:t>
            </w:r>
          </w:p>
        </w:tc>
        <w:tc>
          <w:tcPr>
            <w:tcW w:w="367" w:type="pct"/>
            <w:tcBorders>
              <w:left w:val="nil"/>
              <w:bottom w:val="nil"/>
              <w:right w:val="nil"/>
            </w:tcBorders>
            <w:shd w:val="clear" w:color="auto" w:fill="auto"/>
          </w:tcPr>
          <w:p w:rsidR="00022EA7" w:rsidRPr="00022EA7" w:rsidRDefault="00022EA7" w:rsidP="00022EA7">
            <w:pPr>
              <w:jc w:val="center"/>
              <w:outlineLvl w:val="0"/>
              <w:rPr>
                <w:color w:val="000000"/>
                <w:sz w:val="18"/>
              </w:rPr>
            </w:pPr>
            <w:r w:rsidRPr="00DA4CA5">
              <w:rPr>
                <w:sz w:val="18"/>
              </w:rPr>
              <w:t>759</w:t>
            </w:r>
          </w:p>
        </w:tc>
        <w:tc>
          <w:tcPr>
            <w:tcW w:w="367" w:type="pct"/>
            <w:tcBorders>
              <w:left w:val="nil"/>
              <w:bottom w:val="nil"/>
              <w:right w:val="nil"/>
            </w:tcBorders>
            <w:shd w:val="clear" w:color="auto" w:fill="auto"/>
          </w:tcPr>
          <w:p w:rsidR="00022EA7" w:rsidRPr="00022EA7" w:rsidRDefault="00022EA7" w:rsidP="00022EA7">
            <w:pPr>
              <w:jc w:val="center"/>
              <w:outlineLvl w:val="0"/>
              <w:rPr>
                <w:color w:val="000000"/>
                <w:sz w:val="18"/>
              </w:rPr>
            </w:pPr>
            <w:r w:rsidRPr="00DA4CA5">
              <w:rPr>
                <w:sz w:val="18"/>
              </w:rPr>
              <w:t>648</w:t>
            </w:r>
          </w:p>
        </w:tc>
        <w:tc>
          <w:tcPr>
            <w:tcW w:w="367" w:type="pct"/>
            <w:tcBorders>
              <w:left w:val="nil"/>
              <w:bottom w:val="nil"/>
              <w:right w:val="nil"/>
            </w:tcBorders>
            <w:shd w:val="clear" w:color="auto" w:fill="auto"/>
          </w:tcPr>
          <w:p w:rsidR="00022EA7" w:rsidRPr="00022EA7" w:rsidRDefault="00022EA7" w:rsidP="00022EA7">
            <w:pPr>
              <w:jc w:val="center"/>
              <w:outlineLvl w:val="0"/>
              <w:rPr>
                <w:color w:val="000000"/>
                <w:sz w:val="18"/>
              </w:rPr>
            </w:pPr>
            <w:r w:rsidRPr="00DA4CA5">
              <w:rPr>
                <w:sz w:val="18"/>
              </w:rPr>
              <w:t>2</w:t>
            </w:r>
            <w:r w:rsidR="007E4DF3">
              <w:rPr>
                <w:sz w:val="18"/>
              </w:rPr>
              <w:t>,</w:t>
            </w:r>
            <w:r w:rsidRPr="00DA4CA5">
              <w:rPr>
                <w:sz w:val="18"/>
              </w:rPr>
              <w:t>375</w:t>
            </w:r>
          </w:p>
        </w:tc>
        <w:tc>
          <w:tcPr>
            <w:tcW w:w="368" w:type="pct"/>
            <w:tcBorders>
              <w:left w:val="nil"/>
              <w:bottom w:val="nil"/>
              <w:right w:val="nil"/>
            </w:tcBorders>
            <w:shd w:val="clear" w:color="auto" w:fill="auto"/>
          </w:tcPr>
          <w:p w:rsidR="00022EA7" w:rsidRPr="00022EA7" w:rsidRDefault="00022EA7" w:rsidP="00022EA7">
            <w:pPr>
              <w:jc w:val="center"/>
              <w:outlineLvl w:val="0"/>
              <w:rPr>
                <w:color w:val="000000"/>
                <w:sz w:val="18"/>
              </w:rPr>
            </w:pPr>
            <w:r w:rsidRPr="00DA4CA5">
              <w:rPr>
                <w:sz w:val="18"/>
              </w:rPr>
              <w:t>478</w:t>
            </w:r>
          </w:p>
        </w:tc>
        <w:tc>
          <w:tcPr>
            <w:tcW w:w="367" w:type="pct"/>
            <w:tcBorders>
              <w:left w:val="nil"/>
              <w:bottom w:val="nil"/>
              <w:right w:val="nil"/>
            </w:tcBorders>
            <w:shd w:val="clear" w:color="auto" w:fill="auto"/>
          </w:tcPr>
          <w:p w:rsidR="00022EA7" w:rsidRPr="00022EA7" w:rsidRDefault="00022EA7" w:rsidP="00022EA7">
            <w:pPr>
              <w:jc w:val="center"/>
              <w:outlineLvl w:val="0"/>
              <w:rPr>
                <w:color w:val="000000"/>
                <w:sz w:val="18"/>
              </w:rPr>
            </w:pPr>
            <w:r w:rsidRPr="00DA4CA5">
              <w:rPr>
                <w:sz w:val="18"/>
              </w:rPr>
              <w:t>2</w:t>
            </w:r>
            <w:r w:rsidR="007E4DF3">
              <w:rPr>
                <w:sz w:val="18"/>
              </w:rPr>
              <w:t>,</w:t>
            </w:r>
            <w:r w:rsidRPr="00DA4CA5">
              <w:rPr>
                <w:sz w:val="18"/>
              </w:rPr>
              <w:t>321</w:t>
            </w:r>
          </w:p>
        </w:tc>
        <w:tc>
          <w:tcPr>
            <w:tcW w:w="367" w:type="pct"/>
            <w:tcBorders>
              <w:left w:val="nil"/>
              <w:bottom w:val="nil"/>
              <w:right w:val="nil"/>
            </w:tcBorders>
            <w:shd w:val="clear" w:color="auto" w:fill="auto"/>
          </w:tcPr>
          <w:p w:rsidR="00022EA7" w:rsidRPr="00022EA7" w:rsidRDefault="00022EA7" w:rsidP="00022EA7">
            <w:pPr>
              <w:jc w:val="center"/>
              <w:outlineLvl w:val="0"/>
              <w:rPr>
                <w:color w:val="000000"/>
                <w:sz w:val="18"/>
              </w:rPr>
            </w:pPr>
            <w:r w:rsidRPr="00DA4CA5">
              <w:rPr>
                <w:sz w:val="18"/>
              </w:rPr>
              <w:t>364</w:t>
            </w:r>
          </w:p>
        </w:tc>
        <w:tc>
          <w:tcPr>
            <w:tcW w:w="368" w:type="pct"/>
            <w:tcBorders>
              <w:left w:val="nil"/>
              <w:bottom w:val="nil"/>
              <w:right w:val="nil"/>
            </w:tcBorders>
            <w:shd w:val="clear" w:color="auto" w:fill="auto"/>
          </w:tcPr>
          <w:p w:rsidR="00022EA7" w:rsidRPr="00022EA7" w:rsidRDefault="00022EA7" w:rsidP="00022EA7">
            <w:pPr>
              <w:jc w:val="center"/>
              <w:outlineLvl w:val="0"/>
              <w:rPr>
                <w:color w:val="000000"/>
                <w:sz w:val="18"/>
              </w:rPr>
            </w:pPr>
            <w:r w:rsidRPr="00DA4CA5">
              <w:rPr>
                <w:sz w:val="18"/>
              </w:rPr>
              <w:t>1</w:t>
            </w:r>
            <w:r w:rsidR="007E4DF3">
              <w:rPr>
                <w:sz w:val="18"/>
              </w:rPr>
              <w:t>,</w:t>
            </w:r>
            <w:r w:rsidRPr="00DA4CA5">
              <w:rPr>
                <w:sz w:val="18"/>
              </w:rPr>
              <w:t>372</w:t>
            </w:r>
          </w:p>
        </w:tc>
        <w:tc>
          <w:tcPr>
            <w:tcW w:w="367" w:type="pct"/>
            <w:tcBorders>
              <w:left w:val="nil"/>
              <w:bottom w:val="nil"/>
              <w:right w:val="nil"/>
            </w:tcBorders>
            <w:shd w:val="clear" w:color="auto" w:fill="auto"/>
          </w:tcPr>
          <w:p w:rsidR="00022EA7" w:rsidRPr="00022EA7" w:rsidRDefault="00022EA7" w:rsidP="00022EA7">
            <w:pPr>
              <w:jc w:val="center"/>
              <w:outlineLvl w:val="0"/>
              <w:rPr>
                <w:color w:val="000000"/>
                <w:sz w:val="18"/>
              </w:rPr>
            </w:pPr>
            <w:r w:rsidRPr="00DA4CA5">
              <w:rPr>
                <w:sz w:val="18"/>
              </w:rPr>
              <w:t>657</w:t>
            </w:r>
          </w:p>
        </w:tc>
        <w:tc>
          <w:tcPr>
            <w:tcW w:w="367" w:type="pct"/>
            <w:tcBorders>
              <w:left w:val="nil"/>
              <w:bottom w:val="nil"/>
              <w:right w:val="nil"/>
            </w:tcBorders>
            <w:shd w:val="clear" w:color="auto" w:fill="auto"/>
          </w:tcPr>
          <w:p w:rsidR="00022EA7" w:rsidRPr="00022EA7" w:rsidRDefault="00022EA7" w:rsidP="00022EA7">
            <w:pPr>
              <w:jc w:val="center"/>
              <w:outlineLvl w:val="0"/>
              <w:rPr>
                <w:b/>
                <w:color w:val="002776" w:themeColor="accent1"/>
                <w:sz w:val="18"/>
              </w:rPr>
            </w:pPr>
            <w:r w:rsidRPr="00DA4CA5">
              <w:rPr>
                <w:sz w:val="18"/>
              </w:rPr>
              <w:t>515</w:t>
            </w:r>
          </w:p>
        </w:tc>
        <w:tc>
          <w:tcPr>
            <w:tcW w:w="360" w:type="pct"/>
            <w:tcBorders>
              <w:left w:val="nil"/>
              <w:bottom w:val="nil"/>
              <w:right w:val="nil"/>
            </w:tcBorders>
            <w:shd w:val="clear" w:color="auto" w:fill="auto"/>
          </w:tcPr>
          <w:p w:rsidR="00022EA7" w:rsidRPr="00022EA7" w:rsidRDefault="00022EA7" w:rsidP="00022EA7">
            <w:pPr>
              <w:jc w:val="center"/>
              <w:outlineLvl w:val="0"/>
              <w:rPr>
                <w:b/>
                <w:color w:val="002776" w:themeColor="accent1"/>
                <w:sz w:val="18"/>
              </w:rPr>
            </w:pPr>
            <w:r w:rsidRPr="00DA4CA5">
              <w:rPr>
                <w:sz w:val="18"/>
              </w:rPr>
              <w:t>9</w:t>
            </w:r>
            <w:r w:rsidR="007E4DF3">
              <w:rPr>
                <w:sz w:val="18"/>
              </w:rPr>
              <w:t>,</w:t>
            </w:r>
            <w:r w:rsidRPr="00DA4CA5">
              <w:rPr>
                <w:sz w:val="18"/>
              </w:rPr>
              <w:t>727</w:t>
            </w:r>
          </w:p>
        </w:tc>
      </w:tr>
      <w:tr w:rsidR="00022EA7" w:rsidRPr="00444981" w:rsidTr="00DA4CA5">
        <w:trPr>
          <w:trHeight w:val="285"/>
        </w:trPr>
        <w:tc>
          <w:tcPr>
            <w:tcW w:w="1336" w:type="pct"/>
            <w:gridSpan w:val="3"/>
            <w:tcBorders>
              <w:top w:val="nil"/>
              <w:left w:val="nil"/>
              <w:bottom w:val="nil"/>
              <w:right w:val="nil"/>
            </w:tcBorders>
            <w:shd w:val="clear" w:color="auto" w:fill="auto"/>
            <w:noWrap/>
            <w:hideMark/>
          </w:tcPr>
          <w:p w:rsidR="005E3967" w:rsidRPr="00CD18A1" w:rsidRDefault="005E3967" w:rsidP="005815D8">
            <w:pPr>
              <w:outlineLvl w:val="0"/>
              <w:rPr>
                <w:rFonts w:asciiTheme="minorHAnsi" w:hAnsiTheme="minorHAnsi"/>
                <w:bCs/>
                <w:i/>
                <w:color w:val="002776"/>
                <w:sz w:val="20"/>
              </w:rPr>
            </w:pPr>
            <w:r>
              <w:rPr>
                <w:rFonts w:asciiTheme="minorHAnsi" w:hAnsiTheme="minorHAnsi"/>
                <w:bCs/>
                <w:i/>
                <w:color w:val="000000"/>
                <w:sz w:val="20"/>
              </w:rPr>
              <w:t>Percentage</w:t>
            </w:r>
            <w:r w:rsidRPr="00CD18A1">
              <w:rPr>
                <w:rFonts w:asciiTheme="minorHAnsi" w:hAnsiTheme="minorHAnsi"/>
                <w:bCs/>
                <w:i/>
                <w:color w:val="000000"/>
                <w:sz w:val="20"/>
              </w:rPr>
              <w:t xml:space="preserve"> premium</w:t>
            </w:r>
          </w:p>
        </w:tc>
        <w:tc>
          <w:tcPr>
            <w:tcW w:w="367"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7"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7"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8"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7"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7"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8"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7" w:type="pct"/>
            <w:tcBorders>
              <w:top w:val="nil"/>
              <w:left w:val="nil"/>
              <w:bottom w:val="nil"/>
              <w:right w:val="nil"/>
            </w:tcBorders>
            <w:shd w:val="clear" w:color="auto" w:fill="auto"/>
            <w:vAlign w:val="center"/>
            <w:hideMark/>
          </w:tcPr>
          <w:p w:rsidR="005E3967" w:rsidRPr="00444981" w:rsidRDefault="005E3967" w:rsidP="005815D8">
            <w:pPr>
              <w:outlineLvl w:val="0"/>
              <w:rPr>
                <w:rFonts w:asciiTheme="minorHAnsi" w:hAnsiTheme="minorHAnsi"/>
                <w:b/>
                <w:bCs/>
                <w:color w:val="002776"/>
                <w:sz w:val="20"/>
              </w:rPr>
            </w:pPr>
          </w:p>
        </w:tc>
        <w:tc>
          <w:tcPr>
            <w:tcW w:w="367" w:type="pct"/>
            <w:tcBorders>
              <w:top w:val="nil"/>
              <w:left w:val="nil"/>
              <w:bottom w:val="nil"/>
              <w:right w:val="nil"/>
            </w:tcBorders>
            <w:shd w:val="clear" w:color="auto" w:fill="auto"/>
          </w:tcPr>
          <w:p w:rsidR="005E3967" w:rsidRPr="00CD18A1" w:rsidRDefault="005E3967" w:rsidP="005815D8">
            <w:pPr>
              <w:outlineLvl w:val="0"/>
              <w:rPr>
                <w:rFonts w:asciiTheme="minorHAnsi" w:hAnsiTheme="minorHAnsi"/>
                <w:b/>
                <w:bCs/>
                <w:color w:val="002776" w:themeColor="accent1"/>
                <w:sz w:val="20"/>
              </w:rPr>
            </w:pPr>
          </w:p>
        </w:tc>
        <w:tc>
          <w:tcPr>
            <w:tcW w:w="360" w:type="pct"/>
            <w:tcBorders>
              <w:top w:val="nil"/>
              <w:left w:val="nil"/>
              <w:bottom w:val="nil"/>
              <w:right w:val="nil"/>
            </w:tcBorders>
            <w:shd w:val="clear" w:color="auto" w:fill="auto"/>
            <w:vAlign w:val="center"/>
            <w:hideMark/>
          </w:tcPr>
          <w:p w:rsidR="005E3967" w:rsidRPr="00CD18A1" w:rsidRDefault="005E3967" w:rsidP="005815D8">
            <w:pPr>
              <w:outlineLvl w:val="0"/>
              <w:rPr>
                <w:rFonts w:asciiTheme="minorHAnsi" w:hAnsiTheme="minorHAnsi"/>
                <w:b/>
                <w:bCs/>
                <w:color w:val="002776" w:themeColor="accent1"/>
                <w:sz w:val="20"/>
              </w:rPr>
            </w:pPr>
          </w:p>
        </w:tc>
      </w:tr>
      <w:tr w:rsidR="00022EA7" w:rsidRPr="00444981" w:rsidTr="00DA4CA5">
        <w:trPr>
          <w:trHeight w:val="255"/>
        </w:trPr>
        <w:tc>
          <w:tcPr>
            <w:tcW w:w="856" w:type="pct"/>
            <w:tcBorders>
              <w:top w:val="nil"/>
              <w:left w:val="nil"/>
              <w:bottom w:val="nil"/>
              <w:right w:val="nil"/>
            </w:tcBorders>
            <w:shd w:val="clear" w:color="auto" w:fill="auto"/>
            <w:vAlign w:val="center"/>
            <w:hideMark/>
          </w:tcPr>
          <w:p w:rsidR="005E3967" w:rsidRPr="00444981" w:rsidRDefault="005E3967" w:rsidP="005815D8">
            <w:pPr>
              <w:ind w:left="108"/>
              <w:jc w:val="both"/>
              <w:outlineLvl w:val="0"/>
              <w:rPr>
                <w:rFonts w:asciiTheme="minorHAnsi" w:hAnsiTheme="minorHAnsi"/>
                <w:i/>
                <w:iCs/>
                <w:color w:val="000000"/>
                <w:sz w:val="20"/>
              </w:rPr>
            </w:pPr>
            <w:r w:rsidRPr="00444981">
              <w:rPr>
                <w:rFonts w:asciiTheme="minorHAnsi" w:hAnsiTheme="minorHAnsi"/>
                <w:i/>
                <w:iCs/>
                <w:color w:val="000000"/>
                <w:sz w:val="20"/>
              </w:rPr>
              <w:t>Undiscounted</w:t>
            </w:r>
          </w:p>
        </w:tc>
        <w:tc>
          <w:tcPr>
            <w:tcW w:w="480" w:type="pct"/>
            <w:gridSpan w:val="2"/>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102%</w:t>
            </w:r>
          </w:p>
        </w:tc>
        <w:tc>
          <w:tcPr>
            <w:tcW w:w="367"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129%</w:t>
            </w:r>
          </w:p>
        </w:tc>
        <w:tc>
          <w:tcPr>
            <w:tcW w:w="367"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104%</w:t>
            </w:r>
          </w:p>
        </w:tc>
        <w:tc>
          <w:tcPr>
            <w:tcW w:w="367"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56%</w:t>
            </w:r>
          </w:p>
        </w:tc>
        <w:tc>
          <w:tcPr>
            <w:tcW w:w="368"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54%</w:t>
            </w:r>
          </w:p>
        </w:tc>
        <w:tc>
          <w:tcPr>
            <w:tcW w:w="367"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48%</w:t>
            </w:r>
          </w:p>
        </w:tc>
        <w:tc>
          <w:tcPr>
            <w:tcW w:w="367"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77%</w:t>
            </w:r>
          </w:p>
        </w:tc>
        <w:tc>
          <w:tcPr>
            <w:tcW w:w="368"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28%</w:t>
            </w:r>
          </w:p>
        </w:tc>
        <w:tc>
          <w:tcPr>
            <w:tcW w:w="367"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49%</w:t>
            </w:r>
          </w:p>
        </w:tc>
        <w:tc>
          <w:tcPr>
            <w:tcW w:w="367" w:type="pct"/>
            <w:tcBorders>
              <w:top w:val="nil"/>
              <w:left w:val="nil"/>
              <w:bottom w:val="nil"/>
              <w:right w:val="nil"/>
            </w:tcBorders>
            <w:vAlign w:val="center"/>
          </w:tcPr>
          <w:p w:rsidR="005E3967" w:rsidRPr="006E4888" w:rsidRDefault="005E3967" w:rsidP="005815D8">
            <w:pPr>
              <w:jc w:val="center"/>
              <w:outlineLvl w:val="0"/>
              <w:rPr>
                <w:rFonts w:eastAsia="Arial" w:cs="Arial"/>
                <w:bCs/>
                <w:color w:val="000000"/>
                <w:kern w:val="24"/>
                <w:sz w:val="18"/>
                <w:szCs w:val="18"/>
              </w:rPr>
            </w:pPr>
            <w:r w:rsidRPr="0064325C">
              <w:rPr>
                <w:rFonts w:eastAsia="Arial" w:cs="Arial"/>
                <w:bCs/>
                <w:color w:val="000000"/>
                <w:kern w:val="24"/>
                <w:sz w:val="18"/>
                <w:szCs w:val="18"/>
              </w:rPr>
              <w:t>51%</w:t>
            </w:r>
          </w:p>
        </w:tc>
        <w:tc>
          <w:tcPr>
            <w:tcW w:w="360" w:type="pct"/>
            <w:tcBorders>
              <w:top w:val="nil"/>
              <w:left w:val="nil"/>
              <w:bottom w:val="nil"/>
              <w:right w:val="nil"/>
            </w:tcBorders>
            <w:shd w:val="clear" w:color="auto" w:fill="auto"/>
            <w:vAlign w:val="center"/>
            <w:hideMark/>
          </w:tcPr>
          <w:p w:rsidR="005E3967" w:rsidRPr="00CD18A1" w:rsidRDefault="005E3967" w:rsidP="005815D8">
            <w:pPr>
              <w:jc w:val="center"/>
              <w:outlineLvl w:val="0"/>
              <w:rPr>
                <w:rFonts w:asciiTheme="minorHAnsi" w:hAnsiTheme="minorHAnsi"/>
                <w:b/>
                <w:color w:val="002776" w:themeColor="accent1"/>
                <w:sz w:val="18"/>
              </w:rPr>
            </w:pPr>
            <w:r w:rsidRPr="0064325C">
              <w:rPr>
                <w:rFonts w:eastAsia="Arial" w:cs="Arial"/>
                <w:b/>
                <w:bCs/>
                <w:color w:val="002776" w:themeColor="accent1"/>
                <w:kern w:val="24"/>
                <w:sz w:val="18"/>
                <w:szCs w:val="18"/>
              </w:rPr>
              <w:t>67%</w:t>
            </w:r>
          </w:p>
        </w:tc>
      </w:tr>
      <w:tr w:rsidR="00022EA7" w:rsidRPr="00444981" w:rsidTr="00DA4CA5">
        <w:trPr>
          <w:trHeight w:val="255"/>
        </w:trPr>
        <w:tc>
          <w:tcPr>
            <w:tcW w:w="856" w:type="pct"/>
            <w:tcBorders>
              <w:top w:val="nil"/>
              <w:left w:val="nil"/>
              <w:bottom w:val="single" w:sz="4" w:space="0" w:color="002776" w:themeColor="accent1"/>
              <w:right w:val="nil"/>
            </w:tcBorders>
            <w:shd w:val="clear" w:color="auto" w:fill="auto"/>
            <w:noWrap/>
            <w:vAlign w:val="bottom"/>
            <w:hideMark/>
          </w:tcPr>
          <w:p w:rsidR="005E3967" w:rsidRPr="00444981" w:rsidRDefault="005E3967" w:rsidP="005815D8">
            <w:pPr>
              <w:ind w:left="108"/>
              <w:outlineLvl w:val="0"/>
              <w:rPr>
                <w:rFonts w:asciiTheme="minorHAnsi" w:hAnsiTheme="minorHAnsi"/>
                <w:i/>
                <w:iCs/>
                <w:color w:val="000000"/>
                <w:sz w:val="20"/>
              </w:rPr>
            </w:pPr>
            <w:r w:rsidRPr="00444981">
              <w:rPr>
                <w:rFonts w:asciiTheme="minorHAnsi" w:hAnsiTheme="minorHAnsi"/>
                <w:i/>
                <w:iCs/>
                <w:color w:val="000000"/>
                <w:sz w:val="20"/>
              </w:rPr>
              <w:t>Discounted NPV</w:t>
            </w:r>
          </w:p>
        </w:tc>
        <w:tc>
          <w:tcPr>
            <w:tcW w:w="480" w:type="pct"/>
            <w:gridSpan w:val="2"/>
            <w:tcBorders>
              <w:top w:val="nil"/>
              <w:left w:val="nil"/>
              <w:bottom w:val="single" w:sz="4" w:space="0" w:color="002776" w:themeColor="accent1"/>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59%</w:t>
            </w:r>
          </w:p>
        </w:tc>
        <w:tc>
          <w:tcPr>
            <w:tcW w:w="367" w:type="pct"/>
            <w:tcBorders>
              <w:top w:val="nil"/>
              <w:left w:val="nil"/>
              <w:bottom w:val="single" w:sz="4" w:space="0" w:color="002776" w:themeColor="accent1"/>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color w:val="000000"/>
                <w:kern w:val="24"/>
                <w:sz w:val="18"/>
                <w:szCs w:val="18"/>
              </w:rPr>
              <w:t>109%</w:t>
            </w:r>
          </w:p>
        </w:tc>
        <w:tc>
          <w:tcPr>
            <w:tcW w:w="367" w:type="pct"/>
            <w:tcBorders>
              <w:top w:val="nil"/>
              <w:left w:val="nil"/>
              <w:bottom w:val="single" w:sz="4" w:space="0" w:color="002776" w:themeColor="accent1"/>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color w:val="000000"/>
                <w:kern w:val="24"/>
                <w:sz w:val="18"/>
                <w:szCs w:val="18"/>
              </w:rPr>
              <w:t>74%</w:t>
            </w:r>
          </w:p>
        </w:tc>
        <w:tc>
          <w:tcPr>
            <w:tcW w:w="367" w:type="pct"/>
            <w:tcBorders>
              <w:top w:val="nil"/>
              <w:left w:val="nil"/>
              <w:bottom w:val="single" w:sz="4" w:space="0" w:color="002776" w:themeColor="accent1"/>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color w:val="000000"/>
                <w:kern w:val="24"/>
                <w:sz w:val="18"/>
                <w:szCs w:val="18"/>
              </w:rPr>
              <w:t>37%</w:t>
            </w:r>
          </w:p>
        </w:tc>
        <w:tc>
          <w:tcPr>
            <w:tcW w:w="368" w:type="pct"/>
            <w:tcBorders>
              <w:top w:val="nil"/>
              <w:left w:val="nil"/>
              <w:bottom w:val="single" w:sz="4" w:space="0" w:color="002776" w:themeColor="accent1"/>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color w:val="000000"/>
                <w:kern w:val="24"/>
                <w:sz w:val="18"/>
                <w:szCs w:val="18"/>
              </w:rPr>
              <w:t>35%</w:t>
            </w:r>
          </w:p>
        </w:tc>
        <w:tc>
          <w:tcPr>
            <w:tcW w:w="367" w:type="pct"/>
            <w:tcBorders>
              <w:top w:val="nil"/>
              <w:left w:val="nil"/>
              <w:bottom w:val="single" w:sz="4" w:space="0" w:color="002776" w:themeColor="accent1"/>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color w:val="000000"/>
                <w:kern w:val="24"/>
                <w:sz w:val="18"/>
                <w:szCs w:val="18"/>
              </w:rPr>
              <w:t>30%</w:t>
            </w:r>
          </w:p>
        </w:tc>
        <w:tc>
          <w:tcPr>
            <w:tcW w:w="367" w:type="pct"/>
            <w:tcBorders>
              <w:top w:val="nil"/>
              <w:left w:val="nil"/>
              <w:bottom w:val="single" w:sz="4" w:space="0" w:color="002776" w:themeColor="accent1"/>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color w:val="000000"/>
                <w:kern w:val="24"/>
                <w:sz w:val="18"/>
                <w:szCs w:val="18"/>
              </w:rPr>
              <w:t>61%</w:t>
            </w:r>
          </w:p>
        </w:tc>
        <w:tc>
          <w:tcPr>
            <w:tcW w:w="368" w:type="pct"/>
            <w:tcBorders>
              <w:top w:val="nil"/>
              <w:left w:val="nil"/>
              <w:bottom w:val="single" w:sz="4" w:space="0" w:color="002776" w:themeColor="accent1"/>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color w:val="000000"/>
                <w:kern w:val="24"/>
                <w:sz w:val="18"/>
                <w:szCs w:val="18"/>
              </w:rPr>
              <w:t>16%</w:t>
            </w:r>
          </w:p>
        </w:tc>
        <w:tc>
          <w:tcPr>
            <w:tcW w:w="367" w:type="pct"/>
            <w:tcBorders>
              <w:top w:val="nil"/>
              <w:left w:val="nil"/>
              <w:bottom w:val="single" w:sz="4" w:space="0" w:color="002776" w:themeColor="accent1"/>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color w:val="000000"/>
                <w:kern w:val="24"/>
                <w:sz w:val="18"/>
                <w:szCs w:val="18"/>
              </w:rPr>
              <w:t>28%</w:t>
            </w:r>
          </w:p>
        </w:tc>
        <w:tc>
          <w:tcPr>
            <w:tcW w:w="367" w:type="pct"/>
            <w:tcBorders>
              <w:top w:val="nil"/>
              <w:left w:val="nil"/>
              <w:bottom w:val="single" w:sz="4" w:space="0" w:color="002776" w:themeColor="accent1"/>
              <w:right w:val="nil"/>
            </w:tcBorders>
            <w:vAlign w:val="center"/>
          </w:tcPr>
          <w:p w:rsidR="005E3967" w:rsidRPr="006E4888" w:rsidRDefault="005E3967" w:rsidP="005815D8">
            <w:pPr>
              <w:jc w:val="center"/>
              <w:outlineLvl w:val="0"/>
              <w:rPr>
                <w:rFonts w:eastAsia="Arial" w:cs="Arial"/>
                <w:color w:val="000000"/>
                <w:kern w:val="24"/>
                <w:sz w:val="18"/>
                <w:szCs w:val="18"/>
              </w:rPr>
            </w:pPr>
            <w:r w:rsidRPr="0064325C">
              <w:rPr>
                <w:rFonts w:eastAsia="Arial" w:cs="Arial"/>
                <w:color w:val="000000"/>
                <w:kern w:val="24"/>
                <w:sz w:val="18"/>
                <w:szCs w:val="18"/>
              </w:rPr>
              <w:t>32%</w:t>
            </w:r>
          </w:p>
        </w:tc>
        <w:tc>
          <w:tcPr>
            <w:tcW w:w="360" w:type="pct"/>
            <w:tcBorders>
              <w:top w:val="nil"/>
              <w:left w:val="nil"/>
              <w:bottom w:val="single" w:sz="4" w:space="0" w:color="002776" w:themeColor="accent1"/>
              <w:right w:val="nil"/>
            </w:tcBorders>
            <w:shd w:val="clear" w:color="auto" w:fill="auto"/>
            <w:vAlign w:val="center"/>
            <w:hideMark/>
          </w:tcPr>
          <w:p w:rsidR="005E3967" w:rsidRPr="00CD18A1" w:rsidRDefault="005E3967" w:rsidP="005815D8">
            <w:pPr>
              <w:jc w:val="center"/>
              <w:outlineLvl w:val="0"/>
              <w:rPr>
                <w:rFonts w:asciiTheme="minorHAnsi" w:hAnsiTheme="minorHAnsi"/>
                <w:b/>
                <w:color w:val="002776" w:themeColor="accent1"/>
                <w:sz w:val="18"/>
              </w:rPr>
            </w:pPr>
            <w:r w:rsidRPr="0064325C">
              <w:rPr>
                <w:rFonts w:eastAsia="Arial" w:cs="Arial"/>
                <w:b/>
                <w:bCs/>
                <w:color w:val="002776" w:themeColor="accent1"/>
                <w:kern w:val="24"/>
                <w:sz w:val="18"/>
                <w:szCs w:val="18"/>
              </w:rPr>
              <w:t>46%</w:t>
            </w:r>
          </w:p>
        </w:tc>
      </w:tr>
      <w:tr w:rsidR="00022EA7" w:rsidRPr="00444981" w:rsidTr="00DA4CA5">
        <w:trPr>
          <w:trHeight w:val="255"/>
        </w:trPr>
        <w:tc>
          <w:tcPr>
            <w:tcW w:w="1336" w:type="pct"/>
            <w:gridSpan w:val="3"/>
            <w:tcBorders>
              <w:top w:val="single" w:sz="4" w:space="0" w:color="002776" w:themeColor="accent1"/>
              <w:left w:val="nil"/>
              <w:bottom w:val="nil"/>
              <w:right w:val="nil"/>
            </w:tcBorders>
            <w:shd w:val="clear" w:color="auto" w:fill="auto"/>
            <w:noWrap/>
            <w:hideMark/>
          </w:tcPr>
          <w:p w:rsidR="005E3967" w:rsidRPr="00CD18A1" w:rsidRDefault="005E3967" w:rsidP="005815D8">
            <w:pPr>
              <w:outlineLvl w:val="0"/>
              <w:rPr>
                <w:rFonts w:asciiTheme="minorHAnsi" w:hAnsiTheme="minorHAnsi"/>
                <w:bCs/>
                <w:i/>
                <w:color w:val="000000"/>
                <w:sz w:val="20"/>
              </w:rPr>
            </w:pPr>
            <w:r w:rsidRPr="00CD18A1">
              <w:rPr>
                <w:rFonts w:asciiTheme="minorHAnsi" w:hAnsiTheme="minorHAnsi"/>
                <w:bCs/>
                <w:i/>
                <w:color w:val="000000"/>
                <w:sz w:val="20"/>
              </w:rPr>
              <w:t>Dollar premium ($ million)</w:t>
            </w:r>
          </w:p>
        </w:tc>
        <w:tc>
          <w:tcPr>
            <w:tcW w:w="367"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7"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7"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8"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7"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7"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8"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7" w:type="pct"/>
            <w:tcBorders>
              <w:top w:val="single" w:sz="4" w:space="0" w:color="002776" w:themeColor="accent1"/>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20"/>
              </w:rPr>
            </w:pPr>
          </w:p>
        </w:tc>
        <w:tc>
          <w:tcPr>
            <w:tcW w:w="367" w:type="pct"/>
            <w:tcBorders>
              <w:top w:val="single" w:sz="4" w:space="0" w:color="002776" w:themeColor="accent1"/>
              <w:left w:val="nil"/>
              <w:bottom w:val="nil"/>
              <w:right w:val="nil"/>
            </w:tcBorders>
            <w:shd w:val="clear" w:color="auto" w:fill="auto"/>
          </w:tcPr>
          <w:p w:rsidR="005E3967" w:rsidRPr="00CD18A1" w:rsidRDefault="005E3967" w:rsidP="005815D8">
            <w:pPr>
              <w:jc w:val="center"/>
              <w:outlineLvl w:val="0"/>
              <w:rPr>
                <w:rFonts w:asciiTheme="minorHAnsi" w:hAnsiTheme="minorHAnsi"/>
                <w:b/>
                <w:color w:val="002776" w:themeColor="accent1"/>
                <w:sz w:val="20"/>
              </w:rPr>
            </w:pPr>
          </w:p>
        </w:tc>
        <w:tc>
          <w:tcPr>
            <w:tcW w:w="360" w:type="pct"/>
            <w:tcBorders>
              <w:top w:val="single" w:sz="4" w:space="0" w:color="002776" w:themeColor="accent1"/>
              <w:left w:val="nil"/>
              <w:bottom w:val="nil"/>
              <w:right w:val="nil"/>
            </w:tcBorders>
            <w:shd w:val="clear" w:color="auto" w:fill="auto"/>
            <w:vAlign w:val="center"/>
            <w:hideMark/>
          </w:tcPr>
          <w:p w:rsidR="005E3967" w:rsidRPr="0083778F" w:rsidRDefault="005E3967" w:rsidP="005815D8">
            <w:pPr>
              <w:jc w:val="center"/>
              <w:outlineLvl w:val="0"/>
              <w:rPr>
                <w:rFonts w:asciiTheme="minorHAnsi" w:hAnsiTheme="minorHAnsi"/>
                <w:b/>
                <w:color w:val="002776" w:themeColor="accent1"/>
                <w:sz w:val="20"/>
              </w:rPr>
            </w:pPr>
          </w:p>
        </w:tc>
      </w:tr>
      <w:tr w:rsidR="00022EA7" w:rsidRPr="00444981" w:rsidTr="00DA4CA5">
        <w:trPr>
          <w:trHeight w:val="255"/>
        </w:trPr>
        <w:tc>
          <w:tcPr>
            <w:tcW w:w="856" w:type="pct"/>
            <w:tcBorders>
              <w:top w:val="nil"/>
              <w:left w:val="nil"/>
              <w:bottom w:val="nil"/>
              <w:right w:val="nil"/>
            </w:tcBorders>
            <w:shd w:val="clear" w:color="auto" w:fill="auto"/>
            <w:vAlign w:val="center"/>
            <w:hideMark/>
          </w:tcPr>
          <w:p w:rsidR="005E3967" w:rsidRPr="00444981" w:rsidRDefault="005E3967" w:rsidP="005815D8">
            <w:pPr>
              <w:ind w:firstLine="108"/>
              <w:jc w:val="both"/>
              <w:outlineLvl w:val="0"/>
              <w:rPr>
                <w:rFonts w:asciiTheme="minorHAnsi" w:hAnsiTheme="minorHAnsi"/>
                <w:i/>
                <w:iCs/>
                <w:color w:val="000000"/>
                <w:sz w:val="20"/>
              </w:rPr>
            </w:pPr>
            <w:r w:rsidRPr="00444981">
              <w:rPr>
                <w:rFonts w:asciiTheme="minorHAnsi" w:hAnsiTheme="minorHAnsi"/>
                <w:i/>
                <w:iCs/>
                <w:color w:val="000000"/>
                <w:sz w:val="20"/>
              </w:rPr>
              <w:t>Undiscounted</w:t>
            </w:r>
          </w:p>
        </w:tc>
        <w:tc>
          <w:tcPr>
            <w:tcW w:w="480" w:type="pct"/>
            <w:gridSpan w:val="2"/>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$1.01</w:t>
            </w:r>
          </w:p>
        </w:tc>
        <w:tc>
          <w:tcPr>
            <w:tcW w:w="367"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$1.28</w:t>
            </w:r>
          </w:p>
        </w:tc>
        <w:tc>
          <w:tcPr>
            <w:tcW w:w="367"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$1.03</w:t>
            </w:r>
          </w:p>
        </w:tc>
        <w:tc>
          <w:tcPr>
            <w:tcW w:w="367"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$0.56</w:t>
            </w:r>
          </w:p>
        </w:tc>
        <w:tc>
          <w:tcPr>
            <w:tcW w:w="368"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$0.53</w:t>
            </w:r>
          </w:p>
        </w:tc>
        <w:tc>
          <w:tcPr>
            <w:tcW w:w="367"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$0.47</w:t>
            </w:r>
          </w:p>
        </w:tc>
        <w:tc>
          <w:tcPr>
            <w:tcW w:w="367"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$0.77</w:t>
            </w:r>
          </w:p>
        </w:tc>
        <w:tc>
          <w:tcPr>
            <w:tcW w:w="368"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$0.28</w:t>
            </w:r>
          </w:p>
        </w:tc>
        <w:tc>
          <w:tcPr>
            <w:tcW w:w="367" w:type="pct"/>
            <w:tcBorders>
              <w:top w:val="nil"/>
              <w:left w:val="nil"/>
              <w:bottom w:val="nil"/>
              <w:right w:val="nil"/>
            </w:tcBorders>
            <w:shd w:val="clear" w:color="auto" w:fill="auto"/>
            <w:vAlign w:val="center"/>
            <w:hideMark/>
          </w:tcPr>
          <w:p w:rsidR="005E3967" w:rsidRPr="00444981" w:rsidRDefault="005E3967" w:rsidP="005815D8">
            <w:pPr>
              <w:jc w:val="center"/>
              <w:outlineLvl w:val="0"/>
              <w:rPr>
                <w:rFonts w:asciiTheme="minorHAnsi" w:hAnsiTheme="minorHAnsi"/>
                <w:color w:val="000000"/>
                <w:sz w:val="18"/>
              </w:rPr>
            </w:pPr>
            <w:r w:rsidRPr="0064325C">
              <w:rPr>
                <w:rFonts w:eastAsia="Arial" w:cs="Arial"/>
                <w:bCs/>
                <w:color w:val="000000"/>
                <w:kern w:val="24"/>
                <w:sz w:val="18"/>
                <w:szCs w:val="18"/>
              </w:rPr>
              <w:t>$0.49</w:t>
            </w:r>
          </w:p>
        </w:tc>
        <w:tc>
          <w:tcPr>
            <w:tcW w:w="367" w:type="pct"/>
            <w:tcBorders>
              <w:top w:val="nil"/>
              <w:left w:val="nil"/>
              <w:bottom w:val="nil"/>
              <w:right w:val="nil"/>
            </w:tcBorders>
            <w:vAlign w:val="center"/>
          </w:tcPr>
          <w:p w:rsidR="005E3967" w:rsidRPr="006E4888" w:rsidRDefault="005E3967" w:rsidP="005815D8">
            <w:pPr>
              <w:jc w:val="center"/>
              <w:outlineLvl w:val="0"/>
              <w:rPr>
                <w:rFonts w:eastAsia="Arial" w:cs="Arial"/>
                <w:bCs/>
                <w:color w:val="000000"/>
                <w:kern w:val="24"/>
                <w:sz w:val="18"/>
                <w:szCs w:val="18"/>
              </w:rPr>
            </w:pPr>
            <w:r w:rsidRPr="0064325C">
              <w:rPr>
                <w:rFonts w:eastAsia="Arial" w:cs="Arial"/>
                <w:bCs/>
                <w:color w:val="000000"/>
                <w:kern w:val="24"/>
                <w:sz w:val="18"/>
                <w:szCs w:val="18"/>
              </w:rPr>
              <w:t>$0.51</w:t>
            </w:r>
          </w:p>
        </w:tc>
        <w:tc>
          <w:tcPr>
            <w:tcW w:w="360" w:type="pct"/>
            <w:tcBorders>
              <w:top w:val="nil"/>
              <w:left w:val="nil"/>
              <w:bottom w:val="nil"/>
              <w:right w:val="nil"/>
            </w:tcBorders>
            <w:shd w:val="clear" w:color="auto" w:fill="auto"/>
            <w:vAlign w:val="center"/>
            <w:hideMark/>
          </w:tcPr>
          <w:p w:rsidR="005E3967" w:rsidRPr="00CD18A1" w:rsidRDefault="005E3967" w:rsidP="005815D8">
            <w:pPr>
              <w:jc w:val="center"/>
              <w:outlineLvl w:val="0"/>
              <w:rPr>
                <w:rFonts w:asciiTheme="minorHAnsi" w:hAnsiTheme="minorHAnsi"/>
                <w:b/>
                <w:color w:val="002776" w:themeColor="accent1"/>
                <w:sz w:val="18"/>
              </w:rPr>
            </w:pPr>
            <w:r w:rsidRPr="0064325C">
              <w:rPr>
                <w:rFonts w:eastAsia="Arial" w:cs="Arial"/>
                <w:b/>
                <w:bCs/>
                <w:color w:val="002776" w:themeColor="accent1"/>
                <w:kern w:val="24"/>
                <w:sz w:val="18"/>
                <w:szCs w:val="18"/>
              </w:rPr>
              <w:t>$0.67</w:t>
            </w:r>
          </w:p>
        </w:tc>
      </w:tr>
      <w:tr w:rsidR="005378A6" w:rsidRPr="00444981" w:rsidTr="00DA4CA5">
        <w:trPr>
          <w:trHeight w:val="270"/>
        </w:trPr>
        <w:tc>
          <w:tcPr>
            <w:tcW w:w="856" w:type="pct"/>
            <w:tcBorders>
              <w:top w:val="nil"/>
              <w:left w:val="nil"/>
              <w:bottom w:val="single" w:sz="12" w:space="0" w:color="002776"/>
              <w:right w:val="nil"/>
            </w:tcBorders>
            <w:shd w:val="clear" w:color="auto" w:fill="auto"/>
            <w:vAlign w:val="center"/>
            <w:hideMark/>
          </w:tcPr>
          <w:p w:rsidR="005378A6" w:rsidRPr="00444981" w:rsidRDefault="005378A6" w:rsidP="005815D8">
            <w:pPr>
              <w:ind w:firstLine="108"/>
              <w:jc w:val="both"/>
              <w:outlineLvl w:val="0"/>
              <w:rPr>
                <w:rFonts w:asciiTheme="minorHAnsi" w:hAnsiTheme="minorHAnsi"/>
                <w:i/>
                <w:iCs/>
                <w:color w:val="000000"/>
                <w:sz w:val="20"/>
              </w:rPr>
            </w:pPr>
            <w:r w:rsidRPr="00444981">
              <w:rPr>
                <w:rFonts w:asciiTheme="minorHAnsi" w:hAnsiTheme="minorHAnsi"/>
                <w:i/>
                <w:iCs/>
                <w:color w:val="000000"/>
                <w:sz w:val="20"/>
              </w:rPr>
              <w:t>Discounted NPV</w:t>
            </w:r>
          </w:p>
        </w:tc>
        <w:tc>
          <w:tcPr>
            <w:tcW w:w="480" w:type="pct"/>
            <w:gridSpan w:val="2"/>
            <w:tcBorders>
              <w:top w:val="nil"/>
              <w:left w:val="nil"/>
              <w:bottom w:val="single" w:sz="12" w:space="0" w:color="002776"/>
              <w:right w:val="nil"/>
            </w:tcBorders>
            <w:shd w:val="clear" w:color="auto" w:fill="auto"/>
            <w:vAlign w:val="center"/>
            <w:hideMark/>
          </w:tcPr>
          <w:p w:rsidR="005378A6" w:rsidRPr="00444981" w:rsidRDefault="005378A6" w:rsidP="005815D8">
            <w:pPr>
              <w:jc w:val="center"/>
              <w:outlineLvl w:val="0"/>
              <w:rPr>
                <w:rFonts w:asciiTheme="minorHAnsi" w:hAnsiTheme="minorHAnsi"/>
                <w:color w:val="000000"/>
                <w:sz w:val="18"/>
              </w:rPr>
            </w:pPr>
            <w:r w:rsidRPr="0064325C">
              <w:rPr>
                <w:color w:val="000000"/>
                <w:sz w:val="18"/>
                <w:szCs w:val="18"/>
              </w:rPr>
              <w:t>$0.17</w:t>
            </w:r>
          </w:p>
        </w:tc>
        <w:tc>
          <w:tcPr>
            <w:tcW w:w="367" w:type="pct"/>
            <w:tcBorders>
              <w:top w:val="nil"/>
              <w:left w:val="nil"/>
              <w:bottom w:val="single" w:sz="12" w:space="0" w:color="002776"/>
              <w:right w:val="nil"/>
            </w:tcBorders>
            <w:shd w:val="clear" w:color="auto" w:fill="auto"/>
            <w:vAlign w:val="center"/>
            <w:hideMark/>
          </w:tcPr>
          <w:p w:rsidR="005378A6" w:rsidRPr="00444981" w:rsidRDefault="005378A6" w:rsidP="005815D8">
            <w:pPr>
              <w:jc w:val="center"/>
              <w:outlineLvl w:val="0"/>
              <w:rPr>
                <w:rFonts w:asciiTheme="minorHAnsi" w:hAnsiTheme="minorHAnsi"/>
                <w:color w:val="000000"/>
                <w:sz w:val="18"/>
              </w:rPr>
            </w:pPr>
            <w:r w:rsidRPr="0064325C">
              <w:rPr>
                <w:color w:val="000000"/>
                <w:sz w:val="18"/>
                <w:szCs w:val="18"/>
              </w:rPr>
              <w:t>$0.32</w:t>
            </w:r>
          </w:p>
        </w:tc>
        <w:tc>
          <w:tcPr>
            <w:tcW w:w="367" w:type="pct"/>
            <w:tcBorders>
              <w:top w:val="nil"/>
              <w:left w:val="nil"/>
              <w:bottom w:val="single" w:sz="12" w:space="0" w:color="002776"/>
              <w:right w:val="nil"/>
            </w:tcBorders>
            <w:shd w:val="clear" w:color="auto" w:fill="auto"/>
            <w:vAlign w:val="center"/>
            <w:hideMark/>
          </w:tcPr>
          <w:p w:rsidR="005378A6" w:rsidRPr="00444981" w:rsidRDefault="005378A6" w:rsidP="005815D8">
            <w:pPr>
              <w:jc w:val="center"/>
              <w:outlineLvl w:val="0"/>
              <w:rPr>
                <w:rFonts w:asciiTheme="minorHAnsi" w:hAnsiTheme="minorHAnsi"/>
                <w:color w:val="000000"/>
                <w:sz w:val="18"/>
              </w:rPr>
            </w:pPr>
            <w:r w:rsidRPr="0064325C">
              <w:rPr>
                <w:color w:val="000000"/>
                <w:sz w:val="18"/>
                <w:szCs w:val="18"/>
              </w:rPr>
              <w:t>$0.22</w:t>
            </w:r>
          </w:p>
        </w:tc>
        <w:tc>
          <w:tcPr>
            <w:tcW w:w="367" w:type="pct"/>
            <w:tcBorders>
              <w:top w:val="nil"/>
              <w:left w:val="nil"/>
              <w:bottom w:val="single" w:sz="12" w:space="0" w:color="002776"/>
              <w:right w:val="nil"/>
            </w:tcBorders>
            <w:shd w:val="clear" w:color="auto" w:fill="auto"/>
            <w:vAlign w:val="center"/>
            <w:hideMark/>
          </w:tcPr>
          <w:p w:rsidR="005378A6" w:rsidRPr="00444981" w:rsidRDefault="005378A6" w:rsidP="005815D8">
            <w:pPr>
              <w:jc w:val="center"/>
              <w:outlineLvl w:val="0"/>
              <w:rPr>
                <w:rFonts w:asciiTheme="minorHAnsi" w:hAnsiTheme="minorHAnsi"/>
                <w:color w:val="000000"/>
                <w:sz w:val="18"/>
              </w:rPr>
            </w:pPr>
            <w:r w:rsidRPr="0064325C">
              <w:rPr>
                <w:color w:val="000000"/>
                <w:sz w:val="18"/>
                <w:szCs w:val="18"/>
              </w:rPr>
              <w:t>$0.11</w:t>
            </w:r>
          </w:p>
        </w:tc>
        <w:tc>
          <w:tcPr>
            <w:tcW w:w="368" w:type="pct"/>
            <w:tcBorders>
              <w:top w:val="nil"/>
              <w:left w:val="nil"/>
              <w:bottom w:val="single" w:sz="12" w:space="0" w:color="002776"/>
              <w:right w:val="nil"/>
            </w:tcBorders>
            <w:shd w:val="clear" w:color="auto" w:fill="auto"/>
            <w:vAlign w:val="center"/>
            <w:hideMark/>
          </w:tcPr>
          <w:p w:rsidR="005378A6" w:rsidRPr="00444981" w:rsidRDefault="005378A6" w:rsidP="005815D8">
            <w:pPr>
              <w:jc w:val="center"/>
              <w:outlineLvl w:val="0"/>
              <w:rPr>
                <w:rFonts w:asciiTheme="minorHAnsi" w:hAnsiTheme="minorHAnsi"/>
                <w:color w:val="000000"/>
                <w:sz w:val="18"/>
              </w:rPr>
            </w:pPr>
            <w:r w:rsidRPr="0064325C">
              <w:rPr>
                <w:color w:val="000000"/>
                <w:sz w:val="18"/>
                <w:szCs w:val="18"/>
              </w:rPr>
              <w:t>$0.10</w:t>
            </w:r>
          </w:p>
        </w:tc>
        <w:tc>
          <w:tcPr>
            <w:tcW w:w="367" w:type="pct"/>
            <w:tcBorders>
              <w:top w:val="nil"/>
              <w:left w:val="nil"/>
              <w:bottom w:val="single" w:sz="12" w:space="0" w:color="002776"/>
              <w:right w:val="nil"/>
            </w:tcBorders>
            <w:shd w:val="clear" w:color="auto" w:fill="auto"/>
            <w:vAlign w:val="center"/>
            <w:hideMark/>
          </w:tcPr>
          <w:p w:rsidR="005378A6" w:rsidRPr="00444981" w:rsidRDefault="005378A6" w:rsidP="005815D8">
            <w:pPr>
              <w:jc w:val="center"/>
              <w:outlineLvl w:val="0"/>
              <w:rPr>
                <w:rFonts w:asciiTheme="minorHAnsi" w:hAnsiTheme="minorHAnsi"/>
                <w:color w:val="000000"/>
                <w:sz w:val="18"/>
              </w:rPr>
            </w:pPr>
            <w:r w:rsidRPr="0064325C">
              <w:rPr>
                <w:color w:val="000000"/>
                <w:sz w:val="18"/>
                <w:szCs w:val="18"/>
              </w:rPr>
              <w:t>$0.09</w:t>
            </w:r>
          </w:p>
        </w:tc>
        <w:tc>
          <w:tcPr>
            <w:tcW w:w="367" w:type="pct"/>
            <w:tcBorders>
              <w:top w:val="nil"/>
              <w:left w:val="nil"/>
              <w:bottom w:val="single" w:sz="12" w:space="0" w:color="002776"/>
              <w:right w:val="nil"/>
            </w:tcBorders>
            <w:shd w:val="clear" w:color="auto" w:fill="auto"/>
            <w:vAlign w:val="center"/>
            <w:hideMark/>
          </w:tcPr>
          <w:p w:rsidR="005378A6" w:rsidRPr="00444981" w:rsidRDefault="005378A6" w:rsidP="005815D8">
            <w:pPr>
              <w:jc w:val="center"/>
              <w:outlineLvl w:val="0"/>
              <w:rPr>
                <w:rFonts w:asciiTheme="minorHAnsi" w:hAnsiTheme="minorHAnsi"/>
                <w:color w:val="000000"/>
                <w:sz w:val="18"/>
              </w:rPr>
            </w:pPr>
            <w:r w:rsidRPr="0064325C">
              <w:rPr>
                <w:color w:val="000000"/>
                <w:sz w:val="18"/>
                <w:szCs w:val="18"/>
              </w:rPr>
              <w:t>$0.18</w:t>
            </w:r>
          </w:p>
        </w:tc>
        <w:tc>
          <w:tcPr>
            <w:tcW w:w="368" w:type="pct"/>
            <w:tcBorders>
              <w:top w:val="nil"/>
              <w:left w:val="nil"/>
              <w:bottom w:val="single" w:sz="12" w:space="0" w:color="002776"/>
              <w:right w:val="nil"/>
            </w:tcBorders>
            <w:shd w:val="clear" w:color="auto" w:fill="auto"/>
            <w:vAlign w:val="center"/>
            <w:hideMark/>
          </w:tcPr>
          <w:p w:rsidR="005378A6" w:rsidRPr="00444981" w:rsidRDefault="005378A6" w:rsidP="005815D8">
            <w:pPr>
              <w:jc w:val="center"/>
              <w:outlineLvl w:val="0"/>
              <w:rPr>
                <w:rFonts w:asciiTheme="minorHAnsi" w:hAnsiTheme="minorHAnsi"/>
                <w:color w:val="000000"/>
                <w:sz w:val="18"/>
              </w:rPr>
            </w:pPr>
            <w:r w:rsidRPr="0064325C">
              <w:rPr>
                <w:color w:val="000000"/>
                <w:sz w:val="18"/>
                <w:szCs w:val="18"/>
              </w:rPr>
              <w:t>$0.05</w:t>
            </w:r>
          </w:p>
        </w:tc>
        <w:tc>
          <w:tcPr>
            <w:tcW w:w="367" w:type="pct"/>
            <w:tcBorders>
              <w:top w:val="nil"/>
              <w:left w:val="nil"/>
              <w:bottom w:val="single" w:sz="12" w:space="0" w:color="002776"/>
              <w:right w:val="nil"/>
            </w:tcBorders>
            <w:shd w:val="clear" w:color="auto" w:fill="auto"/>
            <w:vAlign w:val="center"/>
            <w:hideMark/>
          </w:tcPr>
          <w:p w:rsidR="005378A6" w:rsidRPr="00444981" w:rsidRDefault="005378A6" w:rsidP="005815D8">
            <w:pPr>
              <w:jc w:val="center"/>
              <w:outlineLvl w:val="0"/>
              <w:rPr>
                <w:rFonts w:asciiTheme="minorHAnsi" w:hAnsiTheme="minorHAnsi"/>
                <w:color w:val="000000"/>
                <w:sz w:val="18"/>
              </w:rPr>
            </w:pPr>
            <w:r w:rsidRPr="0064325C">
              <w:rPr>
                <w:color w:val="000000"/>
                <w:sz w:val="18"/>
                <w:szCs w:val="18"/>
              </w:rPr>
              <w:t>$0.08</w:t>
            </w:r>
          </w:p>
        </w:tc>
        <w:tc>
          <w:tcPr>
            <w:tcW w:w="367" w:type="pct"/>
            <w:tcBorders>
              <w:top w:val="nil"/>
              <w:left w:val="nil"/>
              <w:bottom w:val="single" w:sz="12" w:space="0" w:color="002776"/>
              <w:right w:val="nil"/>
            </w:tcBorders>
            <w:vAlign w:val="center"/>
          </w:tcPr>
          <w:p w:rsidR="005378A6" w:rsidRPr="006E4888" w:rsidRDefault="005378A6" w:rsidP="005815D8">
            <w:pPr>
              <w:jc w:val="center"/>
              <w:outlineLvl w:val="0"/>
              <w:rPr>
                <w:rFonts w:eastAsia="Arial" w:cs="Arial"/>
                <w:color w:val="000000"/>
                <w:kern w:val="24"/>
                <w:sz w:val="18"/>
                <w:szCs w:val="18"/>
              </w:rPr>
            </w:pPr>
            <w:r w:rsidRPr="0064325C">
              <w:rPr>
                <w:color w:val="000000"/>
                <w:sz w:val="18"/>
                <w:szCs w:val="18"/>
              </w:rPr>
              <w:t>$0.10</w:t>
            </w:r>
          </w:p>
        </w:tc>
        <w:tc>
          <w:tcPr>
            <w:tcW w:w="360" w:type="pct"/>
            <w:tcBorders>
              <w:top w:val="nil"/>
              <w:left w:val="nil"/>
              <w:bottom w:val="single" w:sz="12" w:space="0" w:color="002776"/>
              <w:right w:val="nil"/>
            </w:tcBorders>
            <w:shd w:val="clear" w:color="auto" w:fill="auto"/>
            <w:vAlign w:val="center"/>
            <w:hideMark/>
          </w:tcPr>
          <w:p w:rsidR="005378A6" w:rsidRPr="00CD18A1" w:rsidRDefault="005378A6" w:rsidP="005815D8">
            <w:pPr>
              <w:jc w:val="center"/>
              <w:outlineLvl w:val="0"/>
              <w:rPr>
                <w:rFonts w:asciiTheme="minorHAnsi" w:hAnsiTheme="minorHAnsi"/>
                <w:b/>
                <w:color w:val="002776" w:themeColor="accent1"/>
                <w:sz w:val="18"/>
              </w:rPr>
            </w:pPr>
            <w:r w:rsidRPr="005378A6">
              <w:rPr>
                <w:b/>
                <w:bCs/>
                <w:color w:val="002776"/>
                <w:sz w:val="18"/>
                <w:szCs w:val="18"/>
              </w:rPr>
              <w:t>$0.14</w:t>
            </w:r>
          </w:p>
        </w:tc>
      </w:tr>
    </w:tbl>
    <w:p w:rsidR="0055318E" w:rsidRDefault="0055318E" w:rsidP="0055318E">
      <w:pPr>
        <w:pStyle w:val="Source"/>
      </w:pPr>
      <w:r w:rsidRPr="00444981">
        <w:t>Source: Deloitte Access Economics, HILDA Survey, ABS Census</w:t>
      </w:r>
      <w:r>
        <w:t xml:space="preserve"> (2011)</w:t>
      </w:r>
      <w:r w:rsidRPr="00444981">
        <w:t xml:space="preserve">. </w:t>
      </w:r>
      <w:r>
        <w:t xml:space="preserve">Premiums over lifetime earnings for those with no post-school qualification. </w:t>
      </w:r>
      <w:r w:rsidRPr="00444981">
        <w:t>Dollars are uprated from 2011 figures to 2016 using CPI. NPV calculation</w:t>
      </w:r>
      <w:r>
        <w:t>s use</w:t>
      </w:r>
      <w:r w:rsidRPr="00444981">
        <w:t xml:space="preserve"> a discount rate of 7%.</w:t>
      </w:r>
      <w:r>
        <w:t xml:space="preserve"> </w:t>
      </w:r>
      <w:r w:rsidR="00FE59B0">
        <w:t>Averages are volume-weighted, based on Census counts of qualification holders.</w:t>
      </w:r>
    </w:p>
    <w:p w:rsidR="0055318E" w:rsidRDefault="0055318E" w:rsidP="0055318E">
      <w:pPr>
        <w:pStyle w:val="BodyText"/>
        <w:rPr>
          <w:rStyle w:val="Boldword"/>
          <w:b w:val="0"/>
          <w:color w:val="auto"/>
        </w:rPr>
      </w:pPr>
      <w:r>
        <w:rPr>
          <w:rStyle w:val="Boldword"/>
          <w:b w:val="0"/>
          <w:color w:val="auto"/>
        </w:rPr>
        <w:t>The findings from this analysis are in line with previous research that ha</w:t>
      </w:r>
      <w:r w:rsidR="007E4DF3">
        <w:rPr>
          <w:rStyle w:val="Boldword"/>
          <w:b w:val="0"/>
          <w:color w:val="auto"/>
        </w:rPr>
        <w:t>s</w:t>
      </w:r>
      <w:r>
        <w:rPr>
          <w:rStyle w:val="Boldword"/>
          <w:b w:val="0"/>
          <w:color w:val="auto"/>
        </w:rPr>
        <w:t xml:space="preserve"> used similar methodological approaches and data (e.g. Wilkins, 2015). Notably, the results from this study extend on this previous research to capture discipline-specific private benefits. </w:t>
      </w:r>
    </w:p>
    <w:p w:rsidR="00FB492A" w:rsidRDefault="00FB492A" w:rsidP="00FB492A">
      <w:pPr>
        <w:pStyle w:val="BodyText"/>
        <w:rPr>
          <w:rStyle w:val="Boldword"/>
          <w:i/>
          <w:color w:val="00B0F0"/>
        </w:rPr>
      </w:pPr>
      <w:r>
        <w:rPr>
          <w:rStyle w:val="Boldword"/>
          <w:i/>
          <w:color w:val="00B0F0"/>
        </w:rPr>
        <w:t>Empirical analysis of relative scarcity vs. overall productivity effects</w:t>
      </w:r>
    </w:p>
    <w:p w:rsidR="00FB492A" w:rsidRPr="00875ACB" w:rsidRDefault="00FB492A" w:rsidP="00FB492A">
      <w:pPr>
        <w:pStyle w:val="BodyText"/>
        <w:rPr>
          <w:rStyle w:val="Boldword"/>
          <w:b w:val="0"/>
          <w:color w:val="auto"/>
        </w:rPr>
      </w:pPr>
      <w:r w:rsidRPr="00875ACB">
        <w:rPr>
          <w:rStyle w:val="Boldword"/>
          <w:b w:val="0"/>
          <w:color w:val="auto"/>
        </w:rPr>
        <w:t>The empirical analysis</w:t>
      </w:r>
      <w:r w:rsidR="00875ACB">
        <w:rPr>
          <w:rStyle w:val="Boldword"/>
          <w:b w:val="0"/>
          <w:color w:val="auto"/>
        </w:rPr>
        <w:t xml:space="preserve"> in the previous step set out to establish the effects of an individual’s own education on their wage. This analysis is then extended to understand how others’ wages are affected by the mix of qualifications in the workforce. </w:t>
      </w:r>
    </w:p>
    <w:p w:rsidR="00875ACB" w:rsidRDefault="00875ACB" w:rsidP="00FB492A">
      <w:pPr>
        <w:pStyle w:val="BodyText"/>
        <w:rPr>
          <w:rStyle w:val="Boldword"/>
          <w:b w:val="0"/>
          <w:color w:val="auto"/>
        </w:rPr>
      </w:pPr>
      <w:r w:rsidRPr="000B2CAF">
        <w:rPr>
          <w:rStyle w:val="Boldword"/>
          <w:b w:val="0"/>
          <w:color w:val="auto"/>
        </w:rPr>
        <w:t xml:space="preserve">The results of </w:t>
      </w:r>
      <w:r w:rsidR="00735018" w:rsidRPr="000B2CAF">
        <w:rPr>
          <w:rStyle w:val="Boldword"/>
          <w:b w:val="0"/>
          <w:color w:val="auto"/>
        </w:rPr>
        <w:t xml:space="preserve">econometric </w:t>
      </w:r>
      <w:r w:rsidR="007E4DF3" w:rsidRPr="000B2CAF">
        <w:rPr>
          <w:rStyle w:val="Boldword"/>
          <w:b w:val="0"/>
          <w:color w:val="auto"/>
        </w:rPr>
        <w:t xml:space="preserve">modelling </w:t>
      </w:r>
      <w:r w:rsidR="00735018" w:rsidRPr="000B2CAF">
        <w:rPr>
          <w:rStyle w:val="Boldword"/>
          <w:b w:val="0"/>
          <w:color w:val="auto"/>
        </w:rPr>
        <w:t xml:space="preserve">following Moretti (2004) </w:t>
      </w:r>
      <w:r w:rsidRPr="000B2CAF">
        <w:rPr>
          <w:rStyle w:val="Boldword"/>
          <w:b w:val="0"/>
          <w:color w:val="auto"/>
        </w:rPr>
        <w:t>suggest that there are positive spillover</w:t>
      </w:r>
      <w:r w:rsidR="00C35074" w:rsidRPr="000B2CAF">
        <w:rPr>
          <w:rStyle w:val="Boldword"/>
          <w:b w:val="0"/>
          <w:color w:val="auto"/>
        </w:rPr>
        <w:t xml:space="preserve"> </w:t>
      </w:r>
      <w:r w:rsidRPr="000B2CAF">
        <w:rPr>
          <w:rStyle w:val="Boldword"/>
          <w:b w:val="0"/>
          <w:color w:val="auto"/>
        </w:rPr>
        <w:t xml:space="preserve">effects from increasing attainment levels </w:t>
      </w:r>
      <w:r w:rsidR="00FA3A76" w:rsidRPr="000B2CAF">
        <w:rPr>
          <w:rStyle w:val="Boldword"/>
          <w:b w:val="0"/>
          <w:color w:val="auto"/>
        </w:rPr>
        <w:t xml:space="preserve">within a population </w:t>
      </w:r>
      <w:r w:rsidRPr="000B2CAF">
        <w:rPr>
          <w:rStyle w:val="Boldword"/>
          <w:b w:val="0"/>
          <w:color w:val="auto"/>
        </w:rPr>
        <w:t xml:space="preserve">for </w:t>
      </w:r>
      <w:r w:rsidR="00FA3A76" w:rsidRPr="000B2CAF">
        <w:rPr>
          <w:rStyle w:val="Boldword"/>
          <w:b w:val="0"/>
          <w:color w:val="auto"/>
        </w:rPr>
        <w:t>all other individuals in that</w:t>
      </w:r>
      <w:r w:rsidR="00FA3A76">
        <w:rPr>
          <w:rStyle w:val="Boldword"/>
          <w:b w:val="0"/>
          <w:color w:val="auto"/>
        </w:rPr>
        <w:t xml:space="preserve"> population</w:t>
      </w:r>
      <w:r w:rsidR="00F220A9">
        <w:rPr>
          <w:rStyle w:val="Boldword"/>
          <w:b w:val="0"/>
          <w:color w:val="auto"/>
        </w:rPr>
        <w:t>,</w:t>
      </w:r>
      <w:r w:rsidR="00FA3A76">
        <w:rPr>
          <w:rStyle w:val="Boldword"/>
          <w:b w:val="0"/>
          <w:color w:val="auto"/>
        </w:rPr>
        <w:t xml:space="preserve"> regardless of whether they have higher education</w:t>
      </w:r>
      <w:r w:rsidRPr="00875ACB">
        <w:rPr>
          <w:rStyle w:val="Boldword"/>
          <w:b w:val="0"/>
          <w:color w:val="auto"/>
        </w:rPr>
        <w:t xml:space="preserve">. </w:t>
      </w:r>
      <w:r w:rsidR="00FA3A76">
        <w:rPr>
          <w:rStyle w:val="Boldword"/>
          <w:b w:val="0"/>
          <w:color w:val="auto"/>
        </w:rPr>
        <w:t>That is, if</w:t>
      </w:r>
      <w:r w:rsidRPr="00875ACB">
        <w:rPr>
          <w:rStyle w:val="Boldword"/>
          <w:b w:val="0"/>
          <w:color w:val="auto"/>
        </w:rPr>
        <w:t xml:space="preserve"> 1% </w:t>
      </w:r>
      <w:r w:rsidR="00FA3A76">
        <w:rPr>
          <w:rStyle w:val="Boldword"/>
          <w:b w:val="0"/>
          <w:color w:val="auto"/>
        </w:rPr>
        <w:t xml:space="preserve">of  workers in a labour market attained a higher education qualification (where previously they had no higher education), there would be an associated effect on the wages of the other 99% of workers in that labour market (a 0.07% wage premium).  </w:t>
      </w:r>
    </w:p>
    <w:p w:rsidR="0029553B" w:rsidRDefault="0029553B" w:rsidP="00FB492A">
      <w:pPr>
        <w:pStyle w:val="BodyText"/>
        <w:rPr>
          <w:rStyle w:val="Boldword"/>
          <w:b w:val="0"/>
          <w:color w:val="auto"/>
        </w:rPr>
      </w:pPr>
      <w:r>
        <w:rPr>
          <w:rStyle w:val="Boldword"/>
          <w:b w:val="0"/>
          <w:color w:val="auto"/>
        </w:rPr>
        <w:t xml:space="preserve">The CGE results indicate that </w:t>
      </w:r>
      <w:r w:rsidRPr="0045497B">
        <w:rPr>
          <w:rStyle w:val="Boldword"/>
          <w:b w:val="0"/>
          <w:color w:val="auto"/>
        </w:rPr>
        <w:t xml:space="preserve">at the bachelor level, 82% of the </w:t>
      </w:r>
      <w:r>
        <w:rPr>
          <w:rStyle w:val="Boldword"/>
          <w:b w:val="0"/>
          <w:color w:val="auto"/>
        </w:rPr>
        <w:t>partial equilibrium uplift in wages is retained as a general equilibrium productivity effect. The 18% reduction in wages reflects that t</w:t>
      </w:r>
      <w:r w:rsidRPr="00F947A7">
        <w:rPr>
          <w:rStyle w:val="Boldword"/>
          <w:b w:val="0"/>
          <w:color w:val="auto"/>
        </w:rPr>
        <w:t xml:space="preserve">he increased supply of graduates in the workforce places </w:t>
      </w:r>
      <w:r>
        <w:rPr>
          <w:rStyle w:val="Boldword"/>
          <w:b w:val="0"/>
          <w:color w:val="auto"/>
        </w:rPr>
        <w:t xml:space="preserve">some </w:t>
      </w:r>
      <w:r w:rsidRPr="00F947A7">
        <w:rPr>
          <w:rStyle w:val="Boldword"/>
          <w:b w:val="0"/>
          <w:color w:val="auto"/>
        </w:rPr>
        <w:t>downward pressure on wages for graduates</w:t>
      </w:r>
      <w:r w:rsidRPr="0045497B">
        <w:rPr>
          <w:rStyle w:val="Boldword"/>
          <w:b w:val="0"/>
          <w:color w:val="auto"/>
        </w:rPr>
        <w:t>.</w:t>
      </w:r>
      <w:r w:rsidRPr="00875ACB">
        <w:rPr>
          <w:rStyle w:val="Boldword"/>
          <w:b w:val="0"/>
          <w:color w:val="auto"/>
        </w:rPr>
        <w:t xml:space="preserve"> </w:t>
      </w:r>
    </w:p>
    <w:p w:rsidR="0029553B" w:rsidRDefault="004B3E50">
      <w:pPr>
        <w:pStyle w:val="BodyText"/>
        <w:rPr>
          <w:rStyle w:val="Boldword"/>
          <w:b w:val="0"/>
          <w:color w:val="auto"/>
        </w:rPr>
      </w:pPr>
      <w:r>
        <w:rPr>
          <w:rStyle w:val="Boldword"/>
          <w:b w:val="0"/>
          <w:color w:val="auto"/>
        </w:rPr>
        <w:lastRenderedPageBreak/>
        <w:t xml:space="preserve">A comparison of the empirical results and the wage simulations suggests that the CGE modelling </w:t>
      </w:r>
      <w:r w:rsidRPr="00735018">
        <w:rPr>
          <w:rStyle w:val="Boldword"/>
          <w:b w:val="0"/>
          <w:color w:val="auto"/>
        </w:rPr>
        <w:t>provides a conservative estimate of the public benefits</w:t>
      </w:r>
      <w:r w:rsidR="0029553B">
        <w:rPr>
          <w:rStyle w:val="Boldword"/>
          <w:b w:val="0"/>
          <w:color w:val="auto"/>
        </w:rPr>
        <w:t>. The econometric result places</w:t>
      </w:r>
      <w:r w:rsidR="0029553B" w:rsidRPr="00C165C5">
        <w:rPr>
          <w:rStyle w:val="Boldword"/>
          <w:b w:val="0"/>
          <w:color w:val="auto"/>
        </w:rPr>
        <w:t xml:space="preserve"> greater emphasis</w:t>
      </w:r>
      <w:r w:rsidR="0029553B">
        <w:rPr>
          <w:rStyle w:val="Boldword"/>
          <w:b w:val="0"/>
          <w:color w:val="auto"/>
        </w:rPr>
        <w:t xml:space="preserve"> on the productivity effect </w:t>
      </w:r>
      <w:r w:rsidR="0029553B" w:rsidRPr="00B91AF7">
        <w:rPr>
          <w:rStyle w:val="Boldword"/>
          <w:b w:val="0"/>
          <w:color w:val="auto"/>
        </w:rPr>
        <w:t xml:space="preserve">than the </w:t>
      </w:r>
      <w:r w:rsidR="0029553B" w:rsidRPr="00881F23">
        <w:rPr>
          <w:rStyle w:val="Boldword"/>
          <w:b w:val="0"/>
          <w:color w:val="auto"/>
        </w:rPr>
        <w:t>relative scarcity</w:t>
      </w:r>
      <w:r w:rsidR="0029553B" w:rsidRPr="00B91AF7">
        <w:rPr>
          <w:rStyle w:val="Boldword"/>
          <w:b w:val="0"/>
          <w:color w:val="auto"/>
        </w:rPr>
        <w:t xml:space="preserve"> </w:t>
      </w:r>
      <w:r w:rsidR="0029553B">
        <w:rPr>
          <w:rStyle w:val="Boldword"/>
          <w:b w:val="0"/>
          <w:color w:val="auto"/>
        </w:rPr>
        <w:t xml:space="preserve">effect, suggesting that </w:t>
      </w:r>
      <w:r w:rsidR="000B2CAF">
        <w:rPr>
          <w:rStyle w:val="Boldword"/>
          <w:b w:val="0"/>
          <w:color w:val="auto"/>
        </w:rPr>
        <w:t>the general equilibrium uplift in wages should be more than 100% of the partial wage uplift.</w:t>
      </w:r>
      <w:r w:rsidR="00921E34" w:rsidRPr="00735018">
        <w:rPr>
          <w:rStyle w:val="Boldword"/>
          <w:b w:val="0"/>
          <w:color w:val="auto"/>
        </w:rPr>
        <w:t xml:space="preserve"> </w:t>
      </w:r>
    </w:p>
    <w:p w:rsidR="00875ACB" w:rsidRDefault="0029553B" w:rsidP="00FB492A">
      <w:pPr>
        <w:pStyle w:val="BodyText"/>
        <w:rPr>
          <w:rStyle w:val="Boldword"/>
          <w:b w:val="0"/>
          <w:color w:val="auto"/>
        </w:rPr>
      </w:pPr>
      <w:r>
        <w:rPr>
          <w:rStyle w:val="Boldword"/>
          <w:b w:val="0"/>
          <w:color w:val="auto"/>
        </w:rPr>
        <w:t>However, it is important to note that t</w:t>
      </w:r>
      <w:r w:rsidRPr="00875ACB">
        <w:rPr>
          <w:rStyle w:val="Boldword"/>
          <w:b w:val="0"/>
          <w:color w:val="auto"/>
        </w:rPr>
        <w:t>he s</w:t>
      </w:r>
      <w:r w:rsidR="000B2CAF">
        <w:rPr>
          <w:rStyle w:val="Boldword"/>
          <w:b w:val="0"/>
          <w:color w:val="auto"/>
        </w:rPr>
        <w:t xml:space="preserve">tatistical significance of the econometric </w:t>
      </w:r>
      <w:r w:rsidRPr="00875ACB">
        <w:rPr>
          <w:rStyle w:val="Boldword"/>
          <w:b w:val="0"/>
          <w:color w:val="auto"/>
        </w:rPr>
        <w:t>result</w:t>
      </w:r>
      <w:r w:rsidR="000B2CAF">
        <w:rPr>
          <w:rStyle w:val="Boldword"/>
          <w:b w:val="0"/>
          <w:color w:val="auto"/>
        </w:rPr>
        <w:t>s</w:t>
      </w:r>
      <w:r w:rsidRPr="00875ACB">
        <w:rPr>
          <w:rStyle w:val="Boldword"/>
          <w:b w:val="0"/>
          <w:color w:val="auto"/>
        </w:rPr>
        <w:t xml:space="preserve"> </w:t>
      </w:r>
      <w:r w:rsidR="000B2CAF">
        <w:rPr>
          <w:rStyle w:val="Boldword"/>
          <w:b w:val="0"/>
          <w:color w:val="auto"/>
        </w:rPr>
        <w:t>are</w:t>
      </w:r>
      <w:r w:rsidRPr="00875ACB">
        <w:rPr>
          <w:rStyle w:val="Boldword"/>
          <w:b w:val="0"/>
          <w:color w:val="auto"/>
        </w:rPr>
        <w:t xml:space="preserve"> subject to the precise model specification selected.</w:t>
      </w:r>
      <w:r>
        <w:rPr>
          <w:rStyle w:val="Boldword"/>
          <w:b w:val="0"/>
          <w:color w:val="auto"/>
        </w:rPr>
        <w:t xml:space="preserve"> So, this result provides (only) an empirical reference point to the labour market simulations carried out in the CGE model. </w:t>
      </w:r>
    </w:p>
    <w:p w:rsidR="0055318E" w:rsidRDefault="00FB492A" w:rsidP="0055318E">
      <w:pPr>
        <w:pStyle w:val="BodyText"/>
        <w:keepNext/>
        <w:rPr>
          <w:rStyle w:val="Boldword"/>
          <w:i/>
          <w:color w:val="00B0F0"/>
        </w:rPr>
      </w:pPr>
      <w:r>
        <w:rPr>
          <w:rStyle w:val="Boldword"/>
          <w:i/>
          <w:color w:val="00B0F0"/>
        </w:rPr>
        <w:t xml:space="preserve">Estimating </w:t>
      </w:r>
      <w:r w:rsidR="00875ACB">
        <w:rPr>
          <w:rStyle w:val="Boldword"/>
          <w:i/>
          <w:color w:val="00B0F0"/>
        </w:rPr>
        <w:t xml:space="preserve">public and private </w:t>
      </w:r>
      <w:r>
        <w:rPr>
          <w:rStyle w:val="Boldword"/>
          <w:i/>
          <w:color w:val="00B0F0"/>
        </w:rPr>
        <w:t xml:space="preserve">shares </w:t>
      </w:r>
      <w:r w:rsidR="00875ACB">
        <w:rPr>
          <w:rStyle w:val="Boldword"/>
          <w:i/>
          <w:color w:val="00B0F0"/>
        </w:rPr>
        <w:t xml:space="preserve">of </w:t>
      </w:r>
      <w:r w:rsidR="0055318E">
        <w:rPr>
          <w:rStyle w:val="Boldword"/>
          <w:i/>
          <w:color w:val="00B0F0"/>
        </w:rPr>
        <w:t xml:space="preserve">market </w:t>
      </w:r>
      <w:r w:rsidR="0055318E" w:rsidRPr="00175E29">
        <w:rPr>
          <w:rStyle w:val="Boldword"/>
          <w:i/>
          <w:color w:val="00B0F0"/>
        </w:rPr>
        <w:t>benefits</w:t>
      </w:r>
    </w:p>
    <w:p w:rsidR="0055318E" w:rsidRDefault="0055318E" w:rsidP="0055318E">
      <w:pPr>
        <w:pStyle w:val="BodyText"/>
        <w:rPr>
          <w:rStyle w:val="Boldword"/>
          <w:b w:val="0"/>
          <w:color w:val="auto"/>
        </w:rPr>
      </w:pPr>
      <w:r>
        <w:rPr>
          <w:rStyle w:val="Boldword"/>
          <w:b w:val="0"/>
          <w:color w:val="auto"/>
        </w:rPr>
        <w:t xml:space="preserve">Relative private and public benefits are estimated directly through this study’s analytical approach. Public benefits from higher education are measured by simulating the impact on industries and the </w:t>
      </w:r>
      <w:r w:rsidRPr="00DF1B27">
        <w:rPr>
          <w:rStyle w:val="Boldword"/>
          <w:b w:val="0"/>
          <w:i/>
          <w:color w:val="auto"/>
        </w:rPr>
        <w:t>economy as a whole</w:t>
      </w:r>
      <w:r>
        <w:rPr>
          <w:rStyle w:val="Boldword"/>
          <w:b w:val="0"/>
          <w:color w:val="auto"/>
        </w:rPr>
        <w:t xml:space="preserve"> from increasing the supply/endowment of workers with specific higher education qualifications, and then netting off the estimated private benefits </w:t>
      </w:r>
      <w:r w:rsidR="00D24DFC">
        <w:rPr>
          <w:rStyle w:val="Boldword"/>
          <w:b w:val="0"/>
          <w:color w:val="auto"/>
        </w:rPr>
        <w:t>to</w:t>
      </w:r>
      <w:r>
        <w:rPr>
          <w:rStyle w:val="Boldword"/>
          <w:b w:val="0"/>
          <w:color w:val="auto"/>
        </w:rPr>
        <w:t xml:space="preserve"> these more highly qualified individuals.</w:t>
      </w:r>
    </w:p>
    <w:p w:rsidR="00FA3A76" w:rsidRPr="00C13EAE" w:rsidRDefault="00FA3A76" w:rsidP="0055318E">
      <w:pPr>
        <w:pStyle w:val="BodyText"/>
        <w:rPr>
          <w:rStyle w:val="Boldword"/>
          <w:b w:val="0"/>
          <w:i/>
          <w:color w:val="auto"/>
        </w:rPr>
      </w:pPr>
      <w:r>
        <w:rPr>
          <w:rStyle w:val="Boldword"/>
          <w:b w:val="0"/>
          <w:i/>
          <w:color w:val="auto"/>
        </w:rPr>
        <w:t>Methodological considerations</w:t>
      </w:r>
    </w:p>
    <w:p w:rsidR="0055318E" w:rsidRDefault="0055318E" w:rsidP="0055318E">
      <w:pPr>
        <w:pStyle w:val="BodyText"/>
        <w:rPr>
          <w:rStyle w:val="Boldword"/>
          <w:b w:val="0"/>
          <w:color w:val="auto"/>
        </w:rPr>
      </w:pPr>
      <w:r>
        <w:rPr>
          <w:rStyle w:val="Boldword"/>
          <w:b w:val="0"/>
          <w:color w:val="auto"/>
        </w:rPr>
        <w:t>Total economic returns to higher education qualifications are estimated by increasing the effective labour productivity of workers in the economy (by industry) in line with the estimated wage premiums determined from the previous econometric analysis. This approach effectively relies on the standard labour market assumption that observed wage effects are reasonable proxies for labour productivity. Workers’ productivity improvements are assigned to specific industries based on an empirically estimated concordance between higher education qualifications and disciplines, and specific industries of employment.</w:t>
      </w:r>
    </w:p>
    <w:p w:rsidR="0055318E" w:rsidRDefault="0055318E" w:rsidP="0055318E">
      <w:pPr>
        <w:pStyle w:val="BodyText"/>
      </w:pPr>
      <w:r>
        <w:rPr>
          <w:rStyle w:val="Boldword"/>
          <w:b w:val="0"/>
          <w:color w:val="auto"/>
        </w:rPr>
        <w:t>The effect of increasing the level of labour productivity in the economy on total economic output is determined through the dynamics of the CGE model.  D</w:t>
      </w:r>
      <w:r>
        <w:t>ue to the complementary way in which firms use labour and capital (as well as land and natural resources), the productivity of labour is a driver for the demand of other economic factors – in particular, capital. In this way, growth in the stock of skills in the workforce affects the stock of capital demanded in the economy, and therefore boosts net investment in businesses, which has further flow-on effects to total employment and ultimately, to total economic output (i.e. national income).</w:t>
      </w:r>
    </w:p>
    <w:p w:rsidR="0055318E" w:rsidRDefault="0055318E" w:rsidP="0055318E">
      <w:pPr>
        <w:pStyle w:val="BodyText"/>
      </w:pPr>
      <w:r>
        <w:t xml:space="preserve">In practical terms, simulations </w:t>
      </w:r>
      <w:r w:rsidR="00B10B05">
        <w:t>in</w:t>
      </w:r>
      <w:r>
        <w:t xml:space="preserve"> the CGE model of the Australian economy can be highly complex, as they incorporate a significant array of dynamic relationships between prices, factors of production and industries in the economy. Nonetheless, the conceptual dynamics of the CGE model are relatively straightforward. These dynamics imply that the key factors which will determine the relative private and public benefits from higher education are the capital-intensity of the industries which specific higher education graduates participate in, and the nature of skills substitutability in these industries (including relative capacity to absorb more skilled workers).</w:t>
      </w:r>
      <w:r>
        <w:rPr>
          <w:rStyle w:val="FootnoteReference"/>
        </w:rPr>
        <w:footnoteReference w:id="5"/>
      </w:r>
    </w:p>
    <w:p w:rsidR="00FA3A76" w:rsidRPr="00C13EAE" w:rsidRDefault="00FA3A76" w:rsidP="0055318E">
      <w:pPr>
        <w:pStyle w:val="BodyText"/>
        <w:rPr>
          <w:i/>
        </w:rPr>
      </w:pPr>
      <w:r>
        <w:rPr>
          <w:i/>
        </w:rPr>
        <w:lastRenderedPageBreak/>
        <w:t>Results from the empirical analysis</w:t>
      </w:r>
    </w:p>
    <w:p w:rsidR="0055318E" w:rsidRDefault="0055318E" w:rsidP="0055318E">
      <w:pPr>
        <w:pStyle w:val="BodyText"/>
        <w:rPr>
          <w:rStyle w:val="Boldword"/>
          <w:b w:val="0"/>
          <w:color w:val="auto"/>
        </w:rPr>
      </w:pPr>
      <w:r>
        <w:rPr>
          <w:rStyle w:val="Boldword"/>
          <w:b w:val="0"/>
          <w:color w:val="auto"/>
        </w:rPr>
        <w:t>The results from the empirical analysis</w:t>
      </w:r>
      <w:r w:rsidR="00A6424C">
        <w:rPr>
          <w:rStyle w:val="Boldword"/>
          <w:b w:val="0"/>
          <w:color w:val="auto"/>
        </w:rPr>
        <w:t>, which</w:t>
      </w:r>
      <w:r>
        <w:rPr>
          <w:rStyle w:val="Boldword"/>
          <w:b w:val="0"/>
          <w:color w:val="auto"/>
        </w:rPr>
        <w:t xml:space="preserve"> align with the conceptual determinants</w:t>
      </w:r>
      <w:r w:rsidR="00A6424C">
        <w:rPr>
          <w:rStyle w:val="Boldword"/>
          <w:b w:val="0"/>
          <w:color w:val="auto"/>
        </w:rPr>
        <w:t xml:space="preserve"> outlined above,</w:t>
      </w:r>
      <w:r>
        <w:rPr>
          <w:rStyle w:val="Boldword"/>
          <w:b w:val="0"/>
          <w:color w:val="auto"/>
        </w:rPr>
        <w:t xml:space="preserve"> </w:t>
      </w:r>
      <w:r w:rsidR="009E595C">
        <w:rPr>
          <w:rStyle w:val="Boldword"/>
          <w:b w:val="0"/>
          <w:color w:val="auto"/>
        </w:rPr>
        <w:t xml:space="preserve">imply </w:t>
      </w:r>
      <w:r>
        <w:rPr>
          <w:rStyle w:val="Boldword"/>
          <w:b w:val="0"/>
          <w:color w:val="auto"/>
        </w:rPr>
        <w:t>that:</w:t>
      </w:r>
    </w:p>
    <w:p w:rsidR="0055318E" w:rsidRPr="00172F56" w:rsidRDefault="00A6424C" w:rsidP="0055318E">
      <w:pPr>
        <w:pStyle w:val="Bullet1"/>
        <w:rPr>
          <w:rStyle w:val="Boldword"/>
          <w:b w:val="0"/>
          <w:color w:val="auto"/>
        </w:rPr>
      </w:pPr>
      <w:r>
        <w:rPr>
          <w:rStyle w:val="Boldword"/>
          <w:b w:val="0"/>
          <w:color w:val="auto"/>
        </w:rPr>
        <w:t>f</w:t>
      </w:r>
      <w:r w:rsidR="009E595C">
        <w:rPr>
          <w:rStyle w:val="Boldword"/>
          <w:b w:val="0"/>
          <w:color w:val="auto"/>
        </w:rPr>
        <w:t xml:space="preserve">or </w:t>
      </w:r>
      <w:r w:rsidR="0055318E">
        <w:rPr>
          <w:rStyle w:val="Boldword"/>
          <w:b w:val="0"/>
          <w:color w:val="auto"/>
        </w:rPr>
        <w:t xml:space="preserve">bachelor degree </w:t>
      </w:r>
      <w:r w:rsidR="0055318E" w:rsidRPr="00172F56">
        <w:rPr>
          <w:rStyle w:val="Boldword"/>
          <w:b w:val="0"/>
          <w:color w:val="auto"/>
        </w:rPr>
        <w:t xml:space="preserve">qualifications, </w:t>
      </w:r>
      <w:r w:rsidR="0055318E" w:rsidRPr="00CD18A1">
        <w:rPr>
          <w:rStyle w:val="Boldword"/>
          <w:b w:val="0"/>
          <w:color w:val="auto"/>
        </w:rPr>
        <w:t>45%</w:t>
      </w:r>
      <w:r w:rsidR="0055318E" w:rsidRPr="00172F56">
        <w:rPr>
          <w:rStyle w:val="Boldword"/>
          <w:b w:val="0"/>
          <w:color w:val="auto"/>
        </w:rPr>
        <w:t xml:space="preserve"> of total market benefits are private (measured by post-tax earnings premiums), and </w:t>
      </w:r>
      <w:r w:rsidR="0055318E" w:rsidRPr="00CD18A1">
        <w:rPr>
          <w:rStyle w:val="Boldword"/>
          <w:b w:val="0"/>
          <w:color w:val="auto"/>
        </w:rPr>
        <w:t>55%</w:t>
      </w:r>
      <w:r w:rsidR="0055318E" w:rsidRPr="00172F56">
        <w:rPr>
          <w:rStyle w:val="Boldword"/>
          <w:b w:val="0"/>
          <w:color w:val="auto"/>
        </w:rPr>
        <w:t xml:space="preserve"> are public (measured by deviations in GNP less the private benefits)</w:t>
      </w:r>
      <w:r w:rsidR="0055318E">
        <w:rPr>
          <w:rStyle w:val="Boldword"/>
          <w:b w:val="0"/>
          <w:color w:val="auto"/>
        </w:rPr>
        <w:t>;</w:t>
      </w:r>
    </w:p>
    <w:p w:rsidR="0055318E" w:rsidRPr="00A7318D" w:rsidRDefault="00A6424C" w:rsidP="0055318E">
      <w:pPr>
        <w:pStyle w:val="Bullet1"/>
        <w:rPr>
          <w:rStyle w:val="Boldword"/>
          <w:b w:val="0"/>
          <w:color w:val="auto"/>
        </w:rPr>
      </w:pPr>
      <w:r>
        <w:rPr>
          <w:rStyle w:val="Boldword"/>
          <w:b w:val="0"/>
          <w:color w:val="auto"/>
        </w:rPr>
        <w:t>t</w:t>
      </w:r>
      <w:r w:rsidR="0055318E" w:rsidRPr="00A7318D">
        <w:rPr>
          <w:rStyle w:val="Boldword"/>
          <w:b w:val="0"/>
          <w:color w:val="auto"/>
        </w:rPr>
        <w:t xml:space="preserve">here is a relatively modest level of variability across disciplines, but those with the greater relative </w:t>
      </w:r>
      <w:r w:rsidR="0055318E" w:rsidRPr="00A7318D">
        <w:rPr>
          <w:rStyle w:val="Boldword"/>
          <w:b w:val="0"/>
          <w:i/>
          <w:color w:val="auto"/>
        </w:rPr>
        <w:t xml:space="preserve">public </w:t>
      </w:r>
      <w:r w:rsidR="0055318E" w:rsidRPr="00A7318D">
        <w:rPr>
          <w:rStyle w:val="Boldword"/>
          <w:b w:val="0"/>
          <w:color w:val="auto"/>
        </w:rPr>
        <w:t xml:space="preserve">return are Engineering, IT and Business, while the disciplines with the greater relative </w:t>
      </w:r>
      <w:r w:rsidR="0055318E" w:rsidRPr="00F20980">
        <w:rPr>
          <w:rStyle w:val="Boldword"/>
          <w:b w:val="0"/>
          <w:i/>
          <w:color w:val="auto"/>
        </w:rPr>
        <w:t>private</w:t>
      </w:r>
      <w:r w:rsidR="0055318E" w:rsidRPr="00A7318D">
        <w:rPr>
          <w:rStyle w:val="Boldword"/>
          <w:b w:val="0"/>
          <w:color w:val="auto"/>
        </w:rPr>
        <w:t xml:space="preserve"> return are Education</w:t>
      </w:r>
      <w:r w:rsidR="0055318E">
        <w:rPr>
          <w:rStyle w:val="Boldword"/>
          <w:b w:val="0"/>
          <w:color w:val="auto"/>
        </w:rPr>
        <w:t>,</w:t>
      </w:r>
      <w:r w:rsidR="0055318E" w:rsidRPr="00A7318D">
        <w:rPr>
          <w:rStyle w:val="Boldword"/>
          <w:b w:val="0"/>
          <w:color w:val="auto"/>
        </w:rPr>
        <w:t xml:space="preserve"> Arts,</w:t>
      </w:r>
      <w:r w:rsidR="0055318E">
        <w:rPr>
          <w:rStyle w:val="Boldword"/>
          <w:b w:val="0"/>
          <w:color w:val="auto"/>
        </w:rPr>
        <w:t xml:space="preserve"> </w:t>
      </w:r>
      <w:r w:rsidR="0055318E" w:rsidRPr="00A7318D">
        <w:rPr>
          <w:rStyle w:val="Boldword"/>
          <w:b w:val="0"/>
          <w:color w:val="auto"/>
        </w:rPr>
        <w:t>and Health</w:t>
      </w:r>
      <w:r w:rsidR="0055318E">
        <w:rPr>
          <w:rStyle w:val="Boldword"/>
          <w:b w:val="0"/>
          <w:color w:val="auto"/>
        </w:rPr>
        <w:t>;</w:t>
      </w:r>
    </w:p>
    <w:p w:rsidR="0055318E" w:rsidRPr="00CD18A1" w:rsidRDefault="0055318E" w:rsidP="0055318E">
      <w:pPr>
        <w:pStyle w:val="Bullet2"/>
        <w:rPr>
          <w:rStyle w:val="Boldword"/>
          <w:b w:val="0"/>
          <w:color w:val="auto"/>
        </w:rPr>
      </w:pPr>
      <w:r w:rsidRPr="00C13EAE">
        <w:rPr>
          <w:rStyle w:val="Boldword"/>
          <w:color w:val="002776" w:themeColor="accent1"/>
        </w:rPr>
        <w:t>Engineering graduates</w:t>
      </w:r>
      <w:r w:rsidRPr="00C13EAE">
        <w:rPr>
          <w:rStyle w:val="Boldword"/>
          <w:b w:val="0"/>
          <w:color w:val="002776" w:themeColor="accent1"/>
        </w:rPr>
        <w:t xml:space="preserve"> </w:t>
      </w:r>
      <w:r>
        <w:rPr>
          <w:rStyle w:val="Boldword"/>
          <w:b w:val="0"/>
          <w:color w:val="auto"/>
        </w:rPr>
        <w:t>typically work in manufacturing and mining, which are capital intensive sectors, so an increase in labour productivity will have a proportionally larger investment effect</w:t>
      </w:r>
      <w:r w:rsidR="009E595C">
        <w:rPr>
          <w:rStyle w:val="Boldword"/>
          <w:b w:val="0"/>
          <w:color w:val="auto"/>
        </w:rPr>
        <w:t>.</w:t>
      </w:r>
    </w:p>
    <w:p w:rsidR="0055318E" w:rsidRDefault="0055318E" w:rsidP="0055318E">
      <w:pPr>
        <w:pStyle w:val="Bullet2"/>
        <w:rPr>
          <w:rStyle w:val="Boldword"/>
          <w:b w:val="0"/>
          <w:color w:val="auto"/>
        </w:rPr>
      </w:pPr>
      <w:r w:rsidRPr="00C13EAE">
        <w:rPr>
          <w:rStyle w:val="Boldword"/>
          <w:color w:val="002776" w:themeColor="accent1"/>
        </w:rPr>
        <w:t xml:space="preserve">Education graduates </w:t>
      </w:r>
      <w:r>
        <w:rPr>
          <w:rStyle w:val="Boldword"/>
          <w:b w:val="0"/>
          <w:color w:val="auto"/>
        </w:rPr>
        <w:t>typically sit in lower income tax brackets, the sector is labour intensive, and their employers are more likely to be public sector, meaning company taxes are not applicable.</w:t>
      </w:r>
    </w:p>
    <w:p w:rsidR="0055318E" w:rsidRDefault="00A6424C" w:rsidP="0055318E">
      <w:pPr>
        <w:pStyle w:val="Bullet1"/>
        <w:rPr>
          <w:rStyle w:val="Boldword"/>
          <w:b w:val="0"/>
          <w:color w:val="auto"/>
        </w:rPr>
      </w:pPr>
      <w:proofErr w:type="gramStart"/>
      <w:r>
        <w:rPr>
          <w:rStyle w:val="Boldword"/>
          <w:b w:val="0"/>
          <w:color w:val="auto"/>
        </w:rPr>
        <w:t>t</w:t>
      </w:r>
      <w:r w:rsidR="009E595C">
        <w:rPr>
          <w:rStyle w:val="Boldword"/>
          <w:b w:val="0"/>
          <w:color w:val="auto"/>
        </w:rPr>
        <w:t>here</w:t>
      </w:r>
      <w:proofErr w:type="gramEnd"/>
      <w:r w:rsidR="009E595C">
        <w:rPr>
          <w:rStyle w:val="Boldword"/>
          <w:b w:val="0"/>
          <w:color w:val="auto"/>
        </w:rPr>
        <w:t xml:space="preserve"> </w:t>
      </w:r>
      <w:r w:rsidR="0055318E">
        <w:rPr>
          <w:rStyle w:val="Boldword"/>
          <w:b w:val="0"/>
          <w:color w:val="auto"/>
        </w:rPr>
        <w:t>is no material difference between the average postgraduate degree and bachelor degree benefit shares</w:t>
      </w:r>
      <w:r w:rsidR="009E595C">
        <w:rPr>
          <w:rStyle w:val="Boldword"/>
          <w:b w:val="0"/>
          <w:color w:val="auto"/>
        </w:rPr>
        <w:t>.  T</w:t>
      </w:r>
      <w:r w:rsidR="0055318E">
        <w:rPr>
          <w:rStyle w:val="Boldword"/>
          <w:b w:val="0"/>
          <w:color w:val="auto"/>
        </w:rPr>
        <w:t>his is due to offsetting effects;</w:t>
      </w:r>
    </w:p>
    <w:p w:rsidR="0055318E" w:rsidRDefault="009E595C" w:rsidP="0055318E">
      <w:pPr>
        <w:pStyle w:val="Bullet2"/>
        <w:rPr>
          <w:rStyle w:val="Boldword"/>
          <w:b w:val="0"/>
          <w:color w:val="auto"/>
        </w:rPr>
      </w:pPr>
      <w:r w:rsidRPr="00C13EAE">
        <w:rPr>
          <w:rStyle w:val="Boldword"/>
          <w:color w:val="002776" w:themeColor="accent1"/>
        </w:rPr>
        <w:t xml:space="preserve">Progressive </w:t>
      </w:r>
      <w:r w:rsidR="0055318E" w:rsidRPr="00C13EAE">
        <w:rPr>
          <w:rStyle w:val="Boldword"/>
          <w:color w:val="002776" w:themeColor="accent1"/>
        </w:rPr>
        <w:t>taxation</w:t>
      </w:r>
      <w:r w:rsidR="0055318E">
        <w:rPr>
          <w:rStyle w:val="Boldword"/>
          <w:b w:val="0"/>
          <w:color w:val="auto"/>
        </w:rPr>
        <w:t>: observed postgraduate wages are generally higher, meaning they pay a marginally greater share of their income in tax</w:t>
      </w:r>
      <w:r>
        <w:rPr>
          <w:rStyle w:val="Boldword"/>
          <w:b w:val="0"/>
          <w:color w:val="auto"/>
        </w:rPr>
        <w:t>.</w:t>
      </w:r>
    </w:p>
    <w:p w:rsidR="0055318E" w:rsidRDefault="009E595C" w:rsidP="0055318E">
      <w:pPr>
        <w:pStyle w:val="Bullet2"/>
        <w:rPr>
          <w:rStyle w:val="Boldword"/>
          <w:b w:val="0"/>
          <w:color w:val="auto"/>
        </w:rPr>
      </w:pPr>
      <w:r w:rsidRPr="00C13EAE">
        <w:rPr>
          <w:rStyle w:val="Boldword"/>
          <w:color w:val="002776" w:themeColor="accent1"/>
        </w:rPr>
        <w:t xml:space="preserve">Compositional </w:t>
      </w:r>
      <w:r w:rsidR="0055318E" w:rsidRPr="00C13EAE">
        <w:rPr>
          <w:rStyle w:val="Boldword"/>
          <w:color w:val="002776" w:themeColor="accent1"/>
        </w:rPr>
        <w:t>effect</w:t>
      </w:r>
      <w:r w:rsidR="0055318E" w:rsidRPr="00A7318D">
        <w:rPr>
          <w:rStyle w:val="Boldword"/>
          <w:b w:val="0"/>
          <w:color w:val="auto"/>
        </w:rPr>
        <w:t>:</w:t>
      </w:r>
      <w:r w:rsidR="0055318E">
        <w:rPr>
          <w:rStyle w:val="Boldword"/>
          <w:b w:val="0"/>
          <w:color w:val="auto"/>
        </w:rPr>
        <w:t xml:space="preserve"> bachelor degree holders tend to have qualifications in fields with greater public benefits</w:t>
      </w:r>
      <w:r>
        <w:rPr>
          <w:rStyle w:val="Boldword"/>
          <w:b w:val="0"/>
          <w:color w:val="auto"/>
        </w:rPr>
        <w:t>.</w:t>
      </w:r>
    </w:p>
    <w:p w:rsidR="00D24DFC" w:rsidRPr="005A22C5" w:rsidRDefault="00626640" w:rsidP="00D24DFC">
      <w:pPr>
        <w:pStyle w:val="Bullet1"/>
        <w:rPr>
          <w:rStyle w:val="Boldword"/>
          <w:b w:val="0"/>
          <w:color w:val="auto"/>
        </w:rPr>
      </w:pPr>
      <w:r w:rsidRPr="00C13EAE">
        <w:rPr>
          <w:rStyle w:val="Boldword"/>
          <w:color w:val="002776" w:themeColor="accent1"/>
        </w:rPr>
        <w:t>P</w:t>
      </w:r>
      <w:r w:rsidR="009E595C" w:rsidRPr="00C13EAE">
        <w:rPr>
          <w:rStyle w:val="Boldword"/>
          <w:color w:val="002776" w:themeColor="accent1"/>
        </w:rPr>
        <w:t xml:space="preserve">ostgraduate </w:t>
      </w:r>
      <w:r w:rsidR="00D24DFC" w:rsidRPr="00C13EAE">
        <w:rPr>
          <w:rStyle w:val="Boldword"/>
          <w:color w:val="002776" w:themeColor="accent1"/>
        </w:rPr>
        <w:t>Arts</w:t>
      </w:r>
      <w:r w:rsidR="00D24DFC">
        <w:rPr>
          <w:rStyle w:val="Boldword"/>
          <w:color w:val="auto"/>
        </w:rPr>
        <w:t xml:space="preserve"> </w:t>
      </w:r>
      <w:r w:rsidR="00D24DFC">
        <w:rPr>
          <w:rStyle w:val="Boldword"/>
          <w:b w:val="0"/>
          <w:color w:val="auto"/>
        </w:rPr>
        <w:t xml:space="preserve">students are more likely to enter the government services sector than their </w:t>
      </w:r>
      <w:r w:rsidR="00C03112" w:rsidRPr="00C13EAE">
        <w:rPr>
          <w:rStyle w:val="Boldword"/>
          <w:color w:val="002776" w:themeColor="accent1"/>
        </w:rPr>
        <w:t>bachelor level</w:t>
      </w:r>
      <w:r w:rsidR="00D24DFC" w:rsidRPr="00C13EAE">
        <w:rPr>
          <w:rStyle w:val="Boldword"/>
          <w:color w:val="002776" w:themeColor="accent1"/>
        </w:rPr>
        <w:t xml:space="preserve"> Arts</w:t>
      </w:r>
      <w:r w:rsidR="00D24DFC" w:rsidRPr="00C13EAE">
        <w:rPr>
          <w:rStyle w:val="Boldword"/>
          <w:b w:val="0"/>
          <w:color w:val="002776" w:themeColor="accent1"/>
        </w:rPr>
        <w:t xml:space="preserve"> </w:t>
      </w:r>
      <w:r w:rsidR="00D24DFC">
        <w:rPr>
          <w:rStyle w:val="Boldword"/>
          <w:b w:val="0"/>
          <w:color w:val="auto"/>
        </w:rPr>
        <w:t xml:space="preserve">peers – this is driving the differential </w:t>
      </w:r>
      <w:r w:rsidR="00054A20">
        <w:rPr>
          <w:rStyle w:val="Boldword"/>
          <w:b w:val="0"/>
          <w:color w:val="auto"/>
        </w:rPr>
        <w:t xml:space="preserve">in </w:t>
      </w:r>
      <w:r w:rsidR="00C03112">
        <w:rPr>
          <w:rStyle w:val="Boldword"/>
          <w:b w:val="0"/>
          <w:color w:val="auto"/>
        </w:rPr>
        <w:t>benefits</w:t>
      </w:r>
      <w:r w:rsidR="009E595C">
        <w:rPr>
          <w:rStyle w:val="Boldword"/>
          <w:b w:val="0"/>
          <w:color w:val="auto"/>
        </w:rPr>
        <w:t>.</w:t>
      </w:r>
      <w:r w:rsidR="00D24DFC">
        <w:rPr>
          <w:rStyle w:val="Boldword"/>
          <w:b w:val="0"/>
          <w:color w:val="auto"/>
        </w:rPr>
        <w:t xml:space="preserve"> </w:t>
      </w:r>
    </w:p>
    <w:p w:rsidR="0055318E" w:rsidRDefault="0055318E" w:rsidP="0055318E">
      <w:pPr>
        <w:pStyle w:val="BodyText"/>
      </w:pPr>
      <w:r>
        <w:t xml:space="preserve">A summary of the relative private and public returns from higher education by qualification and discipline </w:t>
      </w:r>
      <w:r w:rsidR="009E595C">
        <w:t>is provided</w:t>
      </w:r>
      <w:r>
        <w:t xml:space="preserve"> in </w:t>
      </w:r>
      <w:r>
        <w:fldChar w:fldCharType="begin"/>
      </w:r>
      <w:r>
        <w:instrText xml:space="preserve"> REF _Ref457514864 \r \h </w:instrText>
      </w:r>
      <w:r>
        <w:fldChar w:fldCharType="separate"/>
      </w:r>
      <w:r w:rsidR="00534F9F">
        <w:t xml:space="preserve">Table </w:t>
      </w:r>
      <w:proofErr w:type="gramStart"/>
      <w:r w:rsidR="00534F9F">
        <w:t>iv</w:t>
      </w:r>
      <w:proofErr w:type="gramEnd"/>
      <w:r>
        <w:fldChar w:fldCharType="end"/>
      </w:r>
      <w:r>
        <w:t xml:space="preserve"> below.</w:t>
      </w:r>
    </w:p>
    <w:p w:rsidR="005166DF" w:rsidRDefault="0055318E" w:rsidP="0055318E">
      <w:pPr>
        <w:pStyle w:val="BodyText"/>
        <w:rPr>
          <w:rStyle w:val="Boldword"/>
          <w:b w:val="0"/>
          <w:color w:val="auto"/>
        </w:rPr>
      </w:pPr>
      <w:r>
        <w:rPr>
          <w:rStyle w:val="Boldword"/>
          <w:b w:val="0"/>
          <w:color w:val="auto"/>
        </w:rPr>
        <w:t>Since</w:t>
      </w:r>
      <w:r w:rsidRPr="00F3696D">
        <w:rPr>
          <w:rStyle w:val="Boldword"/>
          <w:b w:val="0"/>
          <w:color w:val="auto"/>
        </w:rPr>
        <w:t xml:space="preserve"> </w:t>
      </w:r>
      <w:r>
        <w:rPr>
          <w:rStyle w:val="Boldword"/>
          <w:b w:val="0"/>
          <w:color w:val="auto"/>
        </w:rPr>
        <w:t xml:space="preserve">the sub-bachelor econometric analysis did not show a statistically significant earnings premium, the public/private share estimates are characterised by a greater level of uncertainty than bachelor or postgraduate level </w:t>
      </w:r>
      <w:r w:rsidRPr="005166DF">
        <w:rPr>
          <w:rStyle w:val="Boldword"/>
          <w:b w:val="0"/>
          <w:color w:val="auto"/>
        </w:rPr>
        <w:t xml:space="preserve">qualifications. Given the econometric analysis did not reveal a statistically significant variation in earnings for qualification holders from different provider types, there is no </w:t>
      </w:r>
      <w:r w:rsidR="005166DF" w:rsidRPr="009C0EF1">
        <w:rPr>
          <w:rStyle w:val="Boldword"/>
          <w:b w:val="0"/>
          <w:color w:val="auto"/>
        </w:rPr>
        <w:t xml:space="preserve">evidence to suggest that </w:t>
      </w:r>
      <w:r w:rsidRPr="005166DF">
        <w:rPr>
          <w:rStyle w:val="Boldword"/>
          <w:b w:val="0"/>
          <w:color w:val="auto"/>
        </w:rPr>
        <w:t>the split of public and private benefits</w:t>
      </w:r>
      <w:r w:rsidR="00D24DFC" w:rsidRPr="005166DF">
        <w:rPr>
          <w:rStyle w:val="Boldword"/>
          <w:b w:val="0"/>
          <w:color w:val="auto"/>
        </w:rPr>
        <w:t xml:space="preserve"> </w:t>
      </w:r>
      <w:r w:rsidR="000B2CAF" w:rsidRPr="009C0EF1">
        <w:rPr>
          <w:rStyle w:val="Boldword"/>
          <w:b w:val="0"/>
          <w:color w:val="auto"/>
        </w:rPr>
        <w:t xml:space="preserve">of graduate </w:t>
      </w:r>
      <w:r w:rsidR="005A0655" w:rsidRPr="009C0EF1">
        <w:rPr>
          <w:rStyle w:val="Boldword"/>
          <w:b w:val="0"/>
          <w:color w:val="auto"/>
        </w:rPr>
        <w:t>qualifications</w:t>
      </w:r>
      <w:r w:rsidR="005166DF" w:rsidRPr="009C0EF1">
        <w:rPr>
          <w:rStyle w:val="Boldword"/>
          <w:b w:val="0"/>
          <w:color w:val="auto"/>
        </w:rPr>
        <w:t xml:space="preserve"> will differ according to provider type</w:t>
      </w:r>
      <w:r w:rsidRPr="005166DF">
        <w:rPr>
          <w:rStyle w:val="Boldword"/>
          <w:b w:val="0"/>
          <w:color w:val="auto"/>
        </w:rPr>
        <w:t xml:space="preserve">. </w:t>
      </w:r>
    </w:p>
    <w:p w:rsidR="0055318E" w:rsidRPr="005166DF" w:rsidRDefault="005166DF" w:rsidP="009C0EF1">
      <w:pPr>
        <w:rPr>
          <w:lang w:eastAsia="en-AU"/>
        </w:rPr>
      </w:pPr>
      <w:r>
        <w:rPr>
          <w:rStyle w:val="Boldword"/>
          <w:b w:val="0"/>
          <w:color w:val="auto"/>
        </w:rPr>
        <w:br w:type="page"/>
      </w:r>
    </w:p>
    <w:p w:rsidR="0055318E" w:rsidRPr="005166DF" w:rsidRDefault="0055318E" w:rsidP="0055318E">
      <w:pPr>
        <w:pStyle w:val="ExecTableCaption"/>
      </w:pPr>
      <w:bookmarkStart w:id="8" w:name="_Ref457514864"/>
      <w:r w:rsidRPr="005166DF">
        <w:lastRenderedPageBreak/>
        <w:t xml:space="preserve">: Relative private and public benefits by discipline, </w:t>
      </w:r>
      <w:r w:rsidR="0075680D" w:rsidRPr="005166DF">
        <w:t>b</w:t>
      </w:r>
      <w:r w:rsidRPr="005166DF">
        <w:t>achelor and postgraduate</w:t>
      </w:r>
      <w:bookmarkEnd w:id="8"/>
    </w:p>
    <w:tbl>
      <w:tblPr>
        <w:tblW w:w="8046" w:type="dxa"/>
        <w:tblInd w:w="-108" w:type="dxa"/>
        <w:tblLayout w:type="fixed"/>
        <w:tblCellMar>
          <w:left w:w="0" w:type="dxa"/>
          <w:right w:w="0" w:type="dxa"/>
        </w:tblCellMar>
        <w:tblLook w:val="04A0" w:firstRow="1" w:lastRow="0" w:firstColumn="1" w:lastColumn="0" w:noHBand="0" w:noVBand="1"/>
      </w:tblPr>
      <w:tblGrid>
        <w:gridCol w:w="1684"/>
        <w:gridCol w:w="811"/>
        <w:gridCol w:w="732"/>
        <w:gridCol w:w="578"/>
        <w:gridCol w:w="710"/>
        <w:gridCol w:w="710"/>
        <w:gridCol w:w="706"/>
        <w:gridCol w:w="710"/>
        <w:gridCol w:w="710"/>
        <w:gridCol w:w="679"/>
        <w:gridCol w:w="16"/>
      </w:tblGrid>
      <w:tr w:rsidR="00612FD8" w:rsidRPr="00574710" w:rsidTr="00DA4CA5">
        <w:trPr>
          <w:gridAfter w:val="1"/>
          <w:wAfter w:w="11" w:type="pct"/>
          <w:trHeight w:val="540"/>
        </w:trPr>
        <w:tc>
          <w:tcPr>
            <w:tcW w:w="1047" w:type="pct"/>
            <w:tcBorders>
              <w:top w:val="single" w:sz="12" w:space="0" w:color="002776"/>
              <w:left w:val="nil"/>
              <w:bottom w:val="single" w:sz="8" w:space="0" w:color="002776"/>
              <w:right w:val="nil"/>
            </w:tcBorders>
            <w:shd w:val="clear" w:color="auto" w:fill="auto"/>
            <w:hideMark/>
          </w:tcPr>
          <w:p w:rsidR="00612FD8" w:rsidRPr="00444981" w:rsidRDefault="00612FD8" w:rsidP="0083262F">
            <w:pPr>
              <w:outlineLvl w:val="0"/>
              <w:rPr>
                <w:rFonts w:asciiTheme="minorHAnsi" w:hAnsiTheme="minorHAnsi"/>
                <w:color w:val="000000"/>
                <w:sz w:val="20"/>
              </w:rPr>
            </w:pPr>
            <w:r w:rsidRPr="00444981">
              <w:rPr>
                <w:rFonts w:asciiTheme="minorHAnsi" w:hAnsiTheme="minorHAnsi"/>
                <w:color w:val="000000"/>
                <w:sz w:val="20"/>
              </w:rPr>
              <w:t> </w:t>
            </w:r>
          </w:p>
        </w:tc>
        <w:tc>
          <w:tcPr>
            <w:tcW w:w="504" w:type="pct"/>
            <w:tcBorders>
              <w:top w:val="single" w:sz="12" w:space="0" w:color="002776"/>
              <w:left w:val="nil"/>
              <w:bottom w:val="single" w:sz="8" w:space="0" w:color="002776"/>
              <w:right w:val="nil"/>
            </w:tcBorders>
            <w:shd w:val="clear" w:color="auto" w:fill="auto"/>
            <w:vAlign w:val="center"/>
            <w:hideMark/>
          </w:tcPr>
          <w:p w:rsidR="00612FD8" w:rsidRPr="00444981" w:rsidRDefault="00612FD8" w:rsidP="0083262F">
            <w:pPr>
              <w:jc w:val="center"/>
              <w:outlineLvl w:val="0"/>
              <w:rPr>
                <w:rFonts w:asciiTheme="minorHAnsi" w:hAnsiTheme="minorHAnsi"/>
                <w:b/>
                <w:bCs/>
                <w:color w:val="002776"/>
                <w:sz w:val="20"/>
              </w:rPr>
            </w:pPr>
            <w:r w:rsidRPr="00444981">
              <w:rPr>
                <w:rFonts w:asciiTheme="minorHAnsi" w:hAnsiTheme="minorHAnsi"/>
                <w:b/>
                <w:bCs/>
                <w:color w:val="002776"/>
                <w:sz w:val="20"/>
              </w:rPr>
              <w:t>Medicine</w:t>
            </w:r>
          </w:p>
        </w:tc>
        <w:tc>
          <w:tcPr>
            <w:tcW w:w="455" w:type="pct"/>
            <w:tcBorders>
              <w:top w:val="single" w:sz="12" w:space="0" w:color="002776"/>
              <w:left w:val="nil"/>
              <w:bottom w:val="single" w:sz="8" w:space="0" w:color="002776"/>
              <w:right w:val="nil"/>
            </w:tcBorders>
            <w:shd w:val="clear" w:color="auto" w:fill="auto"/>
            <w:vAlign w:val="center"/>
            <w:hideMark/>
          </w:tcPr>
          <w:p w:rsidR="00612FD8" w:rsidRPr="00444981" w:rsidRDefault="00612FD8" w:rsidP="0083262F">
            <w:pPr>
              <w:jc w:val="center"/>
              <w:outlineLvl w:val="0"/>
              <w:rPr>
                <w:rFonts w:asciiTheme="minorHAnsi" w:hAnsiTheme="minorHAnsi"/>
                <w:b/>
                <w:bCs/>
                <w:color w:val="002776"/>
                <w:sz w:val="20"/>
              </w:rPr>
            </w:pPr>
            <w:r w:rsidRPr="00444981">
              <w:rPr>
                <w:rFonts w:asciiTheme="minorHAnsi" w:hAnsiTheme="minorHAnsi"/>
                <w:b/>
                <w:bCs/>
                <w:color w:val="002776"/>
                <w:sz w:val="20"/>
              </w:rPr>
              <w:t>Other Health</w:t>
            </w:r>
          </w:p>
        </w:tc>
        <w:tc>
          <w:tcPr>
            <w:tcW w:w="359" w:type="pct"/>
            <w:tcBorders>
              <w:top w:val="single" w:sz="12" w:space="0" w:color="002776"/>
              <w:left w:val="nil"/>
              <w:bottom w:val="single" w:sz="8" w:space="0" w:color="002776"/>
              <w:right w:val="nil"/>
            </w:tcBorders>
            <w:shd w:val="clear" w:color="auto" w:fill="auto"/>
            <w:vAlign w:val="center"/>
            <w:hideMark/>
          </w:tcPr>
          <w:p w:rsidR="00612FD8" w:rsidRPr="00444981" w:rsidRDefault="00612FD8" w:rsidP="0083262F">
            <w:pPr>
              <w:jc w:val="center"/>
              <w:outlineLvl w:val="0"/>
              <w:rPr>
                <w:rFonts w:asciiTheme="minorHAnsi" w:hAnsiTheme="minorHAnsi"/>
                <w:b/>
                <w:bCs/>
                <w:color w:val="002776"/>
                <w:sz w:val="20"/>
              </w:rPr>
            </w:pPr>
            <w:r w:rsidRPr="00444981">
              <w:rPr>
                <w:rFonts w:asciiTheme="minorHAnsi" w:hAnsiTheme="minorHAnsi"/>
                <w:b/>
                <w:bCs/>
                <w:color w:val="002776"/>
                <w:sz w:val="20"/>
              </w:rPr>
              <w:t>Educ</w:t>
            </w:r>
            <w:r>
              <w:rPr>
                <w:rFonts w:asciiTheme="minorHAnsi" w:hAnsiTheme="minorHAnsi"/>
                <w:b/>
                <w:bCs/>
                <w:color w:val="002776"/>
                <w:sz w:val="20"/>
              </w:rPr>
              <w:t>.</w:t>
            </w:r>
          </w:p>
        </w:tc>
        <w:tc>
          <w:tcPr>
            <w:tcW w:w="441" w:type="pct"/>
            <w:tcBorders>
              <w:top w:val="single" w:sz="12" w:space="0" w:color="002776"/>
              <w:left w:val="nil"/>
              <w:bottom w:val="single" w:sz="8" w:space="0" w:color="002776"/>
              <w:right w:val="nil"/>
            </w:tcBorders>
            <w:shd w:val="clear" w:color="auto" w:fill="auto"/>
            <w:vAlign w:val="center"/>
            <w:hideMark/>
          </w:tcPr>
          <w:p w:rsidR="00612FD8" w:rsidRPr="00444981" w:rsidRDefault="00612FD8" w:rsidP="0083262F">
            <w:pPr>
              <w:jc w:val="center"/>
              <w:outlineLvl w:val="0"/>
              <w:rPr>
                <w:rFonts w:asciiTheme="minorHAnsi" w:hAnsiTheme="minorHAnsi"/>
                <w:b/>
                <w:bCs/>
                <w:color w:val="002776"/>
                <w:sz w:val="20"/>
              </w:rPr>
            </w:pPr>
            <w:r w:rsidRPr="00444981">
              <w:rPr>
                <w:rFonts w:asciiTheme="minorHAnsi" w:hAnsiTheme="minorHAnsi"/>
                <w:b/>
                <w:bCs/>
                <w:color w:val="002776"/>
                <w:sz w:val="20"/>
              </w:rPr>
              <w:t>Eng</w:t>
            </w:r>
            <w:r>
              <w:rPr>
                <w:rFonts w:asciiTheme="minorHAnsi" w:hAnsiTheme="minorHAnsi"/>
                <w:b/>
                <w:bCs/>
                <w:color w:val="002776"/>
                <w:sz w:val="20"/>
              </w:rPr>
              <w:t>.</w:t>
            </w:r>
          </w:p>
        </w:tc>
        <w:tc>
          <w:tcPr>
            <w:tcW w:w="441" w:type="pct"/>
            <w:tcBorders>
              <w:top w:val="single" w:sz="12" w:space="0" w:color="002776"/>
              <w:left w:val="nil"/>
              <w:bottom w:val="single" w:sz="8" w:space="0" w:color="002776"/>
              <w:right w:val="nil"/>
            </w:tcBorders>
            <w:shd w:val="clear" w:color="auto" w:fill="auto"/>
            <w:vAlign w:val="center"/>
            <w:hideMark/>
          </w:tcPr>
          <w:p w:rsidR="00612FD8" w:rsidRPr="00444981" w:rsidRDefault="00612FD8" w:rsidP="0083262F">
            <w:pPr>
              <w:jc w:val="center"/>
              <w:outlineLvl w:val="0"/>
              <w:rPr>
                <w:rFonts w:asciiTheme="minorHAnsi" w:hAnsiTheme="minorHAnsi"/>
                <w:b/>
                <w:bCs/>
                <w:color w:val="002776"/>
                <w:sz w:val="20"/>
              </w:rPr>
            </w:pPr>
            <w:r w:rsidRPr="00444981">
              <w:rPr>
                <w:rFonts w:asciiTheme="minorHAnsi" w:hAnsiTheme="minorHAnsi"/>
                <w:b/>
                <w:bCs/>
                <w:color w:val="002776"/>
                <w:sz w:val="20"/>
              </w:rPr>
              <w:t>Bus</w:t>
            </w:r>
            <w:r>
              <w:rPr>
                <w:rFonts w:asciiTheme="minorHAnsi" w:hAnsiTheme="minorHAnsi"/>
                <w:b/>
                <w:bCs/>
                <w:color w:val="002776"/>
                <w:sz w:val="20"/>
              </w:rPr>
              <w:t>.</w:t>
            </w:r>
          </w:p>
        </w:tc>
        <w:tc>
          <w:tcPr>
            <w:tcW w:w="439" w:type="pct"/>
            <w:tcBorders>
              <w:top w:val="single" w:sz="12" w:space="0" w:color="002776"/>
              <w:left w:val="nil"/>
              <w:bottom w:val="single" w:sz="8" w:space="0" w:color="002776"/>
              <w:right w:val="nil"/>
            </w:tcBorders>
            <w:shd w:val="clear" w:color="auto" w:fill="auto"/>
            <w:vAlign w:val="center"/>
            <w:hideMark/>
          </w:tcPr>
          <w:p w:rsidR="00612FD8" w:rsidRPr="00444981" w:rsidRDefault="00612FD8" w:rsidP="0083262F">
            <w:pPr>
              <w:jc w:val="center"/>
              <w:outlineLvl w:val="0"/>
              <w:rPr>
                <w:rFonts w:asciiTheme="minorHAnsi" w:hAnsiTheme="minorHAnsi"/>
                <w:b/>
                <w:bCs/>
                <w:color w:val="002776"/>
                <w:sz w:val="20"/>
              </w:rPr>
            </w:pPr>
            <w:r w:rsidRPr="00444981">
              <w:rPr>
                <w:rFonts w:asciiTheme="minorHAnsi" w:hAnsiTheme="minorHAnsi"/>
                <w:b/>
                <w:bCs/>
                <w:color w:val="002776"/>
                <w:sz w:val="20"/>
              </w:rPr>
              <w:t>Arts</w:t>
            </w:r>
          </w:p>
        </w:tc>
        <w:tc>
          <w:tcPr>
            <w:tcW w:w="441" w:type="pct"/>
            <w:tcBorders>
              <w:top w:val="single" w:sz="12" w:space="0" w:color="002776"/>
              <w:left w:val="nil"/>
              <w:bottom w:val="single" w:sz="8" w:space="0" w:color="002776"/>
              <w:right w:val="nil"/>
            </w:tcBorders>
            <w:shd w:val="clear" w:color="auto" w:fill="auto"/>
            <w:vAlign w:val="center"/>
            <w:hideMark/>
          </w:tcPr>
          <w:p w:rsidR="00612FD8" w:rsidRPr="00444981" w:rsidRDefault="00612FD8" w:rsidP="0083262F">
            <w:pPr>
              <w:jc w:val="center"/>
              <w:outlineLvl w:val="0"/>
              <w:rPr>
                <w:rFonts w:asciiTheme="minorHAnsi" w:hAnsiTheme="minorHAnsi"/>
                <w:b/>
                <w:bCs/>
                <w:color w:val="002776"/>
                <w:sz w:val="20"/>
              </w:rPr>
            </w:pPr>
            <w:r w:rsidRPr="00444981">
              <w:rPr>
                <w:rFonts w:asciiTheme="minorHAnsi" w:hAnsiTheme="minorHAnsi"/>
                <w:b/>
                <w:bCs/>
                <w:color w:val="002776"/>
                <w:sz w:val="20"/>
              </w:rPr>
              <w:t>Science</w:t>
            </w:r>
          </w:p>
        </w:tc>
        <w:tc>
          <w:tcPr>
            <w:tcW w:w="441" w:type="pct"/>
            <w:tcBorders>
              <w:top w:val="single" w:sz="12" w:space="0" w:color="002776"/>
              <w:left w:val="nil"/>
              <w:bottom w:val="single" w:sz="8" w:space="0" w:color="002776"/>
              <w:right w:val="nil"/>
            </w:tcBorders>
            <w:shd w:val="clear" w:color="auto" w:fill="auto"/>
            <w:vAlign w:val="center"/>
            <w:hideMark/>
          </w:tcPr>
          <w:p w:rsidR="00612FD8" w:rsidRPr="00444981" w:rsidRDefault="00612FD8" w:rsidP="0083262F">
            <w:pPr>
              <w:jc w:val="center"/>
              <w:outlineLvl w:val="0"/>
              <w:rPr>
                <w:rFonts w:asciiTheme="minorHAnsi" w:hAnsiTheme="minorHAnsi"/>
                <w:b/>
                <w:bCs/>
                <w:color w:val="002776"/>
                <w:sz w:val="20"/>
              </w:rPr>
            </w:pPr>
            <w:r w:rsidRPr="00444981">
              <w:rPr>
                <w:rFonts w:asciiTheme="minorHAnsi" w:hAnsiTheme="minorHAnsi"/>
                <w:b/>
                <w:bCs/>
                <w:color w:val="002776"/>
                <w:sz w:val="20"/>
              </w:rPr>
              <w:t>IT</w:t>
            </w:r>
          </w:p>
        </w:tc>
        <w:tc>
          <w:tcPr>
            <w:tcW w:w="422" w:type="pct"/>
            <w:tcBorders>
              <w:top w:val="single" w:sz="12" w:space="0" w:color="002776"/>
              <w:left w:val="nil"/>
              <w:bottom w:val="single" w:sz="8" w:space="0" w:color="002776"/>
              <w:right w:val="nil"/>
            </w:tcBorders>
            <w:shd w:val="clear" w:color="auto" w:fill="auto"/>
            <w:vAlign w:val="center"/>
            <w:hideMark/>
          </w:tcPr>
          <w:p w:rsidR="00612FD8" w:rsidRPr="00444981" w:rsidRDefault="00612FD8" w:rsidP="0083262F">
            <w:pPr>
              <w:jc w:val="center"/>
              <w:outlineLvl w:val="0"/>
              <w:rPr>
                <w:rFonts w:asciiTheme="minorHAnsi" w:hAnsiTheme="minorHAnsi"/>
                <w:b/>
                <w:bCs/>
                <w:color w:val="002776"/>
                <w:sz w:val="20"/>
              </w:rPr>
            </w:pPr>
            <w:r w:rsidRPr="00444981">
              <w:rPr>
                <w:rFonts w:asciiTheme="minorHAnsi" w:hAnsiTheme="minorHAnsi"/>
                <w:b/>
                <w:bCs/>
                <w:color w:val="002776"/>
                <w:sz w:val="20"/>
              </w:rPr>
              <w:t>Ave</w:t>
            </w:r>
            <w:r>
              <w:rPr>
                <w:rFonts w:asciiTheme="minorHAnsi" w:hAnsiTheme="minorHAnsi"/>
                <w:b/>
                <w:bCs/>
                <w:color w:val="002776"/>
                <w:sz w:val="20"/>
              </w:rPr>
              <w:t>.</w:t>
            </w:r>
          </w:p>
        </w:tc>
      </w:tr>
      <w:tr w:rsidR="00612FD8" w:rsidRPr="00574710" w:rsidTr="00DA4CA5">
        <w:trPr>
          <w:gridAfter w:val="1"/>
          <w:wAfter w:w="11" w:type="pct"/>
          <w:trHeight w:val="320"/>
        </w:trPr>
        <w:tc>
          <w:tcPr>
            <w:tcW w:w="1047" w:type="pct"/>
            <w:tcBorders>
              <w:top w:val="single" w:sz="12" w:space="0" w:color="002776"/>
              <w:left w:val="nil"/>
              <w:right w:val="nil"/>
            </w:tcBorders>
            <w:shd w:val="clear" w:color="auto" w:fill="auto"/>
          </w:tcPr>
          <w:p w:rsidR="00612FD8" w:rsidRPr="00444981" w:rsidRDefault="00612FD8" w:rsidP="0083262F">
            <w:pPr>
              <w:outlineLvl w:val="0"/>
              <w:rPr>
                <w:rFonts w:asciiTheme="minorHAnsi" w:hAnsiTheme="minorHAnsi"/>
                <w:b/>
                <w:color w:val="000000"/>
                <w:sz w:val="20"/>
              </w:rPr>
            </w:pPr>
            <w:r w:rsidRPr="00444981">
              <w:rPr>
                <w:rFonts w:asciiTheme="minorHAnsi" w:hAnsiTheme="minorHAnsi"/>
                <w:b/>
                <w:color w:val="002776" w:themeColor="accent1"/>
                <w:sz w:val="20"/>
              </w:rPr>
              <w:t>Bachelor level</w:t>
            </w:r>
          </w:p>
        </w:tc>
        <w:tc>
          <w:tcPr>
            <w:tcW w:w="504" w:type="pct"/>
            <w:tcBorders>
              <w:top w:val="single" w:sz="12" w:space="0" w:color="002776"/>
              <w:left w:val="nil"/>
              <w:right w:val="nil"/>
            </w:tcBorders>
            <w:shd w:val="clear" w:color="auto" w:fill="auto"/>
            <w:vAlign w:val="center"/>
          </w:tcPr>
          <w:p w:rsidR="00612FD8" w:rsidRPr="00444981" w:rsidRDefault="00612FD8" w:rsidP="0083262F">
            <w:pPr>
              <w:jc w:val="center"/>
              <w:outlineLvl w:val="0"/>
              <w:rPr>
                <w:rFonts w:asciiTheme="minorHAnsi" w:hAnsiTheme="minorHAnsi"/>
                <w:b/>
                <w:bCs/>
                <w:color w:val="002776"/>
                <w:sz w:val="20"/>
              </w:rPr>
            </w:pPr>
          </w:p>
        </w:tc>
        <w:tc>
          <w:tcPr>
            <w:tcW w:w="455" w:type="pct"/>
            <w:tcBorders>
              <w:top w:val="single" w:sz="12" w:space="0" w:color="002776"/>
              <w:left w:val="nil"/>
              <w:right w:val="nil"/>
            </w:tcBorders>
            <w:shd w:val="clear" w:color="auto" w:fill="auto"/>
            <w:vAlign w:val="center"/>
          </w:tcPr>
          <w:p w:rsidR="00612FD8" w:rsidRPr="00444981" w:rsidRDefault="00612FD8" w:rsidP="0083262F">
            <w:pPr>
              <w:jc w:val="center"/>
              <w:outlineLvl w:val="0"/>
              <w:rPr>
                <w:rFonts w:asciiTheme="minorHAnsi" w:hAnsiTheme="minorHAnsi"/>
                <w:b/>
                <w:bCs/>
                <w:color w:val="002776"/>
                <w:sz w:val="20"/>
              </w:rPr>
            </w:pPr>
          </w:p>
        </w:tc>
        <w:tc>
          <w:tcPr>
            <w:tcW w:w="359" w:type="pct"/>
            <w:tcBorders>
              <w:top w:val="single" w:sz="12" w:space="0" w:color="002776"/>
              <w:left w:val="nil"/>
              <w:right w:val="nil"/>
            </w:tcBorders>
            <w:shd w:val="clear" w:color="auto" w:fill="auto"/>
            <w:vAlign w:val="center"/>
          </w:tcPr>
          <w:p w:rsidR="00612FD8" w:rsidRPr="00444981" w:rsidRDefault="00612FD8" w:rsidP="0083262F">
            <w:pPr>
              <w:jc w:val="center"/>
              <w:outlineLvl w:val="0"/>
              <w:rPr>
                <w:rFonts w:asciiTheme="minorHAnsi" w:hAnsiTheme="minorHAnsi"/>
                <w:b/>
                <w:bCs/>
                <w:color w:val="002776"/>
                <w:sz w:val="20"/>
              </w:rPr>
            </w:pPr>
          </w:p>
        </w:tc>
        <w:tc>
          <w:tcPr>
            <w:tcW w:w="441" w:type="pct"/>
            <w:tcBorders>
              <w:top w:val="single" w:sz="12" w:space="0" w:color="002776"/>
              <w:left w:val="nil"/>
              <w:right w:val="nil"/>
            </w:tcBorders>
            <w:shd w:val="clear" w:color="auto" w:fill="auto"/>
            <w:vAlign w:val="center"/>
          </w:tcPr>
          <w:p w:rsidR="00612FD8" w:rsidRPr="00444981" w:rsidRDefault="00612FD8" w:rsidP="0083262F">
            <w:pPr>
              <w:jc w:val="center"/>
              <w:outlineLvl w:val="0"/>
              <w:rPr>
                <w:rFonts w:asciiTheme="minorHAnsi" w:hAnsiTheme="minorHAnsi"/>
                <w:b/>
                <w:bCs/>
                <w:color w:val="002776"/>
                <w:sz w:val="20"/>
              </w:rPr>
            </w:pPr>
          </w:p>
        </w:tc>
        <w:tc>
          <w:tcPr>
            <w:tcW w:w="441" w:type="pct"/>
            <w:tcBorders>
              <w:top w:val="single" w:sz="12" w:space="0" w:color="002776"/>
              <w:left w:val="nil"/>
              <w:right w:val="nil"/>
            </w:tcBorders>
            <w:shd w:val="clear" w:color="auto" w:fill="auto"/>
            <w:vAlign w:val="center"/>
          </w:tcPr>
          <w:p w:rsidR="00612FD8" w:rsidRPr="00444981" w:rsidRDefault="00612FD8" w:rsidP="0083262F">
            <w:pPr>
              <w:jc w:val="center"/>
              <w:outlineLvl w:val="0"/>
              <w:rPr>
                <w:rFonts w:asciiTheme="minorHAnsi" w:hAnsiTheme="minorHAnsi"/>
                <w:b/>
                <w:bCs/>
                <w:color w:val="002776"/>
                <w:sz w:val="20"/>
              </w:rPr>
            </w:pPr>
          </w:p>
        </w:tc>
        <w:tc>
          <w:tcPr>
            <w:tcW w:w="439" w:type="pct"/>
            <w:tcBorders>
              <w:top w:val="single" w:sz="12" w:space="0" w:color="002776"/>
              <w:left w:val="nil"/>
              <w:right w:val="nil"/>
            </w:tcBorders>
            <w:shd w:val="clear" w:color="auto" w:fill="auto"/>
            <w:vAlign w:val="center"/>
          </w:tcPr>
          <w:p w:rsidR="00612FD8" w:rsidRPr="00444981" w:rsidRDefault="00612FD8" w:rsidP="0083262F">
            <w:pPr>
              <w:jc w:val="center"/>
              <w:outlineLvl w:val="0"/>
              <w:rPr>
                <w:rFonts w:asciiTheme="minorHAnsi" w:hAnsiTheme="minorHAnsi"/>
                <w:b/>
                <w:bCs/>
                <w:color w:val="002776"/>
                <w:sz w:val="20"/>
              </w:rPr>
            </w:pPr>
          </w:p>
        </w:tc>
        <w:tc>
          <w:tcPr>
            <w:tcW w:w="441" w:type="pct"/>
            <w:tcBorders>
              <w:top w:val="single" w:sz="12" w:space="0" w:color="002776"/>
              <w:left w:val="nil"/>
              <w:right w:val="nil"/>
            </w:tcBorders>
            <w:shd w:val="clear" w:color="auto" w:fill="auto"/>
            <w:vAlign w:val="center"/>
          </w:tcPr>
          <w:p w:rsidR="00612FD8" w:rsidRPr="00444981" w:rsidRDefault="00612FD8" w:rsidP="0083262F">
            <w:pPr>
              <w:jc w:val="center"/>
              <w:outlineLvl w:val="0"/>
              <w:rPr>
                <w:rFonts w:asciiTheme="minorHAnsi" w:hAnsiTheme="minorHAnsi"/>
                <w:b/>
                <w:bCs/>
                <w:color w:val="002776"/>
                <w:sz w:val="20"/>
              </w:rPr>
            </w:pPr>
          </w:p>
        </w:tc>
        <w:tc>
          <w:tcPr>
            <w:tcW w:w="441" w:type="pct"/>
            <w:tcBorders>
              <w:top w:val="single" w:sz="12" w:space="0" w:color="002776"/>
              <w:left w:val="nil"/>
              <w:right w:val="nil"/>
            </w:tcBorders>
            <w:shd w:val="clear" w:color="auto" w:fill="auto"/>
            <w:vAlign w:val="center"/>
          </w:tcPr>
          <w:p w:rsidR="00612FD8" w:rsidRPr="00444981" w:rsidRDefault="00612FD8" w:rsidP="0083262F">
            <w:pPr>
              <w:jc w:val="center"/>
              <w:outlineLvl w:val="0"/>
              <w:rPr>
                <w:rFonts w:asciiTheme="minorHAnsi" w:hAnsiTheme="minorHAnsi"/>
                <w:b/>
                <w:bCs/>
                <w:color w:val="002776"/>
                <w:sz w:val="20"/>
              </w:rPr>
            </w:pPr>
          </w:p>
        </w:tc>
        <w:tc>
          <w:tcPr>
            <w:tcW w:w="422" w:type="pct"/>
            <w:tcBorders>
              <w:top w:val="single" w:sz="12" w:space="0" w:color="002776"/>
              <w:left w:val="nil"/>
              <w:right w:val="nil"/>
            </w:tcBorders>
            <w:shd w:val="clear" w:color="auto" w:fill="auto"/>
            <w:vAlign w:val="center"/>
          </w:tcPr>
          <w:p w:rsidR="00612FD8" w:rsidRPr="00444981" w:rsidRDefault="00612FD8" w:rsidP="0083262F">
            <w:pPr>
              <w:jc w:val="center"/>
              <w:outlineLvl w:val="0"/>
              <w:rPr>
                <w:rFonts w:asciiTheme="minorHAnsi" w:hAnsiTheme="minorHAnsi"/>
                <w:b/>
                <w:bCs/>
                <w:color w:val="002776"/>
                <w:sz w:val="20"/>
              </w:rPr>
            </w:pPr>
          </w:p>
        </w:tc>
      </w:tr>
      <w:tr w:rsidR="00612FD8" w:rsidRPr="002861E2" w:rsidTr="00DA4CA5">
        <w:trPr>
          <w:gridAfter w:val="1"/>
          <w:wAfter w:w="11" w:type="pct"/>
          <w:trHeight w:val="255"/>
        </w:trPr>
        <w:tc>
          <w:tcPr>
            <w:tcW w:w="1047" w:type="pct"/>
            <w:tcBorders>
              <w:top w:val="nil"/>
              <w:left w:val="nil"/>
              <w:bottom w:val="nil"/>
              <w:right w:val="nil"/>
            </w:tcBorders>
            <w:shd w:val="clear" w:color="auto" w:fill="auto"/>
            <w:vAlign w:val="center"/>
            <w:hideMark/>
          </w:tcPr>
          <w:p w:rsidR="00612FD8" w:rsidRPr="00444981" w:rsidRDefault="00612FD8" w:rsidP="0083262F">
            <w:pPr>
              <w:ind w:left="108"/>
              <w:jc w:val="both"/>
              <w:outlineLvl w:val="0"/>
              <w:rPr>
                <w:rFonts w:asciiTheme="minorHAnsi" w:hAnsiTheme="minorHAnsi"/>
                <w:i/>
                <w:iCs/>
                <w:color w:val="000000"/>
                <w:sz w:val="20"/>
              </w:rPr>
            </w:pPr>
            <w:r>
              <w:rPr>
                <w:rFonts w:asciiTheme="minorHAnsi" w:hAnsiTheme="minorHAnsi"/>
                <w:i/>
                <w:iCs/>
                <w:color w:val="000000"/>
                <w:sz w:val="20"/>
              </w:rPr>
              <w:t>Private benefits</w:t>
            </w:r>
          </w:p>
        </w:tc>
        <w:tc>
          <w:tcPr>
            <w:tcW w:w="504" w:type="pct"/>
            <w:tcBorders>
              <w:top w:val="nil"/>
              <w:left w:val="nil"/>
              <w:bottom w:val="nil"/>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20"/>
              </w:rPr>
              <w:t>50%</w:t>
            </w:r>
          </w:p>
        </w:tc>
        <w:tc>
          <w:tcPr>
            <w:tcW w:w="455" w:type="pct"/>
            <w:tcBorders>
              <w:top w:val="nil"/>
              <w:left w:val="nil"/>
              <w:bottom w:val="nil"/>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50%</w:t>
            </w:r>
          </w:p>
        </w:tc>
        <w:tc>
          <w:tcPr>
            <w:tcW w:w="359" w:type="pct"/>
            <w:tcBorders>
              <w:top w:val="nil"/>
              <w:left w:val="nil"/>
              <w:bottom w:val="nil"/>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51%</w:t>
            </w:r>
          </w:p>
        </w:tc>
        <w:tc>
          <w:tcPr>
            <w:tcW w:w="441" w:type="pct"/>
            <w:tcBorders>
              <w:top w:val="nil"/>
              <w:left w:val="nil"/>
              <w:bottom w:val="nil"/>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39%</w:t>
            </w:r>
          </w:p>
        </w:tc>
        <w:tc>
          <w:tcPr>
            <w:tcW w:w="441" w:type="pct"/>
            <w:tcBorders>
              <w:top w:val="nil"/>
              <w:left w:val="nil"/>
              <w:bottom w:val="nil"/>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44%</w:t>
            </w:r>
          </w:p>
        </w:tc>
        <w:tc>
          <w:tcPr>
            <w:tcW w:w="439" w:type="pct"/>
            <w:tcBorders>
              <w:top w:val="nil"/>
              <w:left w:val="nil"/>
              <w:bottom w:val="nil"/>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48%</w:t>
            </w:r>
          </w:p>
        </w:tc>
        <w:tc>
          <w:tcPr>
            <w:tcW w:w="441" w:type="pct"/>
            <w:tcBorders>
              <w:top w:val="nil"/>
              <w:left w:val="nil"/>
              <w:bottom w:val="nil"/>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41%</w:t>
            </w:r>
          </w:p>
        </w:tc>
        <w:tc>
          <w:tcPr>
            <w:tcW w:w="441" w:type="pct"/>
            <w:tcBorders>
              <w:top w:val="nil"/>
              <w:left w:val="nil"/>
              <w:bottom w:val="nil"/>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45%</w:t>
            </w:r>
          </w:p>
        </w:tc>
        <w:tc>
          <w:tcPr>
            <w:tcW w:w="422" w:type="pct"/>
            <w:tcBorders>
              <w:top w:val="nil"/>
              <w:left w:val="nil"/>
              <w:bottom w:val="nil"/>
              <w:right w:val="nil"/>
            </w:tcBorders>
            <w:shd w:val="clear" w:color="auto" w:fill="auto"/>
            <w:vAlign w:val="center"/>
            <w:hideMark/>
          </w:tcPr>
          <w:p w:rsidR="00612FD8" w:rsidRPr="00F3696D" w:rsidRDefault="00612FD8" w:rsidP="0083262F">
            <w:pPr>
              <w:jc w:val="center"/>
              <w:outlineLvl w:val="0"/>
              <w:rPr>
                <w:rFonts w:asciiTheme="minorHAnsi" w:hAnsiTheme="minorHAnsi"/>
                <w:b/>
                <w:color w:val="002776" w:themeColor="accent1"/>
                <w:sz w:val="18"/>
              </w:rPr>
            </w:pPr>
            <w:r w:rsidRPr="00F3696D">
              <w:rPr>
                <w:b/>
                <w:color w:val="002776" w:themeColor="accent1"/>
                <w:sz w:val="18"/>
                <w:szCs w:val="18"/>
              </w:rPr>
              <w:t>45%</w:t>
            </w:r>
          </w:p>
        </w:tc>
      </w:tr>
      <w:tr w:rsidR="00612FD8" w:rsidRPr="002861E2" w:rsidTr="00DA4CA5">
        <w:trPr>
          <w:gridAfter w:val="1"/>
          <w:wAfter w:w="11" w:type="pct"/>
          <w:trHeight w:val="255"/>
        </w:trPr>
        <w:tc>
          <w:tcPr>
            <w:tcW w:w="1047" w:type="pct"/>
            <w:tcBorders>
              <w:top w:val="nil"/>
              <w:left w:val="nil"/>
              <w:bottom w:val="single" w:sz="4" w:space="0" w:color="002776" w:themeColor="accent1"/>
              <w:right w:val="nil"/>
            </w:tcBorders>
            <w:shd w:val="clear" w:color="auto" w:fill="auto"/>
            <w:noWrap/>
            <w:vAlign w:val="bottom"/>
            <w:hideMark/>
          </w:tcPr>
          <w:p w:rsidR="00612FD8" w:rsidRPr="00444981" w:rsidRDefault="00612FD8" w:rsidP="0083262F">
            <w:pPr>
              <w:ind w:left="108"/>
              <w:outlineLvl w:val="0"/>
              <w:rPr>
                <w:rFonts w:asciiTheme="minorHAnsi" w:hAnsiTheme="minorHAnsi"/>
                <w:i/>
                <w:iCs/>
                <w:color w:val="000000"/>
                <w:sz w:val="20"/>
              </w:rPr>
            </w:pPr>
            <w:r>
              <w:rPr>
                <w:rFonts w:asciiTheme="minorHAnsi" w:hAnsiTheme="minorHAnsi"/>
                <w:i/>
                <w:iCs/>
                <w:color w:val="000000"/>
                <w:sz w:val="20"/>
              </w:rPr>
              <w:t>Public benefits</w:t>
            </w:r>
          </w:p>
        </w:tc>
        <w:tc>
          <w:tcPr>
            <w:tcW w:w="504" w:type="pct"/>
            <w:tcBorders>
              <w:top w:val="nil"/>
              <w:left w:val="nil"/>
              <w:bottom w:val="single" w:sz="4" w:space="0" w:color="002776" w:themeColor="accent1"/>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50%</w:t>
            </w:r>
          </w:p>
        </w:tc>
        <w:tc>
          <w:tcPr>
            <w:tcW w:w="455" w:type="pct"/>
            <w:tcBorders>
              <w:top w:val="nil"/>
              <w:left w:val="nil"/>
              <w:bottom w:val="single" w:sz="4" w:space="0" w:color="002776" w:themeColor="accent1"/>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50%</w:t>
            </w:r>
          </w:p>
        </w:tc>
        <w:tc>
          <w:tcPr>
            <w:tcW w:w="359" w:type="pct"/>
            <w:tcBorders>
              <w:top w:val="nil"/>
              <w:left w:val="nil"/>
              <w:bottom w:val="single" w:sz="4" w:space="0" w:color="002776" w:themeColor="accent1"/>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49%</w:t>
            </w:r>
          </w:p>
        </w:tc>
        <w:tc>
          <w:tcPr>
            <w:tcW w:w="441" w:type="pct"/>
            <w:tcBorders>
              <w:top w:val="nil"/>
              <w:left w:val="nil"/>
              <w:bottom w:val="single" w:sz="4" w:space="0" w:color="002776" w:themeColor="accent1"/>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61%</w:t>
            </w:r>
          </w:p>
        </w:tc>
        <w:tc>
          <w:tcPr>
            <w:tcW w:w="441" w:type="pct"/>
            <w:tcBorders>
              <w:top w:val="nil"/>
              <w:left w:val="nil"/>
              <w:bottom w:val="single" w:sz="4" w:space="0" w:color="002776" w:themeColor="accent1"/>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56%</w:t>
            </w:r>
          </w:p>
        </w:tc>
        <w:tc>
          <w:tcPr>
            <w:tcW w:w="439" w:type="pct"/>
            <w:tcBorders>
              <w:top w:val="nil"/>
              <w:left w:val="nil"/>
              <w:bottom w:val="single" w:sz="4" w:space="0" w:color="002776" w:themeColor="accent1"/>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52%</w:t>
            </w:r>
          </w:p>
        </w:tc>
        <w:tc>
          <w:tcPr>
            <w:tcW w:w="441" w:type="pct"/>
            <w:tcBorders>
              <w:top w:val="nil"/>
              <w:left w:val="nil"/>
              <w:bottom w:val="single" w:sz="4" w:space="0" w:color="002776" w:themeColor="accent1"/>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59%</w:t>
            </w:r>
          </w:p>
        </w:tc>
        <w:tc>
          <w:tcPr>
            <w:tcW w:w="441" w:type="pct"/>
            <w:tcBorders>
              <w:top w:val="nil"/>
              <w:left w:val="nil"/>
              <w:bottom w:val="single" w:sz="4" w:space="0" w:color="002776" w:themeColor="accent1"/>
              <w:right w:val="nil"/>
            </w:tcBorders>
            <w:shd w:val="clear" w:color="auto" w:fill="auto"/>
            <w:vAlign w:val="center"/>
            <w:hideMark/>
          </w:tcPr>
          <w:p w:rsidR="00612FD8" w:rsidRPr="00AF4C12" w:rsidRDefault="00612FD8" w:rsidP="0083262F">
            <w:pPr>
              <w:jc w:val="center"/>
              <w:outlineLvl w:val="0"/>
              <w:rPr>
                <w:rFonts w:asciiTheme="minorHAnsi" w:hAnsiTheme="minorHAnsi"/>
                <w:color w:val="000000"/>
                <w:sz w:val="18"/>
              </w:rPr>
            </w:pPr>
            <w:r>
              <w:rPr>
                <w:color w:val="000000"/>
                <w:sz w:val="18"/>
                <w:szCs w:val="18"/>
              </w:rPr>
              <w:t>55%</w:t>
            </w:r>
          </w:p>
        </w:tc>
        <w:tc>
          <w:tcPr>
            <w:tcW w:w="422" w:type="pct"/>
            <w:tcBorders>
              <w:top w:val="nil"/>
              <w:left w:val="nil"/>
              <w:bottom w:val="single" w:sz="4" w:space="0" w:color="002776" w:themeColor="accent1"/>
              <w:right w:val="nil"/>
            </w:tcBorders>
            <w:shd w:val="clear" w:color="auto" w:fill="auto"/>
            <w:vAlign w:val="center"/>
            <w:hideMark/>
          </w:tcPr>
          <w:p w:rsidR="00612FD8" w:rsidRPr="00F3696D" w:rsidRDefault="00612FD8" w:rsidP="0083262F">
            <w:pPr>
              <w:jc w:val="center"/>
              <w:outlineLvl w:val="0"/>
              <w:rPr>
                <w:rFonts w:asciiTheme="minorHAnsi" w:hAnsiTheme="minorHAnsi"/>
                <w:b/>
                <w:color w:val="002776" w:themeColor="accent1"/>
                <w:sz w:val="18"/>
              </w:rPr>
            </w:pPr>
            <w:r w:rsidRPr="00F3696D">
              <w:rPr>
                <w:b/>
                <w:color w:val="002776" w:themeColor="accent1"/>
                <w:sz w:val="18"/>
                <w:szCs w:val="18"/>
              </w:rPr>
              <w:t>55%</w:t>
            </w:r>
          </w:p>
        </w:tc>
      </w:tr>
      <w:tr w:rsidR="00612FD8" w:rsidRPr="002861E2" w:rsidTr="00DA4CA5">
        <w:trPr>
          <w:gridAfter w:val="1"/>
          <w:wAfter w:w="11" w:type="pct"/>
          <w:trHeight w:val="270"/>
        </w:trPr>
        <w:tc>
          <w:tcPr>
            <w:tcW w:w="1047" w:type="pct"/>
            <w:tcBorders>
              <w:top w:val="single" w:sz="8" w:space="0" w:color="002776" w:themeColor="accent1"/>
              <w:left w:val="nil"/>
              <w:bottom w:val="nil"/>
              <w:right w:val="nil"/>
            </w:tcBorders>
            <w:shd w:val="clear" w:color="auto" w:fill="auto"/>
            <w:vAlign w:val="center"/>
          </w:tcPr>
          <w:p w:rsidR="00612FD8" w:rsidRPr="00444981" w:rsidRDefault="00612FD8" w:rsidP="0083262F">
            <w:pPr>
              <w:jc w:val="both"/>
              <w:outlineLvl w:val="0"/>
              <w:rPr>
                <w:rFonts w:asciiTheme="minorHAnsi" w:hAnsiTheme="minorHAnsi"/>
                <w:b/>
                <w:iCs/>
                <w:color w:val="000000"/>
                <w:sz w:val="20"/>
              </w:rPr>
            </w:pPr>
            <w:r w:rsidRPr="00444981">
              <w:rPr>
                <w:rFonts w:asciiTheme="minorHAnsi" w:hAnsiTheme="minorHAnsi"/>
                <w:b/>
                <w:iCs/>
                <w:color w:val="002776" w:themeColor="accent1"/>
                <w:sz w:val="20"/>
              </w:rPr>
              <w:t>Postgraduate level</w:t>
            </w:r>
          </w:p>
        </w:tc>
        <w:tc>
          <w:tcPr>
            <w:tcW w:w="504" w:type="pct"/>
            <w:tcBorders>
              <w:top w:val="single" w:sz="8" w:space="0" w:color="002776" w:themeColor="accent1"/>
              <w:left w:val="nil"/>
              <w:bottom w:val="nil"/>
              <w:right w:val="nil"/>
            </w:tcBorders>
            <w:shd w:val="clear" w:color="auto" w:fill="auto"/>
            <w:vAlign w:val="center"/>
          </w:tcPr>
          <w:p w:rsidR="00612FD8" w:rsidRPr="00D13CF9" w:rsidRDefault="00612FD8" w:rsidP="0083262F">
            <w:pPr>
              <w:jc w:val="center"/>
              <w:outlineLvl w:val="0"/>
              <w:rPr>
                <w:color w:val="000000"/>
                <w:sz w:val="18"/>
              </w:rPr>
            </w:pPr>
          </w:p>
        </w:tc>
        <w:tc>
          <w:tcPr>
            <w:tcW w:w="455" w:type="pct"/>
            <w:tcBorders>
              <w:top w:val="single" w:sz="8" w:space="0" w:color="002776" w:themeColor="accent1"/>
              <w:left w:val="nil"/>
              <w:bottom w:val="nil"/>
              <w:right w:val="nil"/>
            </w:tcBorders>
            <w:shd w:val="clear" w:color="auto" w:fill="auto"/>
            <w:vAlign w:val="center"/>
          </w:tcPr>
          <w:p w:rsidR="00612FD8" w:rsidRPr="00D13CF9" w:rsidRDefault="00612FD8" w:rsidP="0083262F">
            <w:pPr>
              <w:jc w:val="center"/>
              <w:outlineLvl w:val="0"/>
              <w:rPr>
                <w:color w:val="000000"/>
                <w:sz w:val="18"/>
              </w:rPr>
            </w:pPr>
          </w:p>
        </w:tc>
        <w:tc>
          <w:tcPr>
            <w:tcW w:w="359" w:type="pct"/>
            <w:tcBorders>
              <w:top w:val="single" w:sz="8" w:space="0" w:color="002776" w:themeColor="accent1"/>
              <w:left w:val="nil"/>
              <w:bottom w:val="nil"/>
              <w:right w:val="nil"/>
            </w:tcBorders>
            <w:shd w:val="clear" w:color="auto" w:fill="auto"/>
            <w:vAlign w:val="center"/>
          </w:tcPr>
          <w:p w:rsidR="00612FD8" w:rsidRPr="00D13CF9" w:rsidRDefault="00612FD8" w:rsidP="0083262F">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612FD8" w:rsidRPr="00D13CF9" w:rsidRDefault="00612FD8" w:rsidP="0083262F">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612FD8" w:rsidRPr="00D13CF9" w:rsidRDefault="00612FD8" w:rsidP="0083262F">
            <w:pPr>
              <w:jc w:val="center"/>
              <w:outlineLvl w:val="0"/>
              <w:rPr>
                <w:color w:val="000000"/>
                <w:sz w:val="18"/>
              </w:rPr>
            </w:pPr>
          </w:p>
        </w:tc>
        <w:tc>
          <w:tcPr>
            <w:tcW w:w="439" w:type="pct"/>
            <w:tcBorders>
              <w:top w:val="single" w:sz="8" w:space="0" w:color="002776" w:themeColor="accent1"/>
              <w:left w:val="nil"/>
              <w:bottom w:val="nil"/>
              <w:right w:val="nil"/>
            </w:tcBorders>
            <w:shd w:val="clear" w:color="auto" w:fill="auto"/>
            <w:vAlign w:val="center"/>
          </w:tcPr>
          <w:p w:rsidR="00612FD8" w:rsidRPr="00D13CF9" w:rsidRDefault="00612FD8" w:rsidP="0083262F">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612FD8" w:rsidRPr="00D13CF9" w:rsidRDefault="00612FD8" w:rsidP="0083262F">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612FD8" w:rsidRPr="00D13CF9" w:rsidRDefault="00612FD8" w:rsidP="0083262F">
            <w:pPr>
              <w:jc w:val="center"/>
              <w:outlineLvl w:val="0"/>
              <w:rPr>
                <w:color w:val="000000"/>
                <w:sz w:val="18"/>
              </w:rPr>
            </w:pPr>
          </w:p>
        </w:tc>
        <w:tc>
          <w:tcPr>
            <w:tcW w:w="422" w:type="pct"/>
            <w:tcBorders>
              <w:top w:val="single" w:sz="8" w:space="0" w:color="002776" w:themeColor="accent1"/>
              <w:left w:val="nil"/>
              <w:bottom w:val="nil"/>
              <w:right w:val="nil"/>
            </w:tcBorders>
            <w:shd w:val="clear" w:color="auto" w:fill="auto"/>
            <w:vAlign w:val="center"/>
          </w:tcPr>
          <w:p w:rsidR="00612FD8" w:rsidRPr="00F3696D" w:rsidRDefault="00612FD8" w:rsidP="0083262F">
            <w:pPr>
              <w:jc w:val="center"/>
              <w:outlineLvl w:val="0"/>
              <w:rPr>
                <w:b/>
                <w:color w:val="002776" w:themeColor="accent1"/>
                <w:sz w:val="18"/>
              </w:rPr>
            </w:pPr>
          </w:p>
        </w:tc>
      </w:tr>
      <w:tr w:rsidR="00612FD8" w:rsidRPr="00444981" w:rsidTr="00DA4CA5">
        <w:trPr>
          <w:trHeight w:val="255"/>
        </w:trPr>
        <w:tc>
          <w:tcPr>
            <w:tcW w:w="1047" w:type="pct"/>
            <w:tcBorders>
              <w:top w:val="nil"/>
              <w:left w:val="nil"/>
              <w:bottom w:val="nil"/>
              <w:right w:val="nil"/>
            </w:tcBorders>
            <w:shd w:val="clear" w:color="auto" w:fill="auto"/>
            <w:vAlign w:val="center"/>
            <w:hideMark/>
          </w:tcPr>
          <w:p w:rsidR="00612FD8" w:rsidRPr="00444981" w:rsidRDefault="00612FD8" w:rsidP="0083262F">
            <w:pPr>
              <w:ind w:left="108"/>
              <w:jc w:val="both"/>
              <w:outlineLvl w:val="0"/>
              <w:rPr>
                <w:rFonts w:asciiTheme="minorHAnsi" w:hAnsiTheme="minorHAnsi"/>
                <w:i/>
                <w:iCs/>
                <w:color w:val="000000"/>
                <w:sz w:val="20"/>
              </w:rPr>
            </w:pPr>
            <w:r>
              <w:rPr>
                <w:rFonts w:asciiTheme="minorHAnsi" w:hAnsiTheme="minorHAnsi"/>
                <w:i/>
                <w:iCs/>
                <w:color w:val="000000"/>
                <w:sz w:val="20"/>
              </w:rPr>
              <w:t>Private benefits</w:t>
            </w:r>
          </w:p>
        </w:tc>
        <w:tc>
          <w:tcPr>
            <w:tcW w:w="504" w:type="pct"/>
            <w:tcBorders>
              <w:top w:val="nil"/>
              <w:left w:val="nil"/>
              <w:bottom w:val="nil"/>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20"/>
              </w:rPr>
              <w:t>49%</w:t>
            </w:r>
          </w:p>
        </w:tc>
        <w:tc>
          <w:tcPr>
            <w:tcW w:w="455" w:type="pct"/>
            <w:tcBorders>
              <w:top w:val="nil"/>
              <w:left w:val="nil"/>
              <w:bottom w:val="nil"/>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51%</w:t>
            </w:r>
          </w:p>
        </w:tc>
        <w:tc>
          <w:tcPr>
            <w:tcW w:w="359" w:type="pct"/>
            <w:tcBorders>
              <w:top w:val="nil"/>
              <w:left w:val="nil"/>
              <w:bottom w:val="nil"/>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5</w:t>
            </w:r>
            <w:r w:rsidR="00977C78">
              <w:rPr>
                <w:color w:val="000000"/>
                <w:sz w:val="18"/>
                <w:szCs w:val="18"/>
              </w:rPr>
              <w:t>2</w:t>
            </w:r>
            <w:r>
              <w:rPr>
                <w:color w:val="000000"/>
                <w:sz w:val="18"/>
                <w:szCs w:val="18"/>
              </w:rPr>
              <w:t>%</w:t>
            </w:r>
          </w:p>
        </w:tc>
        <w:tc>
          <w:tcPr>
            <w:tcW w:w="441" w:type="pct"/>
            <w:tcBorders>
              <w:top w:val="nil"/>
              <w:left w:val="nil"/>
              <w:bottom w:val="nil"/>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42%</w:t>
            </w:r>
          </w:p>
        </w:tc>
        <w:tc>
          <w:tcPr>
            <w:tcW w:w="441" w:type="pct"/>
            <w:tcBorders>
              <w:top w:val="nil"/>
              <w:left w:val="nil"/>
              <w:bottom w:val="nil"/>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44%</w:t>
            </w:r>
          </w:p>
        </w:tc>
        <w:tc>
          <w:tcPr>
            <w:tcW w:w="439" w:type="pct"/>
            <w:tcBorders>
              <w:top w:val="nil"/>
              <w:left w:val="nil"/>
              <w:bottom w:val="nil"/>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50%</w:t>
            </w:r>
          </w:p>
        </w:tc>
        <w:tc>
          <w:tcPr>
            <w:tcW w:w="441" w:type="pct"/>
            <w:tcBorders>
              <w:top w:val="nil"/>
              <w:left w:val="nil"/>
              <w:bottom w:val="nil"/>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48%</w:t>
            </w:r>
          </w:p>
        </w:tc>
        <w:tc>
          <w:tcPr>
            <w:tcW w:w="441" w:type="pct"/>
            <w:tcBorders>
              <w:top w:val="nil"/>
              <w:left w:val="nil"/>
              <w:bottom w:val="nil"/>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45%</w:t>
            </w:r>
          </w:p>
        </w:tc>
        <w:tc>
          <w:tcPr>
            <w:tcW w:w="433" w:type="pct"/>
            <w:gridSpan w:val="2"/>
            <w:tcBorders>
              <w:top w:val="nil"/>
              <w:left w:val="nil"/>
              <w:bottom w:val="nil"/>
              <w:right w:val="nil"/>
            </w:tcBorders>
            <w:shd w:val="clear" w:color="auto" w:fill="auto"/>
            <w:vAlign w:val="center"/>
            <w:hideMark/>
          </w:tcPr>
          <w:p w:rsidR="00612FD8" w:rsidRPr="00F3696D" w:rsidRDefault="00612FD8" w:rsidP="0083262F">
            <w:pPr>
              <w:jc w:val="center"/>
              <w:outlineLvl w:val="0"/>
              <w:rPr>
                <w:rFonts w:asciiTheme="minorHAnsi" w:hAnsiTheme="minorHAnsi"/>
                <w:b/>
                <w:color w:val="002776" w:themeColor="accent1"/>
                <w:sz w:val="18"/>
              </w:rPr>
            </w:pPr>
            <w:r w:rsidRPr="00F3696D">
              <w:rPr>
                <w:b/>
                <w:color w:val="002776" w:themeColor="accent1"/>
                <w:sz w:val="18"/>
                <w:szCs w:val="18"/>
              </w:rPr>
              <w:t>4</w:t>
            </w:r>
            <w:r w:rsidR="00977C78">
              <w:rPr>
                <w:b/>
                <w:color w:val="002776" w:themeColor="accent1"/>
                <w:sz w:val="18"/>
                <w:szCs w:val="18"/>
              </w:rPr>
              <w:t>7</w:t>
            </w:r>
            <w:r w:rsidRPr="00F3696D">
              <w:rPr>
                <w:b/>
                <w:color w:val="002776" w:themeColor="accent1"/>
                <w:sz w:val="18"/>
                <w:szCs w:val="18"/>
              </w:rPr>
              <w:t>%</w:t>
            </w:r>
          </w:p>
        </w:tc>
      </w:tr>
      <w:tr w:rsidR="00612FD8" w:rsidRPr="00444981" w:rsidTr="00DA4CA5">
        <w:trPr>
          <w:trHeight w:val="255"/>
        </w:trPr>
        <w:tc>
          <w:tcPr>
            <w:tcW w:w="1047" w:type="pct"/>
            <w:tcBorders>
              <w:top w:val="nil"/>
              <w:left w:val="nil"/>
              <w:bottom w:val="single" w:sz="4" w:space="0" w:color="002776" w:themeColor="accent1"/>
              <w:right w:val="nil"/>
            </w:tcBorders>
            <w:shd w:val="clear" w:color="auto" w:fill="auto"/>
            <w:noWrap/>
            <w:vAlign w:val="bottom"/>
            <w:hideMark/>
          </w:tcPr>
          <w:p w:rsidR="00612FD8" w:rsidRPr="00444981" w:rsidRDefault="00612FD8" w:rsidP="0083262F">
            <w:pPr>
              <w:ind w:left="108"/>
              <w:outlineLvl w:val="0"/>
              <w:rPr>
                <w:rFonts w:asciiTheme="minorHAnsi" w:hAnsiTheme="minorHAnsi"/>
                <w:i/>
                <w:iCs/>
                <w:color w:val="000000"/>
                <w:sz w:val="20"/>
              </w:rPr>
            </w:pPr>
            <w:r>
              <w:rPr>
                <w:rFonts w:asciiTheme="minorHAnsi" w:hAnsiTheme="minorHAnsi"/>
                <w:i/>
                <w:iCs/>
                <w:color w:val="000000"/>
                <w:sz w:val="20"/>
              </w:rPr>
              <w:t>Public benefits</w:t>
            </w:r>
          </w:p>
        </w:tc>
        <w:tc>
          <w:tcPr>
            <w:tcW w:w="504" w:type="pct"/>
            <w:tcBorders>
              <w:top w:val="nil"/>
              <w:left w:val="nil"/>
              <w:bottom w:val="single" w:sz="4" w:space="0" w:color="002776" w:themeColor="accent1"/>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51%</w:t>
            </w:r>
          </w:p>
        </w:tc>
        <w:tc>
          <w:tcPr>
            <w:tcW w:w="455" w:type="pct"/>
            <w:tcBorders>
              <w:top w:val="nil"/>
              <w:left w:val="nil"/>
              <w:bottom w:val="single" w:sz="4" w:space="0" w:color="002776" w:themeColor="accent1"/>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49%</w:t>
            </w:r>
          </w:p>
        </w:tc>
        <w:tc>
          <w:tcPr>
            <w:tcW w:w="359" w:type="pct"/>
            <w:tcBorders>
              <w:top w:val="nil"/>
              <w:left w:val="nil"/>
              <w:bottom w:val="single" w:sz="4" w:space="0" w:color="002776" w:themeColor="accent1"/>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4</w:t>
            </w:r>
            <w:r w:rsidR="00977C78">
              <w:rPr>
                <w:color w:val="000000"/>
                <w:sz w:val="18"/>
                <w:szCs w:val="18"/>
              </w:rPr>
              <w:t>8</w:t>
            </w:r>
            <w:r>
              <w:rPr>
                <w:color w:val="000000"/>
                <w:sz w:val="18"/>
                <w:szCs w:val="18"/>
              </w:rPr>
              <w:t>%</w:t>
            </w:r>
          </w:p>
        </w:tc>
        <w:tc>
          <w:tcPr>
            <w:tcW w:w="441" w:type="pct"/>
            <w:tcBorders>
              <w:top w:val="nil"/>
              <w:left w:val="nil"/>
              <w:bottom w:val="single" w:sz="4" w:space="0" w:color="002776" w:themeColor="accent1"/>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58%</w:t>
            </w:r>
          </w:p>
        </w:tc>
        <w:tc>
          <w:tcPr>
            <w:tcW w:w="441" w:type="pct"/>
            <w:tcBorders>
              <w:top w:val="nil"/>
              <w:left w:val="nil"/>
              <w:bottom w:val="single" w:sz="4" w:space="0" w:color="002776" w:themeColor="accent1"/>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56%</w:t>
            </w:r>
          </w:p>
        </w:tc>
        <w:tc>
          <w:tcPr>
            <w:tcW w:w="439" w:type="pct"/>
            <w:tcBorders>
              <w:top w:val="nil"/>
              <w:left w:val="nil"/>
              <w:bottom w:val="single" w:sz="4" w:space="0" w:color="002776" w:themeColor="accent1"/>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50%</w:t>
            </w:r>
          </w:p>
        </w:tc>
        <w:tc>
          <w:tcPr>
            <w:tcW w:w="441" w:type="pct"/>
            <w:tcBorders>
              <w:top w:val="nil"/>
              <w:left w:val="nil"/>
              <w:bottom w:val="single" w:sz="4" w:space="0" w:color="002776" w:themeColor="accent1"/>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52%</w:t>
            </w:r>
          </w:p>
        </w:tc>
        <w:tc>
          <w:tcPr>
            <w:tcW w:w="441" w:type="pct"/>
            <w:tcBorders>
              <w:top w:val="nil"/>
              <w:left w:val="nil"/>
              <w:bottom w:val="single" w:sz="4" w:space="0" w:color="002776" w:themeColor="accent1"/>
              <w:right w:val="nil"/>
            </w:tcBorders>
            <w:shd w:val="clear" w:color="auto" w:fill="auto"/>
            <w:vAlign w:val="center"/>
            <w:hideMark/>
          </w:tcPr>
          <w:p w:rsidR="00612FD8" w:rsidRPr="00444981" w:rsidRDefault="00612FD8" w:rsidP="0083262F">
            <w:pPr>
              <w:jc w:val="center"/>
              <w:outlineLvl w:val="0"/>
              <w:rPr>
                <w:rFonts w:asciiTheme="minorHAnsi" w:hAnsiTheme="minorHAnsi"/>
                <w:color w:val="000000"/>
                <w:sz w:val="18"/>
              </w:rPr>
            </w:pPr>
            <w:r>
              <w:rPr>
                <w:color w:val="000000"/>
                <w:sz w:val="18"/>
                <w:szCs w:val="18"/>
              </w:rPr>
              <w:t>55%</w:t>
            </w:r>
          </w:p>
        </w:tc>
        <w:tc>
          <w:tcPr>
            <w:tcW w:w="433" w:type="pct"/>
            <w:gridSpan w:val="2"/>
            <w:tcBorders>
              <w:top w:val="nil"/>
              <w:left w:val="nil"/>
              <w:bottom w:val="single" w:sz="4" w:space="0" w:color="002776" w:themeColor="accent1"/>
              <w:right w:val="nil"/>
            </w:tcBorders>
            <w:shd w:val="clear" w:color="auto" w:fill="auto"/>
            <w:vAlign w:val="center"/>
            <w:hideMark/>
          </w:tcPr>
          <w:p w:rsidR="00612FD8" w:rsidRPr="00F3696D" w:rsidRDefault="00612FD8" w:rsidP="002C4CD8">
            <w:pPr>
              <w:jc w:val="center"/>
              <w:outlineLvl w:val="0"/>
              <w:rPr>
                <w:rFonts w:asciiTheme="minorHAnsi" w:hAnsiTheme="minorHAnsi"/>
                <w:b/>
                <w:color w:val="002776" w:themeColor="accent1"/>
                <w:sz w:val="18"/>
              </w:rPr>
            </w:pPr>
            <w:r w:rsidRPr="00F3696D">
              <w:rPr>
                <w:b/>
                <w:color w:val="002776" w:themeColor="accent1"/>
                <w:sz w:val="18"/>
                <w:szCs w:val="18"/>
              </w:rPr>
              <w:t>5</w:t>
            </w:r>
            <w:r w:rsidR="00977C78">
              <w:rPr>
                <w:b/>
                <w:color w:val="002776" w:themeColor="accent1"/>
                <w:sz w:val="18"/>
                <w:szCs w:val="18"/>
              </w:rPr>
              <w:t>3</w:t>
            </w:r>
            <w:r w:rsidRPr="00F3696D">
              <w:rPr>
                <w:b/>
                <w:color w:val="002776" w:themeColor="accent1"/>
                <w:sz w:val="18"/>
                <w:szCs w:val="18"/>
              </w:rPr>
              <w:t>%</w:t>
            </w:r>
          </w:p>
        </w:tc>
      </w:tr>
    </w:tbl>
    <w:p w:rsidR="0055318E" w:rsidRDefault="0055318E" w:rsidP="0055318E">
      <w:pPr>
        <w:pStyle w:val="Source"/>
      </w:pPr>
      <w:r w:rsidRPr="00444981">
        <w:t>Source: Deloitte Access Economics</w:t>
      </w:r>
      <w:r>
        <w:t xml:space="preserve"> RGEM CGE model</w:t>
      </w:r>
      <w:r w:rsidRPr="00444981">
        <w:t>, HILDA Survey, ABS Census</w:t>
      </w:r>
      <w:r>
        <w:t xml:space="preserve"> (2011)</w:t>
      </w:r>
      <w:r w:rsidRPr="00444981">
        <w:t xml:space="preserve">. </w:t>
      </w:r>
      <w:r w:rsidR="00FE59B0">
        <w:t>Averages are wage-volume weighted, based on Census counts of qualification holders</w:t>
      </w:r>
      <w:r>
        <w:t xml:space="preserve">. Shares use </w:t>
      </w:r>
      <w:r w:rsidR="00FE59B0">
        <w:t>a NPV calculation</w:t>
      </w:r>
      <w:r>
        <w:t xml:space="preserve"> at the 7% rate</w:t>
      </w:r>
    </w:p>
    <w:p w:rsidR="0055318E" w:rsidRDefault="0055318E" w:rsidP="0055318E">
      <w:pPr>
        <w:pStyle w:val="BodyText"/>
        <w:rPr>
          <w:rStyle w:val="Boldword"/>
          <w:b w:val="0"/>
          <w:color w:val="auto"/>
        </w:rPr>
      </w:pPr>
      <w:r>
        <w:rPr>
          <w:rStyle w:val="Boldword"/>
          <w:b w:val="0"/>
          <w:color w:val="auto"/>
        </w:rPr>
        <w:t>At an overall level, the results from this analysis align with comparable estimates provided by McMahon (2004),</w:t>
      </w:r>
      <w:r w:rsidR="00705D51">
        <w:rPr>
          <w:rStyle w:val="Boldword"/>
          <w:b w:val="0"/>
          <w:color w:val="auto"/>
        </w:rPr>
        <w:t xml:space="preserve"> </w:t>
      </w:r>
      <w:r w:rsidR="00075414">
        <w:rPr>
          <w:rStyle w:val="Boldword"/>
          <w:b w:val="0"/>
          <w:color w:val="auto"/>
        </w:rPr>
        <w:t>which estimated that the ratio of public to private benefits was around 50:50 on average; while also providing detail on how these relative benefits differ based on qualification and discipline.</w:t>
      </w:r>
      <w:r w:rsidR="001A3292">
        <w:rPr>
          <w:rStyle w:val="FootnoteReference"/>
          <w:lang w:eastAsia="en-AU"/>
        </w:rPr>
        <w:footnoteReference w:id="6"/>
      </w:r>
    </w:p>
    <w:p w:rsidR="009F1E01" w:rsidRDefault="00BB4632" w:rsidP="00BB4632">
      <w:pPr>
        <w:pStyle w:val="BodyText"/>
      </w:pPr>
      <w:r>
        <w:rPr>
          <w:rStyle w:val="Boldword"/>
          <w:b w:val="0"/>
          <w:color w:val="auto"/>
        </w:rPr>
        <w:t>While the CGE model of the Australian economy is an effective mechanism for capturing complex market based productivity spillovers, it does not effectively capture all the possible public benefits from higher education.</w:t>
      </w:r>
      <w:r>
        <w:t xml:space="preserve"> </w:t>
      </w:r>
      <w:r w:rsidR="009F1E01">
        <w:t xml:space="preserve">In particular, </w:t>
      </w:r>
      <w:r w:rsidR="009E595C">
        <w:t xml:space="preserve">the </w:t>
      </w:r>
      <w:r w:rsidR="009F1E01">
        <w:t xml:space="preserve">disciplines </w:t>
      </w:r>
      <w:r w:rsidR="009E595C">
        <w:t xml:space="preserve">that </w:t>
      </w:r>
      <w:r w:rsidR="009F1E01">
        <w:t xml:space="preserve">will tend to </w:t>
      </w:r>
      <w:r w:rsidR="009B2FBE">
        <w:t>have</w:t>
      </w:r>
      <w:r w:rsidR="009F1E01">
        <w:t xml:space="preserve"> </w:t>
      </w:r>
      <w:r w:rsidR="009B2FBE">
        <w:t>conservative public benefit estimates</w:t>
      </w:r>
      <w:r w:rsidR="009E595C">
        <w:t xml:space="preserve"> are those which</w:t>
      </w:r>
      <w:r w:rsidR="009B2FBE">
        <w:t>:</w:t>
      </w:r>
    </w:p>
    <w:p w:rsidR="009F1E01" w:rsidRPr="00B807E1" w:rsidRDefault="009B2FBE" w:rsidP="009F1E01">
      <w:pPr>
        <w:pStyle w:val="Bullet1"/>
      </w:pPr>
      <w:r>
        <w:t xml:space="preserve">feed into industries </w:t>
      </w:r>
      <w:r w:rsidR="005C5CB5">
        <w:t xml:space="preserve">that have a greater share of </w:t>
      </w:r>
      <w:r w:rsidR="009F1E01" w:rsidRPr="00B807E1">
        <w:t xml:space="preserve">higher education </w:t>
      </w:r>
      <w:r w:rsidR="005C5CB5">
        <w:t xml:space="preserve">qualifications, </w:t>
      </w:r>
      <w:r w:rsidR="00C94AED">
        <w:t xml:space="preserve">and which </w:t>
      </w:r>
      <w:r w:rsidR="009E595C">
        <w:t>are</w:t>
      </w:r>
      <w:r w:rsidR="00C94AED">
        <w:t xml:space="preserve"> labour</w:t>
      </w:r>
      <w:r w:rsidR="009F1E01" w:rsidRPr="00B807E1">
        <w:t xml:space="preserve">-intensive in </w:t>
      </w:r>
      <w:r w:rsidR="009E595C">
        <w:t>their</w:t>
      </w:r>
      <w:r w:rsidR="009E595C" w:rsidRPr="00B807E1">
        <w:t xml:space="preserve"> </w:t>
      </w:r>
      <w:r w:rsidR="009F1E01" w:rsidRPr="00B807E1">
        <w:t>production</w:t>
      </w:r>
      <w:r>
        <w:t xml:space="preserve"> – e.g. Medicine; </w:t>
      </w:r>
    </w:p>
    <w:p w:rsidR="009F1E01" w:rsidRPr="005B1323" w:rsidRDefault="009B2FBE" w:rsidP="009F1E01">
      <w:pPr>
        <w:pStyle w:val="Bullet1"/>
      </w:pPr>
      <w:r>
        <w:t xml:space="preserve">map into industries that </w:t>
      </w:r>
      <w:r w:rsidR="009F1E01" w:rsidRPr="00B807E1">
        <w:t xml:space="preserve">currently, or in the near future, are expected to experience </w:t>
      </w:r>
      <w:r w:rsidR="009F1E01" w:rsidRPr="005B1323">
        <w:t>higher education skill shortages due to sectoral growth</w:t>
      </w:r>
      <w:r w:rsidRPr="005B1323">
        <w:t xml:space="preserve"> – e.g. Other Health</w:t>
      </w:r>
      <w:r w:rsidR="00057A20" w:rsidRPr="005B1323">
        <w:t>;</w:t>
      </w:r>
    </w:p>
    <w:p w:rsidR="009F1E01" w:rsidRPr="005B1323" w:rsidRDefault="009F1E01" w:rsidP="009F1E01">
      <w:pPr>
        <w:pStyle w:val="Bullet1"/>
      </w:pPr>
      <w:r w:rsidRPr="005B1323">
        <w:t>are expected to experience growth in qualification demand that exceeds the growth in industry output</w:t>
      </w:r>
      <w:r w:rsidR="009B2FBE" w:rsidRPr="005B1323">
        <w:t xml:space="preserve"> – e.g. education, particularly early childhood education</w:t>
      </w:r>
      <w:r w:rsidR="00057A20" w:rsidRPr="005B1323">
        <w:t>;</w:t>
      </w:r>
    </w:p>
    <w:p w:rsidR="009F1E01" w:rsidRPr="005B1323" w:rsidRDefault="009E595C" w:rsidP="009F1E01">
      <w:pPr>
        <w:pStyle w:val="Bullet1"/>
      </w:pPr>
      <w:r w:rsidRPr="005B1323">
        <w:t xml:space="preserve">are </w:t>
      </w:r>
      <w:r w:rsidR="009F1E01" w:rsidRPr="005B1323">
        <w:t xml:space="preserve">least likely to be </w:t>
      </w:r>
      <w:r w:rsidR="005B1323" w:rsidRPr="009C0EF1">
        <w:t>replaced</w:t>
      </w:r>
      <w:r w:rsidR="005B1323" w:rsidRPr="005B1323">
        <w:t xml:space="preserve"> </w:t>
      </w:r>
      <w:r w:rsidR="009F1E01" w:rsidRPr="005B1323">
        <w:t>by computerisation and digital disruption into the future</w:t>
      </w:r>
      <w:r w:rsidR="009B2FBE" w:rsidRPr="005B1323">
        <w:rPr>
          <w:szCs w:val="22"/>
        </w:rPr>
        <w:t xml:space="preserve"> – e.g. food and hospitality</w:t>
      </w:r>
      <w:r w:rsidR="00057A20" w:rsidRPr="005B1323">
        <w:rPr>
          <w:szCs w:val="22"/>
        </w:rPr>
        <w:t>;</w:t>
      </w:r>
    </w:p>
    <w:p w:rsidR="009F1E01" w:rsidRPr="005B1323" w:rsidRDefault="009E595C" w:rsidP="009F1E01">
      <w:pPr>
        <w:pStyle w:val="Bullet1"/>
      </w:pPr>
      <w:r w:rsidRPr="005B1323">
        <w:rPr>
          <w:szCs w:val="22"/>
        </w:rPr>
        <w:t xml:space="preserve">are </w:t>
      </w:r>
      <w:r w:rsidR="009F1E01" w:rsidRPr="005B1323">
        <w:rPr>
          <w:szCs w:val="22"/>
        </w:rPr>
        <w:t>most likely to produce entrepreneurs/business owners who more effectively harness and realise the economic benefits of technological progress</w:t>
      </w:r>
      <w:r w:rsidR="009B2FBE" w:rsidRPr="005B1323">
        <w:rPr>
          <w:szCs w:val="22"/>
        </w:rPr>
        <w:t xml:space="preserve"> – e.g. IT</w:t>
      </w:r>
      <w:r w:rsidR="00057A20" w:rsidRPr="005B1323">
        <w:rPr>
          <w:szCs w:val="22"/>
        </w:rPr>
        <w:t>; and</w:t>
      </w:r>
    </w:p>
    <w:p w:rsidR="009F1E01" w:rsidRPr="00B807E1" w:rsidRDefault="00057A20" w:rsidP="00057A20">
      <w:pPr>
        <w:pStyle w:val="Bullet1"/>
      </w:pPr>
      <w:proofErr w:type="gramStart"/>
      <w:r w:rsidRPr="005B1323">
        <w:t>where</w:t>
      </w:r>
      <w:proofErr w:type="gramEnd"/>
      <w:r w:rsidRPr="005B1323">
        <w:t xml:space="preserve"> </w:t>
      </w:r>
      <w:r w:rsidR="004A2338" w:rsidRPr="005B1323">
        <w:t xml:space="preserve">the marginal </w:t>
      </w:r>
      <w:r w:rsidRPr="005B1323">
        <w:t xml:space="preserve">social benefit of </w:t>
      </w:r>
      <w:r w:rsidR="004A2338" w:rsidRPr="005B1323">
        <w:t>individuals</w:t>
      </w:r>
      <w:r w:rsidR="009E595C" w:rsidRPr="005B1323">
        <w:t>’</w:t>
      </w:r>
      <w:r w:rsidR="004A2338" w:rsidRPr="005B1323">
        <w:t xml:space="preserve"> work</w:t>
      </w:r>
      <w:r w:rsidRPr="005B1323">
        <w:t xml:space="preserve"> is </w:t>
      </w:r>
      <w:r w:rsidR="004A2338" w:rsidRPr="005B1323">
        <w:t>less</w:t>
      </w:r>
      <w:r w:rsidRPr="005B1323">
        <w:t xml:space="preserve"> likely to be </w:t>
      </w:r>
      <w:r w:rsidR="009E595C" w:rsidRPr="005B1323">
        <w:t>fully reflected</w:t>
      </w:r>
      <w:r>
        <w:t xml:space="preserve"> </w:t>
      </w:r>
      <w:r w:rsidR="009E595C">
        <w:t xml:space="preserve">in </w:t>
      </w:r>
      <w:r w:rsidR="004A2338">
        <w:t>their wage</w:t>
      </w:r>
      <w:r w:rsidR="009E595C">
        <w:t xml:space="preserve"> – </w:t>
      </w:r>
      <w:r w:rsidR="004A2338">
        <w:t xml:space="preserve">e.g. </w:t>
      </w:r>
      <w:r w:rsidR="00BF7034">
        <w:t xml:space="preserve">public sector such as </w:t>
      </w:r>
      <w:r w:rsidR="004A2338">
        <w:t xml:space="preserve">Education, </w:t>
      </w:r>
      <w:r w:rsidR="00CB0819">
        <w:t>H</w:t>
      </w:r>
      <w:r w:rsidR="004A2338">
        <w:t xml:space="preserve">ealth, and </w:t>
      </w:r>
      <w:r w:rsidR="00CB0819">
        <w:t>C</w:t>
      </w:r>
      <w:r w:rsidR="004A2338">
        <w:t xml:space="preserve">reative </w:t>
      </w:r>
      <w:r w:rsidR="00CB0819">
        <w:t>A</w:t>
      </w:r>
      <w:r w:rsidR="004A2338">
        <w:t>rts</w:t>
      </w:r>
      <w:r w:rsidR="009B2FBE" w:rsidRPr="009B2FBE">
        <w:t>.</w:t>
      </w:r>
    </w:p>
    <w:p w:rsidR="00F117D5" w:rsidRDefault="00F117D5" w:rsidP="00F117D5">
      <w:pPr>
        <w:pStyle w:val="BodyText"/>
      </w:pPr>
      <w:r>
        <w:t xml:space="preserve">Notably, these fields of education are also those that are estimated to have the </w:t>
      </w:r>
      <w:r w:rsidRPr="001740CE">
        <w:rPr>
          <w:i/>
        </w:rPr>
        <w:t>largest relative</w:t>
      </w:r>
      <w:r>
        <w:t xml:space="preserve"> </w:t>
      </w:r>
      <w:r>
        <w:rPr>
          <w:i/>
        </w:rPr>
        <w:t xml:space="preserve">private benefit </w:t>
      </w:r>
      <w:r>
        <w:t xml:space="preserve">(or </w:t>
      </w:r>
      <w:r w:rsidRPr="001740CE">
        <w:rPr>
          <w:i/>
        </w:rPr>
        <w:t>smallest relative</w:t>
      </w:r>
      <w:r>
        <w:t xml:space="preserve"> </w:t>
      </w:r>
      <w:r>
        <w:rPr>
          <w:i/>
        </w:rPr>
        <w:t>public benefit</w:t>
      </w:r>
      <w:r>
        <w:t xml:space="preserve">) in the quantitative analysis above. This implies that the range of relative private and public benefits may in fact be </w:t>
      </w:r>
      <w:r>
        <w:rPr>
          <w:i/>
        </w:rPr>
        <w:t>narrower</w:t>
      </w:r>
      <w:r>
        <w:t xml:space="preserve"> than is implied by this study’s central empirical results.</w:t>
      </w:r>
    </w:p>
    <w:p w:rsidR="00FA3A76" w:rsidRPr="00C13EAE" w:rsidRDefault="00FA3A76" w:rsidP="00F117D5">
      <w:pPr>
        <w:pStyle w:val="BodyText"/>
        <w:rPr>
          <w:i/>
        </w:rPr>
      </w:pPr>
      <w:r w:rsidRPr="00C13EAE">
        <w:rPr>
          <w:i/>
        </w:rPr>
        <w:t>Limitations of this analysis</w:t>
      </w:r>
    </w:p>
    <w:p w:rsidR="00BF7034" w:rsidRDefault="004A2338" w:rsidP="00BB4632">
      <w:pPr>
        <w:pStyle w:val="BodyText"/>
      </w:pPr>
      <w:r>
        <w:t xml:space="preserve">The benefits estimates summarised above are based on observed relationships. Looking forward, some of these relationships are likely to shift. Structural reform to the higher </w:t>
      </w:r>
      <w:r>
        <w:lastRenderedPageBreak/>
        <w:t xml:space="preserve">education system, in particular the demand driven system, has not markedly changed the discipline mix of higher education enrolments, but has altered the make-up of post-school training. </w:t>
      </w:r>
    </w:p>
    <w:p w:rsidR="004A2338" w:rsidRDefault="004A2338" w:rsidP="00BB4632">
      <w:pPr>
        <w:pStyle w:val="BodyText"/>
      </w:pPr>
      <w:r>
        <w:t xml:space="preserve">Wage differentials and relative unemployment rates across skillsets will fluctuate. Flows from education into the workforce will evolve over time. Using some understanding of the forward variability of these key relationships, the market benefits framework described can foreshadow how public and private benefits may shift in the future. </w:t>
      </w:r>
    </w:p>
    <w:p w:rsidR="00E3273C" w:rsidRDefault="00E3273C" w:rsidP="00BB4632">
      <w:pPr>
        <w:pStyle w:val="BodyText"/>
      </w:pPr>
      <w:r w:rsidRPr="008D505F">
        <w:t xml:space="preserve">In addition to the main scenarios considered for the combination of postgraduate and bachelor level disciplines, a number of additional sensitivities </w:t>
      </w:r>
      <w:r>
        <w:t>were</w:t>
      </w:r>
      <w:r w:rsidRPr="008D505F">
        <w:t xml:space="preserve"> modelled.  These demonstrate how uncertainty of existing relationships in the economy, or changes to the fundamental structure of the economy, could affect the public-private split of benefits to higher education. </w:t>
      </w:r>
      <w:r w:rsidR="00186804">
        <w:t>On the basis of the findings of this</w:t>
      </w:r>
      <w:r w:rsidRPr="008D505F">
        <w:t xml:space="preserve"> analysis, the private-</w:t>
      </w:r>
      <w:r w:rsidRPr="006F2548">
        <w:t xml:space="preserve">benefit split of benefits </w:t>
      </w:r>
      <w:r w:rsidR="00186804">
        <w:t>is</w:t>
      </w:r>
      <w:r w:rsidR="00186804" w:rsidRPr="006F2548">
        <w:t xml:space="preserve"> </w:t>
      </w:r>
      <w:r w:rsidRPr="006F2548">
        <w:t>likely to</w:t>
      </w:r>
      <w:r w:rsidRPr="00DA4CA5">
        <w:rPr>
          <w:color w:val="002776" w:themeColor="accent1"/>
        </w:rPr>
        <w:t xml:space="preserve"> </w:t>
      </w:r>
      <w:r w:rsidRPr="00C13EAE">
        <w:t xml:space="preserve">lie within a five percentage point band </w:t>
      </w:r>
      <w:r w:rsidRPr="006F2548">
        <w:t>around the central results. T</w:t>
      </w:r>
      <w:r w:rsidRPr="00182F60">
        <w:t>he direction</w:t>
      </w:r>
      <w:r w:rsidRPr="008D505F">
        <w:t xml:space="preserve"> and </w:t>
      </w:r>
      <w:r>
        <w:t xml:space="preserve">precise </w:t>
      </w:r>
      <w:r w:rsidRPr="008D505F">
        <w:t>magnitude of the effect</w:t>
      </w:r>
      <w:r w:rsidR="00D8123D">
        <w:t xml:space="preserve">s vary across disciplines.  </w:t>
      </w:r>
    </w:p>
    <w:p w:rsidR="0055318E" w:rsidRDefault="0055318E" w:rsidP="0055318E">
      <w:pPr>
        <w:pStyle w:val="BodyText"/>
        <w:keepNext/>
        <w:rPr>
          <w:rStyle w:val="Boldword"/>
          <w:color w:val="00B0F0"/>
        </w:rPr>
      </w:pPr>
      <w:r>
        <w:rPr>
          <w:rStyle w:val="Boldword"/>
          <w:color w:val="00B0F0"/>
        </w:rPr>
        <w:t xml:space="preserve">Implications and </w:t>
      </w:r>
      <w:r w:rsidRPr="00460666">
        <w:rPr>
          <w:rStyle w:val="Boldword"/>
          <w:color w:val="00B0F0"/>
        </w:rPr>
        <w:t>conclusions</w:t>
      </w:r>
    </w:p>
    <w:p w:rsidR="0055318E" w:rsidRDefault="0055318E" w:rsidP="0055318E">
      <w:pPr>
        <w:pStyle w:val="BodyText"/>
        <w:rPr>
          <w:rStyle w:val="Boldword"/>
          <w:b w:val="0"/>
          <w:color w:val="auto"/>
        </w:rPr>
      </w:pPr>
      <w:r>
        <w:rPr>
          <w:rStyle w:val="Boldword"/>
          <w:b w:val="0"/>
          <w:color w:val="auto"/>
        </w:rPr>
        <w:t xml:space="preserve">The results from this study represent a significant </w:t>
      </w:r>
      <w:r w:rsidR="00186804">
        <w:rPr>
          <w:rStyle w:val="Boldword"/>
          <w:b w:val="0"/>
          <w:color w:val="auto"/>
        </w:rPr>
        <w:t xml:space="preserve">extension </w:t>
      </w:r>
      <w:r>
        <w:rPr>
          <w:rStyle w:val="Boldword"/>
          <w:b w:val="0"/>
          <w:color w:val="auto"/>
        </w:rPr>
        <w:t xml:space="preserve">of the empirical base of evidence on the private and public benefits from higher education in Australia. Critically, for the first time, robust estimates of the relative private and public benefits are provided at a qualification and discipline level, </w:t>
      </w:r>
      <w:r w:rsidR="00186804">
        <w:rPr>
          <w:rStyle w:val="Boldword"/>
          <w:b w:val="0"/>
          <w:color w:val="auto"/>
        </w:rPr>
        <w:t xml:space="preserve">expanding </w:t>
      </w:r>
      <w:r>
        <w:rPr>
          <w:rStyle w:val="Boldword"/>
          <w:b w:val="0"/>
          <w:color w:val="auto"/>
        </w:rPr>
        <w:t xml:space="preserve">on previous research by Chapman and </w:t>
      </w:r>
      <w:r>
        <w:t>Lounkaew (2011, 2015), Norton (2014), and OECD (2014)</w:t>
      </w:r>
      <w:r>
        <w:rPr>
          <w:rStyle w:val="Boldword"/>
          <w:b w:val="0"/>
          <w:color w:val="auto"/>
        </w:rPr>
        <w:t xml:space="preserve">. </w:t>
      </w:r>
    </w:p>
    <w:p w:rsidR="0055318E" w:rsidRDefault="0055318E" w:rsidP="0055318E">
      <w:pPr>
        <w:pStyle w:val="BodyText"/>
      </w:pPr>
      <w:r>
        <w:t xml:space="preserve">Looking forward, robust empirical evidence on the relative private and public benefits from higher education </w:t>
      </w:r>
      <w:r w:rsidR="00186804">
        <w:t xml:space="preserve">will continue to </w:t>
      </w:r>
      <w:r>
        <w:t xml:space="preserve">play an important role in supporting the effective design of higher education funding arrangements. However, it is only one piece of the </w:t>
      </w:r>
      <w:r w:rsidR="00186804">
        <w:t xml:space="preserve">policy optimisation </w:t>
      </w:r>
      <w:r>
        <w:t xml:space="preserve">puzzle. </w:t>
      </w:r>
    </w:p>
    <w:p w:rsidR="0055318E" w:rsidRDefault="0055318E" w:rsidP="0055318E">
      <w:pPr>
        <w:pStyle w:val="BodyText"/>
      </w:pPr>
      <w:r>
        <w:t xml:space="preserve">Evidence on efficient costs </w:t>
      </w:r>
      <w:r w:rsidR="00E128A2">
        <w:t xml:space="preserve">of </w:t>
      </w:r>
      <w:r>
        <w:t>providing different teaching and learning programs, a rigorous understanding of the drivers of demand for higher education (including information for students), and the major influences on supply from different providers (including links to measurable student outcomes)</w:t>
      </w:r>
      <w:r w:rsidR="00186804">
        <w:t xml:space="preserve"> are all important components. </w:t>
      </w:r>
    </w:p>
    <w:p w:rsidR="00846A16" w:rsidRDefault="0055318E" w:rsidP="0055318E">
      <w:pPr>
        <w:pStyle w:val="SubHeading"/>
        <w:jc w:val="both"/>
        <w:rPr>
          <w:color w:val="002776"/>
          <w:lang w:eastAsia="en-AU"/>
        </w:rPr>
      </w:pPr>
      <w:r w:rsidRPr="000175EC">
        <w:rPr>
          <w:color w:val="002776"/>
          <w:lang w:eastAsia="en-AU"/>
        </w:rPr>
        <w:t>Deloitte Access Economics</w:t>
      </w:r>
    </w:p>
    <w:p w:rsidR="00846A16" w:rsidRDefault="00846A16" w:rsidP="002320EB">
      <w:pPr>
        <w:pStyle w:val="SubHeading"/>
        <w:jc w:val="both"/>
        <w:rPr>
          <w:color w:val="002776"/>
          <w:lang w:eastAsia="en-AU"/>
        </w:rPr>
      </w:pPr>
    </w:p>
    <w:p w:rsidR="00ED6816" w:rsidRDefault="00ED6816" w:rsidP="002320EB">
      <w:pPr>
        <w:pStyle w:val="SubHeading"/>
        <w:jc w:val="both"/>
        <w:rPr>
          <w:color w:val="002776"/>
          <w:lang w:eastAsia="en-AU"/>
        </w:rPr>
        <w:sectPr w:rsidR="00ED6816" w:rsidSect="00A609C9">
          <w:footerReference w:type="default" r:id="rId15"/>
          <w:pgSz w:w="11906" w:h="16838" w:code="9"/>
          <w:pgMar w:top="2268" w:right="1134" w:bottom="1134" w:left="2552" w:header="720" w:footer="720" w:gutter="0"/>
          <w:pgNumType w:fmt="lowerRoman" w:start="1"/>
          <w:cols w:space="720"/>
          <w:docGrid w:linePitch="360"/>
        </w:sectPr>
      </w:pPr>
    </w:p>
    <w:p w:rsidR="00ED6816" w:rsidRDefault="00ED6816" w:rsidP="002320EB">
      <w:pPr>
        <w:pStyle w:val="SubHeading"/>
        <w:jc w:val="both"/>
        <w:rPr>
          <w:color w:val="002776"/>
          <w:lang w:eastAsia="en-AU"/>
        </w:rPr>
        <w:sectPr w:rsidR="00ED6816" w:rsidSect="00ED6816">
          <w:pgSz w:w="16838" w:h="11906" w:orient="landscape" w:code="9"/>
          <w:pgMar w:top="1418" w:right="2268" w:bottom="1134" w:left="1134" w:header="720" w:footer="720" w:gutter="0"/>
          <w:pgNumType w:fmt="lowerRoman"/>
          <w:cols w:space="720"/>
          <w:docGrid w:linePitch="360"/>
        </w:sectPr>
      </w:pPr>
      <w:r w:rsidRPr="00855910">
        <w:rPr>
          <w:noProof/>
          <w:lang w:eastAsia="en-AU"/>
        </w:rPr>
        <w:lastRenderedPageBreak/>
        <w:drawing>
          <wp:anchor distT="0" distB="0" distL="114300" distR="114300" simplePos="0" relativeHeight="251660800" behindDoc="0" locked="0" layoutInCell="1" allowOverlap="1">
            <wp:simplePos x="0" y="0"/>
            <wp:positionH relativeFrom="margin">
              <wp:align>center</wp:align>
            </wp:positionH>
            <wp:positionV relativeFrom="paragraph">
              <wp:posOffset>3175</wp:posOffset>
            </wp:positionV>
            <wp:extent cx="9062085" cy="57562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62085" cy="575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205" w:rsidRDefault="00C374F4" w:rsidP="00E30EB3">
      <w:pPr>
        <w:pStyle w:val="Heading1"/>
      </w:pPr>
      <w:bookmarkStart w:id="9" w:name="_Ref458426194"/>
      <w:bookmarkStart w:id="10" w:name="_Toc465961188"/>
      <w:r>
        <w:lastRenderedPageBreak/>
        <w:t>Introduction</w:t>
      </w:r>
      <w:r w:rsidR="008352AD">
        <w:t xml:space="preserve"> and context</w:t>
      </w:r>
      <w:bookmarkEnd w:id="9"/>
      <w:bookmarkEnd w:id="10"/>
    </w:p>
    <w:p w:rsidR="004C51B0" w:rsidRDefault="004C51B0" w:rsidP="004C51B0">
      <w:pPr>
        <w:pStyle w:val="BodyText"/>
        <w:rPr>
          <w:lang w:eastAsia="en-AU"/>
        </w:rPr>
      </w:pPr>
      <w:r w:rsidRPr="00C725B0">
        <w:rPr>
          <w:lang w:eastAsia="en-AU"/>
        </w:rPr>
        <w:t xml:space="preserve">The Department of Education and Training (the Department) engaged Deloitte Access Economics to develop an empirical base of </w:t>
      </w:r>
      <w:r w:rsidR="00180687" w:rsidRPr="00C725B0">
        <w:rPr>
          <w:lang w:eastAsia="en-AU"/>
        </w:rPr>
        <w:t>evidence</w:t>
      </w:r>
      <w:r w:rsidR="00180687">
        <w:rPr>
          <w:lang w:eastAsia="en-AU"/>
        </w:rPr>
        <w:t xml:space="preserve"> regarding the </w:t>
      </w:r>
      <w:r w:rsidRPr="00C725B0">
        <w:rPr>
          <w:lang w:eastAsia="en-AU"/>
        </w:rPr>
        <w:t xml:space="preserve">public and private benefits </w:t>
      </w:r>
      <w:r w:rsidR="00797621">
        <w:rPr>
          <w:lang w:eastAsia="en-AU"/>
        </w:rPr>
        <w:t>associated with</w:t>
      </w:r>
      <w:r w:rsidR="00797621" w:rsidRPr="00C725B0">
        <w:rPr>
          <w:lang w:eastAsia="en-AU"/>
        </w:rPr>
        <w:t xml:space="preserve"> </w:t>
      </w:r>
      <w:r w:rsidRPr="00C725B0">
        <w:rPr>
          <w:lang w:eastAsia="en-AU"/>
        </w:rPr>
        <w:t>higher education</w:t>
      </w:r>
      <w:r w:rsidR="00797621">
        <w:rPr>
          <w:lang w:eastAsia="en-AU"/>
        </w:rPr>
        <w:t xml:space="preserve"> teaching and learning</w:t>
      </w:r>
      <w:r w:rsidRPr="00C725B0">
        <w:rPr>
          <w:lang w:eastAsia="en-AU"/>
        </w:rPr>
        <w:t>.</w:t>
      </w:r>
      <w:r>
        <w:rPr>
          <w:lang w:eastAsia="en-AU"/>
        </w:rPr>
        <w:t xml:space="preserve"> </w:t>
      </w:r>
    </w:p>
    <w:p w:rsidR="004C51B0" w:rsidRDefault="00C03112" w:rsidP="004C51B0">
      <w:pPr>
        <w:pStyle w:val="BodyText"/>
        <w:rPr>
          <w:lang w:eastAsia="en-AU"/>
        </w:rPr>
      </w:pPr>
      <w:r>
        <w:rPr>
          <w:lang w:eastAsia="en-AU"/>
        </w:rPr>
        <w:t>T</w:t>
      </w:r>
      <w:r w:rsidR="00180687">
        <w:rPr>
          <w:lang w:eastAsia="en-AU"/>
        </w:rPr>
        <w:t xml:space="preserve">he analysis presented in this report seeks to </w:t>
      </w:r>
      <w:r w:rsidR="004C51B0">
        <w:rPr>
          <w:lang w:eastAsia="en-AU"/>
        </w:rPr>
        <w:t>provide a comprehensive and robust set of data on the relative private and public benefits from higher education in Australia, focussing on the dimensions of:</w:t>
      </w:r>
    </w:p>
    <w:p w:rsidR="004C51B0" w:rsidRDefault="004C51B0" w:rsidP="004C51B0">
      <w:pPr>
        <w:pStyle w:val="Bullet1"/>
      </w:pPr>
      <w:r>
        <w:t>discipline (i.e. field of study/education);</w:t>
      </w:r>
    </w:p>
    <w:p w:rsidR="004C51B0" w:rsidRDefault="004C51B0" w:rsidP="004C51B0">
      <w:pPr>
        <w:pStyle w:val="Bullet1"/>
      </w:pPr>
      <w:r>
        <w:t xml:space="preserve">qualification level; and </w:t>
      </w:r>
    </w:p>
    <w:p w:rsidR="004C51B0" w:rsidRDefault="004C51B0" w:rsidP="004C51B0">
      <w:pPr>
        <w:pStyle w:val="Bullet1"/>
      </w:pPr>
      <w:proofErr w:type="gramStart"/>
      <w:r>
        <w:t>type</w:t>
      </w:r>
      <w:proofErr w:type="gramEnd"/>
      <w:r>
        <w:t xml:space="preserve"> of higher education provider.</w:t>
      </w:r>
    </w:p>
    <w:p w:rsidR="004C51B0" w:rsidRDefault="004C51B0" w:rsidP="007E622B">
      <w:pPr>
        <w:pStyle w:val="Heading2"/>
        <w:numPr>
          <w:ilvl w:val="1"/>
          <w:numId w:val="8"/>
        </w:numPr>
        <w:ind w:left="567"/>
      </w:pPr>
      <w:r>
        <w:t xml:space="preserve"> </w:t>
      </w:r>
      <w:bookmarkStart w:id="11" w:name="_Toc465961189"/>
      <w:r>
        <w:t>Background</w:t>
      </w:r>
      <w:bookmarkEnd w:id="11"/>
    </w:p>
    <w:p w:rsidR="004C51B0" w:rsidRPr="004E31BD" w:rsidRDefault="004C51B0" w:rsidP="004C51B0">
      <w:pPr>
        <w:pStyle w:val="BodyText"/>
      </w:pPr>
      <w:r>
        <w:t>Australia’s</w:t>
      </w:r>
      <w:r w:rsidRPr="004E31BD">
        <w:t xml:space="preserve"> </w:t>
      </w:r>
      <w:r>
        <w:t>higher education system</w:t>
      </w:r>
      <w:r w:rsidRPr="004E31BD">
        <w:t xml:space="preserve"> play</w:t>
      </w:r>
      <w:r>
        <w:t>s</w:t>
      </w:r>
      <w:r w:rsidRPr="004E31BD">
        <w:t xml:space="preserve"> </w:t>
      </w:r>
      <w:r w:rsidR="00180687">
        <w:t>an important</w:t>
      </w:r>
      <w:r w:rsidRPr="004E31BD">
        <w:t xml:space="preserve"> role in meeting the demand for </w:t>
      </w:r>
      <w:r>
        <w:t>high-skill</w:t>
      </w:r>
      <w:r w:rsidRPr="004E31BD">
        <w:t xml:space="preserve"> workers </w:t>
      </w:r>
      <w:r w:rsidR="00797621">
        <w:t>across the economy</w:t>
      </w:r>
      <w:r w:rsidR="00C03112">
        <w:t>,</w:t>
      </w:r>
      <w:r w:rsidR="00797621">
        <w:t xml:space="preserve"> </w:t>
      </w:r>
      <w:r w:rsidRPr="004E31BD">
        <w:t xml:space="preserve">by producing </w:t>
      </w:r>
      <w:r>
        <w:t xml:space="preserve">graduates </w:t>
      </w:r>
      <w:r w:rsidR="00797621">
        <w:t>with</w:t>
      </w:r>
      <w:r w:rsidRPr="004E31BD">
        <w:t xml:space="preserve"> the capabilities to develop and transform knowledge in </w:t>
      </w:r>
      <w:r>
        <w:t xml:space="preserve">order to create economic </w:t>
      </w:r>
      <w:r w:rsidR="00180687">
        <w:t xml:space="preserve">and social </w:t>
      </w:r>
      <w:r>
        <w:t>value.</w:t>
      </w:r>
    </w:p>
    <w:p w:rsidR="004C51B0" w:rsidRDefault="004C51B0" w:rsidP="004C51B0">
      <w:pPr>
        <w:pStyle w:val="BodyText"/>
      </w:pPr>
      <w:r w:rsidRPr="004E31BD">
        <w:t xml:space="preserve">The significant benefits </w:t>
      </w:r>
      <w:r w:rsidR="00180687">
        <w:t xml:space="preserve">that accrue </w:t>
      </w:r>
      <w:r>
        <w:t xml:space="preserve">to the economy and society </w:t>
      </w:r>
      <w:r w:rsidRPr="004E31BD">
        <w:t xml:space="preserve">from higher education </w:t>
      </w:r>
      <w:r w:rsidR="00180687">
        <w:t>create</w:t>
      </w:r>
      <w:r w:rsidR="00180687" w:rsidRPr="004E31BD">
        <w:t xml:space="preserve"> </w:t>
      </w:r>
      <w:r w:rsidRPr="004E31BD">
        <w:t xml:space="preserve">a role for government </w:t>
      </w:r>
      <w:r w:rsidR="00797621">
        <w:t>in</w:t>
      </w:r>
      <w:r w:rsidR="00797621" w:rsidRPr="004E31BD">
        <w:t xml:space="preserve"> </w:t>
      </w:r>
      <w:r w:rsidRPr="004E31BD">
        <w:t>support</w:t>
      </w:r>
      <w:r w:rsidR="00797621">
        <w:t>ing</w:t>
      </w:r>
      <w:r w:rsidRPr="004E31BD">
        <w:t xml:space="preserve"> teaching and learning activities at Australian </w:t>
      </w:r>
      <w:r>
        <w:t>higher education providers</w:t>
      </w:r>
      <w:r w:rsidRPr="004E31BD">
        <w:t>. At the same time,</w:t>
      </w:r>
      <w:r>
        <w:t xml:space="preserve"> </w:t>
      </w:r>
      <w:r w:rsidRPr="004E31BD">
        <w:t xml:space="preserve">the </w:t>
      </w:r>
      <w:r w:rsidR="00797621">
        <w:t xml:space="preserve">often </w:t>
      </w:r>
      <w:r w:rsidRPr="004E31BD">
        <w:t xml:space="preserve">significant private benefits </w:t>
      </w:r>
      <w:r w:rsidR="00797621">
        <w:t>realised</w:t>
      </w:r>
      <w:r w:rsidR="00797621" w:rsidRPr="004E31BD">
        <w:t xml:space="preserve"> </w:t>
      </w:r>
      <w:r w:rsidRPr="004E31BD">
        <w:t xml:space="preserve">by </w:t>
      </w:r>
      <w:r>
        <w:t xml:space="preserve">those who attain higher education qualifications </w:t>
      </w:r>
      <w:r w:rsidR="00180687">
        <w:t>underwrite the case for</w:t>
      </w:r>
      <w:r>
        <w:t xml:space="preserve"> </w:t>
      </w:r>
      <w:r w:rsidRPr="004E31BD">
        <w:t>students</w:t>
      </w:r>
      <w:r>
        <w:t xml:space="preserve"> </w:t>
      </w:r>
      <w:r w:rsidR="006B49E1">
        <w:t xml:space="preserve">directly </w:t>
      </w:r>
      <w:r>
        <w:t>contribut</w:t>
      </w:r>
      <w:r w:rsidR="00180687">
        <w:t>ing</w:t>
      </w:r>
      <w:r>
        <w:t xml:space="preserve"> to the cost of their education.</w:t>
      </w:r>
      <w:r w:rsidR="006B49E1">
        <w:t xml:space="preserve"> The incentives that higher education</w:t>
      </w:r>
      <w:r w:rsidR="00700829">
        <w:t xml:space="preserve"> providers</w:t>
      </w:r>
      <w:r w:rsidR="006B49E1">
        <w:t xml:space="preserve"> and students face, while influenced by a wide array of factors, are shaped by the signals </w:t>
      </w:r>
      <w:r w:rsidR="00700829">
        <w:t xml:space="preserve">created by </w:t>
      </w:r>
      <w:r w:rsidR="006B49E1">
        <w:t>government fu</w:t>
      </w:r>
      <w:r w:rsidR="00700829">
        <w:t>nding and students fees</w:t>
      </w:r>
      <w:r w:rsidR="006B49E1">
        <w:t xml:space="preserve">.  </w:t>
      </w:r>
      <w:r w:rsidR="00700829">
        <w:t xml:space="preserve">Ensuring these signals encourage the system toward operating at its optimum </w:t>
      </w:r>
      <w:r w:rsidR="0091553A">
        <w:t>is among the most</w:t>
      </w:r>
      <w:r w:rsidR="00700829">
        <w:t xml:space="preserve"> important considerations for higher education policy.  </w:t>
      </w:r>
    </w:p>
    <w:p w:rsidR="004C51B0" w:rsidRDefault="004C51B0" w:rsidP="004C51B0">
      <w:pPr>
        <w:pStyle w:val="BodyText"/>
      </w:pPr>
      <w:r>
        <w:t xml:space="preserve">By way of background, this section provides a brief outline of the history of </w:t>
      </w:r>
      <w:r w:rsidR="006B49E1">
        <w:t>higher education policy in Australia; especially as it relates to the funding of higher education teaching and learning</w:t>
      </w:r>
      <w:r>
        <w:t xml:space="preserve">. This overview helps </w:t>
      </w:r>
      <w:r w:rsidR="006B49E1">
        <w:t>contextualise</w:t>
      </w:r>
      <w:r>
        <w:t xml:space="preserve"> the findings of this project </w:t>
      </w:r>
      <w:r w:rsidR="006B49E1">
        <w:t xml:space="preserve">against the historical backdrop of </w:t>
      </w:r>
      <w:r>
        <w:t>higher education policy development in Australia.</w:t>
      </w:r>
    </w:p>
    <w:p w:rsidR="004C51B0" w:rsidRDefault="004C51B0" w:rsidP="006711C0">
      <w:pPr>
        <w:pStyle w:val="Heading3"/>
        <w:numPr>
          <w:ilvl w:val="2"/>
          <w:numId w:val="8"/>
        </w:numPr>
      </w:pPr>
      <w:r>
        <w:t>Policy context</w:t>
      </w:r>
    </w:p>
    <w:p w:rsidR="004C51B0" w:rsidRDefault="004C51B0" w:rsidP="004C51B0">
      <w:pPr>
        <w:pStyle w:val="BodyText"/>
      </w:pPr>
      <w:r>
        <w:t xml:space="preserve">After a period </w:t>
      </w:r>
      <w:r w:rsidR="008F205A">
        <w:t>where</w:t>
      </w:r>
      <w:r>
        <w:t xml:space="preserve"> government </w:t>
      </w:r>
      <w:r w:rsidR="008F205A">
        <w:t>fully funded</w:t>
      </w:r>
      <w:r>
        <w:t xml:space="preserve"> the cost of higher education in the 1970s and 1980s, the Australian Government introduced the Higher Education Contribution Scheme (HECS) in 1989. This policy allowed students to make a contribution towards the cost of their higher education without incurring any up-front costs.</w:t>
      </w:r>
    </w:p>
    <w:p w:rsidR="004C51B0" w:rsidRDefault="00797621" w:rsidP="004C51B0">
      <w:pPr>
        <w:pStyle w:val="BodyText"/>
      </w:pPr>
      <w:r>
        <w:t xml:space="preserve">The </w:t>
      </w:r>
      <w:r w:rsidR="004C51B0">
        <w:t xml:space="preserve">move toward </w:t>
      </w:r>
      <w:r>
        <w:t xml:space="preserve">students contributing to the cost </w:t>
      </w:r>
      <w:r w:rsidR="004C51B0">
        <w:t xml:space="preserve">of </w:t>
      </w:r>
      <w:r>
        <w:t xml:space="preserve">their </w:t>
      </w:r>
      <w:r w:rsidR="004C51B0">
        <w:t xml:space="preserve">higher education was </w:t>
      </w:r>
      <w:r>
        <w:t xml:space="preserve">motivated by the view that </w:t>
      </w:r>
      <w:r w:rsidR="008F205A">
        <w:t>they</w:t>
      </w:r>
      <w:r w:rsidR="004C51B0">
        <w:t xml:space="preserve"> benefit </w:t>
      </w:r>
      <w:r w:rsidR="008F205A">
        <w:t xml:space="preserve">– potentially </w:t>
      </w:r>
      <w:r w:rsidR="004C51B0">
        <w:t xml:space="preserve">significantly </w:t>
      </w:r>
      <w:r w:rsidR="008F205A">
        <w:t xml:space="preserve">– </w:t>
      </w:r>
      <w:r w:rsidR="004C51B0">
        <w:t xml:space="preserve">from higher education attainment. It also allowed for the higher education system to more sustainably expand in response to changing economic and demographic factors (including an increasing high school attainment </w:t>
      </w:r>
      <w:r w:rsidR="004C51B0">
        <w:lastRenderedPageBreak/>
        <w:t>rate), providing opportunities for more students to obtain a higher education qualification, without significantly increasing the cost burden to government (Chapman, 1997).</w:t>
      </w:r>
    </w:p>
    <w:p w:rsidR="004C51B0" w:rsidRDefault="004C51B0" w:rsidP="004C51B0">
      <w:pPr>
        <w:pStyle w:val="BodyText"/>
        <w:rPr>
          <w:rFonts w:asciiTheme="minorHAnsi" w:hAnsiTheme="minorHAnsi"/>
          <w:szCs w:val="22"/>
        </w:rPr>
      </w:pPr>
      <w:r w:rsidRPr="00085292">
        <w:rPr>
          <w:rFonts w:asciiTheme="minorHAnsi" w:hAnsiTheme="minorHAnsi"/>
          <w:szCs w:val="22"/>
        </w:rPr>
        <w:t xml:space="preserve">The original design of HECS saw students contribute a nominal </w:t>
      </w:r>
      <w:r w:rsidRPr="00085292">
        <w:rPr>
          <w:rFonts w:asciiTheme="minorHAnsi" w:hAnsiTheme="minorHAnsi" w:cs="Arial"/>
          <w:color w:val="252525"/>
          <w:szCs w:val="22"/>
          <w:shd w:val="clear" w:color="auto" w:fill="FFFFFF"/>
        </w:rPr>
        <w:t xml:space="preserve">$1,800 </w:t>
      </w:r>
      <w:r>
        <w:rPr>
          <w:rFonts w:asciiTheme="minorHAnsi" w:hAnsiTheme="minorHAnsi" w:cs="Arial"/>
          <w:color w:val="252525"/>
          <w:szCs w:val="22"/>
          <w:shd w:val="clear" w:color="auto" w:fill="FFFFFF"/>
        </w:rPr>
        <w:t xml:space="preserve">annual </w:t>
      </w:r>
      <w:r w:rsidRPr="00085292">
        <w:rPr>
          <w:rFonts w:asciiTheme="minorHAnsi" w:hAnsiTheme="minorHAnsi" w:cs="Arial"/>
          <w:color w:val="252525"/>
          <w:szCs w:val="22"/>
          <w:shd w:val="clear" w:color="auto" w:fill="FFFFFF"/>
        </w:rPr>
        <w:t>fee</w:t>
      </w:r>
      <w:r w:rsidRPr="00085292">
        <w:rPr>
          <w:rFonts w:asciiTheme="minorHAnsi" w:hAnsiTheme="minorHAnsi"/>
          <w:szCs w:val="22"/>
        </w:rPr>
        <w:t xml:space="preserve"> towards the cost of their education</w:t>
      </w:r>
      <w:r>
        <w:rPr>
          <w:rFonts w:asciiTheme="minorHAnsi" w:hAnsiTheme="minorHAnsi"/>
          <w:szCs w:val="22"/>
        </w:rPr>
        <w:t xml:space="preserve"> in eligible places. This contribution rate </w:t>
      </w:r>
      <w:r w:rsidRPr="00085292">
        <w:rPr>
          <w:rFonts w:asciiTheme="minorHAnsi" w:hAnsiTheme="minorHAnsi"/>
          <w:szCs w:val="22"/>
        </w:rPr>
        <w:t xml:space="preserve">did not vary across disciplines and </w:t>
      </w:r>
      <w:r>
        <w:rPr>
          <w:rFonts w:asciiTheme="minorHAnsi" w:hAnsiTheme="minorHAnsi"/>
          <w:szCs w:val="22"/>
        </w:rPr>
        <w:t>eligibil</w:t>
      </w:r>
      <w:r w:rsidR="008F16F2">
        <w:rPr>
          <w:rFonts w:asciiTheme="minorHAnsi" w:hAnsiTheme="minorHAnsi"/>
          <w:szCs w:val="22"/>
        </w:rPr>
        <w:t>ity for HECS was restricted to b</w:t>
      </w:r>
      <w:r>
        <w:rPr>
          <w:rFonts w:asciiTheme="minorHAnsi" w:hAnsiTheme="minorHAnsi"/>
          <w:szCs w:val="22"/>
        </w:rPr>
        <w:t xml:space="preserve">achelor degree programs at Australian universities. </w:t>
      </w:r>
      <w:r w:rsidR="008F205A">
        <w:rPr>
          <w:rFonts w:asciiTheme="minorHAnsi" w:hAnsiTheme="minorHAnsi"/>
          <w:szCs w:val="22"/>
        </w:rPr>
        <w:t>T</w:t>
      </w:r>
      <w:r>
        <w:rPr>
          <w:rFonts w:asciiTheme="minorHAnsi" w:hAnsiTheme="minorHAnsi"/>
          <w:szCs w:val="22"/>
        </w:rPr>
        <w:t>his student contribution comprised a relatively small portion of the total cost incurred by universities, with direct government contributions making up the balance.</w:t>
      </w:r>
    </w:p>
    <w:p w:rsidR="004C51B0" w:rsidRDefault="004C51B0" w:rsidP="004C51B0">
      <w:pPr>
        <w:pStyle w:val="BodyText"/>
      </w:pPr>
      <w:r>
        <w:t xml:space="preserve">Over </w:t>
      </w:r>
      <w:r w:rsidR="00AD5FDA">
        <w:t>t</w:t>
      </w:r>
      <w:r>
        <w:t>he 1990s and 2000s</w:t>
      </w:r>
      <w:r w:rsidR="00AD5FDA">
        <w:t>,</w:t>
      </w:r>
      <w:r>
        <w:t xml:space="preserve"> the Australian Government made a number of changes to the HECS regime, introducing a tiered contribution scheme which saw students in degree programs understood to have the greatest private return pay the highest fees (e.g. Law and Medicine) (Jackson, 2001).</w:t>
      </w:r>
    </w:p>
    <w:p w:rsidR="001A3292" w:rsidRDefault="001A3292" w:rsidP="001A3292">
      <w:pPr>
        <w:pStyle w:val="BodyText"/>
      </w:pPr>
      <w:r>
        <w:t>The Australian Government increased (real) HECS contribution rates by between 33</w:t>
      </w:r>
      <w:r w:rsidR="00C32F41">
        <w:t>%</w:t>
      </w:r>
      <w:r>
        <w:t xml:space="preserve"> and 122</w:t>
      </w:r>
      <w:r w:rsidR="00F94F7F">
        <w:t>%</w:t>
      </w:r>
      <w:r>
        <w:t xml:space="preserve"> in 1997, with the introduction of the tiered system, and then by up to 25</w:t>
      </w:r>
      <w:r w:rsidR="00F94F7F">
        <w:t>%</w:t>
      </w:r>
      <w:r>
        <w:t xml:space="preserve"> in 2005 (except for national priority fields of education) (Jackson, 2001; Department of Education and Training, 2015). Over time, eligibility for loans has also been extended to postgraduate places and some Vocational Education and Training (VET) places (Department of Education and Training, 2015</w:t>
      </w:r>
      <w:r w:rsidR="004C51B0">
        <w:t>).</w:t>
      </w:r>
      <w:r>
        <w:rPr>
          <w:rStyle w:val="FootnoteReference"/>
        </w:rPr>
        <w:footnoteReference w:id="7"/>
      </w:r>
      <w:r>
        <w:t xml:space="preserve"> </w:t>
      </w:r>
    </w:p>
    <w:p w:rsidR="004C51B0" w:rsidRPr="004E31BD" w:rsidRDefault="004E4033" w:rsidP="004C51B0">
      <w:pPr>
        <w:pStyle w:val="BodyText"/>
      </w:pPr>
      <w:r>
        <w:t>T</w:t>
      </w:r>
      <w:r w:rsidR="004C51B0">
        <w:t xml:space="preserve">he reviews and reforms that underpinned these changes were designed to allow for “varied </w:t>
      </w:r>
      <w:r w:rsidR="001A3292">
        <w:t>HECS</w:t>
      </w:r>
      <w:r w:rsidR="004C51B0">
        <w:t xml:space="preserve"> contribution levels to better reflect</w:t>
      </w:r>
      <w:r w:rsidR="008F16F2">
        <w:t xml:space="preserve"> </w:t>
      </w:r>
      <w:r w:rsidR="004C51B0">
        <w:t>cost and public and private benefits” (Noonan, 2015, pp. 5)</w:t>
      </w:r>
      <w:r w:rsidR="00AD5FDA">
        <w:t xml:space="preserve"> – a</w:t>
      </w:r>
      <w:r w:rsidR="004C51B0">
        <w:t xml:space="preserve"> principle which has since continued to underpin the rate at which student and government contributions towards higher education programs are </w:t>
      </w:r>
      <w:r w:rsidR="00AD5FDA">
        <w:t xml:space="preserve">determined </w:t>
      </w:r>
      <w:r w:rsidR="004C51B0">
        <w:t>(Lomax-Smith, 2011).</w:t>
      </w:r>
    </w:p>
    <w:p w:rsidR="004C51B0" w:rsidRDefault="004C51B0" w:rsidP="004C51B0">
      <w:pPr>
        <w:pStyle w:val="BodyText"/>
      </w:pPr>
      <w:r>
        <w:t>Up until 2010,</w:t>
      </w:r>
      <w:r w:rsidR="008F16F2">
        <w:t xml:space="preserve"> access to</w:t>
      </w:r>
      <w:r>
        <w:t xml:space="preserve"> </w:t>
      </w:r>
      <w:r w:rsidR="00AD5FDA">
        <w:t>Commonwealth Supported Places (</w:t>
      </w:r>
      <w:r>
        <w:t>CSPs</w:t>
      </w:r>
      <w:r w:rsidR="00AD5FDA">
        <w:t>)</w:t>
      </w:r>
      <w:r>
        <w:t xml:space="preserve"> at Australian higher education providers </w:t>
      </w:r>
      <w:r w:rsidR="00AD5FDA">
        <w:t xml:space="preserve">was </w:t>
      </w:r>
      <w:r>
        <w:t xml:space="preserve">restricted, with a cap </w:t>
      </w:r>
      <w:r w:rsidR="0091553A">
        <w:t xml:space="preserve">effectively </w:t>
      </w:r>
      <w:r>
        <w:t xml:space="preserve">placed on student numbers for each higher education </w:t>
      </w:r>
      <w:r w:rsidR="00E735FF">
        <w:t>funding cluster</w:t>
      </w:r>
      <w:r>
        <w:t xml:space="preserve">. In response to the findings of the 2008 Bradley Review, the Australian Government introduced the ‘Demand-Driven System’ for Higher Education in Australia, which saw the caps on </w:t>
      </w:r>
      <w:r w:rsidR="004E4033">
        <w:t xml:space="preserve">domestic bachelor </w:t>
      </w:r>
      <w:r>
        <w:t>student numbers removed</w:t>
      </w:r>
      <w:r w:rsidR="00AD5FDA">
        <w:t>.</w:t>
      </w:r>
    </w:p>
    <w:p w:rsidR="004C51B0" w:rsidRDefault="004C51B0" w:rsidP="004C51B0">
      <w:pPr>
        <w:pStyle w:val="BodyText"/>
      </w:pPr>
      <w:r>
        <w:t>In addition to the introduction of demand-driven arrangements, the 2008 Bradley Review made a number of recommendations with respect to funding for higher education, including a 10</w:t>
      </w:r>
      <w:r w:rsidR="00F94F7F">
        <w:t>%</w:t>
      </w:r>
      <w:r>
        <w:t xml:space="preserve"> increase in base funding for teaching and learning, accompanied by a new indexation system</w:t>
      </w:r>
      <w:r w:rsidR="00CB5345">
        <w:t>,</w:t>
      </w:r>
      <w:r>
        <w:t xml:space="preserve"> and </w:t>
      </w:r>
      <w:r w:rsidR="00CB5345">
        <w:t xml:space="preserve">that </w:t>
      </w:r>
      <w:r w:rsidR="00653F92">
        <w:t xml:space="preserve">base </w:t>
      </w:r>
      <w:r w:rsidR="00CB5345">
        <w:t xml:space="preserve">funding rates be regularly reviewed </w:t>
      </w:r>
      <w:r w:rsidR="00653F92">
        <w:t>over time to reflect actual costs</w:t>
      </w:r>
      <w:r>
        <w:t>.</w:t>
      </w:r>
    </w:p>
    <w:p w:rsidR="004C51B0" w:rsidRDefault="004C51B0" w:rsidP="004C51B0">
      <w:pPr>
        <w:pStyle w:val="BodyText"/>
      </w:pPr>
      <w:r>
        <w:t>In response to this recommendation</w:t>
      </w:r>
      <w:r w:rsidR="00AD5FDA">
        <w:t>,</w:t>
      </w:r>
      <w:r>
        <w:t xml:space="preserve"> the Australian Government commissioned a review of base funding for higher education, the 2011 Lomax-Smith Base Funding Review. The research commissioned as part of </w:t>
      </w:r>
      <w:r w:rsidR="00AD5FDA">
        <w:t xml:space="preserve">the Review </w:t>
      </w:r>
      <w:r>
        <w:t>found that base funding for higher education teaching and learning was on average adequate to meet the costs of teaching and scholarship, but not necessarily for each field of education or institution.</w:t>
      </w:r>
      <w:r w:rsidR="008F16F2">
        <w:rPr>
          <w:rStyle w:val="FootnoteReference"/>
        </w:rPr>
        <w:footnoteReference w:id="8"/>
      </w:r>
      <w:r>
        <w:t xml:space="preserve"> In particular, the </w:t>
      </w:r>
      <w:r w:rsidR="00AD5FDA">
        <w:t xml:space="preserve">Review </w:t>
      </w:r>
      <w:r>
        <w:t xml:space="preserve">identified areas of underfunding to be addressed in the disciplines of accounting, administration, </w:t>
      </w:r>
      <w:r>
        <w:lastRenderedPageBreak/>
        <w:t>economics, commerce, medicine, veterinary science, agriculture, dentistry, and visual and performing arts (Lomax-Smith, 2011).</w:t>
      </w:r>
    </w:p>
    <w:p w:rsidR="004C51B0" w:rsidRDefault="004C51B0" w:rsidP="004C51B0">
      <w:pPr>
        <w:pStyle w:val="BodyText"/>
      </w:pPr>
      <w:r>
        <w:t xml:space="preserve">Importantly, Lomax-Smith (2011) established that total funding for higher education teaching and learning should be determined </w:t>
      </w:r>
      <w:r w:rsidR="0091553A">
        <w:t xml:space="preserve">on </w:t>
      </w:r>
      <w:r>
        <w:t>the basis of average efficient costs for high</w:t>
      </w:r>
      <w:r w:rsidR="0091553A">
        <w:t>er</w:t>
      </w:r>
      <w:r>
        <w:t xml:space="preserve"> education providers.</w:t>
      </w:r>
      <w:r>
        <w:rPr>
          <w:rStyle w:val="FootnoteReference"/>
        </w:rPr>
        <w:footnoteReference w:id="9"/>
      </w:r>
      <w:r>
        <w:t xml:space="preserve"> The Review then recommended that, given this determined cost, the balance of student and government contributions should be set at a </w:t>
      </w:r>
      <w:r w:rsidRPr="0066599A">
        <w:rPr>
          <w:rStyle w:val="Boldword"/>
        </w:rPr>
        <w:t>fixed proportion</w:t>
      </w:r>
      <w:r>
        <w:t xml:space="preserve"> with students contributing 40</w:t>
      </w:r>
      <w:r w:rsidR="00F94F7F">
        <w:t>%</w:t>
      </w:r>
      <w:r>
        <w:t xml:space="preserve"> and the Government contributing 60</w:t>
      </w:r>
      <w:r w:rsidR="00F94F7F">
        <w:t>%</w:t>
      </w:r>
      <w:r>
        <w:t xml:space="preserve"> of the funding for each </w:t>
      </w:r>
      <w:r w:rsidR="00AD5FDA">
        <w:t xml:space="preserve">CSP </w:t>
      </w:r>
      <w:r>
        <w:t>(Department of Education and Training, 2015).</w:t>
      </w:r>
    </w:p>
    <w:p w:rsidR="004C51B0" w:rsidRDefault="004C51B0" w:rsidP="004C51B0">
      <w:pPr>
        <w:pStyle w:val="BodyText"/>
      </w:pPr>
      <w:r>
        <w:t xml:space="preserve">These contribution proportions were determined largely on the evidence established by Chapman and </w:t>
      </w:r>
      <w:r w:rsidRPr="0066599A">
        <w:t>Lounkaew</w:t>
      </w:r>
      <w:r>
        <w:t xml:space="preserve"> (2011) in their study, commissioned by the Review, on the public benefits from higher education. This study, discussed in further detail in </w:t>
      </w:r>
      <w:r w:rsidR="00356108">
        <w:t>Section</w:t>
      </w:r>
      <w:r w:rsidR="0043364B">
        <w:t xml:space="preserve"> </w:t>
      </w:r>
      <w:r w:rsidR="008F16F2">
        <w:fldChar w:fldCharType="begin"/>
      </w:r>
      <w:r w:rsidR="008F16F2">
        <w:instrText xml:space="preserve"> REF _Ref457563158 \r \h </w:instrText>
      </w:r>
      <w:r w:rsidR="008F16F2">
        <w:fldChar w:fldCharType="separate"/>
      </w:r>
      <w:r w:rsidR="00534F9F">
        <w:t>2</w:t>
      </w:r>
      <w:r w:rsidR="008F16F2">
        <w:fldChar w:fldCharType="end"/>
      </w:r>
      <w:r>
        <w:t xml:space="preserve">, considers the private and public and benefits from higher education only at an aggregate level, thereby prohibiting the Review </w:t>
      </w:r>
      <w:r w:rsidR="0043364B">
        <w:t>reaching</w:t>
      </w:r>
      <w:r>
        <w:t xml:space="preserve"> findings regarding private and public benefits at a discipline, qualification, or provider specific level.</w:t>
      </w:r>
      <w:r w:rsidR="002E20BF">
        <w:t xml:space="preserve"> Indeed, the Review states that:</w:t>
      </w:r>
    </w:p>
    <w:p w:rsidR="002E20BF" w:rsidRDefault="002E20BF" w:rsidP="002E20BF">
      <w:pPr>
        <w:pStyle w:val="IndentQuote"/>
      </w:pPr>
      <w:r>
        <w:t>There is no evidence that the value of public benefits differs in a systematic way across disciplines of study. The Panel therefore considers that in establishing the appropriate balance of public and private contributions towards the cost of higher education, it is sufficient to make estimates based on aggregate average measures of public benefits.</w:t>
      </w:r>
      <w:r>
        <w:tab/>
      </w:r>
      <w:r>
        <w:tab/>
        <w:t>Lomax-Smith (2011, pp. 108)</w:t>
      </w:r>
    </w:p>
    <w:p w:rsidR="004C51B0" w:rsidRDefault="004C51B0" w:rsidP="004C51B0">
      <w:pPr>
        <w:pStyle w:val="BodyText"/>
      </w:pPr>
      <w:r>
        <w:t>In early 2013, the Australian Government</w:t>
      </w:r>
      <w:r w:rsidR="0091553A">
        <w:t>, while</w:t>
      </w:r>
      <w:r>
        <w:t xml:space="preserve"> </w:t>
      </w:r>
      <w:r w:rsidR="0091553A">
        <w:t xml:space="preserve">accepting </w:t>
      </w:r>
      <w:r>
        <w:t xml:space="preserve">the intent of the established funding principles, made no significant changes to funding arrangements for higher education teaching and learning based on the </w:t>
      </w:r>
      <w:r w:rsidR="0043364B">
        <w:t xml:space="preserve">Review’s </w:t>
      </w:r>
      <w:r>
        <w:t>recommendations (Department of Education and Training, 2015).</w:t>
      </w:r>
    </w:p>
    <w:p w:rsidR="0091553A" w:rsidRDefault="004C51B0" w:rsidP="004C51B0">
      <w:pPr>
        <w:pStyle w:val="BodyText"/>
      </w:pPr>
      <w:r>
        <w:t xml:space="preserve">The demand-driven funding system for higher education was fully phased-in in 2012. </w:t>
      </w:r>
      <w:r w:rsidR="0091553A">
        <w:t>By 2014, the Commonwealth supported equivalent full-time student load had increased from its 2008 levels of 440,000 to around 600,000.</w:t>
      </w:r>
    </w:p>
    <w:p w:rsidR="004C51B0" w:rsidRDefault="004C51B0" w:rsidP="004C51B0">
      <w:pPr>
        <w:pStyle w:val="BodyText"/>
      </w:pPr>
      <w:r>
        <w:t xml:space="preserve">In broad terms, this policy was introduced to realise untapped private and public benefits </w:t>
      </w:r>
      <w:r w:rsidR="00137676">
        <w:t xml:space="preserve">through </w:t>
      </w:r>
      <w:r>
        <w:t xml:space="preserve">increased access to and participation in higher education. By ensuring that participation in higher education is driven by the demands of industry and students, Australia is provided with greater certainty that the potential benefits from higher education to society are realised into the future. Indeed, the recent </w:t>
      </w:r>
      <w:r w:rsidR="00EC5505">
        <w:t>Kemp-</w:t>
      </w:r>
      <w:r>
        <w:t>Norton review of the demand driven higher education system concluded that:</w:t>
      </w:r>
    </w:p>
    <w:p w:rsidR="004C51B0" w:rsidRDefault="004C51B0" w:rsidP="004C51B0">
      <w:pPr>
        <w:pStyle w:val="IndentQuote"/>
      </w:pPr>
      <w:r>
        <w:t>G</w:t>
      </w:r>
      <w:r w:rsidRPr="00F7057B">
        <w:t>reater competition for student enrolments, and the opportunity for greater responsiveness to student demand, has driven innovation and lifted quality. In light of the benefits of the demand driven system, there is no persuasive case for the reintroduction of caps.</w:t>
      </w:r>
      <w:r>
        <w:tab/>
      </w:r>
      <w:r>
        <w:tab/>
      </w:r>
      <w:r>
        <w:tab/>
        <w:t>(Kemp and Norton, 2014)</w:t>
      </w:r>
    </w:p>
    <w:p w:rsidR="004C51B0" w:rsidRDefault="004C51B0" w:rsidP="004C51B0">
      <w:pPr>
        <w:pStyle w:val="BodyText"/>
      </w:pPr>
      <w:r>
        <w:t>Importantly, the Kemp Norton review also made a number of recommendations that would see an expansion in the current demand driven system:</w:t>
      </w:r>
    </w:p>
    <w:p w:rsidR="004C51B0" w:rsidRDefault="004C51B0" w:rsidP="004C51B0">
      <w:pPr>
        <w:pStyle w:val="Bullet1"/>
        <w:ind w:left="567" w:hanging="567"/>
      </w:pPr>
      <w:r>
        <w:lastRenderedPageBreak/>
        <w:t xml:space="preserve">all higher education providers should be eligible for </w:t>
      </w:r>
      <w:r w:rsidR="00EC5505">
        <w:t>CSPs</w:t>
      </w:r>
      <w:r>
        <w:t xml:space="preserve"> when they and relevant courses have been approved by the Tertiary Education Quality and Standards Agency; </w:t>
      </w:r>
    </w:p>
    <w:p w:rsidR="004C51B0" w:rsidRDefault="004C51B0" w:rsidP="004C51B0">
      <w:pPr>
        <w:pStyle w:val="Bullet1"/>
        <w:ind w:left="567" w:hanging="567"/>
      </w:pPr>
      <w:r>
        <w:t>non</w:t>
      </w:r>
      <w:r>
        <w:noBreakHyphen/>
        <w:t xml:space="preserve">university higher education providers accepting </w:t>
      </w:r>
      <w:r w:rsidR="00EC5505">
        <w:t xml:space="preserve">CSPs </w:t>
      </w:r>
      <w:r>
        <w:t>should do so on the same basis as public universities; and</w:t>
      </w:r>
    </w:p>
    <w:p w:rsidR="004C51B0" w:rsidRDefault="004C51B0" w:rsidP="004C51B0">
      <w:pPr>
        <w:pStyle w:val="Bullet1"/>
        <w:ind w:left="567" w:hanging="567"/>
      </w:pPr>
      <w:proofErr w:type="gramStart"/>
      <w:r>
        <w:t>sub</w:t>
      </w:r>
      <w:r>
        <w:noBreakHyphen/>
        <w:t>bachelor</w:t>
      </w:r>
      <w:proofErr w:type="gramEnd"/>
      <w:r>
        <w:t xml:space="preserve"> higher education courses should be included in the demand driven system.</w:t>
      </w:r>
    </w:p>
    <w:p w:rsidR="004C51B0" w:rsidRDefault="004C51B0" w:rsidP="004C51B0">
      <w:pPr>
        <w:pStyle w:val="BodyText"/>
      </w:pPr>
      <w:r>
        <w:t>These recommendat</w:t>
      </w:r>
      <w:r w:rsidR="008F16F2">
        <w:t>ions</w:t>
      </w:r>
      <w:r w:rsidR="00EC5505">
        <w:t>, which</w:t>
      </w:r>
      <w:r w:rsidR="008F16F2">
        <w:t xml:space="preserve"> </w:t>
      </w:r>
      <w:r w:rsidR="00EC5505">
        <w:t xml:space="preserve">are </w:t>
      </w:r>
      <w:r w:rsidR="008F16F2">
        <w:t>yet to be implemented</w:t>
      </w:r>
      <w:r w:rsidR="00EC5505">
        <w:t>,</w:t>
      </w:r>
      <w:r>
        <w:t xml:space="preserve"> have important implications for the appropriate design and implementation of funding policy, particularly with regard to the contribution of students and the government towards the costs of higher </w:t>
      </w:r>
      <w:r w:rsidR="008F16F2">
        <w:t>education beyond CSPs at university providers</w:t>
      </w:r>
      <w:r>
        <w:t>.</w:t>
      </w:r>
    </w:p>
    <w:p w:rsidR="004C51B0" w:rsidRDefault="008F16F2" w:rsidP="004C51B0">
      <w:pPr>
        <w:pStyle w:val="BodyText"/>
      </w:pPr>
      <w:r>
        <w:t>In the recent 2016-17 budget, the Australian Government re-affirmed its 2014 policy to reduce the rate of government contribution towards CSPs by 20%.</w:t>
      </w:r>
      <w:r>
        <w:rPr>
          <w:rStyle w:val="FootnoteReference"/>
        </w:rPr>
        <w:footnoteReference w:id="10"/>
      </w:r>
      <w:r>
        <w:t xml:space="preserve"> This change is intended to rebalance the proportion of contributions made by students and the government towards the cost of higher education teaching and learning to closer align with recent empirical research (see OECD, 2014).</w:t>
      </w:r>
      <w:r w:rsidR="00ED4E70">
        <w:t xml:space="preserve"> This funding change would have the potential to bolster the fiscal sustainability of the current higher education system, </w:t>
      </w:r>
      <w:r w:rsidR="00137676">
        <w:t xml:space="preserve">creating greater scope for it </w:t>
      </w:r>
      <w:r w:rsidR="00ED4E70">
        <w:t>to be further expanded to include sub-bachelor places and (potentially) CSPs at non-university higher education providers (Kemp and Norton, 2014).</w:t>
      </w:r>
      <w:r w:rsidR="00ED4E70">
        <w:rPr>
          <w:rStyle w:val="FootnoteReference"/>
        </w:rPr>
        <w:footnoteReference w:id="11"/>
      </w:r>
    </w:p>
    <w:p w:rsidR="004C51B0" w:rsidRDefault="004C51B0" w:rsidP="006711C0">
      <w:pPr>
        <w:pStyle w:val="Heading3"/>
        <w:numPr>
          <w:ilvl w:val="2"/>
          <w:numId w:val="8"/>
        </w:numPr>
      </w:pPr>
      <w:r>
        <w:t>Motivations for this study</w:t>
      </w:r>
    </w:p>
    <w:p w:rsidR="004C51B0" w:rsidRDefault="004C51B0" w:rsidP="004C51B0">
      <w:pPr>
        <w:pStyle w:val="BodyText"/>
      </w:pPr>
      <w:r>
        <w:t xml:space="preserve">Ultimately, the challenge for effective funding support for higher education </w:t>
      </w:r>
      <w:r w:rsidR="00185EB2">
        <w:t xml:space="preserve">in </w:t>
      </w:r>
      <w:r>
        <w:t xml:space="preserve">Australia comprises a complex inter-relationship between education quality (and student outcomes), the </w:t>
      </w:r>
      <w:r w:rsidR="006936FE">
        <w:t xml:space="preserve">nation’s </w:t>
      </w:r>
      <w:r>
        <w:t>long-term fiscal sustainability</w:t>
      </w:r>
      <w:r w:rsidR="006936FE">
        <w:t xml:space="preserve"> </w:t>
      </w:r>
      <w:r>
        <w:t>and the demand of the economy for specific higher education skills and qualifications into the future.</w:t>
      </w:r>
    </w:p>
    <w:p w:rsidR="004C51B0" w:rsidRDefault="004C51B0" w:rsidP="004C51B0">
      <w:pPr>
        <w:pStyle w:val="BodyText"/>
      </w:pPr>
      <w:r>
        <w:t xml:space="preserve">In this context, </w:t>
      </w:r>
      <w:r w:rsidR="00653F92">
        <w:t xml:space="preserve">the principles of </w:t>
      </w:r>
      <w:r w:rsidRPr="004E31BD">
        <w:t xml:space="preserve">public </w:t>
      </w:r>
      <w:r w:rsidR="00653F92">
        <w:t>economic theory</w:t>
      </w:r>
      <w:r w:rsidR="00653F92" w:rsidRPr="004E31BD">
        <w:t xml:space="preserve"> </w:t>
      </w:r>
      <w:r w:rsidR="00653F92">
        <w:t xml:space="preserve">suggest </w:t>
      </w:r>
      <w:r>
        <w:t>that</w:t>
      </w:r>
      <w:r w:rsidRPr="004E31BD">
        <w:t xml:space="preserve"> government </w:t>
      </w:r>
      <w:r w:rsidR="007E4384">
        <w:t xml:space="preserve">optimally </w:t>
      </w:r>
      <w:r w:rsidRPr="004E31BD">
        <w:t>contribute up to the value of the social marginal benefits that ‘spillover’ from university higher education</w:t>
      </w:r>
      <w:r w:rsidR="00185EB2">
        <w:t xml:space="preserve">, </w:t>
      </w:r>
      <w:r w:rsidRPr="004E31BD">
        <w:t xml:space="preserve">while students contribute up to the remaining costs for the supply of university </w:t>
      </w:r>
      <w:r>
        <w:t>teaching and learning services (</w:t>
      </w:r>
      <w:r w:rsidR="002E20BF">
        <w:t xml:space="preserve">Lomax-Smith, 2011; Chapman and Lounkaew, 2011; </w:t>
      </w:r>
      <w:r>
        <w:t>Rosen and Gayer, 2010;</w:t>
      </w:r>
      <w:r w:rsidR="002E20BF">
        <w:t xml:space="preserve"> and</w:t>
      </w:r>
      <w:r>
        <w:t xml:space="preserve"> Marginson, 2007).</w:t>
      </w:r>
      <w:r w:rsidR="00C03112">
        <w:t xml:space="preserve"> </w:t>
      </w:r>
    </w:p>
    <w:p w:rsidR="007E4384" w:rsidRDefault="00ED4E70" w:rsidP="004C51B0">
      <w:pPr>
        <w:pStyle w:val="BodyText"/>
        <w:rPr>
          <w:rFonts w:cs="Calibri"/>
        </w:rPr>
      </w:pPr>
      <w:r>
        <w:rPr>
          <w:szCs w:val="22"/>
        </w:rPr>
        <w:t xml:space="preserve">Under current higher education funding arrangements, the total contribution towards teaching and learning </w:t>
      </w:r>
      <w:r w:rsidR="00E735FF" w:rsidRPr="00E735FF">
        <w:rPr>
          <w:szCs w:val="22"/>
        </w:rPr>
        <w:t xml:space="preserve">for Commonwealth Grant Scheme supported courses delivered by higher education providers </w:t>
      </w:r>
      <w:r>
        <w:rPr>
          <w:szCs w:val="22"/>
        </w:rPr>
        <w:t xml:space="preserve">(from both private and public sources) is capped by government. </w:t>
      </w:r>
      <w:r w:rsidR="007E4384" w:rsidRPr="00C25040">
        <w:rPr>
          <w:rFonts w:cs="Calibri"/>
        </w:rPr>
        <w:t xml:space="preserve">The current framework of </w:t>
      </w:r>
      <w:r w:rsidR="000920D5">
        <w:rPr>
          <w:rFonts w:cs="Calibri"/>
        </w:rPr>
        <w:t>differential</w:t>
      </w:r>
      <w:r w:rsidR="007E4384" w:rsidRPr="00C25040">
        <w:rPr>
          <w:rFonts w:cs="Calibri"/>
        </w:rPr>
        <w:t xml:space="preserve"> Commonwealth contribution</w:t>
      </w:r>
      <w:r w:rsidR="000920D5">
        <w:rPr>
          <w:rFonts w:cs="Calibri"/>
        </w:rPr>
        <w:t>s</w:t>
      </w:r>
      <w:r w:rsidR="007E4384" w:rsidRPr="00C25040">
        <w:rPr>
          <w:rFonts w:cs="Calibri"/>
        </w:rPr>
        <w:t xml:space="preserve"> and three levels of student contributions was introduced in the 1990s, and was intended to cover the cost of offering every course and recognise the shared public and private benefits </w:t>
      </w:r>
      <w:r w:rsidR="007E4384">
        <w:rPr>
          <w:rFonts w:cs="Calibri"/>
        </w:rPr>
        <w:t>o</w:t>
      </w:r>
      <w:r w:rsidR="007E4384" w:rsidRPr="00C25040">
        <w:rPr>
          <w:rFonts w:cs="Calibri"/>
        </w:rPr>
        <w:t xml:space="preserve">f a student completing the course. </w:t>
      </w:r>
    </w:p>
    <w:p w:rsidR="00653F92" w:rsidRDefault="007E4384" w:rsidP="004C51B0">
      <w:pPr>
        <w:pStyle w:val="BodyText"/>
      </w:pPr>
      <w:r w:rsidRPr="00C25040">
        <w:rPr>
          <w:rFonts w:cs="Calibri"/>
        </w:rPr>
        <w:t>However, the combined Commonwealth and student contributions do not in all cases</w:t>
      </w:r>
      <w:r w:rsidR="003F7D61">
        <w:rPr>
          <w:rFonts w:cs="Calibri"/>
        </w:rPr>
        <w:t xml:space="preserve"> align with</w:t>
      </w:r>
      <w:r w:rsidRPr="00C25040">
        <w:rPr>
          <w:rFonts w:cs="Calibri"/>
        </w:rPr>
        <w:t xml:space="preserve"> the relative cost of delivering different types of courses, </w:t>
      </w:r>
      <w:r w:rsidR="003F7D61">
        <w:rPr>
          <w:rFonts w:cs="Calibri"/>
        </w:rPr>
        <w:t xml:space="preserve">potentially </w:t>
      </w:r>
      <w:r w:rsidRPr="00C25040">
        <w:rPr>
          <w:rFonts w:cs="Calibri"/>
        </w:rPr>
        <w:t xml:space="preserve">resulting in cross </w:t>
      </w:r>
      <w:r w:rsidRPr="00C25040">
        <w:rPr>
          <w:rFonts w:cs="Calibri"/>
        </w:rPr>
        <w:lastRenderedPageBreak/>
        <w:t>subsidies occurring across courses or for research activities. The relative split between the Commonwealth and student may also not reflect well the public and priva</w:t>
      </w:r>
      <w:r>
        <w:rPr>
          <w:rFonts w:cs="Calibri"/>
        </w:rPr>
        <w:t>te benefits that result from higher education attainment (at a discipline level for bachelor degree programs)</w:t>
      </w:r>
      <w:r w:rsidRPr="00C25040">
        <w:rPr>
          <w:rFonts w:cs="Calibri"/>
        </w:rPr>
        <w:t>.</w:t>
      </w:r>
      <w:r w:rsidR="004C51B0">
        <w:t xml:space="preserve"> </w:t>
      </w:r>
    </w:p>
    <w:p w:rsidR="00ED4E70" w:rsidRPr="004E31BD" w:rsidRDefault="002E20BF" w:rsidP="004C51B0">
      <w:pPr>
        <w:pStyle w:val="BodyText"/>
      </w:pPr>
      <w:r>
        <w:t>Currently, t</w:t>
      </w:r>
      <w:r w:rsidR="004C51B0">
        <w:t>he relative quanta of these pr</w:t>
      </w:r>
      <w:r w:rsidR="00ED4E70">
        <w:t>ivate and public contributions v</w:t>
      </w:r>
      <w:r w:rsidR="004C51B0">
        <w:t xml:space="preserve">aries significantly on a discipline basis (as outlined in </w:t>
      </w:r>
      <w:r w:rsidR="004C51B0">
        <w:fldChar w:fldCharType="begin"/>
      </w:r>
      <w:r w:rsidR="004C51B0">
        <w:instrText xml:space="preserve"> REF _Ref454988713 \r \h </w:instrText>
      </w:r>
      <w:r w:rsidR="004C51B0">
        <w:fldChar w:fldCharType="separate"/>
      </w:r>
      <w:r w:rsidR="00534F9F">
        <w:t>Table 1.1</w:t>
      </w:r>
      <w:r w:rsidR="004C51B0">
        <w:fldChar w:fldCharType="end"/>
      </w:r>
      <w:r w:rsidR="004C51B0">
        <w:t>) with an overall average split of private to public c</w:t>
      </w:r>
      <w:r w:rsidR="00C03112">
        <w:t>ontributions of approximately 43% private to 57</w:t>
      </w:r>
      <w:r w:rsidR="004C51B0">
        <w:t>% public</w:t>
      </w:r>
      <w:r w:rsidR="00FE59B0">
        <w:t>, based on a volume weighted average</w:t>
      </w:r>
      <w:r w:rsidR="004C51B0">
        <w:t>.</w:t>
      </w:r>
    </w:p>
    <w:p w:rsidR="004C51B0" w:rsidRDefault="005F279E" w:rsidP="006711C0">
      <w:pPr>
        <w:pStyle w:val="CaptionTable"/>
        <w:numPr>
          <w:ilvl w:val="6"/>
          <w:numId w:val="8"/>
        </w:numPr>
        <w:ind w:left="0"/>
      </w:pPr>
      <w:bookmarkStart w:id="12" w:name="_Toc465961120"/>
      <w:r>
        <w:t>:</w:t>
      </w:r>
      <w:r w:rsidR="004C51B0">
        <w:t xml:space="preserve"> </w:t>
      </w:r>
      <w:bookmarkStart w:id="13" w:name="_Ref454988713"/>
      <w:bookmarkStart w:id="14" w:name="_Toc456686835"/>
      <w:r w:rsidR="004C51B0">
        <w:t>Current government and student contributions by funding cluster</w:t>
      </w:r>
      <w:bookmarkEnd w:id="13"/>
      <w:bookmarkEnd w:id="14"/>
      <w:r w:rsidR="004C51B0">
        <w:t>, 2016</w:t>
      </w:r>
      <w:bookmarkEnd w:id="12"/>
    </w:p>
    <w:tbl>
      <w:tblPr>
        <w:tblStyle w:val="TableAETotals"/>
        <w:tblW w:w="9350" w:type="dxa"/>
        <w:tblInd w:w="-318" w:type="dxa"/>
        <w:tblBorders>
          <w:insideH w:val="single" w:sz="8" w:space="0" w:color="002776"/>
        </w:tblBorders>
        <w:tblLayout w:type="fixed"/>
        <w:tblLook w:val="04A0" w:firstRow="1" w:lastRow="0" w:firstColumn="1" w:lastColumn="0" w:noHBand="0" w:noVBand="1"/>
      </w:tblPr>
      <w:tblGrid>
        <w:gridCol w:w="2269"/>
        <w:gridCol w:w="1985"/>
        <w:gridCol w:w="1417"/>
        <w:gridCol w:w="1701"/>
        <w:gridCol w:w="992"/>
        <w:gridCol w:w="986"/>
      </w:tblGrid>
      <w:tr w:rsidR="004C51B0" w:rsidRPr="0099350B" w:rsidTr="004C51B0">
        <w:trPr>
          <w:cnfStyle w:val="100000000000" w:firstRow="1" w:lastRow="0" w:firstColumn="0" w:lastColumn="0" w:oddVBand="0" w:evenVBand="0" w:oddHBand="0" w:evenHBand="0" w:firstRowFirstColumn="0" w:firstRowLastColumn="0" w:lastRowFirstColumn="0" w:lastRowLastColumn="0"/>
          <w:trHeight w:val="330"/>
        </w:trPr>
        <w:tc>
          <w:tcPr>
            <w:tcW w:w="2269" w:type="dxa"/>
            <w:vMerge w:val="restart"/>
            <w:tcBorders>
              <w:top w:val="single" w:sz="18" w:space="0" w:color="002776"/>
            </w:tcBorders>
            <w:noWrap/>
            <w:vAlign w:val="center"/>
            <w:hideMark/>
          </w:tcPr>
          <w:p w:rsidR="004C51B0" w:rsidRPr="00D9420E" w:rsidRDefault="004C51B0" w:rsidP="004C51B0">
            <w:pPr>
              <w:keepNext/>
              <w:keepLines/>
              <w:widowControl w:val="0"/>
              <w:jc w:val="center"/>
              <w:rPr>
                <w:rFonts w:asciiTheme="minorHAnsi" w:hAnsiTheme="minorHAnsi" w:cs="Arial"/>
                <w:color w:val="002060"/>
                <w:szCs w:val="22"/>
                <w:lang w:eastAsia="en-AU"/>
              </w:rPr>
            </w:pPr>
            <w:r w:rsidRPr="00D9420E">
              <w:rPr>
                <w:rFonts w:asciiTheme="minorHAnsi" w:hAnsiTheme="minorHAnsi" w:cs="Arial"/>
                <w:b/>
                <w:bCs/>
                <w:color w:val="002060"/>
                <w:szCs w:val="22"/>
                <w:lang w:eastAsia="en-AU"/>
              </w:rPr>
              <w:t>Funding cluster</w:t>
            </w:r>
          </w:p>
        </w:tc>
        <w:tc>
          <w:tcPr>
            <w:tcW w:w="1985" w:type="dxa"/>
            <w:vMerge w:val="restart"/>
            <w:tcBorders>
              <w:top w:val="single" w:sz="18" w:space="0" w:color="002776"/>
            </w:tcBorders>
            <w:noWrap/>
            <w:vAlign w:val="center"/>
            <w:hideMark/>
          </w:tcPr>
          <w:p w:rsidR="004C51B0" w:rsidRPr="00D9420E" w:rsidRDefault="004C51B0" w:rsidP="004C51B0">
            <w:pPr>
              <w:keepNext/>
              <w:keepLines/>
              <w:widowControl w:val="0"/>
              <w:jc w:val="center"/>
              <w:rPr>
                <w:rFonts w:asciiTheme="minorHAnsi" w:hAnsiTheme="minorHAnsi" w:cs="Arial"/>
                <w:color w:val="002060"/>
                <w:szCs w:val="22"/>
                <w:lang w:eastAsia="en-AU"/>
              </w:rPr>
            </w:pPr>
            <w:r>
              <w:rPr>
                <w:rFonts w:asciiTheme="minorHAnsi" w:hAnsiTheme="minorHAnsi" w:cs="Arial"/>
                <w:b/>
                <w:bCs/>
                <w:color w:val="002060"/>
                <w:szCs w:val="22"/>
                <w:lang w:eastAsia="en-AU"/>
              </w:rPr>
              <w:t>Component</w:t>
            </w:r>
          </w:p>
        </w:tc>
        <w:tc>
          <w:tcPr>
            <w:tcW w:w="1417" w:type="dxa"/>
            <w:vMerge w:val="restart"/>
            <w:tcBorders>
              <w:top w:val="single" w:sz="18" w:space="0" w:color="002776"/>
            </w:tcBorders>
            <w:noWrap/>
            <w:vAlign w:val="center"/>
            <w:hideMark/>
          </w:tcPr>
          <w:p w:rsidR="004C51B0" w:rsidRPr="00D9420E" w:rsidRDefault="004C51B0" w:rsidP="004C51B0">
            <w:pPr>
              <w:keepNext/>
              <w:keepLines/>
              <w:widowControl w:val="0"/>
              <w:jc w:val="center"/>
              <w:rPr>
                <w:rFonts w:asciiTheme="minorHAnsi" w:hAnsiTheme="minorHAnsi" w:cs="Arial"/>
                <w:color w:val="002060"/>
                <w:szCs w:val="22"/>
                <w:lang w:eastAsia="en-AU"/>
              </w:rPr>
            </w:pPr>
            <w:r>
              <w:rPr>
                <w:rFonts w:asciiTheme="minorHAnsi" w:hAnsiTheme="minorHAnsi" w:cs="Arial"/>
                <w:b/>
                <w:bCs/>
                <w:color w:val="002060"/>
                <w:szCs w:val="22"/>
                <w:lang w:eastAsia="en-AU"/>
              </w:rPr>
              <w:t>Student contribution</w:t>
            </w:r>
          </w:p>
        </w:tc>
        <w:tc>
          <w:tcPr>
            <w:tcW w:w="1701" w:type="dxa"/>
            <w:vMerge w:val="restart"/>
            <w:tcBorders>
              <w:top w:val="single" w:sz="18" w:space="0" w:color="002776"/>
            </w:tcBorders>
            <w:noWrap/>
            <w:vAlign w:val="center"/>
            <w:hideMark/>
          </w:tcPr>
          <w:p w:rsidR="004C51B0" w:rsidRPr="00D9420E" w:rsidRDefault="004C51B0" w:rsidP="004C51B0">
            <w:pPr>
              <w:keepNext/>
              <w:keepLines/>
              <w:widowControl w:val="0"/>
              <w:jc w:val="center"/>
              <w:rPr>
                <w:rFonts w:asciiTheme="minorHAnsi" w:hAnsiTheme="minorHAnsi" w:cs="Arial"/>
                <w:color w:val="002060"/>
                <w:szCs w:val="22"/>
                <w:lang w:eastAsia="en-AU"/>
              </w:rPr>
            </w:pPr>
            <w:r>
              <w:rPr>
                <w:rFonts w:asciiTheme="minorHAnsi" w:hAnsiTheme="minorHAnsi" w:cs="Arial"/>
                <w:b/>
                <w:bCs/>
                <w:color w:val="002060"/>
                <w:szCs w:val="22"/>
                <w:lang w:eastAsia="en-AU"/>
              </w:rPr>
              <w:t>Commonwealth</w:t>
            </w:r>
            <w:r w:rsidRPr="00D9420E">
              <w:rPr>
                <w:rFonts w:asciiTheme="minorHAnsi" w:hAnsiTheme="minorHAnsi" w:cs="Arial"/>
                <w:b/>
                <w:bCs/>
                <w:color w:val="002060"/>
                <w:szCs w:val="22"/>
                <w:lang w:eastAsia="en-AU"/>
              </w:rPr>
              <w:t xml:space="preserve"> contribution</w:t>
            </w:r>
          </w:p>
        </w:tc>
        <w:tc>
          <w:tcPr>
            <w:tcW w:w="1978" w:type="dxa"/>
            <w:gridSpan w:val="2"/>
            <w:tcBorders>
              <w:top w:val="single" w:sz="18" w:space="0" w:color="002776"/>
            </w:tcBorders>
            <w:vAlign w:val="center"/>
            <w:hideMark/>
          </w:tcPr>
          <w:p w:rsidR="004C51B0" w:rsidRPr="00D9420E" w:rsidRDefault="004C51B0" w:rsidP="004C51B0">
            <w:pPr>
              <w:keepNext/>
              <w:keepLines/>
              <w:widowControl w:val="0"/>
              <w:jc w:val="center"/>
              <w:rPr>
                <w:rFonts w:asciiTheme="minorHAnsi" w:hAnsiTheme="minorHAnsi" w:cs="Arial"/>
                <w:b/>
                <w:bCs/>
                <w:color w:val="002060"/>
                <w:szCs w:val="22"/>
                <w:lang w:eastAsia="en-AU"/>
              </w:rPr>
            </w:pPr>
            <w:r w:rsidRPr="00D9420E">
              <w:rPr>
                <w:rFonts w:asciiTheme="minorHAnsi" w:hAnsiTheme="minorHAnsi" w:cs="Arial"/>
                <w:b/>
                <w:bCs/>
                <w:color w:val="002060"/>
                <w:szCs w:val="22"/>
                <w:lang w:eastAsia="en-AU"/>
              </w:rPr>
              <w:t>Proportion of contribution</w:t>
            </w:r>
          </w:p>
        </w:tc>
      </w:tr>
      <w:tr w:rsidR="004C51B0" w:rsidRPr="0099350B" w:rsidTr="004C51B0">
        <w:trPr>
          <w:trHeight w:val="660"/>
        </w:trPr>
        <w:tc>
          <w:tcPr>
            <w:tcW w:w="2269" w:type="dxa"/>
            <w:vMerge/>
            <w:tcBorders>
              <w:top w:val="single" w:sz="8" w:space="0" w:color="002776"/>
              <w:bottom w:val="single" w:sz="12" w:space="0" w:color="002776"/>
            </w:tcBorders>
            <w:vAlign w:val="center"/>
            <w:hideMark/>
          </w:tcPr>
          <w:p w:rsidR="004C51B0" w:rsidRPr="00D9420E" w:rsidRDefault="004C51B0" w:rsidP="004C51B0">
            <w:pPr>
              <w:keepNext/>
              <w:keepLines/>
              <w:widowControl w:val="0"/>
              <w:jc w:val="center"/>
              <w:rPr>
                <w:rFonts w:asciiTheme="minorHAnsi" w:hAnsiTheme="minorHAnsi" w:cs="Arial"/>
                <w:b/>
                <w:bCs/>
                <w:color w:val="002060"/>
                <w:szCs w:val="22"/>
                <w:lang w:eastAsia="en-AU"/>
              </w:rPr>
            </w:pPr>
          </w:p>
        </w:tc>
        <w:tc>
          <w:tcPr>
            <w:tcW w:w="1985" w:type="dxa"/>
            <w:vMerge/>
            <w:tcBorders>
              <w:top w:val="single" w:sz="8" w:space="0" w:color="002776"/>
              <w:bottom w:val="single" w:sz="12" w:space="0" w:color="002776"/>
            </w:tcBorders>
            <w:vAlign w:val="center"/>
            <w:hideMark/>
          </w:tcPr>
          <w:p w:rsidR="004C51B0" w:rsidRPr="00D9420E" w:rsidRDefault="004C51B0" w:rsidP="004C51B0">
            <w:pPr>
              <w:keepNext/>
              <w:keepLines/>
              <w:widowControl w:val="0"/>
              <w:jc w:val="center"/>
              <w:rPr>
                <w:rFonts w:asciiTheme="minorHAnsi" w:hAnsiTheme="minorHAnsi" w:cs="Arial"/>
                <w:b/>
                <w:bCs/>
                <w:color w:val="002060"/>
                <w:szCs w:val="22"/>
                <w:lang w:eastAsia="en-AU"/>
              </w:rPr>
            </w:pPr>
          </w:p>
        </w:tc>
        <w:tc>
          <w:tcPr>
            <w:tcW w:w="1417" w:type="dxa"/>
            <w:vMerge/>
            <w:tcBorders>
              <w:top w:val="single" w:sz="8" w:space="0" w:color="002776"/>
              <w:bottom w:val="single" w:sz="12" w:space="0" w:color="002776"/>
            </w:tcBorders>
            <w:vAlign w:val="center"/>
            <w:hideMark/>
          </w:tcPr>
          <w:p w:rsidR="004C51B0" w:rsidRPr="00D9420E" w:rsidRDefault="004C51B0" w:rsidP="004C51B0">
            <w:pPr>
              <w:keepNext/>
              <w:keepLines/>
              <w:widowControl w:val="0"/>
              <w:jc w:val="center"/>
              <w:rPr>
                <w:rFonts w:asciiTheme="minorHAnsi" w:hAnsiTheme="minorHAnsi" w:cs="Arial"/>
                <w:b/>
                <w:bCs/>
                <w:color w:val="002060"/>
                <w:szCs w:val="22"/>
                <w:lang w:eastAsia="en-AU"/>
              </w:rPr>
            </w:pPr>
          </w:p>
        </w:tc>
        <w:tc>
          <w:tcPr>
            <w:tcW w:w="1701" w:type="dxa"/>
            <w:vMerge/>
            <w:tcBorders>
              <w:top w:val="single" w:sz="8" w:space="0" w:color="002776"/>
              <w:bottom w:val="single" w:sz="12" w:space="0" w:color="002776"/>
            </w:tcBorders>
            <w:vAlign w:val="center"/>
            <w:hideMark/>
          </w:tcPr>
          <w:p w:rsidR="004C51B0" w:rsidRPr="00D9420E" w:rsidRDefault="004C51B0" w:rsidP="004C51B0">
            <w:pPr>
              <w:keepNext/>
              <w:keepLines/>
              <w:widowControl w:val="0"/>
              <w:jc w:val="center"/>
              <w:rPr>
                <w:rFonts w:asciiTheme="minorHAnsi" w:hAnsiTheme="minorHAnsi" w:cs="Arial"/>
                <w:b/>
                <w:bCs/>
                <w:color w:val="002060"/>
                <w:szCs w:val="22"/>
                <w:lang w:eastAsia="en-AU"/>
              </w:rPr>
            </w:pPr>
          </w:p>
        </w:tc>
        <w:tc>
          <w:tcPr>
            <w:tcW w:w="992" w:type="dxa"/>
            <w:tcBorders>
              <w:top w:val="single" w:sz="8" w:space="0" w:color="002776"/>
              <w:bottom w:val="single" w:sz="12" w:space="0" w:color="002776"/>
            </w:tcBorders>
            <w:vAlign w:val="center"/>
            <w:hideMark/>
          </w:tcPr>
          <w:p w:rsidR="004C51B0" w:rsidRPr="00D9420E" w:rsidRDefault="004C51B0" w:rsidP="004C51B0">
            <w:pPr>
              <w:keepNext/>
              <w:keepLines/>
              <w:widowControl w:val="0"/>
              <w:jc w:val="center"/>
              <w:rPr>
                <w:rFonts w:asciiTheme="minorHAnsi" w:hAnsiTheme="minorHAnsi" w:cs="Arial"/>
                <w:b/>
                <w:bCs/>
                <w:color w:val="002060"/>
                <w:szCs w:val="22"/>
                <w:lang w:eastAsia="en-AU"/>
              </w:rPr>
            </w:pPr>
            <w:r w:rsidRPr="00D9420E">
              <w:rPr>
                <w:rFonts w:asciiTheme="minorHAnsi" w:hAnsiTheme="minorHAnsi" w:cs="Arial"/>
                <w:b/>
                <w:bCs/>
                <w:color w:val="002060"/>
                <w:szCs w:val="22"/>
                <w:lang w:eastAsia="en-AU"/>
              </w:rPr>
              <w:t>Private</w:t>
            </w:r>
          </w:p>
        </w:tc>
        <w:tc>
          <w:tcPr>
            <w:tcW w:w="986" w:type="dxa"/>
            <w:tcBorders>
              <w:top w:val="single" w:sz="8" w:space="0" w:color="002776"/>
              <w:bottom w:val="single" w:sz="12" w:space="0" w:color="002776"/>
            </w:tcBorders>
            <w:vAlign w:val="center"/>
            <w:hideMark/>
          </w:tcPr>
          <w:p w:rsidR="004C51B0" w:rsidRPr="00D9420E" w:rsidRDefault="004C51B0" w:rsidP="004C51B0">
            <w:pPr>
              <w:keepNext/>
              <w:keepLines/>
              <w:widowControl w:val="0"/>
              <w:jc w:val="center"/>
              <w:rPr>
                <w:rFonts w:asciiTheme="minorHAnsi" w:hAnsiTheme="minorHAnsi" w:cs="Arial"/>
                <w:b/>
                <w:bCs/>
                <w:color w:val="002060"/>
                <w:szCs w:val="22"/>
                <w:lang w:eastAsia="en-AU"/>
              </w:rPr>
            </w:pPr>
            <w:r w:rsidRPr="00D9420E">
              <w:rPr>
                <w:rFonts w:asciiTheme="minorHAnsi" w:hAnsiTheme="minorHAnsi" w:cs="Arial"/>
                <w:b/>
                <w:bCs/>
                <w:color w:val="002060"/>
                <w:szCs w:val="22"/>
                <w:lang w:eastAsia="en-AU"/>
              </w:rPr>
              <w:t>Public</w:t>
            </w:r>
          </w:p>
        </w:tc>
      </w:tr>
      <w:tr w:rsidR="004C51B0" w:rsidRPr="0099350B" w:rsidTr="004C51B0">
        <w:trPr>
          <w:trHeight w:val="495"/>
        </w:trPr>
        <w:tc>
          <w:tcPr>
            <w:tcW w:w="4254" w:type="dxa"/>
            <w:gridSpan w:val="2"/>
            <w:tcBorders>
              <w:top w:val="single" w:sz="12" w:space="0" w:color="002776"/>
            </w:tcBorders>
            <w:vAlign w:val="center"/>
            <w:hideMark/>
          </w:tcPr>
          <w:p w:rsidR="004C51B0" w:rsidRPr="00D9420E" w:rsidRDefault="004C51B0" w:rsidP="004C51B0">
            <w:pPr>
              <w:keepNext/>
              <w:keepLines/>
              <w:widowControl w:val="0"/>
              <w:rPr>
                <w:rFonts w:asciiTheme="minorHAnsi" w:hAnsiTheme="minorHAnsi" w:cs="Arial"/>
                <w:color w:val="000000"/>
                <w:sz w:val="20"/>
                <w:szCs w:val="22"/>
                <w:lang w:eastAsia="en-AU"/>
              </w:rPr>
            </w:pPr>
            <w:r>
              <w:rPr>
                <w:rFonts w:asciiTheme="minorHAnsi" w:hAnsiTheme="minorHAnsi" w:cs="Arial"/>
                <w:b/>
                <w:bCs/>
                <w:color w:val="000000"/>
                <w:sz w:val="20"/>
                <w:szCs w:val="22"/>
                <w:lang w:eastAsia="en-AU"/>
              </w:rPr>
              <w:t xml:space="preserve">1. </w:t>
            </w:r>
            <w:r w:rsidRPr="00D9420E">
              <w:rPr>
                <w:rFonts w:asciiTheme="minorHAnsi" w:hAnsiTheme="minorHAnsi" w:cs="Arial"/>
                <w:b/>
                <w:bCs/>
                <w:color w:val="000000"/>
                <w:sz w:val="20"/>
                <w:szCs w:val="22"/>
                <w:lang w:eastAsia="en-AU"/>
              </w:rPr>
              <w:t>Law, accounting, administration, economics, commerce</w:t>
            </w:r>
          </w:p>
        </w:tc>
        <w:tc>
          <w:tcPr>
            <w:tcW w:w="1417" w:type="dxa"/>
            <w:tcBorders>
              <w:top w:val="single" w:sz="12"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$10,440</w:t>
            </w:r>
          </w:p>
        </w:tc>
        <w:tc>
          <w:tcPr>
            <w:tcW w:w="1701" w:type="dxa"/>
            <w:tcBorders>
              <w:top w:val="single" w:sz="12"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$2,059</w:t>
            </w:r>
          </w:p>
        </w:tc>
        <w:tc>
          <w:tcPr>
            <w:tcW w:w="992" w:type="dxa"/>
            <w:tcBorders>
              <w:top w:val="single" w:sz="12"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84%</w:t>
            </w:r>
          </w:p>
        </w:tc>
        <w:tc>
          <w:tcPr>
            <w:tcW w:w="986" w:type="dxa"/>
            <w:tcBorders>
              <w:top w:val="single" w:sz="12"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16%</w:t>
            </w:r>
          </w:p>
        </w:tc>
      </w:tr>
      <w:tr w:rsidR="004C51B0" w:rsidRPr="0099350B" w:rsidTr="004C51B0">
        <w:trPr>
          <w:trHeight w:val="255"/>
        </w:trPr>
        <w:tc>
          <w:tcPr>
            <w:tcW w:w="4254" w:type="dxa"/>
            <w:gridSpan w:val="2"/>
            <w:vAlign w:val="center"/>
            <w:hideMark/>
          </w:tcPr>
          <w:p w:rsidR="004C51B0" w:rsidRPr="00D9420E" w:rsidRDefault="004C51B0" w:rsidP="004C51B0">
            <w:pPr>
              <w:keepNext/>
              <w:keepLines/>
              <w:widowControl w:val="0"/>
              <w:rPr>
                <w:rFonts w:asciiTheme="minorHAnsi" w:hAnsiTheme="minorHAnsi" w:cs="Arial"/>
                <w:color w:val="000000"/>
                <w:sz w:val="20"/>
                <w:szCs w:val="22"/>
                <w:lang w:eastAsia="en-AU"/>
              </w:rPr>
            </w:pPr>
            <w:r>
              <w:rPr>
                <w:rFonts w:asciiTheme="minorHAnsi" w:hAnsiTheme="minorHAnsi" w:cs="Arial"/>
                <w:b/>
                <w:bCs/>
                <w:color w:val="000000"/>
                <w:sz w:val="20"/>
                <w:szCs w:val="22"/>
                <w:lang w:eastAsia="en-AU"/>
              </w:rPr>
              <w:t>2.</w:t>
            </w:r>
            <w:r w:rsidRPr="00D9420E">
              <w:rPr>
                <w:rFonts w:asciiTheme="minorHAnsi" w:hAnsiTheme="minorHAnsi" w:cs="Arial"/>
                <w:b/>
                <w:bCs/>
                <w:color w:val="000000"/>
                <w:sz w:val="20"/>
                <w:szCs w:val="22"/>
                <w:lang w:eastAsia="en-AU"/>
              </w:rPr>
              <w:t xml:space="preserve"> Humanities</w:t>
            </w:r>
          </w:p>
        </w:tc>
        <w:tc>
          <w:tcPr>
            <w:tcW w:w="1417" w:type="dxa"/>
            <w:tcBorders>
              <w:bottom w:val="single" w:sz="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$6,256</w:t>
            </w:r>
          </w:p>
        </w:tc>
        <w:tc>
          <w:tcPr>
            <w:tcW w:w="1701" w:type="dxa"/>
            <w:tcBorders>
              <w:bottom w:val="single" w:sz="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$5,724</w:t>
            </w:r>
          </w:p>
        </w:tc>
        <w:tc>
          <w:tcPr>
            <w:tcW w:w="992" w:type="dxa"/>
            <w:tcBorders>
              <w:bottom w:val="single" w:sz="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52%</w:t>
            </w:r>
          </w:p>
        </w:tc>
        <w:tc>
          <w:tcPr>
            <w:tcW w:w="986" w:type="dxa"/>
            <w:tcBorders>
              <w:bottom w:val="single" w:sz="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48%</w:t>
            </w:r>
          </w:p>
        </w:tc>
      </w:tr>
      <w:tr w:rsidR="004C51B0" w:rsidRPr="0099350B" w:rsidTr="004C51B0">
        <w:trPr>
          <w:trHeight w:val="825"/>
        </w:trPr>
        <w:tc>
          <w:tcPr>
            <w:tcW w:w="2269" w:type="dxa"/>
            <w:vMerge w:val="restart"/>
            <w:vAlign w:val="center"/>
            <w:hideMark/>
          </w:tcPr>
          <w:p w:rsidR="004C51B0" w:rsidRPr="00D9420E" w:rsidRDefault="004C51B0" w:rsidP="004C51B0">
            <w:pPr>
              <w:keepNext/>
              <w:keepLines/>
              <w:widowControl w:val="0"/>
              <w:rPr>
                <w:rFonts w:asciiTheme="minorHAnsi" w:hAnsiTheme="minorHAnsi" w:cs="Arial"/>
                <w:b/>
                <w:bCs/>
                <w:color w:val="000000"/>
                <w:sz w:val="20"/>
                <w:szCs w:val="22"/>
                <w:lang w:eastAsia="en-AU"/>
              </w:rPr>
            </w:pPr>
            <w:r w:rsidRPr="00D9420E">
              <w:rPr>
                <w:rFonts w:asciiTheme="minorHAnsi" w:hAnsiTheme="minorHAnsi" w:cs="Arial"/>
                <w:b/>
                <w:bCs/>
                <w:color w:val="000000"/>
                <w:sz w:val="20"/>
                <w:szCs w:val="22"/>
                <w:lang w:eastAsia="en-AU"/>
              </w:rPr>
              <w:t>3</w:t>
            </w:r>
            <w:r>
              <w:rPr>
                <w:rFonts w:asciiTheme="minorHAnsi" w:hAnsiTheme="minorHAnsi" w:cs="Arial"/>
                <w:b/>
                <w:bCs/>
                <w:color w:val="000000"/>
                <w:sz w:val="20"/>
                <w:szCs w:val="22"/>
                <w:lang w:eastAsia="en-AU"/>
              </w:rPr>
              <w:t>.</w:t>
            </w:r>
            <w:r w:rsidRPr="00D9420E">
              <w:rPr>
                <w:rFonts w:asciiTheme="minorHAnsi" w:hAnsiTheme="minorHAnsi" w:cs="Arial"/>
                <w:b/>
                <w:bCs/>
                <w:color w:val="000000"/>
                <w:sz w:val="20"/>
                <w:szCs w:val="22"/>
                <w:lang w:eastAsia="en-AU"/>
              </w:rPr>
              <w:t xml:space="preserve"> Mathematics, statistics, behavioural science, social studies, computing, built environment, other health</w:t>
            </w:r>
          </w:p>
        </w:tc>
        <w:tc>
          <w:tcPr>
            <w:tcW w:w="1985" w:type="dxa"/>
            <w:tcBorders>
              <w:top w:val="single" w:sz="8" w:space="0" w:color="002776"/>
              <w:bottom w:val="dashed" w:sz="4" w:space="0" w:color="auto"/>
            </w:tcBorders>
            <w:hideMark/>
          </w:tcPr>
          <w:p w:rsidR="004C51B0" w:rsidRPr="00D9420E" w:rsidRDefault="004C51B0" w:rsidP="004C51B0">
            <w:pPr>
              <w:keepNext/>
              <w:keepLines/>
              <w:widowControl w:val="0"/>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Mathematics, statistics, computing, built environment or other health</w:t>
            </w:r>
          </w:p>
        </w:tc>
        <w:tc>
          <w:tcPr>
            <w:tcW w:w="1417" w:type="dxa"/>
            <w:tcBorders>
              <w:top w:val="single" w:sz="8" w:space="0" w:color="002776"/>
              <w:bottom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$8,917</w:t>
            </w:r>
          </w:p>
        </w:tc>
        <w:tc>
          <w:tcPr>
            <w:tcW w:w="1701" w:type="dxa"/>
            <w:vMerge w:val="restart"/>
            <w:tcBorders>
              <w:top w:val="single" w:sz="8" w:space="0" w:color="002776"/>
              <w:bottom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$10,127</w:t>
            </w:r>
          </w:p>
        </w:tc>
        <w:tc>
          <w:tcPr>
            <w:tcW w:w="992" w:type="dxa"/>
            <w:tcBorders>
              <w:top w:val="single" w:sz="8" w:space="0" w:color="002776"/>
              <w:bottom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47%</w:t>
            </w:r>
          </w:p>
        </w:tc>
        <w:tc>
          <w:tcPr>
            <w:tcW w:w="986" w:type="dxa"/>
            <w:tcBorders>
              <w:top w:val="single" w:sz="8" w:space="0" w:color="002776"/>
              <w:bottom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53%</w:t>
            </w:r>
          </w:p>
        </w:tc>
      </w:tr>
      <w:tr w:rsidR="004C51B0" w:rsidRPr="0099350B" w:rsidTr="004C51B0">
        <w:trPr>
          <w:trHeight w:val="495"/>
        </w:trPr>
        <w:tc>
          <w:tcPr>
            <w:tcW w:w="2269" w:type="dxa"/>
            <w:vMerge/>
            <w:vAlign w:val="center"/>
            <w:hideMark/>
          </w:tcPr>
          <w:p w:rsidR="004C51B0" w:rsidRPr="00D9420E" w:rsidRDefault="004C51B0" w:rsidP="004C51B0">
            <w:pPr>
              <w:keepNext/>
              <w:keepLines/>
              <w:widowControl w:val="0"/>
              <w:rPr>
                <w:rFonts w:asciiTheme="minorHAnsi" w:hAnsiTheme="minorHAnsi" w:cs="Arial"/>
                <w:b/>
                <w:bCs/>
                <w:color w:val="000000"/>
                <w:sz w:val="20"/>
                <w:szCs w:val="22"/>
                <w:lang w:eastAsia="en-AU"/>
              </w:rPr>
            </w:pPr>
          </w:p>
        </w:tc>
        <w:tc>
          <w:tcPr>
            <w:tcW w:w="1985" w:type="dxa"/>
            <w:tcBorders>
              <w:top w:val="dashed" w:sz="4" w:space="0" w:color="auto"/>
            </w:tcBorders>
            <w:hideMark/>
          </w:tcPr>
          <w:p w:rsidR="004C51B0" w:rsidRPr="00D9420E" w:rsidRDefault="004C51B0" w:rsidP="004C51B0">
            <w:pPr>
              <w:keepNext/>
              <w:keepLines/>
              <w:widowControl w:val="0"/>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Behavioural science or social studies</w:t>
            </w:r>
          </w:p>
        </w:tc>
        <w:tc>
          <w:tcPr>
            <w:tcW w:w="1417" w:type="dxa"/>
            <w:tcBorders>
              <w:top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$6,256</w:t>
            </w:r>
          </w:p>
        </w:tc>
        <w:tc>
          <w:tcPr>
            <w:tcW w:w="1701" w:type="dxa"/>
            <w:vMerge/>
            <w:tcBorders>
              <w:top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p>
        </w:tc>
        <w:tc>
          <w:tcPr>
            <w:tcW w:w="992" w:type="dxa"/>
            <w:tcBorders>
              <w:top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38%</w:t>
            </w:r>
          </w:p>
        </w:tc>
        <w:tc>
          <w:tcPr>
            <w:tcW w:w="986" w:type="dxa"/>
            <w:tcBorders>
              <w:top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62%</w:t>
            </w:r>
          </w:p>
        </w:tc>
      </w:tr>
      <w:tr w:rsidR="004C51B0" w:rsidRPr="0099350B" w:rsidTr="004C51B0">
        <w:trPr>
          <w:trHeight w:val="255"/>
        </w:trPr>
        <w:tc>
          <w:tcPr>
            <w:tcW w:w="2269" w:type="dxa"/>
            <w:vAlign w:val="center"/>
            <w:hideMark/>
          </w:tcPr>
          <w:p w:rsidR="004C51B0" w:rsidRPr="00D9420E" w:rsidRDefault="004C51B0" w:rsidP="004C51B0">
            <w:pPr>
              <w:keepNext/>
              <w:keepLines/>
              <w:widowControl w:val="0"/>
              <w:rPr>
                <w:rFonts w:asciiTheme="minorHAnsi" w:hAnsiTheme="minorHAnsi" w:cs="Arial"/>
                <w:b/>
                <w:bCs/>
                <w:color w:val="000000"/>
                <w:sz w:val="20"/>
                <w:szCs w:val="22"/>
                <w:lang w:eastAsia="en-AU"/>
              </w:rPr>
            </w:pPr>
            <w:r w:rsidRPr="00D9420E">
              <w:rPr>
                <w:rFonts w:asciiTheme="minorHAnsi" w:hAnsiTheme="minorHAnsi" w:cs="Arial"/>
                <w:b/>
                <w:bCs/>
                <w:color w:val="000000"/>
                <w:sz w:val="20"/>
                <w:szCs w:val="22"/>
                <w:lang w:eastAsia="en-AU"/>
              </w:rPr>
              <w:t>4</w:t>
            </w:r>
            <w:r>
              <w:rPr>
                <w:rFonts w:asciiTheme="minorHAnsi" w:hAnsiTheme="minorHAnsi" w:cs="Arial"/>
                <w:b/>
                <w:bCs/>
                <w:color w:val="000000"/>
                <w:sz w:val="20"/>
                <w:szCs w:val="22"/>
                <w:lang w:eastAsia="en-AU"/>
              </w:rPr>
              <w:t>.</w:t>
            </w:r>
            <w:r w:rsidRPr="00D9420E">
              <w:rPr>
                <w:rFonts w:asciiTheme="minorHAnsi" w:hAnsiTheme="minorHAnsi" w:cs="Arial"/>
                <w:b/>
                <w:bCs/>
                <w:color w:val="000000"/>
                <w:sz w:val="20"/>
                <w:szCs w:val="22"/>
                <w:lang w:eastAsia="en-AU"/>
              </w:rPr>
              <w:t xml:space="preserve"> Education</w:t>
            </w:r>
          </w:p>
        </w:tc>
        <w:tc>
          <w:tcPr>
            <w:tcW w:w="1985" w:type="dxa"/>
            <w:tcBorders>
              <w:bottom w:val="single" w:sz="8" w:space="0" w:color="002776"/>
            </w:tcBorders>
            <w:hideMark/>
          </w:tcPr>
          <w:p w:rsidR="004C51B0" w:rsidRPr="00D9420E" w:rsidRDefault="004C51B0" w:rsidP="004C51B0">
            <w:pPr>
              <w:keepNext/>
              <w:keepLines/>
              <w:widowControl w:val="0"/>
              <w:rPr>
                <w:rFonts w:asciiTheme="minorHAnsi" w:hAnsiTheme="minorHAnsi" w:cs="Arial"/>
                <w:color w:val="000000"/>
                <w:sz w:val="20"/>
                <w:szCs w:val="22"/>
                <w:lang w:eastAsia="en-AU"/>
              </w:rPr>
            </w:pPr>
          </w:p>
        </w:tc>
        <w:tc>
          <w:tcPr>
            <w:tcW w:w="1417" w:type="dxa"/>
            <w:tcBorders>
              <w:bottom w:val="single" w:sz="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Pr>
                <w:rFonts w:asciiTheme="minorHAnsi" w:hAnsiTheme="minorHAnsi" w:cs="Arial"/>
                <w:color w:val="000000"/>
                <w:sz w:val="20"/>
                <w:szCs w:val="22"/>
                <w:lang w:eastAsia="en-AU"/>
              </w:rPr>
              <w:t>$6,256</w:t>
            </w:r>
          </w:p>
        </w:tc>
        <w:tc>
          <w:tcPr>
            <w:tcW w:w="1701" w:type="dxa"/>
            <w:tcBorders>
              <w:bottom w:val="single" w:sz="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$10,537</w:t>
            </w:r>
          </w:p>
        </w:tc>
        <w:tc>
          <w:tcPr>
            <w:tcW w:w="992" w:type="dxa"/>
            <w:tcBorders>
              <w:bottom w:val="single" w:sz="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Pr>
                <w:rFonts w:asciiTheme="minorHAnsi" w:hAnsiTheme="minorHAnsi" w:cs="Arial"/>
                <w:color w:val="000000"/>
                <w:sz w:val="20"/>
                <w:szCs w:val="22"/>
                <w:lang w:eastAsia="en-AU"/>
              </w:rPr>
              <w:t>37%</w:t>
            </w:r>
          </w:p>
        </w:tc>
        <w:tc>
          <w:tcPr>
            <w:tcW w:w="986" w:type="dxa"/>
            <w:tcBorders>
              <w:bottom w:val="single" w:sz="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Pr>
                <w:rFonts w:asciiTheme="minorHAnsi" w:hAnsiTheme="minorHAnsi" w:cs="Arial"/>
                <w:color w:val="000000"/>
                <w:sz w:val="20"/>
                <w:szCs w:val="22"/>
                <w:lang w:eastAsia="en-AU"/>
              </w:rPr>
              <w:t>63</w:t>
            </w:r>
            <w:r w:rsidRPr="00D9420E">
              <w:rPr>
                <w:rFonts w:asciiTheme="minorHAnsi" w:hAnsiTheme="minorHAnsi" w:cs="Arial"/>
                <w:color w:val="000000"/>
                <w:sz w:val="20"/>
                <w:szCs w:val="22"/>
                <w:lang w:eastAsia="en-AU"/>
              </w:rPr>
              <w:t>%</w:t>
            </w:r>
          </w:p>
        </w:tc>
      </w:tr>
      <w:tr w:rsidR="004C51B0" w:rsidRPr="0099350B" w:rsidTr="004C51B0">
        <w:trPr>
          <w:trHeight w:val="990"/>
        </w:trPr>
        <w:tc>
          <w:tcPr>
            <w:tcW w:w="2269" w:type="dxa"/>
            <w:vMerge w:val="restart"/>
            <w:vAlign w:val="center"/>
            <w:hideMark/>
          </w:tcPr>
          <w:p w:rsidR="004C51B0" w:rsidRPr="00D9420E" w:rsidRDefault="004C51B0" w:rsidP="004C51B0">
            <w:pPr>
              <w:keepNext/>
              <w:keepLines/>
              <w:widowControl w:val="0"/>
              <w:rPr>
                <w:rFonts w:asciiTheme="minorHAnsi" w:hAnsiTheme="minorHAnsi" w:cs="Arial"/>
                <w:b/>
                <w:bCs/>
                <w:color w:val="000000"/>
                <w:sz w:val="20"/>
                <w:szCs w:val="22"/>
                <w:lang w:eastAsia="en-AU"/>
              </w:rPr>
            </w:pPr>
            <w:r w:rsidRPr="00D9420E">
              <w:rPr>
                <w:rFonts w:asciiTheme="minorHAnsi" w:hAnsiTheme="minorHAnsi" w:cs="Arial"/>
                <w:b/>
                <w:bCs/>
                <w:color w:val="000000"/>
                <w:sz w:val="20"/>
                <w:szCs w:val="22"/>
                <w:lang w:eastAsia="en-AU"/>
              </w:rPr>
              <w:t>5</w:t>
            </w:r>
            <w:r>
              <w:rPr>
                <w:rFonts w:asciiTheme="minorHAnsi" w:hAnsiTheme="minorHAnsi" w:cs="Arial"/>
                <w:b/>
                <w:bCs/>
                <w:color w:val="000000"/>
                <w:sz w:val="20"/>
                <w:szCs w:val="22"/>
                <w:lang w:eastAsia="en-AU"/>
              </w:rPr>
              <w:t>.</w:t>
            </w:r>
            <w:r w:rsidRPr="00D9420E">
              <w:rPr>
                <w:rFonts w:asciiTheme="minorHAnsi" w:hAnsiTheme="minorHAnsi" w:cs="Arial"/>
                <w:b/>
                <w:bCs/>
                <w:color w:val="000000"/>
                <w:sz w:val="20"/>
                <w:szCs w:val="22"/>
                <w:lang w:eastAsia="en-AU"/>
              </w:rPr>
              <w:t xml:space="preserve"> Clinical psychology, allied health, foreign languages, visual and performing arts</w:t>
            </w:r>
          </w:p>
        </w:tc>
        <w:tc>
          <w:tcPr>
            <w:tcW w:w="1985" w:type="dxa"/>
            <w:tcBorders>
              <w:top w:val="single" w:sz="8" w:space="0" w:color="002776"/>
              <w:bottom w:val="dashed" w:sz="4" w:space="0" w:color="auto"/>
            </w:tcBorders>
            <w:hideMark/>
          </w:tcPr>
          <w:p w:rsidR="004C51B0" w:rsidRPr="00D9420E" w:rsidRDefault="004C51B0" w:rsidP="004C51B0">
            <w:pPr>
              <w:keepNext/>
              <w:keepLines/>
              <w:widowControl w:val="0"/>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Clinical psychology, foreign languages, or visual and performing arts</w:t>
            </w:r>
          </w:p>
        </w:tc>
        <w:tc>
          <w:tcPr>
            <w:tcW w:w="1417" w:type="dxa"/>
            <w:tcBorders>
              <w:top w:val="single" w:sz="8" w:space="0" w:color="002776"/>
              <w:bottom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$6,256</w:t>
            </w:r>
          </w:p>
        </w:tc>
        <w:tc>
          <w:tcPr>
            <w:tcW w:w="1701" w:type="dxa"/>
            <w:vMerge w:val="restart"/>
            <w:tcBorders>
              <w:top w:val="single" w:sz="8" w:space="0" w:color="002776"/>
              <w:bottom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$12,455</w:t>
            </w:r>
          </w:p>
        </w:tc>
        <w:tc>
          <w:tcPr>
            <w:tcW w:w="992" w:type="dxa"/>
            <w:tcBorders>
              <w:top w:val="single" w:sz="8" w:space="0" w:color="002776"/>
              <w:bottom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33%</w:t>
            </w:r>
          </w:p>
        </w:tc>
        <w:tc>
          <w:tcPr>
            <w:tcW w:w="986" w:type="dxa"/>
            <w:tcBorders>
              <w:top w:val="single" w:sz="8" w:space="0" w:color="002776"/>
              <w:bottom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67%</w:t>
            </w:r>
          </w:p>
        </w:tc>
      </w:tr>
      <w:tr w:rsidR="004C51B0" w:rsidRPr="0099350B" w:rsidTr="004C51B0">
        <w:trPr>
          <w:trHeight w:val="255"/>
        </w:trPr>
        <w:tc>
          <w:tcPr>
            <w:tcW w:w="2269" w:type="dxa"/>
            <w:vMerge/>
            <w:vAlign w:val="center"/>
            <w:hideMark/>
          </w:tcPr>
          <w:p w:rsidR="004C51B0" w:rsidRPr="00D9420E" w:rsidRDefault="004C51B0" w:rsidP="004C51B0">
            <w:pPr>
              <w:keepNext/>
              <w:keepLines/>
              <w:widowControl w:val="0"/>
              <w:rPr>
                <w:rFonts w:asciiTheme="minorHAnsi" w:hAnsiTheme="minorHAnsi" w:cs="Arial"/>
                <w:b/>
                <w:bCs/>
                <w:color w:val="000000"/>
                <w:sz w:val="20"/>
                <w:szCs w:val="22"/>
                <w:lang w:eastAsia="en-AU"/>
              </w:rPr>
            </w:pPr>
          </w:p>
        </w:tc>
        <w:tc>
          <w:tcPr>
            <w:tcW w:w="1985" w:type="dxa"/>
            <w:tcBorders>
              <w:top w:val="dashed" w:sz="4" w:space="0" w:color="auto"/>
            </w:tcBorders>
            <w:hideMark/>
          </w:tcPr>
          <w:p w:rsidR="004C51B0" w:rsidRPr="00D9420E" w:rsidRDefault="004C51B0" w:rsidP="004C51B0">
            <w:pPr>
              <w:keepNext/>
              <w:keepLines/>
              <w:widowControl w:val="0"/>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Allied health</w:t>
            </w:r>
          </w:p>
        </w:tc>
        <w:tc>
          <w:tcPr>
            <w:tcW w:w="1417" w:type="dxa"/>
            <w:tcBorders>
              <w:top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$8,917</w:t>
            </w:r>
          </w:p>
        </w:tc>
        <w:tc>
          <w:tcPr>
            <w:tcW w:w="1701" w:type="dxa"/>
            <w:vMerge/>
            <w:tcBorders>
              <w:top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p>
        </w:tc>
        <w:tc>
          <w:tcPr>
            <w:tcW w:w="992" w:type="dxa"/>
            <w:tcBorders>
              <w:top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42%</w:t>
            </w:r>
          </w:p>
        </w:tc>
        <w:tc>
          <w:tcPr>
            <w:tcW w:w="986" w:type="dxa"/>
            <w:tcBorders>
              <w:top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58%</w:t>
            </w:r>
          </w:p>
        </w:tc>
      </w:tr>
      <w:tr w:rsidR="004C51B0" w:rsidRPr="0099350B" w:rsidTr="004C51B0">
        <w:trPr>
          <w:trHeight w:val="255"/>
        </w:trPr>
        <w:tc>
          <w:tcPr>
            <w:tcW w:w="2269" w:type="dxa"/>
            <w:vAlign w:val="center"/>
            <w:hideMark/>
          </w:tcPr>
          <w:p w:rsidR="004C51B0" w:rsidRPr="00D9420E" w:rsidRDefault="004C51B0" w:rsidP="004C51B0">
            <w:pPr>
              <w:keepNext/>
              <w:keepLines/>
              <w:widowControl w:val="0"/>
              <w:rPr>
                <w:rFonts w:asciiTheme="minorHAnsi" w:hAnsiTheme="minorHAnsi" w:cs="Arial"/>
                <w:b/>
                <w:bCs/>
                <w:color w:val="000000"/>
                <w:sz w:val="20"/>
                <w:szCs w:val="22"/>
                <w:lang w:eastAsia="en-AU"/>
              </w:rPr>
            </w:pPr>
            <w:r w:rsidRPr="00D9420E">
              <w:rPr>
                <w:rFonts w:asciiTheme="minorHAnsi" w:hAnsiTheme="minorHAnsi" w:cs="Arial"/>
                <w:b/>
                <w:bCs/>
                <w:color w:val="000000"/>
                <w:sz w:val="20"/>
                <w:szCs w:val="22"/>
                <w:lang w:eastAsia="en-AU"/>
              </w:rPr>
              <w:t>6</w:t>
            </w:r>
            <w:r>
              <w:rPr>
                <w:rFonts w:asciiTheme="minorHAnsi" w:hAnsiTheme="minorHAnsi" w:cs="Arial"/>
                <w:b/>
                <w:bCs/>
                <w:color w:val="000000"/>
                <w:sz w:val="20"/>
                <w:szCs w:val="22"/>
                <w:lang w:eastAsia="en-AU"/>
              </w:rPr>
              <w:t>.</w:t>
            </w:r>
            <w:r w:rsidRPr="00D9420E">
              <w:rPr>
                <w:rFonts w:asciiTheme="minorHAnsi" w:hAnsiTheme="minorHAnsi" w:cs="Arial"/>
                <w:b/>
                <w:bCs/>
                <w:color w:val="000000"/>
                <w:sz w:val="20"/>
                <w:szCs w:val="22"/>
                <w:lang w:eastAsia="en-AU"/>
              </w:rPr>
              <w:t xml:space="preserve"> Nursing</w:t>
            </w:r>
          </w:p>
        </w:tc>
        <w:tc>
          <w:tcPr>
            <w:tcW w:w="1985" w:type="dxa"/>
            <w:hideMark/>
          </w:tcPr>
          <w:p w:rsidR="004C51B0" w:rsidRPr="00D9420E" w:rsidRDefault="004C51B0" w:rsidP="004C51B0">
            <w:pPr>
              <w:keepNext/>
              <w:keepLines/>
              <w:widowControl w:val="0"/>
              <w:rPr>
                <w:rFonts w:asciiTheme="minorHAnsi" w:hAnsiTheme="minorHAnsi" w:cs="Arial"/>
                <w:color w:val="000000"/>
                <w:sz w:val="20"/>
                <w:szCs w:val="22"/>
                <w:lang w:eastAsia="en-AU"/>
              </w:rPr>
            </w:pPr>
          </w:p>
        </w:tc>
        <w:tc>
          <w:tcPr>
            <w:tcW w:w="1417" w:type="dxa"/>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Pr>
                <w:rFonts w:asciiTheme="minorHAnsi" w:hAnsiTheme="minorHAnsi" w:cs="Arial"/>
                <w:color w:val="000000"/>
                <w:sz w:val="20"/>
                <w:szCs w:val="22"/>
                <w:lang w:eastAsia="en-AU"/>
              </w:rPr>
              <w:t>$6,256</w:t>
            </w:r>
          </w:p>
        </w:tc>
        <w:tc>
          <w:tcPr>
            <w:tcW w:w="1701" w:type="dxa"/>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$13,905</w:t>
            </w:r>
          </w:p>
        </w:tc>
        <w:tc>
          <w:tcPr>
            <w:tcW w:w="992" w:type="dxa"/>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Pr>
                <w:rFonts w:asciiTheme="minorHAnsi" w:hAnsiTheme="minorHAnsi" w:cs="Arial"/>
                <w:color w:val="000000"/>
                <w:sz w:val="20"/>
                <w:szCs w:val="22"/>
                <w:lang w:eastAsia="en-AU"/>
              </w:rPr>
              <w:t>31</w:t>
            </w:r>
            <w:r w:rsidRPr="00D9420E">
              <w:rPr>
                <w:rFonts w:asciiTheme="minorHAnsi" w:hAnsiTheme="minorHAnsi" w:cs="Arial"/>
                <w:color w:val="000000"/>
                <w:sz w:val="20"/>
                <w:szCs w:val="22"/>
                <w:lang w:eastAsia="en-AU"/>
              </w:rPr>
              <w:t>%</w:t>
            </w:r>
          </w:p>
        </w:tc>
        <w:tc>
          <w:tcPr>
            <w:tcW w:w="986" w:type="dxa"/>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Pr>
                <w:rFonts w:asciiTheme="minorHAnsi" w:hAnsiTheme="minorHAnsi" w:cs="Arial"/>
                <w:color w:val="000000"/>
                <w:sz w:val="20"/>
                <w:szCs w:val="22"/>
                <w:lang w:eastAsia="en-AU"/>
              </w:rPr>
              <w:t>69</w:t>
            </w:r>
            <w:r w:rsidRPr="00D9420E">
              <w:rPr>
                <w:rFonts w:asciiTheme="minorHAnsi" w:hAnsiTheme="minorHAnsi" w:cs="Arial"/>
                <w:color w:val="000000"/>
                <w:sz w:val="20"/>
                <w:szCs w:val="22"/>
                <w:lang w:eastAsia="en-AU"/>
              </w:rPr>
              <w:t>%</w:t>
            </w:r>
          </w:p>
        </w:tc>
      </w:tr>
      <w:tr w:rsidR="004C51B0" w:rsidRPr="0099350B" w:rsidTr="004C51B0">
        <w:trPr>
          <w:trHeight w:val="495"/>
        </w:trPr>
        <w:tc>
          <w:tcPr>
            <w:tcW w:w="2269" w:type="dxa"/>
            <w:tcBorders>
              <w:bottom w:val="single" w:sz="8" w:space="0" w:color="002776"/>
            </w:tcBorders>
            <w:vAlign w:val="center"/>
            <w:hideMark/>
          </w:tcPr>
          <w:p w:rsidR="004C51B0" w:rsidRPr="00D9420E" w:rsidRDefault="004C51B0" w:rsidP="004C51B0">
            <w:pPr>
              <w:keepNext/>
              <w:keepLines/>
              <w:widowControl w:val="0"/>
              <w:rPr>
                <w:rFonts w:asciiTheme="minorHAnsi" w:hAnsiTheme="minorHAnsi" w:cs="Arial"/>
                <w:b/>
                <w:bCs/>
                <w:color w:val="000000"/>
                <w:sz w:val="20"/>
                <w:szCs w:val="22"/>
                <w:lang w:eastAsia="en-AU"/>
              </w:rPr>
            </w:pPr>
            <w:r w:rsidRPr="00D9420E">
              <w:rPr>
                <w:rFonts w:asciiTheme="minorHAnsi" w:hAnsiTheme="minorHAnsi" w:cs="Arial"/>
                <w:b/>
                <w:bCs/>
                <w:color w:val="000000"/>
                <w:sz w:val="20"/>
                <w:szCs w:val="22"/>
                <w:lang w:eastAsia="en-AU"/>
              </w:rPr>
              <w:t>7</w:t>
            </w:r>
            <w:r>
              <w:rPr>
                <w:rFonts w:asciiTheme="minorHAnsi" w:hAnsiTheme="minorHAnsi" w:cs="Arial"/>
                <w:b/>
                <w:bCs/>
                <w:color w:val="000000"/>
                <w:sz w:val="20"/>
                <w:szCs w:val="22"/>
                <w:lang w:eastAsia="en-AU"/>
              </w:rPr>
              <w:t>.</w:t>
            </w:r>
            <w:r w:rsidRPr="00D9420E">
              <w:rPr>
                <w:rFonts w:asciiTheme="minorHAnsi" w:hAnsiTheme="minorHAnsi" w:cs="Arial"/>
                <w:b/>
                <w:bCs/>
                <w:color w:val="000000"/>
                <w:sz w:val="20"/>
                <w:szCs w:val="22"/>
                <w:lang w:eastAsia="en-AU"/>
              </w:rPr>
              <w:t xml:space="preserve"> Engineering, science, surveying</w:t>
            </w:r>
          </w:p>
        </w:tc>
        <w:tc>
          <w:tcPr>
            <w:tcW w:w="1985" w:type="dxa"/>
            <w:tcBorders>
              <w:bottom w:val="single" w:sz="8" w:space="0" w:color="002776"/>
            </w:tcBorders>
            <w:hideMark/>
          </w:tcPr>
          <w:p w:rsidR="004C51B0" w:rsidRPr="00D9420E" w:rsidRDefault="004C51B0" w:rsidP="004C51B0">
            <w:pPr>
              <w:keepNext/>
              <w:keepLines/>
              <w:widowControl w:val="0"/>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Science, Engineering or surveying</w:t>
            </w:r>
          </w:p>
        </w:tc>
        <w:tc>
          <w:tcPr>
            <w:tcW w:w="1417" w:type="dxa"/>
            <w:tcBorders>
              <w:bottom w:val="single" w:sz="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$8,917</w:t>
            </w:r>
          </w:p>
        </w:tc>
        <w:tc>
          <w:tcPr>
            <w:tcW w:w="1701" w:type="dxa"/>
            <w:tcBorders>
              <w:bottom w:val="single" w:sz="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$17,706</w:t>
            </w:r>
          </w:p>
        </w:tc>
        <w:tc>
          <w:tcPr>
            <w:tcW w:w="992" w:type="dxa"/>
            <w:tcBorders>
              <w:bottom w:val="single" w:sz="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33%</w:t>
            </w:r>
          </w:p>
        </w:tc>
        <w:tc>
          <w:tcPr>
            <w:tcW w:w="986" w:type="dxa"/>
            <w:tcBorders>
              <w:bottom w:val="single" w:sz="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67%</w:t>
            </w:r>
          </w:p>
        </w:tc>
      </w:tr>
      <w:tr w:rsidR="004C51B0" w:rsidRPr="0099350B" w:rsidTr="004C51B0">
        <w:trPr>
          <w:trHeight w:val="495"/>
        </w:trPr>
        <w:tc>
          <w:tcPr>
            <w:tcW w:w="2269" w:type="dxa"/>
            <w:vMerge w:val="restart"/>
            <w:tcBorders>
              <w:top w:val="single" w:sz="8" w:space="0" w:color="002776"/>
              <w:bottom w:val="single" w:sz="8" w:space="0" w:color="002776"/>
            </w:tcBorders>
            <w:vAlign w:val="center"/>
            <w:hideMark/>
          </w:tcPr>
          <w:p w:rsidR="004C51B0" w:rsidRPr="00D9420E" w:rsidRDefault="004C51B0" w:rsidP="004C51B0">
            <w:pPr>
              <w:keepNext/>
              <w:keepLines/>
              <w:widowControl w:val="0"/>
              <w:rPr>
                <w:rFonts w:asciiTheme="minorHAnsi" w:hAnsiTheme="minorHAnsi" w:cs="Arial"/>
                <w:b/>
                <w:bCs/>
                <w:color w:val="000000"/>
                <w:sz w:val="20"/>
                <w:szCs w:val="22"/>
                <w:lang w:eastAsia="en-AU"/>
              </w:rPr>
            </w:pPr>
            <w:r w:rsidRPr="00D9420E">
              <w:rPr>
                <w:rFonts w:asciiTheme="minorHAnsi" w:hAnsiTheme="minorHAnsi" w:cs="Arial"/>
                <w:b/>
                <w:bCs/>
                <w:color w:val="000000"/>
                <w:sz w:val="20"/>
                <w:szCs w:val="22"/>
                <w:lang w:eastAsia="en-AU"/>
              </w:rPr>
              <w:t>8</w:t>
            </w:r>
            <w:r>
              <w:rPr>
                <w:rFonts w:asciiTheme="minorHAnsi" w:hAnsiTheme="minorHAnsi" w:cs="Arial"/>
                <w:b/>
                <w:bCs/>
                <w:color w:val="000000"/>
                <w:sz w:val="20"/>
                <w:szCs w:val="22"/>
                <w:lang w:eastAsia="en-AU"/>
              </w:rPr>
              <w:t>.</w:t>
            </w:r>
            <w:r w:rsidRPr="00D9420E">
              <w:rPr>
                <w:rFonts w:asciiTheme="minorHAnsi" w:hAnsiTheme="minorHAnsi" w:cs="Arial"/>
                <w:b/>
                <w:bCs/>
                <w:color w:val="000000"/>
                <w:sz w:val="20"/>
                <w:szCs w:val="22"/>
                <w:lang w:eastAsia="en-AU"/>
              </w:rPr>
              <w:t xml:space="preserve"> Dentistry, medicine, veterinary science, agriculture</w:t>
            </w:r>
          </w:p>
        </w:tc>
        <w:tc>
          <w:tcPr>
            <w:tcW w:w="1985" w:type="dxa"/>
            <w:tcBorders>
              <w:top w:val="single" w:sz="8" w:space="0" w:color="002776"/>
              <w:bottom w:val="dashed" w:sz="4" w:space="0" w:color="auto"/>
            </w:tcBorders>
            <w:hideMark/>
          </w:tcPr>
          <w:p w:rsidR="004C51B0" w:rsidRPr="00D9420E" w:rsidRDefault="004C51B0" w:rsidP="004C51B0">
            <w:pPr>
              <w:keepNext/>
              <w:keepLines/>
              <w:widowControl w:val="0"/>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Dentistry, medicine or veterinary science</w:t>
            </w:r>
          </w:p>
        </w:tc>
        <w:tc>
          <w:tcPr>
            <w:tcW w:w="1417" w:type="dxa"/>
            <w:tcBorders>
              <w:top w:val="single" w:sz="8" w:space="0" w:color="002776"/>
              <w:bottom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$10,440</w:t>
            </w:r>
          </w:p>
        </w:tc>
        <w:tc>
          <w:tcPr>
            <w:tcW w:w="1701" w:type="dxa"/>
            <w:vMerge w:val="restart"/>
            <w:tcBorders>
              <w:top w:val="single" w:sz="8" w:space="0" w:color="002776"/>
              <w:bottom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$22,472</w:t>
            </w:r>
          </w:p>
        </w:tc>
        <w:tc>
          <w:tcPr>
            <w:tcW w:w="992" w:type="dxa"/>
            <w:tcBorders>
              <w:top w:val="single" w:sz="8" w:space="0" w:color="002776"/>
              <w:bottom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32%</w:t>
            </w:r>
          </w:p>
        </w:tc>
        <w:tc>
          <w:tcPr>
            <w:tcW w:w="986" w:type="dxa"/>
            <w:tcBorders>
              <w:top w:val="single" w:sz="8" w:space="0" w:color="002776"/>
              <w:bottom w:val="dashed" w:sz="4" w:space="0" w:color="auto"/>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68%</w:t>
            </w:r>
          </w:p>
        </w:tc>
      </w:tr>
      <w:tr w:rsidR="004C51B0" w:rsidRPr="0099350B" w:rsidTr="004C51B0">
        <w:trPr>
          <w:trHeight w:val="255"/>
        </w:trPr>
        <w:tc>
          <w:tcPr>
            <w:tcW w:w="2269" w:type="dxa"/>
            <w:vMerge/>
            <w:tcBorders>
              <w:top w:val="single" w:sz="8" w:space="0" w:color="002776"/>
              <w:bottom w:val="single" w:sz="18" w:space="0" w:color="002776"/>
            </w:tcBorders>
            <w:hideMark/>
          </w:tcPr>
          <w:p w:rsidR="004C51B0" w:rsidRPr="00D9420E" w:rsidRDefault="004C51B0" w:rsidP="004C51B0">
            <w:pPr>
              <w:keepNext/>
              <w:keepLines/>
              <w:widowControl w:val="0"/>
              <w:rPr>
                <w:rFonts w:asciiTheme="minorHAnsi" w:hAnsiTheme="minorHAnsi" w:cs="Arial"/>
                <w:b/>
                <w:bCs/>
                <w:color w:val="000000"/>
                <w:sz w:val="20"/>
                <w:szCs w:val="22"/>
                <w:lang w:eastAsia="en-AU"/>
              </w:rPr>
            </w:pPr>
          </w:p>
        </w:tc>
        <w:tc>
          <w:tcPr>
            <w:tcW w:w="1985" w:type="dxa"/>
            <w:tcBorders>
              <w:top w:val="dashed" w:sz="4" w:space="0" w:color="auto"/>
              <w:bottom w:val="single" w:sz="18" w:space="0" w:color="002776"/>
            </w:tcBorders>
            <w:hideMark/>
          </w:tcPr>
          <w:p w:rsidR="004C51B0" w:rsidRPr="00D9420E" w:rsidRDefault="004C51B0" w:rsidP="004C51B0">
            <w:pPr>
              <w:keepNext/>
              <w:keepLines/>
              <w:widowControl w:val="0"/>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Agriculture</w:t>
            </w:r>
          </w:p>
        </w:tc>
        <w:tc>
          <w:tcPr>
            <w:tcW w:w="1417" w:type="dxa"/>
            <w:tcBorders>
              <w:top w:val="dashed" w:sz="4" w:space="0" w:color="auto"/>
              <w:bottom w:val="single" w:sz="1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$8,917</w:t>
            </w:r>
          </w:p>
        </w:tc>
        <w:tc>
          <w:tcPr>
            <w:tcW w:w="1701" w:type="dxa"/>
            <w:vMerge/>
            <w:tcBorders>
              <w:top w:val="dashed" w:sz="4" w:space="0" w:color="auto"/>
              <w:bottom w:val="single" w:sz="1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p>
        </w:tc>
        <w:tc>
          <w:tcPr>
            <w:tcW w:w="992" w:type="dxa"/>
            <w:tcBorders>
              <w:top w:val="dashed" w:sz="4" w:space="0" w:color="auto"/>
              <w:bottom w:val="single" w:sz="1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28%</w:t>
            </w:r>
          </w:p>
        </w:tc>
        <w:tc>
          <w:tcPr>
            <w:tcW w:w="986" w:type="dxa"/>
            <w:tcBorders>
              <w:top w:val="dashed" w:sz="4" w:space="0" w:color="auto"/>
              <w:bottom w:val="single" w:sz="18" w:space="0" w:color="002776"/>
            </w:tcBorders>
            <w:vAlign w:val="center"/>
            <w:hideMark/>
          </w:tcPr>
          <w:p w:rsidR="004C51B0" w:rsidRPr="00D9420E" w:rsidRDefault="004C51B0" w:rsidP="004C51B0">
            <w:pPr>
              <w:keepNext/>
              <w:keepLines/>
              <w:widowControl w:val="0"/>
              <w:jc w:val="center"/>
              <w:rPr>
                <w:rFonts w:asciiTheme="minorHAnsi" w:hAnsiTheme="minorHAnsi" w:cs="Arial"/>
                <w:color w:val="000000"/>
                <w:sz w:val="20"/>
                <w:szCs w:val="22"/>
                <w:lang w:eastAsia="en-AU"/>
              </w:rPr>
            </w:pPr>
            <w:r w:rsidRPr="00D9420E">
              <w:rPr>
                <w:rFonts w:asciiTheme="minorHAnsi" w:hAnsiTheme="minorHAnsi" w:cs="Arial"/>
                <w:color w:val="000000"/>
                <w:sz w:val="20"/>
                <w:szCs w:val="22"/>
                <w:lang w:eastAsia="en-AU"/>
              </w:rPr>
              <w:t>72%</w:t>
            </w:r>
          </w:p>
        </w:tc>
      </w:tr>
    </w:tbl>
    <w:p w:rsidR="004C51B0" w:rsidRDefault="004C51B0" w:rsidP="004C51B0">
      <w:pPr>
        <w:pStyle w:val="Source"/>
      </w:pPr>
      <w:r>
        <w:t>Source: Department of Education and Training (</w:t>
      </w:r>
      <w:r w:rsidRPr="00DB180F">
        <w:t>https://docs.education.gov.au/node/37873</w:t>
      </w:r>
      <w:r>
        <w:t>)</w:t>
      </w:r>
    </w:p>
    <w:p w:rsidR="003F7D61" w:rsidRDefault="004C51B0" w:rsidP="004C51B0">
      <w:pPr>
        <w:pStyle w:val="BodyText"/>
      </w:pPr>
      <w:r>
        <w:t>While recent studies, including th</w:t>
      </w:r>
      <w:r w:rsidR="003F7D61">
        <w:t xml:space="preserve">ose commissioned as part of the </w:t>
      </w:r>
      <w:r>
        <w:t>2011 Lomax-Smith Base Funding review, have examined the efficacy of the</w:t>
      </w:r>
      <w:r w:rsidR="00185EB2">
        <w:t>se</w:t>
      </w:r>
      <w:r>
        <w:t xml:space="preserve"> contribution rates</w:t>
      </w:r>
      <w:r w:rsidR="003F7D61">
        <w:t xml:space="preserve"> in relation to relative private and public benefits</w:t>
      </w:r>
      <w:r>
        <w:t>, there is limited</w:t>
      </w:r>
      <w:r w:rsidR="00ED4E70">
        <w:t xml:space="preserve"> empirical</w:t>
      </w:r>
      <w:r>
        <w:t xml:space="preserve"> evidence </w:t>
      </w:r>
      <w:r w:rsidR="00ED4E70">
        <w:t>against which these relative contribution rates may be assessed</w:t>
      </w:r>
      <w:r w:rsidR="003F7D61">
        <w:t xml:space="preserve"> at a discipline, provider or qualification level.</w:t>
      </w:r>
    </w:p>
    <w:p w:rsidR="003F7D61" w:rsidRDefault="003F7D61" w:rsidP="004C51B0">
      <w:pPr>
        <w:pStyle w:val="BodyText"/>
      </w:pPr>
      <w:r>
        <w:rPr>
          <w:rFonts w:cs="Calibri"/>
        </w:rPr>
        <w:t xml:space="preserve">This is because these studies </w:t>
      </w:r>
      <w:r w:rsidRPr="00C25040">
        <w:rPr>
          <w:rFonts w:cs="Calibri"/>
        </w:rPr>
        <w:t>were limited to undergraduate and postgraduate levels only</w:t>
      </w:r>
      <w:r>
        <w:rPr>
          <w:rFonts w:cs="Calibri"/>
        </w:rPr>
        <w:t xml:space="preserve"> (i.e. they did not include sub-bachelor programs)</w:t>
      </w:r>
      <w:r w:rsidRPr="00C25040">
        <w:rPr>
          <w:rFonts w:cs="Calibri"/>
        </w:rPr>
        <w:t>, and did not consider whether the relative public and private benefits varied between different types of institution</w:t>
      </w:r>
      <w:r>
        <w:rPr>
          <w:rFonts w:cs="Calibri"/>
        </w:rPr>
        <w:t>s (including universities and non-university higher education providers)</w:t>
      </w:r>
      <w:r w:rsidRPr="00C25040">
        <w:rPr>
          <w:rFonts w:cs="Calibri"/>
        </w:rPr>
        <w:t xml:space="preserve">. </w:t>
      </w:r>
      <w:r>
        <w:rPr>
          <w:rFonts w:cs="Calibri"/>
        </w:rPr>
        <w:t>Importantly, t</w:t>
      </w:r>
      <w:r w:rsidRPr="00C25040">
        <w:rPr>
          <w:rFonts w:cs="Calibri"/>
        </w:rPr>
        <w:t>he</w:t>
      </w:r>
      <w:r>
        <w:rPr>
          <w:rFonts w:cs="Calibri"/>
        </w:rPr>
        <w:t>se</w:t>
      </w:r>
      <w:r w:rsidRPr="00C25040">
        <w:rPr>
          <w:rFonts w:cs="Calibri"/>
        </w:rPr>
        <w:t xml:space="preserve"> studies </w:t>
      </w:r>
      <w:r>
        <w:rPr>
          <w:rFonts w:cs="Calibri"/>
        </w:rPr>
        <w:t xml:space="preserve">considered private and public benefits only </w:t>
      </w:r>
      <w:r w:rsidRPr="00C25040">
        <w:rPr>
          <w:rFonts w:cs="Calibri"/>
        </w:rPr>
        <w:t>separately</w:t>
      </w:r>
      <w:r>
        <w:rPr>
          <w:rFonts w:cs="Calibri"/>
        </w:rPr>
        <w:t xml:space="preserve">, and </w:t>
      </w:r>
      <w:r w:rsidRPr="00C25040">
        <w:rPr>
          <w:rFonts w:cs="Calibri"/>
        </w:rPr>
        <w:t xml:space="preserve">the </w:t>
      </w:r>
      <w:r>
        <w:rPr>
          <w:rFonts w:cs="Calibri"/>
        </w:rPr>
        <w:t xml:space="preserve">studies which gave consideration to </w:t>
      </w:r>
      <w:r w:rsidRPr="00C25040">
        <w:rPr>
          <w:rFonts w:cs="Calibri"/>
        </w:rPr>
        <w:t xml:space="preserve">public benefits of higher education </w:t>
      </w:r>
      <w:r>
        <w:rPr>
          <w:rFonts w:cs="Calibri"/>
        </w:rPr>
        <w:t xml:space="preserve">did </w:t>
      </w:r>
      <w:r w:rsidRPr="00C25040">
        <w:rPr>
          <w:rFonts w:cs="Calibri"/>
        </w:rPr>
        <w:t xml:space="preserve">not contain a detailed breakdown by </w:t>
      </w:r>
      <w:r w:rsidRPr="00C25040">
        <w:rPr>
          <w:rFonts w:cs="Calibri"/>
        </w:rPr>
        <w:lastRenderedPageBreak/>
        <w:t>discipline, making it difficult to determine the relative public and private benefits by discipline</w:t>
      </w:r>
      <w:r>
        <w:rPr>
          <w:rFonts w:cs="Calibri"/>
        </w:rPr>
        <w:t>.</w:t>
      </w:r>
    </w:p>
    <w:p w:rsidR="004C51B0" w:rsidRPr="0066486F" w:rsidRDefault="004C51B0" w:rsidP="004C51B0">
      <w:pPr>
        <w:pStyle w:val="BodyText"/>
        <w:rPr>
          <w:i/>
        </w:rPr>
      </w:pPr>
      <w:r>
        <w:t xml:space="preserve"> </w:t>
      </w:r>
      <w:r w:rsidRPr="0066486F">
        <w:rPr>
          <w:i/>
        </w:rPr>
        <w:t xml:space="preserve">This study seeks to significantly expand on the conceptual and empirical evidence base regarding the private and public benefits from higher education to inform this element of higher education funding policy. </w:t>
      </w:r>
    </w:p>
    <w:p w:rsidR="004C51B0" w:rsidRPr="003751EA" w:rsidRDefault="004C51B0" w:rsidP="007E622B">
      <w:pPr>
        <w:pStyle w:val="Heading2"/>
        <w:numPr>
          <w:ilvl w:val="1"/>
          <w:numId w:val="8"/>
        </w:numPr>
        <w:ind w:left="567"/>
      </w:pPr>
      <w:r>
        <w:t xml:space="preserve"> </w:t>
      </w:r>
      <w:bookmarkStart w:id="15" w:name="_Toc465961190"/>
      <w:r w:rsidR="00EC5505">
        <w:t>Overview of this report</w:t>
      </w:r>
      <w:bookmarkEnd w:id="15"/>
      <w:r w:rsidR="00EC5505">
        <w:t xml:space="preserve"> </w:t>
      </w:r>
    </w:p>
    <w:p w:rsidR="004C51B0" w:rsidRDefault="004C51B0" w:rsidP="004C51B0">
      <w:pPr>
        <w:pStyle w:val="BodyText"/>
      </w:pPr>
      <w:r>
        <w:t xml:space="preserve">The remainder of </w:t>
      </w:r>
      <w:r w:rsidR="00EF1F85">
        <w:t>this</w:t>
      </w:r>
      <w:r>
        <w:t xml:space="preserve"> report is structured as follows:</w:t>
      </w:r>
    </w:p>
    <w:p w:rsidR="004C51B0" w:rsidRDefault="00C32F41" w:rsidP="004C51B0">
      <w:pPr>
        <w:pStyle w:val="Bullet1"/>
        <w:ind w:left="567" w:hanging="567"/>
      </w:pPr>
      <w:r>
        <w:t>S</w:t>
      </w:r>
      <w:r w:rsidR="004C51B0">
        <w:t xml:space="preserve">ection </w:t>
      </w:r>
      <w:r w:rsidR="004C51B0">
        <w:fldChar w:fldCharType="begin"/>
      </w:r>
      <w:r w:rsidR="004C51B0">
        <w:instrText xml:space="preserve"> REF _Ref454883494 \r \h  \* MERGEFORMAT </w:instrText>
      </w:r>
      <w:r w:rsidR="004C51B0">
        <w:fldChar w:fldCharType="separate"/>
      </w:r>
      <w:r w:rsidR="00534F9F">
        <w:t>2</w:t>
      </w:r>
      <w:r w:rsidR="004C51B0">
        <w:fldChar w:fldCharType="end"/>
      </w:r>
      <w:r w:rsidR="00EF1F85">
        <w:t xml:space="preserve"> </w:t>
      </w:r>
      <w:r w:rsidR="00705024">
        <w:t>e</w:t>
      </w:r>
      <w:r w:rsidR="00E22741">
        <w:t>stablishes</w:t>
      </w:r>
      <w:r w:rsidR="00705024">
        <w:t xml:space="preserve"> a taxonomy of the private and public benefits from higher education, before providing a </w:t>
      </w:r>
      <w:r w:rsidR="0011507B">
        <w:t>strategic</w:t>
      </w:r>
      <w:r w:rsidR="00705024">
        <w:t xml:space="preserve"> review of the empirical literature relevant to the Australian context;</w:t>
      </w:r>
    </w:p>
    <w:p w:rsidR="004C51B0" w:rsidRDefault="00C32F41" w:rsidP="004C51B0">
      <w:pPr>
        <w:pStyle w:val="Bullet1"/>
        <w:ind w:left="567" w:hanging="567"/>
      </w:pPr>
      <w:r>
        <w:t>S</w:t>
      </w:r>
      <w:r w:rsidR="004C51B0">
        <w:t xml:space="preserve">ection 3 </w:t>
      </w:r>
      <w:r w:rsidR="00E22741">
        <w:t>builds on the findings from the review of the literature and outlines the analytical approach to this study;</w:t>
      </w:r>
    </w:p>
    <w:p w:rsidR="004C51B0" w:rsidRDefault="00C32F41" w:rsidP="004C51B0">
      <w:pPr>
        <w:pStyle w:val="Bullet1"/>
        <w:ind w:left="567" w:hanging="567"/>
      </w:pPr>
      <w:r>
        <w:t>S</w:t>
      </w:r>
      <w:r w:rsidR="004C51B0">
        <w:t>ection</w:t>
      </w:r>
      <w:r w:rsidR="00E22741">
        <w:t>s</w:t>
      </w:r>
      <w:r w:rsidR="004C51B0">
        <w:t xml:space="preserve"> 4</w:t>
      </w:r>
      <w:r w:rsidR="00E22741">
        <w:t xml:space="preserve"> and 5</w:t>
      </w:r>
      <w:r w:rsidR="004C51B0">
        <w:t xml:space="preserve"> </w:t>
      </w:r>
      <w:r w:rsidR="00E22741">
        <w:t>summarise the method and results from the analysis on each of the private and public benefits from higher education, respectively;</w:t>
      </w:r>
    </w:p>
    <w:p w:rsidR="00705024" w:rsidRDefault="00C32F41" w:rsidP="004C51B0">
      <w:pPr>
        <w:pStyle w:val="Bullet1"/>
        <w:ind w:left="567" w:hanging="567"/>
      </w:pPr>
      <w:r>
        <w:t>S</w:t>
      </w:r>
      <w:r w:rsidR="00705024">
        <w:t xml:space="preserve">ection </w:t>
      </w:r>
      <w:r w:rsidR="00705024">
        <w:fldChar w:fldCharType="begin"/>
      </w:r>
      <w:r w:rsidR="00705024">
        <w:instrText xml:space="preserve"> REF _Ref457333251 \r \h </w:instrText>
      </w:r>
      <w:r w:rsidR="00705024">
        <w:fldChar w:fldCharType="separate"/>
      </w:r>
      <w:r w:rsidR="00534F9F">
        <w:t>6</w:t>
      </w:r>
      <w:r w:rsidR="00705024">
        <w:fldChar w:fldCharType="end"/>
      </w:r>
      <w:r w:rsidR="00E22741">
        <w:t xml:space="preserve"> discusses the implications from the core analysis and modelling and how the inter-temporal dynamics of the economy may see these results change over time; and</w:t>
      </w:r>
    </w:p>
    <w:p w:rsidR="004C51B0" w:rsidRDefault="00C32F41" w:rsidP="004C51B0">
      <w:pPr>
        <w:pStyle w:val="Bullet1"/>
        <w:ind w:left="567" w:hanging="567"/>
      </w:pPr>
      <w:r>
        <w:t>S</w:t>
      </w:r>
      <w:r w:rsidR="00705024">
        <w:t xml:space="preserve">ection </w:t>
      </w:r>
      <w:r w:rsidR="00171E24">
        <w:t>7</w:t>
      </w:r>
      <w:r w:rsidR="00807F6C">
        <w:t xml:space="preserve"> </w:t>
      </w:r>
      <w:r w:rsidR="00E22741">
        <w:t>briefly discusses the implications of the results from this study, outlines where extensions on the current analytical framework are advisable, and makes a number of final concluding observations.</w:t>
      </w:r>
    </w:p>
    <w:p w:rsidR="00C374F4" w:rsidRDefault="00C374F4" w:rsidP="002320EB">
      <w:pPr>
        <w:jc w:val="both"/>
        <w:rPr>
          <w:b/>
          <w:color w:val="002776"/>
          <w:kern w:val="28"/>
          <w:sz w:val="56"/>
          <w:lang w:eastAsia="en-AU"/>
        </w:rPr>
      </w:pPr>
      <w:bookmarkStart w:id="16" w:name="_Toc363132800"/>
      <w:r>
        <w:rPr>
          <w:lang w:eastAsia="en-AU"/>
        </w:rPr>
        <w:br w:type="page"/>
      </w:r>
    </w:p>
    <w:p w:rsidR="004C51B0" w:rsidRDefault="0016138A" w:rsidP="00D92137">
      <w:pPr>
        <w:pStyle w:val="Heading1"/>
        <w:pageBreakBefore w:val="0"/>
        <w:jc w:val="both"/>
        <w:rPr>
          <w:lang w:eastAsia="en-AU"/>
        </w:rPr>
      </w:pPr>
      <w:bookmarkStart w:id="17" w:name="_Ref454883494"/>
      <w:bookmarkStart w:id="18" w:name="_Ref457422319"/>
      <w:bookmarkStart w:id="19" w:name="_Ref457563158"/>
      <w:bookmarkStart w:id="20" w:name="_Toc465961191"/>
      <w:bookmarkEnd w:id="16"/>
      <w:r>
        <w:rPr>
          <w:lang w:eastAsia="en-AU"/>
        </w:rPr>
        <w:lastRenderedPageBreak/>
        <w:t xml:space="preserve">Current evidence on the </w:t>
      </w:r>
      <w:bookmarkEnd w:id="17"/>
      <w:r w:rsidR="008352AD">
        <w:rPr>
          <w:lang w:eastAsia="en-AU"/>
        </w:rPr>
        <w:t>benefits of higher education</w:t>
      </w:r>
      <w:bookmarkEnd w:id="18"/>
      <w:bookmarkEnd w:id="19"/>
      <w:bookmarkEnd w:id="20"/>
    </w:p>
    <w:p w:rsidR="00EF1F85" w:rsidRDefault="0011507B" w:rsidP="00EF1F85">
      <w:pPr>
        <w:pStyle w:val="BodyText"/>
      </w:pPr>
      <w:r>
        <w:t>To inform the analytical approach</w:t>
      </w:r>
      <w:r w:rsidR="00EF1F85">
        <w:t xml:space="preserve">, </w:t>
      </w:r>
      <w:r>
        <w:t>empirical methodology</w:t>
      </w:r>
      <w:r w:rsidR="00EF1F85">
        <w:t xml:space="preserve">, findings and recommendations that comprise this study, a strategic review of the </w:t>
      </w:r>
      <w:r w:rsidR="00EC5505">
        <w:t xml:space="preserve">relevant </w:t>
      </w:r>
      <w:r w:rsidR="00EF1F85">
        <w:t xml:space="preserve">conceptual and empirical literature on the private and public benefits from higher education </w:t>
      </w:r>
      <w:r w:rsidR="00EC5505">
        <w:t>was conducted.  The findings from this review are presented in this</w:t>
      </w:r>
      <w:r>
        <w:t xml:space="preserve"> </w:t>
      </w:r>
      <w:r w:rsidR="00356108">
        <w:t>section</w:t>
      </w:r>
      <w:r>
        <w:t>.</w:t>
      </w:r>
    </w:p>
    <w:p w:rsidR="004C51B0" w:rsidRDefault="004C51B0" w:rsidP="006711C0">
      <w:pPr>
        <w:pStyle w:val="Heading2"/>
        <w:numPr>
          <w:ilvl w:val="1"/>
          <w:numId w:val="8"/>
        </w:numPr>
        <w:tabs>
          <w:tab w:val="clear" w:pos="709"/>
        </w:tabs>
        <w:ind w:left="851" w:hanging="851"/>
      </w:pPr>
      <w:bookmarkStart w:id="21" w:name="_Ref457421707"/>
      <w:bookmarkStart w:id="22" w:name="_Toc465961192"/>
      <w:r>
        <w:t xml:space="preserve">Defining </w:t>
      </w:r>
      <w:r w:rsidR="00166C4D">
        <w:t xml:space="preserve">the </w:t>
      </w:r>
      <w:r>
        <w:t>benefits from higher education</w:t>
      </w:r>
      <w:bookmarkEnd w:id="21"/>
      <w:bookmarkEnd w:id="22"/>
    </w:p>
    <w:p w:rsidR="00FE59B0" w:rsidRDefault="0011507B" w:rsidP="004C51B0">
      <w:pPr>
        <w:pStyle w:val="BodyText"/>
      </w:pPr>
      <w:bookmarkStart w:id="23" w:name="_Ref454903373"/>
      <w:r>
        <w:t xml:space="preserve">Higher </w:t>
      </w:r>
      <w:r w:rsidR="004C51B0">
        <w:t xml:space="preserve">education </w:t>
      </w:r>
      <w:r>
        <w:t xml:space="preserve">attainment can </w:t>
      </w:r>
      <w:r w:rsidR="004C51B0">
        <w:t xml:space="preserve">have a range of consequences on a person’s opportunities, productivity and decision-making over the course of their life, both inside and outside of </w:t>
      </w:r>
      <w:r>
        <w:t xml:space="preserve">the </w:t>
      </w:r>
      <w:r w:rsidR="004C51B0">
        <w:t>work</w:t>
      </w:r>
      <w:r>
        <w:t>force</w:t>
      </w:r>
      <w:r w:rsidR="004C51B0">
        <w:t>. These consequences generate benefits that accrue to individuals, as well as society overall. This section</w:t>
      </w:r>
      <w:r w:rsidR="006F253B">
        <w:t xml:space="preserve"> discusses</w:t>
      </w:r>
      <w:r w:rsidR="002C7054">
        <w:t>:</w:t>
      </w:r>
      <w:r w:rsidR="004C51B0">
        <w:t xml:space="preserve"> </w:t>
      </w:r>
    </w:p>
    <w:p w:rsidR="00FE59B0" w:rsidRDefault="004C51B0" w:rsidP="00FE59B0">
      <w:pPr>
        <w:pStyle w:val="Bullet1"/>
      </w:pPr>
      <w:r>
        <w:t>the nature of th</w:t>
      </w:r>
      <w:r w:rsidR="002C7054">
        <w:t>e</w:t>
      </w:r>
      <w:r>
        <w:t>se benefits</w:t>
      </w:r>
      <w:r w:rsidR="002C7054">
        <w:t xml:space="preserve"> through categori</w:t>
      </w:r>
      <w:r w:rsidR="00FE59B0">
        <w:t xml:space="preserve">sation based on an established </w:t>
      </w:r>
      <w:r w:rsidR="002C7054">
        <w:t>taxonomy;</w:t>
      </w:r>
      <w:r>
        <w:t xml:space="preserve"> </w:t>
      </w:r>
    </w:p>
    <w:p w:rsidR="00FE59B0" w:rsidRDefault="004C51B0" w:rsidP="00FE59B0">
      <w:pPr>
        <w:pStyle w:val="Bullet1"/>
      </w:pPr>
      <w:r>
        <w:t>the concepts of human capital and signalling</w:t>
      </w:r>
      <w:r w:rsidR="002C7054">
        <w:t xml:space="preserve">; </w:t>
      </w:r>
    </w:p>
    <w:p w:rsidR="00FE59B0" w:rsidRDefault="002C7054" w:rsidP="00FE59B0">
      <w:pPr>
        <w:pStyle w:val="Bullet1"/>
      </w:pPr>
      <w:r>
        <w:t>how public benefits from higher education relate to private benefits;</w:t>
      </w:r>
      <w:r w:rsidR="004C51B0">
        <w:t xml:space="preserve"> and </w:t>
      </w:r>
    </w:p>
    <w:p w:rsidR="004C51B0" w:rsidRDefault="004C51B0" w:rsidP="00FE59B0">
      <w:pPr>
        <w:pStyle w:val="Bullet1"/>
      </w:pPr>
      <w:proofErr w:type="gramStart"/>
      <w:r>
        <w:t>the</w:t>
      </w:r>
      <w:proofErr w:type="gramEnd"/>
      <w:r>
        <w:t xml:space="preserve"> role of government in maximising the net socia</w:t>
      </w:r>
      <w:r w:rsidR="002C7054">
        <w:t>l benefits of higher education.</w:t>
      </w:r>
    </w:p>
    <w:p w:rsidR="004C51B0" w:rsidRDefault="002C7054" w:rsidP="006711C0">
      <w:pPr>
        <w:pStyle w:val="Heading3"/>
        <w:numPr>
          <w:ilvl w:val="2"/>
          <w:numId w:val="8"/>
        </w:numPr>
      </w:pPr>
      <w:r>
        <w:t xml:space="preserve">Defining </w:t>
      </w:r>
      <w:r w:rsidR="004C51B0">
        <w:t xml:space="preserve">private </w:t>
      </w:r>
      <w:r>
        <w:t xml:space="preserve">and public </w:t>
      </w:r>
      <w:r w:rsidR="004C51B0">
        <w:t>economic benefits</w:t>
      </w:r>
    </w:p>
    <w:p w:rsidR="0011507B" w:rsidRDefault="0011507B" w:rsidP="0011507B">
      <w:pPr>
        <w:pStyle w:val="BodyText"/>
      </w:pPr>
      <w:r>
        <w:t xml:space="preserve">Private benefits are those that accrue to the individuals directly involved in the market </w:t>
      </w:r>
      <w:r w:rsidR="00185EB2">
        <w:t xml:space="preserve">transaction </w:t>
      </w:r>
      <w:r>
        <w:t>or economic activity</w:t>
      </w:r>
      <w:r w:rsidR="002C7054">
        <w:t xml:space="preserve"> of interest</w:t>
      </w:r>
      <w:r>
        <w:t xml:space="preserve">. </w:t>
      </w:r>
      <w:r w:rsidR="00185EB2">
        <w:t>Acknowledging that in the case of higher education this may include benefits to providers</w:t>
      </w:r>
      <w:r>
        <w:t>, the</w:t>
      </w:r>
      <w:r w:rsidR="00185EB2">
        <w:t xml:space="preserve"> focus of the analysis presented here – given its pertinence to higher education funding – is on the</w:t>
      </w:r>
      <w:r>
        <w:t xml:space="preserve"> individual </w:t>
      </w:r>
      <w:r w:rsidR="00E9448D">
        <w:t>benefits or returns</w:t>
      </w:r>
      <w:r>
        <w:t xml:space="preserve"> that students receive from </w:t>
      </w:r>
      <w:r w:rsidR="00E9448D">
        <w:t xml:space="preserve">investing in, and </w:t>
      </w:r>
      <w:r>
        <w:t>attaining a higher education qualification.</w:t>
      </w:r>
    </w:p>
    <w:p w:rsidR="004C51B0" w:rsidRDefault="004C51B0" w:rsidP="004C51B0">
      <w:pPr>
        <w:pStyle w:val="BodyText"/>
      </w:pPr>
      <w:r>
        <w:t xml:space="preserve">Public benefits are defined by their accrual to third parties who are external to the production (supply) or consumption (demand) of a good or service – that is, they accrue to parties </w:t>
      </w:r>
      <w:r w:rsidR="00185EB2">
        <w:t>removed from the core market transaction</w:t>
      </w:r>
      <w:r>
        <w:t>. These public benefits can also be described as ‘spillovers’ or ‘positive externalities’ to an economic activity</w:t>
      </w:r>
      <w:r w:rsidR="00E9448D">
        <w:t>.</w:t>
      </w:r>
    </w:p>
    <w:p w:rsidR="004C51B0" w:rsidRDefault="004C51B0" w:rsidP="004C51B0">
      <w:pPr>
        <w:pStyle w:val="BodyText"/>
      </w:pPr>
      <w:r>
        <w:t>The sum of all public and private benefits is assumed to completely and exhaustively comprise the total benefits that arise from a specific ec</w:t>
      </w:r>
      <w:r w:rsidR="00E9448D">
        <w:t>onomic activity. These total benefits are often termed total ‘social’ benefits, as they comprise benefits that accrue to a society as a whole</w:t>
      </w:r>
      <w:r w:rsidRPr="004E31BD">
        <w:t>.</w:t>
      </w:r>
    </w:p>
    <w:p w:rsidR="002C7054" w:rsidRDefault="002C7054" w:rsidP="002C7054">
      <w:pPr>
        <w:pStyle w:val="Heading3"/>
        <w:numPr>
          <w:ilvl w:val="2"/>
          <w:numId w:val="33"/>
        </w:numPr>
      </w:pPr>
      <w:r>
        <w:t>A taxonomy of the benefits to higher education</w:t>
      </w:r>
    </w:p>
    <w:p w:rsidR="002C7054" w:rsidRDefault="007B42C7" w:rsidP="002C7054">
      <w:pPr>
        <w:pStyle w:val="BodyText"/>
      </w:pPr>
      <w:r>
        <w:t xml:space="preserve">The private </w:t>
      </w:r>
      <w:r w:rsidR="002C7054">
        <w:t xml:space="preserve">and public benefits </w:t>
      </w:r>
      <w:r>
        <w:t xml:space="preserve">generated by higher education attainment </w:t>
      </w:r>
      <w:r w:rsidR="002C7054">
        <w:t>can have market and non-market dimensions. Market benefits are measured in terms of economic output generally captured by income measures that result from increased levels of labour productivity. Non-market benefits – which may be measured in pecuniary or non-pecuniary terms – are broader in nature, and capture benefits to individuals and society that manifest, often indirectly, from higher levels of educational attainment and human capital</w:t>
      </w:r>
      <w:r w:rsidR="000A7A38">
        <w:t>.</w:t>
      </w:r>
    </w:p>
    <w:p w:rsidR="002C7054" w:rsidRDefault="002C7054" w:rsidP="002C7054">
      <w:pPr>
        <w:pStyle w:val="BodyText"/>
      </w:pPr>
      <w:r>
        <w:lastRenderedPageBreak/>
        <w:t xml:space="preserve">Non-market benefits are typically harder to quantify and are </w:t>
      </w:r>
      <w:r w:rsidR="007B42C7">
        <w:t xml:space="preserve">often </w:t>
      </w:r>
      <w:r>
        <w:t xml:space="preserve">associated with changes in behaviour and </w:t>
      </w:r>
      <w:r w:rsidR="007B42C7">
        <w:t>with social – as opposed to economic – outcomes</w:t>
      </w:r>
      <w:r>
        <w:t xml:space="preserve">. These may include: public health, greater levels of education, improved democratisation, human rights, political stability, lower criminal activity, reduced pollution, reduced poverty and inequality, and other, more informal, types of knowledge dissemination (Chapman and Lounkaew, 2011, 2015; McMahon, 2006; Norton, 2012). </w:t>
      </w:r>
    </w:p>
    <w:p w:rsidR="002C7054" w:rsidRDefault="002C7054" w:rsidP="002C7054">
      <w:pPr>
        <w:pStyle w:val="BodyText"/>
      </w:pPr>
      <w:r>
        <w:t>Some of these benefits can be measured in pecuniary terms – for example, the value to increased health can be measured in terms of Quality Adjusted Life Years combined with the Value of a Statistical Life, a benefit which is expressed in dollar value terms.</w:t>
      </w:r>
      <w:r>
        <w:rPr>
          <w:rStyle w:val="FootnoteReference"/>
        </w:rPr>
        <w:footnoteReference w:id="12"/>
      </w:r>
      <w:r>
        <w:t xml:space="preserve"> While others, such as improved human rights or political stability, are not easily measured in pecuniary terms.</w:t>
      </w:r>
    </w:p>
    <w:p w:rsidR="002C7054" w:rsidRDefault="002C7054" w:rsidP="002C7054">
      <w:pPr>
        <w:pStyle w:val="BodyText"/>
      </w:pPr>
      <w:r>
        <w:t>Benefits that occur as an immediate result of an economic activity can be described as ‘direct’ effects and are more likely to be observed at an individual level – for example, post-graduate employment outcomes of students.</w:t>
      </w:r>
    </w:p>
    <w:p w:rsidR="002C7054" w:rsidRDefault="002C7054" w:rsidP="002C7054">
      <w:pPr>
        <w:pStyle w:val="BodyText"/>
      </w:pPr>
      <w:r>
        <w:t>‘Indirect’ benefits are instead more likely to be observed at a ‘whole economy’ level, where the resulting circumstances of an economic activity reveal broader benefits – for example, lower unemployment rates that encourage wage growth (McMahon, 2004).</w:t>
      </w:r>
    </w:p>
    <w:p w:rsidR="002C7054" w:rsidRDefault="002C7054" w:rsidP="002C7054">
      <w:pPr>
        <w:pStyle w:val="BodyText"/>
      </w:pPr>
      <w:r>
        <w:t xml:space="preserve">A summary of this taxonomy is provided in </w:t>
      </w:r>
      <w:r>
        <w:fldChar w:fldCharType="begin"/>
      </w:r>
      <w:r>
        <w:instrText xml:space="preserve"> REF _Ref455057716 \r \h </w:instrText>
      </w:r>
      <w:r>
        <w:fldChar w:fldCharType="separate"/>
      </w:r>
      <w:r w:rsidR="00534F9F">
        <w:t>Figure 2.1</w:t>
      </w:r>
      <w:r>
        <w:fldChar w:fldCharType="end"/>
      </w:r>
      <w:r>
        <w:t xml:space="preserve"> below, drawing on McMahon (2004). The sum of the total area presented in this figure can be interpreted as the total social benefits from higher education.</w:t>
      </w:r>
    </w:p>
    <w:p w:rsidR="002C7054" w:rsidRDefault="002C7054" w:rsidP="00EF547B">
      <w:pPr>
        <w:pStyle w:val="CaptionFigure"/>
        <w:numPr>
          <w:ilvl w:val="8"/>
          <w:numId w:val="8"/>
        </w:numPr>
        <w:ind w:left="0"/>
      </w:pPr>
      <w:bookmarkStart w:id="24" w:name="_Ref455057716"/>
      <w:bookmarkStart w:id="25" w:name="_Toc456686841"/>
      <w:bookmarkStart w:id="26" w:name="_Toc465961111"/>
      <w:r>
        <w:t xml:space="preserve">: Illustration of the benefits of </w:t>
      </w:r>
      <w:r w:rsidR="007B42C7">
        <w:t xml:space="preserve">higher </w:t>
      </w:r>
      <w:bookmarkEnd w:id="24"/>
      <w:bookmarkEnd w:id="25"/>
      <w:r w:rsidR="007B42C7">
        <w:t>education</w:t>
      </w:r>
      <w:bookmarkEnd w:id="26"/>
    </w:p>
    <w:p w:rsidR="002C7054" w:rsidRDefault="002C7054" w:rsidP="002C7054">
      <w:pPr>
        <w:pStyle w:val="BodyText"/>
        <w:jc w:val="center"/>
      </w:pPr>
      <w:r>
        <w:rPr>
          <w:noProof/>
          <w:lang w:eastAsia="en-AU"/>
        </w:rPr>
        <w:drawing>
          <wp:inline distT="0" distB="0" distL="0" distR="0" wp14:anchorId="55ABE9E9" wp14:editId="3F397758">
            <wp:extent cx="3159660" cy="1987646"/>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61456" cy="1988776"/>
                    </a:xfrm>
                    <a:prstGeom prst="rect">
                      <a:avLst/>
                    </a:prstGeom>
                    <a:noFill/>
                  </pic:spPr>
                </pic:pic>
              </a:graphicData>
            </a:graphic>
          </wp:inline>
        </w:drawing>
      </w:r>
    </w:p>
    <w:p w:rsidR="002C7054" w:rsidRPr="00E006DF" w:rsidRDefault="002C7054" w:rsidP="002C7054">
      <w:pPr>
        <w:pStyle w:val="Source"/>
      </w:pPr>
      <w:r w:rsidRPr="00E006DF">
        <w:t xml:space="preserve">Source: </w:t>
      </w:r>
      <w:r w:rsidR="007B42C7">
        <w:t xml:space="preserve">Deloitte Access Economics based on </w:t>
      </w:r>
      <w:r w:rsidRPr="00E006DF">
        <w:t>McMahon (2004)</w:t>
      </w:r>
    </w:p>
    <w:p w:rsidR="004C51B0" w:rsidRDefault="004C51B0" w:rsidP="006711C0">
      <w:pPr>
        <w:pStyle w:val="Heading3"/>
        <w:numPr>
          <w:ilvl w:val="2"/>
          <w:numId w:val="8"/>
        </w:numPr>
      </w:pPr>
      <w:r>
        <w:t>Private benefits – productivity or signalling?</w:t>
      </w:r>
    </w:p>
    <w:p w:rsidR="004C51B0" w:rsidRDefault="004C51B0" w:rsidP="004C51B0">
      <w:pPr>
        <w:pStyle w:val="BodyText"/>
      </w:pPr>
      <w:r>
        <w:t xml:space="preserve">Human capital theory suggests that education and knowledge drives overall productivity of labour, which is then reflected in </w:t>
      </w:r>
      <w:r w:rsidR="00172870">
        <w:t xml:space="preserve">the </w:t>
      </w:r>
      <w:r>
        <w:t xml:space="preserve">wages </w:t>
      </w:r>
      <w:r w:rsidR="00E9448D">
        <w:t>paid to individual workers</w:t>
      </w:r>
      <w:r>
        <w:t xml:space="preserve">. In this way, </w:t>
      </w:r>
      <w:r w:rsidR="00E9448D">
        <w:t>individuals</w:t>
      </w:r>
      <w:r w:rsidR="00172870">
        <w:t>’</w:t>
      </w:r>
      <w:r w:rsidR="00E9448D">
        <w:t xml:space="preserve"> </w:t>
      </w:r>
      <w:r>
        <w:t xml:space="preserve">education </w:t>
      </w:r>
      <w:r w:rsidR="00E9448D">
        <w:t>and innate human skills augment</w:t>
      </w:r>
      <w:r>
        <w:t xml:space="preserve"> the productivity of</w:t>
      </w:r>
      <w:r w:rsidR="00E9448D">
        <w:t xml:space="preserve"> their</w:t>
      </w:r>
      <w:r>
        <w:t xml:space="preserve"> labour, in a similar way to traditional capital</w:t>
      </w:r>
      <w:r w:rsidR="00E9448D">
        <w:t xml:space="preserve"> (i.e. physical machinery) </w:t>
      </w:r>
      <w:r>
        <w:t xml:space="preserve">– hence the term </w:t>
      </w:r>
      <w:r w:rsidR="00E9448D">
        <w:t xml:space="preserve">human </w:t>
      </w:r>
      <w:r>
        <w:t>or intellectual capital.</w:t>
      </w:r>
    </w:p>
    <w:p w:rsidR="004C51B0" w:rsidRDefault="00E9448D" w:rsidP="004C51B0">
      <w:pPr>
        <w:pStyle w:val="BodyText"/>
      </w:pPr>
      <w:r>
        <w:lastRenderedPageBreak/>
        <w:t>A relate</w:t>
      </w:r>
      <w:r w:rsidR="00172870">
        <w:t>d</w:t>
      </w:r>
      <w:r>
        <w:t xml:space="preserve"> theory of the benefits from higher education </w:t>
      </w:r>
      <w:r w:rsidR="004C51B0">
        <w:t xml:space="preserve">suggests that any </w:t>
      </w:r>
      <w:r>
        <w:t xml:space="preserve">observed </w:t>
      </w:r>
      <w:r w:rsidR="004C51B0">
        <w:t>wage premiums</w:t>
      </w:r>
      <w:r>
        <w:t xml:space="preserve"> attributed to higher education attainment</w:t>
      </w:r>
      <w:r w:rsidR="004C51B0">
        <w:t xml:space="preserve"> should be discounted by the screening effect or signalling process of education. It is understood that, to </w:t>
      </w:r>
      <w:r w:rsidR="002C4826">
        <w:t>some</w:t>
      </w:r>
      <w:r w:rsidR="004C51B0">
        <w:t xml:space="preserve"> degree, higher education allows more highly capable individuals to identify themselves to employers and that more capable individuals will find the process of attaining higher education easier and more appealing. </w:t>
      </w:r>
      <w:r w:rsidR="00172870">
        <w:t xml:space="preserve"> </w:t>
      </w:r>
      <w:r w:rsidR="004C51B0">
        <w:t xml:space="preserve">At the extreme, this would suggest that the value of education (at least on wages) is entirely inflated, in that these high-performing individuals would have been rewarded </w:t>
      </w:r>
      <w:r>
        <w:t>in line with their pre-existing labour productivity</w:t>
      </w:r>
      <w:r w:rsidR="00172870">
        <w:t xml:space="preserve"> in any case</w:t>
      </w:r>
      <w:r w:rsidR="004C51B0">
        <w:t xml:space="preserve">. </w:t>
      </w:r>
    </w:p>
    <w:p w:rsidR="004C51B0" w:rsidRPr="004A7FC6" w:rsidRDefault="004C51B0" w:rsidP="004C51B0">
      <w:pPr>
        <w:pStyle w:val="BodyText"/>
      </w:pPr>
      <w:r>
        <w:t xml:space="preserve">In reality, and in support of the empirical literature, it is likely that higher education is partially a signal, </w:t>
      </w:r>
      <w:r w:rsidR="00E9448D">
        <w:t>and</w:t>
      </w:r>
      <w:r>
        <w:t xml:space="preserve"> that there are still significant </w:t>
      </w:r>
      <w:r w:rsidRPr="00E9448D">
        <w:rPr>
          <w:i/>
        </w:rPr>
        <w:t>causal</w:t>
      </w:r>
      <w:r>
        <w:t xml:space="preserve"> gains to human capital and </w:t>
      </w:r>
      <w:r w:rsidR="00E9448D">
        <w:t xml:space="preserve">subsequently, labour </w:t>
      </w:r>
      <w:r>
        <w:t>productivity</w:t>
      </w:r>
      <w:r w:rsidR="00E9448D">
        <w:t xml:space="preserve"> from higher education attainment</w:t>
      </w:r>
      <w:r>
        <w:t>.</w:t>
      </w:r>
    </w:p>
    <w:p w:rsidR="004C51B0" w:rsidRDefault="004C51B0" w:rsidP="002C7054">
      <w:pPr>
        <w:pStyle w:val="Heading3"/>
      </w:pPr>
      <w:bookmarkStart w:id="27" w:name="_Ref455063237"/>
      <w:bookmarkStart w:id="28" w:name="_Toc456686830"/>
      <w:bookmarkEnd w:id="23"/>
      <w:r>
        <w:t xml:space="preserve">Understanding </w:t>
      </w:r>
      <w:r w:rsidR="002C7054">
        <w:t xml:space="preserve">the link between </w:t>
      </w:r>
      <w:r>
        <w:t>public and private benefits</w:t>
      </w:r>
      <w:bookmarkEnd w:id="27"/>
      <w:bookmarkEnd w:id="28"/>
    </w:p>
    <w:p w:rsidR="004C51B0" w:rsidRDefault="004C51B0" w:rsidP="004C51B0">
      <w:pPr>
        <w:pStyle w:val="BodyText"/>
      </w:pPr>
      <w:r w:rsidRPr="006A6E51">
        <w:t xml:space="preserve">The </w:t>
      </w:r>
      <w:r>
        <w:t xml:space="preserve">taxonomy </w:t>
      </w:r>
      <w:r w:rsidR="00C17E9C">
        <w:t xml:space="preserve">established above </w:t>
      </w:r>
      <w:r>
        <w:t xml:space="preserve">demonstrates that the public benefits from higher education generally arise </w:t>
      </w:r>
      <w:r w:rsidRPr="006A6E51">
        <w:rPr>
          <w:i/>
        </w:rPr>
        <w:t>indirectly</w:t>
      </w:r>
      <w:r>
        <w:t xml:space="preserve"> through the returns that students themselves receive directly, as a result of their enhanced human capital attainment.</w:t>
      </w:r>
      <w:r w:rsidR="00172870">
        <w:t xml:space="preserve">  </w:t>
      </w:r>
      <w:r>
        <w:t xml:space="preserve">That is, the magnitude of public market benefits from higher education attainment is largely driven by the increased labour productivity for individual students, which is </w:t>
      </w:r>
      <w:r w:rsidR="002E20BF">
        <w:t>captured—in part—</w:t>
      </w:r>
      <w:r>
        <w:t xml:space="preserve">by the increase in lifetime earnings realised by these students. </w:t>
      </w:r>
    </w:p>
    <w:p w:rsidR="004C51B0" w:rsidRDefault="004C51B0" w:rsidP="004C51B0">
      <w:pPr>
        <w:pStyle w:val="BodyText"/>
      </w:pPr>
      <w:r>
        <w:t>These indirect channels include increased levels of taxation and</w:t>
      </w:r>
      <w:r w:rsidR="00172870">
        <w:t>,</w:t>
      </w:r>
      <w:r>
        <w:t xml:space="preserve"> therefore</w:t>
      </w:r>
      <w:r w:rsidR="00172870">
        <w:t>,</w:t>
      </w:r>
      <w:r>
        <w:t xml:space="preserve"> revenue available </w:t>
      </w:r>
      <w:r w:rsidR="00172870">
        <w:t>to</w:t>
      </w:r>
      <w:r>
        <w:t xml:space="preserve"> government (OECD, 2014). Other agents in the economy benefit too, as increased levels of labour productivity enhance the returns to physical capital and other factors of production, which lead</w:t>
      </w:r>
      <w:r w:rsidR="00172870">
        <w:t>s</w:t>
      </w:r>
      <w:r>
        <w:t xml:space="preserve"> to increased levels of investment, employment and wage and income growth for other workers, land and business owners.</w:t>
      </w:r>
    </w:p>
    <w:p w:rsidR="004C51B0" w:rsidRDefault="004C51B0" w:rsidP="004C51B0">
      <w:pPr>
        <w:pStyle w:val="BodyText"/>
      </w:pPr>
      <w:r>
        <w:t xml:space="preserve">The consistent link between private and public market benefits provides </w:t>
      </w:r>
      <w:r w:rsidR="0089637A">
        <w:t xml:space="preserve">an </w:t>
      </w:r>
      <w:r>
        <w:t xml:space="preserve">indication </w:t>
      </w:r>
      <w:r w:rsidR="0089637A">
        <w:t>of</w:t>
      </w:r>
      <w:r>
        <w:t xml:space="preserve"> the extent to which </w:t>
      </w:r>
      <w:r w:rsidR="0089637A">
        <w:t>their respective magnitude</w:t>
      </w:r>
      <w:r>
        <w:t xml:space="preserve"> would be expected to vary between higher education levels, disciplines and providers. In particular, the nature by which specific industries utilise higher education skills and the process of production (including the ratio of physical capital to labour), among other factors (including the level of progressivity of the income tax system), would determine the magnitude of market</w:t>
      </w:r>
      <w:r w:rsidR="0089637A">
        <w:t>-</w:t>
      </w:r>
      <w:r>
        <w:t>based spillovers from in</w:t>
      </w:r>
      <w:r w:rsidR="002E20BF">
        <w:t>creased levels of productivity.</w:t>
      </w:r>
    </w:p>
    <w:p w:rsidR="004C51B0" w:rsidRDefault="004C51B0" w:rsidP="004C51B0">
      <w:pPr>
        <w:pStyle w:val="BodyText"/>
      </w:pPr>
      <w:r>
        <w:t xml:space="preserve">Further, the relative scarcity of workers with different skill levels (i.e. educational qualifications) </w:t>
      </w:r>
      <w:r w:rsidR="0089637A">
        <w:t xml:space="preserve">– </w:t>
      </w:r>
      <w:r>
        <w:t xml:space="preserve">within and across industries </w:t>
      </w:r>
      <w:r w:rsidR="0089637A">
        <w:t xml:space="preserve">– </w:t>
      </w:r>
      <w:r>
        <w:t>will affect the returns to wages that individuals realise from gaining specific forms of higher education, and these effects will be governed by the relative magnitude of labour demand and supply elasticities.</w:t>
      </w:r>
    </w:p>
    <w:p w:rsidR="004C51B0" w:rsidRDefault="004C51B0" w:rsidP="004C51B0">
      <w:pPr>
        <w:pStyle w:val="BodyText"/>
      </w:pPr>
      <w:r>
        <w:t xml:space="preserve">Finally, while the link between non-market private and public benefits is less clear, many of these public returns are understood to be highly correlated with rates of income and living standards more generally, which imply a strong link with private market returns, as described above. Indeed, McMahon (2004; 2006; 2009) has estimated that the quanta of total social (private and public) non-market benefits may be </w:t>
      </w:r>
      <w:r w:rsidRPr="008E47DB">
        <w:t>approximately equivalent in magnitude to the market benefits</w:t>
      </w:r>
      <w:r>
        <w:t>.</w:t>
      </w:r>
    </w:p>
    <w:p w:rsidR="004C51B0" w:rsidRDefault="004C51B0" w:rsidP="004C51B0">
      <w:pPr>
        <w:pStyle w:val="BodyText"/>
      </w:pPr>
      <w:r>
        <w:t xml:space="preserve">Noting this point however, non-market public benefits may </w:t>
      </w:r>
      <w:r w:rsidR="00C17E9C">
        <w:t xml:space="preserve">differ </w:t>
      </w:r>
      <w:r>
        <w:t xml:space="preserve">across fields of education and provider type (Norton, 2012). This is due to the fact that productivity gains in particular </w:t>
      </w:r>
      <w:r>
        <w:lastRenderedPageBreak/>
        <w:t>industries may have very different flow-on non-market impacts. For example, productivity gains associated with health professionals (doctors or nurses) or teachers may have different flow-on non-market public benefits when compared to financial or business professionals (commerce, law), due to the importance of Australia’s health and education sectors to longer term social and economic outcomes.</w:t>
      </w:r>
    </w:p>
    <w:p w:rsidR="002C7054" w:rsidRPr="00E92A24" w:rsidRDefault="002C7054" w:rsidP="003674B4">
      <w:pPr>
        <w:pStyle w:val="Heading3"/>
      </w:pPr>
      <w:r>
        <w:t xml:space="preserve">The role of government </w:t>
      </w:r>
    </w:p>
    <w:p w:rsidR="002C7054" w:rsidRDefault="002C7054" w:rsidP="002C7054">
      <w:pPr>
        <w:pStyle w:val="BodyText"/>
      </w:pPr>
      <w:r>
        <w:t xml:space="preserve">The economic policy rationale for governments to support higher education is the existence of a ‘market failure’ – specifically, </w:t>
      </w:r>
      <w:r w:rsidR="0089637A">
        <w:t xml:space="preserve">the existence of the public benefits described above and the fact that, in the absence of government funding, the decisions by providers and students will not drive the system toward its socially optimal operation. </w:t>
      </w:r>
      <w:r>
        <w:t xml:space="preserve">  </w:t>
      </w:r>
    </w:p>
    <w:p w:rsidR="002C7054" w:rsidRDefault="002C7054" w:rsidP="002C7054">
      <w:pPr>
        <w:pStyle w:val="BodyText"/>
      </w:pPr>
      <w:r>
        <w:t xml:space="preserve">Economic theory suggests that students will choose to acquire knowledge where their expected private benefit is at least equal to their cost of education. If at least some public benefit exists, then this decision-making process will result in a suboptimal </w:t>
      </w:r>
      <w:r w:rsidR="003F663F">
        <w:t>level of</w:t>
      </w:r>
      <w:r>
        <w:t xml:space="preserve"> knowledge transfer activities. </w:t>
      </w:r>
    </w:p>
    <w:p w:rsidR="002C7054" w:rsidRDefault="002C7054" w:rsidP="002C7054">
      <w:pPr>
        <w:pStyle w:val="BodyText"/>
      </w:pPr>
      <w:r>
        <w:t xml:space="preserve">In order to increase levels of knowledge and maximise the total net social benefit of higher education, governments need to be able to identify the public benefits being created, such that appropriate subsidies can be </w:t>
      </w:r>
      <w:r w:rsidR="003F663F">
        <w:t>derived and applied</w:t>
      </w:r>
      <w:r>
        <w:t xml:space="preserve">. Identifying the relative split between public and private benefits may then inform the relative subsidy payments based on these dimensions. </w:t>
      </w:r>
    </w:p>
    <w:p w:rsidR="002C7054" w:rsidRPr="007A5C04" w:rsidRDefault="002C7054" w:rsidP="002C7054">
      <w:pPr>
        <w:pStyle w:val="BodyText"/>
      </w:pPr>
      <w:r>
        <w:t>It is important to note that other distortions may also cause the under-provision of higher education: myopia on behalf of the students, credit constraints arising from upfront costs and delayed benefits, and risk aversion associated with uncertainty of educational and employment outcomes. Hence</w:t>
      </w:r>
      <w:r w:rsidR="003F663F">
        <w:t>,</w:t>
      </w:r>
      <w:r>
        <w:t xml:space="preserve"> there is a widely acknowledged role for government in alleviating these distortions</w:t>
      </w:r>
      <w:r w:rsidRPr="0031413A">
        <w:t xml:space="preserve"> </w:t>
      </w:r>
      <w:r>
        <w:t xml:space="preserve">besides the subsidy of provision. For example, student loan facilities mitigate credit constraints, and information on career outcomes overcomes the myopia of individuals when making decisions with long-term personal consequences. </w:t>
      </w:r>
    </w:p>
    <w:p w:rsidR="004C51B0" w:rsidRDefault="004C51B0" w:rsidP="006711C0">
      <w:pPr>
        <w:pStyle w:val="Heading2"/>
        <w:numPr>
          <w:ilvl w:val="1"/>
          <w:numId w:val="8"/>
        </w:numPr>
      </w:pPr>
      <w:bookmarkStart w:id="29" w:name="_Ref455062930"/>
      <w:bookmarkStart w:id="30" w:name="_Toc456686831"/>
      <w:bookmarkStart w:id="31" w:name="_Toc465961193"/>
      <w:r>
        <w:t xml:space="preserve">Empirical </w:t>
      </w:r>
      <w:r w:rsidR="00C17E9C">
        <w:t>research</w:t>
      </w:r>
      <w:r>
        <w:t xml:space="preserve"> </w:t>
      </w:r>
      <w:r w:rsidR="00C17E9C">
        <w:t xml:space="preserve">on </w:t>
      </w:r>
      <w:r>
        <w:t xml:space="preserve">the public and private benefits of </w:t>
      </w:r>
      <w:r w:rsidR="00C17E9C">
        <w:t>h</w:t>
      </w:r>
      <w:r>
        <w:t xml:space="preserve">igher </w:t>
      </w:r>
      <w:r w:rsidR="00C17E9C">
        <w:t>e</w:t>
      </w:r>
      <w:r>
        <w:t>ducation</w:t>
      </w:r>
      <w:bookmarkEnd w:id="29"/>
      <w:bookmarkEnd w:id="30"/>
      <w:bookmarkEnd w:id="31"/>
    </w:p>
    <w:p w:rsidR="004C51B0" w:rsidRDefault="00AF0C15" w:rsidP="00AF0C15">
      <w:pPr>
        <w:pStyle w:val="BodyText"/>
      </w:pPr>
      <w:r>
        <w:t xml:space="preserve">As a basis for the original empirical analysis undertaken as part of this study, a review of recent empirical research on the private and public benefits from higher education has been conducted. </w:t>
      </w:r>
      <w:r w:rsidR="00FE54A5">
        <w:t xml:space="preserve">Due to the relative intractability of empirical methods towards measuring non-market benefits, this review largely focuses on studies of market benefits. </w:t>
      </w:r>
      <w:r w:rsidR="006D6EA9">
        <w:t xml:space="preserve">The findings from this review </w:t>
      </w:r>
      <w:r w:rsidR="00FE54A5">
        <w:t>are</w:t>
      </w:r>
      <w:r w:rsidR="006D6EA9">
        <w:t xml:space="preserve"> summarised in this section</w:t>
      </w:r>
      <w:r w:rsidR="00623AD4">
        <w:t>.</w:t>
      </w:r>
    </w:p>
    <w:p w:rsidR="004C51B0" w:rsidRPr="002E66A6" w:rsidRDefault="00C17E9C" w:rsidP="006711C0">
      <w:pPr>
        <w:pStyle w:val="Heading3"/>
        <w:numPr>
          <w:ilvl w:val="2"/>
          <w:numId w:val="8"/>
        </w:numPr>
        <w:tabs>
          <w:tab w:val="clear" w:pos="1418"/>
          <w:tab w:val="num" w:pos="1134"/>
        </w:tabs>
        <w:ind w:left="1134"/>
      </w:pPr>
      <w:bookmarkStart w:id="32" w:name="_Ref459113730"/>
      <w:r>
        <w:t>P</w:t>
      </w:r>
      <w:r w:rsidR="004C51B0" w:rsidRPr="002E66A6">
        <w:t>rivate benefits</w:t>
      </w:r>
      <w:bookmarkEnd w:id="32"/>
      <w:r w:rsidR="004C51B0" w:rsidRPr="002E66A6">
        <w:t xml:space="preserve"> </w:t>
      </w:r>
    </w:p>
    <w:p w:rsidR="008A6BD1" w:rsidRDefault="004C51B0" w:rsidP="004C51B0">
      <w:pPr>
        <w:pStyle w:val="BodyText"/>
      </w:pPr>
      <w:r>
        <w:t>An extensive number of studies have attempted to calculate the</w:t>
      </w:r>
      <w:r w:rsidR="00786E98">
        <w:t xml:space="preserve"> </w:t>
      </w:r>
      <w:r w:rsidR="008A6BD1">
        <w:t xml:space="preserve">private returns to education in Australia. In broad terms, these studies generally use </w:t>
      </w:r>
      <w:r w:rsidR="00786E98" w:rsidRPr="00786E98">
        <w:rPr>
          <w:rStyle w:val="Boldword"/>
        </w:rPr>
        <w:t>accounting</w:t>
      </w:r>
      <w:r w:rsidR="00786E98">
        <w:t xml:space="preserve"> or </w:t>
      </w:r>
      <w:r w:rsidR="00786E98" w:rsidRPr="00786E98">
        <w:rPr>
          <w:rStyle w:val="Boldword"/>
        </w:rPr>
        <w:t>econometric</w:t>
      </w:r>
      <w:r w:rsidR="00786E98">
        <w:rPr>
          <w:b/>
        </w:rPr>
        <w:t xml:space="preserve"> </w:t>
      </w:r>
      <w:r w:rsidR="00786E98">
        <w:t>methods to calculate the returns from higher education to individual students.</w:t>
      </w:r>
    </w:p>
    <w:p w:rsidR="004C51B0" w:rsidRDefault="004C51B0" w:rsidP="004C51B0">
      <w:pPr>
        <w:pStyle w:val="HeadingC"/>
      </w:pPr>
      <w:r>
        <w:lastRenderedPageBreak/>
        <w:t>Accounting approaches</w:t>
      </w:r>
    </w:p>
    <w:p w:rsidR="003674B4" w:rsidRDefault="004C51B0" w:rsidP="004C51B0">
      <w:pPr>
        <w:pStyle w:val="BodyText"/>
      </w:pPr>
      <w:r>
        <w:t>Daly et al. (2015) use 2006 Australian Census data to implement an accounting approach to calculating the private benefits of higher education by field of education.</w:t>
      </w:r>
      <w:r>
        <w:rPr>
          <w:rStyle w:val="FootnoteReference"/>
        </w:rPr>
        <w:footnoteReference w:id="13"/>
      </w:r>
      <w:r>
        <w:t xml:space="preserve"> The authors use net present value (NPV) and internal rate of return (IRR) calculations with adjustments for the length of degree, student earnings while studying, studying costs (e.g. books, equipment, fees), an ability measure, and temporal changes to future living standards. </w:t>
      </w:r>
    </w:p>
    <w:p w:rsidR="004C51B0" w:rsidRDefault="003674B4" w:rsidP="004C51B0">
      <w:pPr>
        <w:pStyle w:val="BodyText"/>
      </w:pPr>
      <w:r>
        <w:t>The aim of this study (as with other accounting method analyses) is to capture the total costs and benefits associated with attaining a higher education qualification and how they vary on the basis of student characteristics and types of study (including field of education).</w:t>
      </w:r>
    </w:p>
    <w:p w:rsidR="00657B68" w:rsidRDefault="003674B4" w:rsidP="003674B4">
      <w:pPr>
        <w:pStyle w:val="BodyText"/>
      </w:pPr>
      <w:r>
        <w:t xml:space="preserve">Norton (2012) </w:t>
      </w:r>
      <w:r w:rsidR="00657B68">
        <w:t xml:space="preserve">uses a similar approach to Daly et al (2015) to consider the returns to higher education qualification for different higher education disciplines, by calculating lifetime earnings of graduates relative to the average person with no post-school qualification. This analysis also considers the proportion of graduates who receive net positive benefits from their higher education qualification, relative to the average person with no post-school qualification. </w:t>
      </w:r>
    </w:p>
    <w:p w:rsidR="004C51B0" w:rsidRDefault="00657B68" w:rsidP="003674B4">
      <w:pPr>
        <w:pStyle w:val="BodyText"/>
      </w:pPr>
      <w:r>
        <w:t>This study concludes that, on average, Australian higher education degree holders receive significant benefits from their qualification, with median net financial benefits equal to around $600,000 for the average male graduate and around $450,000 for the average female bachelor degree graduate (Norton, 2012).</w:t>
      </w:r>
      <w:r w:rsidR="00BD3CC3">
        <w:t xml:space="preserve"> </w:t>
      </w:r>
    </w:p>
    <w:p w:rsidR="00CB127A" w:rsidRDefault="00CB127A" w:rsidP="00CB127A">
      <w:pPr>
        <w:pStyle w:val="BodyText"/>
        <w:rPr>
          <w:rStyle w:val="Boldword"/>
          <w:b w:val="0"/>
          <w:color w:val="auto"/>
        </w:rPr>
      </w:pPr>
      <w:r>
        <w:t xml:space="preserve">These studies, while being detailed in their scope, over-estimate the </w:t>
      </w:r>
      <w:r>
        <w:rPr>
          <w:i/>
        </w:rPr>
        <w:t>causal</w:t>
      </w:r>
      <w:r>
        <w:t xml:space="preserve"> return from higher education attainment because they do not </w:t>
      </w:r>
      <w:r w:rsidR="00E55305" w:rsidRPr="00E55305">
        <w:rPr>
          <w:i/>
        </w:rPr>
        <w:t>effectively</w:t>
      </w:r>
      <w:r w:rsidR="00E55305">
        <w:t xml:space="preserve"> </w:t>
      </w:r>
      <w:r>
        <w:t xml:space="preserve">recognise the differences in demographic characteristics and innate ability between individuals who do and do not have a higher education qualification, thereby </w:t>
      </w:r>
      <w:r w:rsidR="003F663F">
        <w:t xml:space="preserve">potentially </w:t>
      </w:r>
      <w:r>
        <w:t>conflating demographic and inherent ability drivers of private wages and employment outcomes with qualification returns</w:t>
      </w:r>
      <w:r w:rsidR="00346FD9">
        <w:t xml:space="preserve"> (see also Box 2.1)</w:t>
      </w:r>
      <w:r>
        <w:t>.</w:t>
      </w:r>
      <w:r w:rsidR="00E55305">
        <w:rPr>
          <w:rStyle w:val="FootnoteReference"/>
        </w:rPr>
        <w:footnoteReference w:id="14"/>
      </w:r>
      <w:r>
        <w:t xml:space="preserve"> In this regard, </w:t>
      </w:r>
      <w:r>
        <w:rPr>
          <w:rStyle w:val="Boldword"/>
        </w:rPr>
        <w:t xml:space="preserve">econometric </w:t>
      </w:r>
      <w:r>
        <w:rPr>
          <w:rStyle w:val="Boldword"/>
          <w:b w:val="0"/>
          <w:color w:val="auto"/>
        </w:rPr>
        <w:t>methods towards estimating private benefits are considered to be more accurate.</w:t>
      </w:r>
    </w:p>
    <w:p w:rsidR="00CB127A" w:rsidRDefault="00CB127A" w:rsidP="00CB127A">
      <w:pPr>
        <w:pStyle w:val="HeadingC"/>
      </w:pPr>
      <w:r>
        <w:t>Econometric approaches</w:t>
      </w:r>
    </w:p>
    <w:p w:rsidR="00786E98" w:rsidRDefault="00CB127A" w:rsidP="00786E98">
      <w:pPr>
        <w:pStyle w:val="BodyText"/>
      </w:pPr>
      <w:r>
        <w:t>A number of Australian studies have sought to account for inherent cohort biases in observed wage and employment outcomes through the use of econometric methods.</w:t>
      </w:r>
      <w:r w:rsidR="00FD5F6E">
        <w:rPr>
          <w:rStyle w:val="FootnoteReference"/>
        </w:rPr>
        <w:footnoteReference w:id="15"/>
      </w:r>
      <w:r w:rsidR="00786E98">
        <w:t xml:space="preserve"> Wilkins (2015) </w:t>
      </w:r>
      <w:r>
        <w:t>uses demographic</w:t>
      </w:r>
      <w:r w:rsidR="00E55305">
        <w:t xml:space="preserve"> characteristics</w:t>
      </w:r>
      <w:r>
        <w:t xml:space="preserve"> and test-based cognitive ability</w:t>
      </w:r>
      <w:r w:rsidR="00786E98">
        <w:t xml:space="preserve"> </w:t>
      </w:r>
      <w:r>
        <w:t xml:space="preserve">measures within the </w:t>
      </w:r>
      <w:r>
        <w:lastRenderedPageBreak/>
        <w:t xml:space="preserve">Household Labour and Income Dynamics (HILDA) </w:t>
      </w:r>
      <w:r w:rsidR="00786E98">
        <w:t>data</w:t>
      </w:r>
      <w:r>
        <w:t>set</w:t>
      </w:r>
      <w:r w:rsidR="00786E98">
        <w:t xml:space="preserve"> in an attempt to provide a stronger basis for</w:t>
      </w:r>
      <w:r>
        <w:t xml:space="preserve"> the</w:t>
      </w:r>
      <w:r w:rsidR="00786E98">
        <w:t xml:space="preserve"> causal </w:t>
      </w:r>
      <w:r>
        <w:t>effect of higher education on private earnings</w:t>
      </w:r>
      <w:r w:rsidR="00786E98">
        <w:t xml:space="preserve">. </w:t>
      </w:r>
    </w:p>
    <w:p w:rsidR="00744190" w:rsidRDefault="00CB127A" w:rsidP="00786E98">
      <w:pPr>
        <w:pStyle w:val="BodyText"/>
      </w:pPr>
      <w:r>
        <w:t>Wilkins (2015)</w:t>
      </w:r>
      <w:r w:rsidR="00786E98">
        <w:t xml:space="preserve"> </w:t>
      </w:r>
      <w:r>
        <w:t>uses regression methods to estimate earnings effects</w:t>
      </w:r>
      <w:r w:rsidR="00786E98">
        <w:t xml:space="preserve"> by gender for a number of educational attainment levels.</w:t>
      </w:r>
      <w:r>
        <w:t xml:space="preserve"> By controlling for demographic and ability characteristics he is able to separate the specific qualification benefits from bias associated with specific cohort characteristics.</w:t>
      </w:r>
      <w:r w:rsidR="00744190">
        <w:rPr>
          <w:rStyle w:val="FootnoteReference"/>
        </w:rPr>
        <w:footnoteReference w:id="16"/>
      </w:r>
      <w:r w:rsidR="00786E98">
        <w:t xml:space="preserve"> </w:t>
      </w:r>
    </w:p>
    <w:p w:rsidR="00891D54" w:rsidRDefault="00786E98" w:rsidP="00786E98">
      <w:pPr>
        <w:pStyle w:val="BodyText"/>
      </w:pPr>
      <w:r>
        <w:t xml:space="preserve">For example, females with a bachelor degree </w:t>
      </w:r>
      <w:r w:rsidR="00E55305">
        <w:t xml:space="preserve">are found to </w:t>
      </w:r>
      <w:r>
        <w:t>earn</w:t>
      </w:r>
      <w:r w:rsidR="00E55305">
        <w:t>,</w:t>
      </w:r>
      <w:r>
        <w:t xml:space="preserve"> on average</w:t>
      </w:r>
      <w:r w:rsidR="00E55305">
        <w:t>,</w:t>
      </w:r>
      <w:r>
        <w:t xml:space="preserve"> 36% more than fem</w:t>
      </w:r>
      <w:r w:rsidR="00E55305">
        <w:t xml:space="preserve">ales who did not finish Year 12 after controlling for demographic characteristics. </w:t>
      </w:r>
      <w:r w:rsidR="00414EF4">
        <w:t>A</w:t>
      </w:r>
      <w:r>
        <w:t xml:space="preserve">fter </w:t>
      </w:r>
      <w:r w:rsidR="00414EF4">
        <w:t xml:space="preserve">also </w:t>
      </w:r>
      <w:r>
        <w:t>control</w:t>
      </w:r>
      <w:r w:rsidR="006D68A8">
        <w:t>ling for</w:t>
      </w:r>
      <w:r w:rsidR="00414EF4">
        <w:t xml:space="preserve"> direct measures of</w:t>
      </w:r>
      <w:r w:rsidR="006D68A8">
        <w:t xml:space="preserve"> cognitive ability, </w:t>
      </w:r>
      <w:r w:rsidR="00414EF4">
        <w:t xml:space="preserve">the estimated </w:t>
      </w:r>
      <w:r>
        <w:t>effect falls to 32%</w:t>
      </w:r>
      <w:r w:rsidR="0080374A">
        <w:t xml:space="preserve"> </w:t>
      </w:r>
      <w:r w:rsidR="00891D54">
        <w:t xml:space="preserve">—this accounts for approximately 10% of the wage premium estimated using only demographic controls. </w:t>
      </w:r>
    </w:p>
    <w:p w:rsidR="00786E98" w:rsidRDefault="00891D54" w:rsidP="00786E98">
      <w:pPr>
        <w:pStyle w:val="BodyText"/>
      </w:pPr>
      <w:r>
        <w:t>Wilkins</w:t>
      </w:r>
      <w:r w:rsidR="003F663F">
        <w:t>’</w:t>
      </w:r>
      <w:r>
        <w:t xml:space="preserve"> 32% estimated effect for females with a bachelor degree relative to females who did not finish Year 12 can </w:t>
      </w:r>
      <w:r w:rsidR="00A03A60">
        <w:t xml:space="preserve">be </w:t>
      </w:r>
      <w:r w:rsidR="00414EF4">
        <w:t xml:space="preserve">compared to </w:t>
      </w:r>
      <w:r>
        <w:t>the actual</w:t>
      </w:r>
      <w:r w:rsidR="00414EF4">
        <w:t xml:space="preserve"> observed difference between these individuals</w:t>
      </w:r>
      <w:r w:rsidR="003F663F">
        <w:t>’</w:t>
      </w:r>
      <w:r w:rsidR="00414EF4">
        <w:t xml:space="preserve"> wages of around 59%</w:t>
      </w:r>
      <w:r>
        <w:t xml:space="preserve">. This comparison implies </w:t>
      </w:r>
      <w:r w:rsidR="00414EF4">
        <w:t xml:space="preserve">that 54% of the actual difference in </w:t>
      </w:r>
      <w:r w:rsidR="003F663F">
        <w:t>earnings</w:t>
      </w:r>
      <w:r w:rsidR="00414EF4">
        <w:t xml:space="preserve"> between these groups can be explained by qualification specific effects, and 46% by demographic and ability characteristics.</w:t>
      </w:r>
      <w:r>
        <w:rPr>
          <w:rStyle w:val="FootnoteReference"/>
        </w:rPr>
        <w:footnoteReference w:id="17"/>
      </w:r>
    </w:p>
    <w:p w:rsidR="00786E98" w:rsidRDefault="00786E98" w:rsidP="00786E98">
      <w:pPr>
        <w:pStyle w:val="BodyText"/>
      </w:pPr>
      <w:r>
        <w:t xml:space="preserve">Leigh (2008) surveys the methods employed in the education literature used to overcome ability bias. He summarises that for the Australian context and in instances where the appropriate data or empirical methods are unavailable, an assumed 10% bias may be preferred to (downwardly) adjust simple OLS estimates. </w:t>
      </w:r>
    </w:p>
    <w:p w:rsidR="00786E98" w:rsidRDefault="00786E98" w:rsidP="00786E98">
      <w:pPr>
        <w:pStyle w:val="BodyText"/>
      </w:pPr>
      <w:r>
        <w:t xml:space="preserve">Using HILDA data from 2001 to 2005, </w:t>
      </w:r>
      <w:r w:rsidR="003F663F">
        <w:t>he</w:t>
      </w:r>
      <w:r>
        <w:t xml:space="preserve"> estimates a 15% average increase in annual earnings for each year of university study (for completers)</w:t>
      </w:r>
      <w:r w:rsidR="0050118D">
        <w:t xml:space="preserve">, relative to </w:t>
      </w:r>
      <w:r w:rsidR="002736C9">
        <w:t xml:space="preserve">those with only a </w:t>
      </w:r>
      <w:r w:rsidR="00744190">
        <w:t>Y</w:t>
      </w:r>
      <w:r w:rsidR="002736C9">
        <w:t>ear 12 level or equivalent level qualification</w:t>
      </w:r>
      <w:r w:rsidR="003F663F">
        <w:t xml:space="preserve">. This </w:t>
      </w:r>
      <w:r w:rsidR="002736C9">
        <w:t>is broadly consistent with Wilkins (2015) findings</w:t>
      </w:r>
      <w:r w:rsidR="00E3578F">
        <w:t>, though Wilkins includes a richer set of demographic controls</w:t>
      </w:r>
      <w:r>
        <w:t>. The results also indicate that the gains materialise mostly in higher average earnings, rather than the number of hour</w:t>
      </w:r>
      <w:r w:rsidR="0080374A">
        <w:t>s</w:t>
      </w:r>
      <w:r>
        <w:t xml:space="preserve"> worked, for individuals with higher education, compared to school education or non-</w:t>
      </w:r>
      <w:r w:rsidR="00E55305">
        <w:t>tertiary post-school education.</w:t>
      </w:r>
      <w:r w:rsidR="00891D54">
        <w:t xml:space="preserve"> Leigh (2008) uses </w:t>
      </w:r>
      <w:r w:rsidR="0050118D">
        <w:t>an assumed</w:t>
      </w:r>
      <w:r w:rsidR="00891D54">
        <w:t xml:space="preserve"> measure of ability bias (which is consistent with Wilkins (2015) results), this is in addition to </w:t>
      </w:r>
      <w:r w:rsidR="00E3578F">
        <w:t>experience and gender</w:t>
      </w:r>
      <w:r w:rsidR="00891D54">
        <w:t xml:space="preserve"> which are used to control for the differences in characteristics between cohorts of persons who do and do not have a higher education qualification.</w:t>
      </w:r>
    </w:p>
    <w:p w:rsidR="00786E98" w:rsidRDefault="00786E98" w:rsidP="00786E98">
      <w:pPr>
        <w:pStyle w:val="BodyText"/>
      </w:pPr>
      <w:r>
        <w:t>Sinning (2014) uses HILDA data to compare lifetime earnings of graduates, utilising time and age-time interaction terms to take into account temporary and permanent variation in wages over time. He finds that graduates with bachelor degrees compared to individuals with Year 12 or below earn between 40-50% higher wages. The author uses a much broader counterfactual group but</w:t>
      </w:r>
      <w:r w:rsidR="003F663F">
        <w:t>,</w:t>
      </w:r>
      <w:r>
        <w:t xml:space="preserve"> more importantly</w:t>
      </w:r>
      <w:r w:rsidR="003F663F">
        <w:t>,</w:t>
      </w:r>
      <w:r>
        <w:t xml:space="preserve"> assumes prior ability biases to be small and thus ignores them. </w:t>
      </w:r>
    </w:p>
    <w:p w:rsidR="00E5231A" w:rsidRDefault="00E5231A" w:rsidP="00E5231A">
      <w:pPr>
        <w:pStyle w:val="IndentParaGrey"/>
        <w:jc w:val="center"/>
        <w:rPr>
          <w:rStyle w:val="Boldword"/>
        </w:rPr>
      </w:pPr>
      <w:r w:rsidRPr="00E5231A">
        <w:rPr>
          <w:rStyle w:val="Boldword"/>
        </w:rPr>
        <w:lastRenderedPageBreak/>
        <w:t>Box 2.1: Average vs. marginal returns to higher education</w:t>
      </w:r>
    </w:p>
    <w:p w:rsidR="00E5231A" w:rsidRPr="00EF547B" w:rsidRDefault="00E5231A" w:rsidP="00E5231A">
      <w:pPr>
        <w:pStyle w:val="IndentParaGrey"/>
        <w:rPr>
          <w:sz w:val="20"/>
          <w:lang w:eastAsia="en-AU"/>
        </w:rPr>
      </w:pPr>
      <w:r w:rsidRPr="00EF547B">
        <w:rPr>
          <w:sz w:val="20"/>
          <w:lang w:eastAsia="en-AU"/>
        </w:rPr>
        <w:t>The econometric studies outlined above provide estimates of the average effect of higher education attainment on wage and employment outcomes, controlling for observable characteristics.</w:t>
      </w:r>
      <w:r w:rsidR="00B20E3F" w:rsidRPr="00EF547B">
        <w:rPr>
          <w:sz w:val="20"/>
          <w:lang w:eastAsia="en-AU"/>
        </w:rPr>
        <w:t xml:space="preserve"> It should be noted that</w:t>
      </w:r>
      <w:r w:rsidRPr="00EF547B">
        <w:rPr>
          <w:sz w:val="20"/>
          <w:lang w:eastAsia="en-AU"/>
        </w:rPr>
        <w:t xml:space="preserve"> </w:t>
      </w:r>
      <w:r w:rsidR="00B20E3F" w:rsidRPr="00EF547B">
        <w:rPr>
          <w:sz w:val="20"/>
          <w:lang w:eastAsia="en-AU"/>
        </w:rPr>
        <w:t>t</w:t>
      </w:r>
      <w:r w:rsidRPr="00EF547B">
        <w:rPr>
          <w:sz w:val="20"/>
          <w:lang w:eastAsia="en-AU"/>
        </w:rPr>
        <w:t xml:space="preserve">here is </w:t>
      </w:r>
      <w:r w:rsidR="00B20E3F" w:rsidRPr="00EF547B">
        <w:rPr>
          <w:sz w:val="20"/>
          <w:lang w:eastAsia="en-AU"/>
        </w:rPr>
        <w:t xml:space="preserve">generally </w:t>
      </w:r>
      <w:r w:rsidRPr="00EF547B">
        <w:rPr>
          <w:sz w:val="20"/>
          <w:lang w:eastAsia="en-AU"/>
        </w:rPr>
        <w:t xml:space="preserve">a degree of variance around this average, with some individuals (for a given profile of characteristics) receiving </w:t>
      </w:r>
      <w:r w:rsidR="0072170B" w:rsidRPr="00EF547B">
        <w:rPr>
          <w:sz w:val="20"/>
          <w:lang w:eastAsia="en-AU"/>
        </w:rPr>
        <w:t xml:space="preserve">different returns to higher education. </w:t>
      </w:r>
    </w:p>
    <w:p w:rsidR="0072170B" w:rsidRPr="00EF547B" w:rsidRDefault="0072170B" w:rsidP="0072170B">
      <w:pPr>
        <w:pStyle w:val="IndentParaGrey"/>
        <w:rPr>
          <w:sz w:val="20"/>
          <w:lang w:eastAsia="en-AU"/>
        </w:rPr>
      </w:pPr>
      <w:r w:rsidRPr="00EF547B">
        <w:rPr>
          <w:sz w:val="20"/>
          <w:lang w:eastAsia="en-AU"/>
        </w:rPr>
        <w:t>The returns to the ‘marginal’ student are of interest in studies on the returns from higher education</w:t>
      </w:r>
      <w:r w:rsidR="00B20E3F" w:rsidRPr="00EF547B">
        <w:rPr>
          <w:sz w:val="20"/>
          <w:lang w:eastAsia="en-AU"/>
        </w:rPr>
        <w:t xml:space="preserve"> (see Chapman and Lounkaew, 2011)</w:t>
      </w:r>
      <w:r w:rsidRPr="00EF547B">
        <w:rPr>
          <w:sz w:val="20"/>
          <w:lang w:eastAsia="en-AU"/>
        </w:rPr>
        <w:t>. The marginal student can be appropriately defined as the individual who is indifferent between attaining a higher education qualification and not</w:t>
      </w:r>
      <w:r w:rsidR="00346FD9" w:rsidRPr="00EF547B">
        <w:rPr>
          <w:sz w:val="20"/>
          <w:lang w:eastAsia="en-AU"/>
        </w:rPr>
        <w:t>,</w:t>
      </w:r>
      <w:r w:rsidRPr="00EF547B">
        <w:rPr>
          <w:sz w:val="20"/>
          <w:lang w:eastAsia="en-AU"/>
        </w:rPr>
        <w:t xml:space="preserve"> based on the</w:t>
      </w:r>
      <w:r w:rsidR="00346FD9" w:rsidRPr="00EF547B">
        <w:rPr>
          <w:sz w:val="20"/>
          <w:lang w:eastAsia="en-AU"/>
        </w:rPr>
        <w:t>ir</w:t>
      </w:r>
      <w:r w:rsidRPr="00EF547B">
        <w:rPr>
          <w:sz w:val="20"/>
          <w:lang w:eastAsia="en-AU"/>
        </w:rPr>
        <w:t xml:space="preserve"> </w:t>
      </w:r>
      <w:r w:rsidRPr="00EF547B">
        <w:rPr>
          <w:i/>
          <w:sz w:val="20"/>
          <w:lang w:eastAsia="en-AU"/>
        </w:rPr>
        <w:t>expected</w:t>
      </w:r>
      <w:r w:rsidRPr="00EF547B">
        <w:rPr>
          <w:sz w:val="20"/>
          <w:lang w:eastAsia="en-AU"/>
        </w:rPr>
        <w:t xml:space="preserve"> return from higher education</w:t>
      </w:r>
      <w:r w:rsidR="00346FD9" w:rsidRPr="00EF547B">
        <w:rPr>
          <w:sz w:val="20"/>
          <w:lang w:eastAsia="en-AU"/>
        </w:rPr>
        <w:t xml:space="preserve"> (controlling for their individual characteristics).</w:t>
      </w:r>
    </w:p>
    <w:p w:rsidR="0072170B" w:rsidRPr="00EF547B" w:rsidRDefault="0072170B" w:rsidP="0072170B">
      <w:pPr>
        <w:pStyle w:val="IndentParaGrey"/>
        <w:rPr>
          <w:sz w:val="20"/>
          <w:lang w:eastAsia="en-AU"/>
        </w:rPr>
      </w:pPr>
      <w:r w:rsidRPr="00EF547B">
        <w:rPr>
          <w:sz w:val="20"/>
          <w:lang w:eastAsia="en-AU"/>
        </w:rPr>
        <w:t>Norton (2012) and Daly et al. (2015) demonstrate that there is significant variation in incomes for persons with higher education qualifications, and conclude that—compared to the average individual with no post-school qualification—there are variations in the NPV of benefits</w:t>
      </w:r>
      <w:r w:rsidR="00266EE3" w:rsidRPr="00EF547B">
        <w:rPr>
          <w:sz w:val="20"/>
          <w:lang w:eastAsia="en-AU"/>
        </w:rPr>
        <w:t xml:space="preserve"> from higher education</w:t>
      </w:r>
      <w:r w:rsidRPr="00EF547B">
        <w:rPr>
          <w:sz w:val="20"/>
          <w:lang w:eastAsia="en-AU"/>
        </w:rPr>
        <w:t xml:space="preserve"> within discipline and qualification levels. However, this conclusion is </w:t>
      </w:r>
      <w:r w:rsidR="003F663F" w:rsidRPr="00EF547B">
        <w:rPr>
          <w:sz w:val="20"/>
          <w:lang w:eastAsia="en-AU"/>
        </w:rPr>
        <w:t>not without its limitation</w:t>
      </w:r>
      <w:r w:rsidRPr="00EF547B">
        <w:rPr>
          <w:sz w:val="20"/>
          <w:lang w:eastAsia="en-AU"/>
        </w:rPr>
        <w:t>, as their analys</w:t>
      </w:r>
      <w:r w:rsidR="003F663F" w:rsidRPr="00EF547B">
        <w:rPr>
          <w:sz w:val="20"/>
          <w:lang w:eastAsia="en-AU"/>
        </w:rPr>
        <w:t>es</w:t>
      </w:r>
      <w:r w:rsidRPr="00EF547B">
        <w:rPr>
          <w:sz w:val="20"/>
          <w:lang w:eastAsia="en-AU"/>
        </w:rPr>
        <w:t xml:space="preserve"> fail to account for variations in characteristics other than educational attainment, which may cause this variation in earnings. Indeed, these studies’ estimated variations in NPV benefits are </w:t>
      </w:r>
      <w:r w:rsidR="003F663F" w:rsidRPr="00EF547B">
        <w:rPr>
          <w:sz w:val="20"/>
          <w:lang w:eastAsia="en-AU"/>
        </w:rPr>
        <w:t>a less than fully accurate</w:t>
      </w:r>
      <w:r w:rsidRPr="00EF547B">
        <w:rPr>
          <w:sz w:val="20"/>
          <w:lang w:eastAsia="en-AU"/>
        </w:rPr>
        <w:t xml:space="preserve"> representation of the actual variation of returns from higher education and </w:t>
      </w:r>
      <w:r w:rsidR="003F663F" w:rsidRPr="00EF547B">
        <w:rPr>
          <w:sz w:val="20"/>
          <w:lang w:eastAsia="en-AU"/>
        </w:rPr>
        <w:t xml:space="preserve">are not appropriate for the use in identification of the </w:t>
      </w:r>
      <w:r w:rsidRPr="00EF547B">
        <w:rPr>
          <w:sz w:val="20"/>
          <w:lang w:eastAsia="en-AU"/>
        </w:rPr>
        <w:t>‘marginal’ students, as defined above.</w:t>
      </w:r>
    </w:p>
    <w:p w:rsidR="003F663F" w:rsidRPr="00EF547B" w:rsidRDefault="00346FD9" w:rsidP="00346FD9">
      <w:pPr>
        <w:pStyle w:val="IndentParaGrey"/>
        <w:rPr>
          <w:sz w:val="20"/>
          <w:lang w:eastAsia="en-AU"/>
        </w:rPr>
      </w:pPr>
      <w:r w:rsidRPr="00EF547B">
        <w:rPr>
          <w:sz w:val="20"/>
          <w:lang w:eastAsia="en-AU"/>
        </w:rPr>
        <w:t>Econometric studies of the returns to higher education can allow for a more accurate characterisation of ‘marginal’ higher education students, as described above</w:t>
      </w:r>
      <w:r w:rsidR="00266EE3" w:rsidRPr="00EF547B">
        <w:rPr>
          <w:sz w:val="20"/>
          <w:lang w:eastAsia="en-AU"/>
        </w:rPr>
        <w:t>;</w:t>
      </w:r>
      <w:r w:rsidRPr="00EF547B">
        <w:rPr>
          <w:sz w:val="20"/>
          <w:lang w:eastAsia="en-AU"/>
        </w:rPr>
        <w:t xml:space="preserve"> however</w:t>
      </w:r>
      <w:r w:rsidR="00266EE3" w:rsidRPr="00EF547B">
        <w:rPr>
          <w:sz w:val="20"/>
          <w:lang w:eastAsia="en-AU"/>
        </w:rPr>
        <w:t>,</w:t>
      </w:r>
      <w:r w:rsidRPr="00EF547B">
        <w:rPr>
          <w:sz w:val="20"/>
          <w:lang w:eastAsia="en-AU"/>
        </w:rPr>
        <w:t xml:space="preserve"> more complex model specifications than those used in the current empirical literature are required to identify these students. </w:t>
      </w:r>
    </w:p>
    <w:p w:rsidR="00346FD9" w:rsidRPr="00EF547B" w:rsidRDefault="00B20E3F" w:rsidP="00346FD9">
      <w:pPr>
        <w:pStyle w:val="IndentParaGrey"/>
        <w:rPr>
          <w:sz w:val="20"/>
          <w:lang w:eastAsia="en-AU"/>
        </w:rPr>
      </w:pPr>
      <w:r w:rsidRPr="00EF547B">
        <w:rPr>
          <w:sz w:val="20"/>
          <w:lang w:eastAsia="en-AU"/>
        </w:rPr>
        <w:t xml:space="preserve">In particular, average effect sizes that are estimated while also controlling for observable student characteristics </w:t>
      </w:r>
      <w:r w:rsidR="003F663F" w:rsidRPr="00EF547B">
        <w:rPr>
          <w:sz w:val="20"/>
          <w:lang w:eastAsia="en-AU"/>
        </w:rPr>
        <w:t xml:space="preserve">constitute appropriate </w:t>
      </w:r>
      <w:r w:rsidR="002C4826">
        <w:rPr>
          <w:sz w:val="20"/>
          <w:lang w:eastAsia="en-AU"/>
        </w:rPr>
        <w:t xml:space="preserve">evidence that </w:t>
      </w:r>
      <w:r w:rsidRPr="00EF547B">
        <w:rPr>
          <w:sz w:val="20"/>
          <w:lang w:eastAsia="en-AU"/>
        </w:rPr>
        <w:t xml:space="preserve">the returns to higher education are </w:t>
      </w:r>
      <w:r w:rsidRPr="00EF547B">
        <w:rPr>
          <w:rStyle w:val="Boldword"/>
          <w:sz w:val="20"/>
        </w:rPr>
        <w:t>always positive</w:t>
      </w:r>
      <w:r w:rsidRPr="00EF547B">
        <w:rPr>
          <w:sz w:val="20"/>
          <w:lang w:eastAsia="en-AU"/>
        </w:rPr>
        <w:t xml:space="preserve"> for individuals who chose to attain a higher education qualification</w:t>
      </w:r>
      <w:r w:rsidR="003F663F" w:rsidRPr="00EF547B">
        <w:rPr>
          <w:sz w:val="20"/>
          <w:lang w:eastAsia="en-AU"/>
        </w:rPr>
        <w:t xml:space="preserve"> (setting aside unobserved, individual specific, idiosyncratic factors)</w:t>
      </w:r>
      <w:r w:rsidRPr="00EF547B">
        <w:rPr>
          <w:sz w:val="20"/>
          <w:lang w:eastAsia="en-AU"/>
        </w:rPr>
        <w:t>. Further,</w:t>
      </w:r>
      <w:r w:rsidR="00346FD9" w:rsidRPr="00EF547B">
        <w:rPr>
          <w:sz w:val="20"/>
          <w:lang w:eastAsia="en-AU"/>
        </w:rPr>
        <w:t xml:space="preserve"> student</w:t>
      </w:r>
      <w:r w:rsidR="003F663F" w:rsidRPr="00EF547B">
        <w:rPr>
          <w:sz w:val="20"/>
          <w:lang w:eastAsia="en-AU"/>
        </w:rPr>
        <w:t>-</w:t>
      </w:r>
      <w:r w:rsidR="00346FD9" w:rsidRPr="00EF547B">
        <w:rPr>
          <w:sz w:val="20"/>
          <w:lang w:eastAsia="en-AU"/>
        </w:rPr>
        <w:t xml:space="preserve">level residual effects are </w:t>
      </w:r>
      <w:r w:rsidR="003F663F" w:rsidRPr="00EF547B">
        <w:rPr>
          <w:sz w:val="20"/>
          <w:lang w:eastAsia="en-AU"/>
        </w:rPr>
        <w:t>not necessarily</w:t>
      </w:r>
      <w:r w:rsidR="00346FD9" w:rsidRPr="00EF547B">
        <w:rPr>
          <w:sz w:val="20"/>
          <w:lang w:eastAsia="en-AU"/>
        </w:rPr>
        <w:t xml:space="preserve"> evidence of variations in benefits from the mean </w:t>
      </w:r>
      <w:r w:rsidR="003F663F" w:rsidRPr="00EF547B">
        <w:rPr>
          <w:sz w:val="20"/>
          <w:lang w:eastAsia="en-AU"/>
        </w:rPr>
        <w:t>(</w:t>
      </w:r>
      <w:r w:rsidR="00346FD9" w:rsidRPr="00EF547B">
        <w:rPr>
          <w:sz w:val="20"/>
          <w:lang w:eastAsia="en-AU"/>
        </w:rPr>
        <w:t>in expected terms</w:t>
      </w:r>
      <w:r w:rsidR="003F663F" w:rsidRPr="00EF547B">
        <w:rPr>
          <w:sz w:val="20"/>
          <w:lang w:eastAsia="en-AU"/>
        </w:rPr>
        <w:t xml:space="preserve">) </w:t>
      </w:r>
      <w:r w:rsidR="00346FD9" w:rsidRPr="00EF547B">
        <w:rPr>
          <w:sz w:val="20"/>
          <w:lang w:eastAsia="en-AU"/>
        </w:rPr>
        <w:t xml:space="preserve">since these idiosyncratic returns </w:t>
      </w:r>
      <w:r w:rsidR="003F663F" w:rsidRPr="00EF547B">
        <w:rPr>
          <w:sz w:val="20"/>
          <w:lang w:eastAsia="en-AU"/>
        </w:rPr>
        <w:t>can be influenced by a wide array of variables once students enter the workforce</w:t>
      </w:r>
      <w:r w:rsidR="00346FD9" w:rsidRPr="00EF547B">
        <w:rPr>
          <w:sz w:val="20"/>
          <w:lang w:eastAsia="en-AU"/>
        </w:rPr>
        <w:t xml:space="preserve">. </w:t>
      </w:r>
    </w:p>
    <w:p w:rsidR="00346FD9" w:rsidRPr="00EF547B" w:rsidRDefault="00346FD9" w:rsidP="00346FD9">
      <w:pPr>
        <w:pStyle w:val="IndentParaGrey"/>
        <w:rPr>
          <w:sz w:val="20"/>
          <w:lang w:eastAsia="en-AU"/>
        </w:rPr>
      </w:pPr>
      <w:r w:rsidRPr="00EF547B">
        <w:rPr>
          <w:sz w:val="20"/>
          <w:lang w:eastAsia="en-AU"/>
        </w:rPr>
        <w:t xml:space="preserve">To </w:t>
      </w:r>
      <w:r w:rsidR="009276B2">
        <w:rPr>
          <w:sz w:val="20"/>
          <w:lang w:eastAsia="en-AU"/>
        </w:rPr>
        <w:t>determine</w:t>
      </w:r>
      <w:r w:rsidR="009276B2" w:rsidRPr="00EF547B">
        <w:rPr>
          <w:sz w:val="20"/>
          <w:lang w:eastAsia="en-AU"/>
        </w:rPr>
        <w:t xml:space="preserve"> </w:t>
      </w:r>
      <w:r w:rsidRPr="00EF547B">
        <w:rPr>
          <w:sz w:val="20"/>
          <w:lang w:eastAsia="en-AU"/>
        </w:rPr>
        <w:t xml:space="preserve">observed factors that may be used to identify marginal students, interaction terms between qualification variable and demographic characteristics </w:t>
      </w:r>
      <w:r w:rsidR="00266EE3" w:rsidRPr="00EF547B">
        <w:rPr>
          <w:sz w:val="20"/>
          <w:lang w:eastAsia="en-AU"/>
        </w:rPr>
        <w:t>may be required</w:t>
      </w:r>
      <w:r w:rsidRPr="00EF547B">
        <w:rPr>
          <w:sz w:val="20"/>
          <w:lang w:eastAsia="en-AU"/>
        </w:rPr>
        <w:t xml:space="preserve">—however, current </w:t>
      </w:r>
      <w:r w:rsidR="00266EE3" w:rsidRPr="00EF547B">
        <w:rPr>
          <w:sz w:val="20"/>
          <w:lang w:eastAsia="en-AU"/>
        </w:rPr>
        <w:t xml:space="preserve">panel </w:t>
      </w:r>
      <w:r w:rsidRPr="00EF547B">
        <w:rPr>
          <w:sz w:val="20"/>
          <w:lang w:eastAsia="en-AU"/>
        </w:rPr>
        <w:t>datasets generally contain insufficient observations to estimate these conditional effects robustly. Econometric studies that further explore these issues are considered an important area of further research.</w:t>
      </w:r>
    </w:p>
    <w:p w:rsidR="004C51B0" w:rsidRPr="002E66A6" w:rsidRDefault="00C17E9C" w:rsidP="00346FD9">
      <w:pPr>
        <w:pStyle w:val="Heading3"/>
        <w:pageBreakBefore/>
        <w:numPr>
          <w:ilvl w:val="2"/>
          <w:numId w:val="8"/>
        </w:numPr>
        <w:tabs>
          <w:tab w:val="clear" w:pos="1418"/>
          <w:tab w:val="num" w:pos="1134"/>
        </w:tabs>
        <w:ind w:left="1134"/>
      </w:pPr>
      <w:bookmarkStart w:id="33" w:name="_Ref459113870"/>
      <w:r>
        <w:lastRenderedPageBreak/>
        <w:t>P</w:t>
      </w:r>
      <w:r w:rsidR="004C51B0" w:rsidRPr="002E66A6">
        <w:t>ublic benefits</w:t>
      </w:r>
      <w:bookmarkEnd w:id="33"/>
      <w:r w:rsidR="004C51B0" w:rsidRPr="002E66A6">
        <w:t xml:space="preserve"> </w:t>
      </w:r>
    </w:p>
    <w:p w:rsidR="004C51B0" w:rsidRPr="006E1DD1" w:rsidRDefault="00362183" w:rsidP="004C51B0">
      <w:pPr>
        <w:pStyle w:val="BodyText"/>
      </w:pPr>
      <w:r>
        <w:t xml:space="preserve">Relatively few </w:t>
      </w:r>
      <w:r w:rsidR="004C51B0">
        <w:t xml:space="preserve">studies have rigorously explored the public benefits from higher education. </w:t>
      </w:r>
      <w:r>
        <w:t xml:space="preserve">A </w:t>
      </w:r>
      <w:r w:rsidR="009276B2">
        <w:t xml:space="preserve">review </w:t>
      </w:r>
      <w:r>
        <w:t xml:space="preserve">of the literature </w:t>
      </w:r>
      <w:r w:rsidR="009276B2">
        <w:t xml:space="preserve">from </w:t>
      </w:r>
      <w:r>
        <w:t>Australia and overseas has not revealed</w:t>
      </w:r>
      <w:r w:rsidR="004C51B0">
        <w:t xml:space="preserve"> any studies that comprehensively and rigorously estimate the full suite of public benefits from education.</w:t>
      </w:r>
      <w:r w:rsidR="00FE54A5">
        <w:t xml:space="preserve"> Most Australian studies have </w:t>
      </w:r>
      <w:r w:rsidR="009276B2">
        <w:t>taken the relatively narrow approach of focusing on</w:t>
      </w:r>
      <w:r w:rsidR="00FE54A5">
        <w:t xml:space="preserve"> net government receipts as </w:t>
      </w:r>
      <w:r w:rsidR="009276B2">
        <w:t xml:space="preserve">a </w:t>
      </w:r>
      <w:r w:rsidR="00FE54A5">
        <w:t>measure of public benefits from higher education.</w:t>
      </w:r>
      <w:r w:rsidR="00FD5F6E">
        <w:rPr>
          <w:rStyle w:val="FootnoteReference"/>
        </w:rPr>
        <w:footnoteReference w:id="18"/>
      </w:r>
      <w:r w:rsidR="00FE54A5">
        <w:t xml:space="preserve"> McMahon is the </w:t>
      </w:r>
      <w:r w:rsidR="009276B2">
        <w:t xml:space="preserve">leading </w:t>
      </w:r>
      <w:r w:rsidR="00FE54A5">
        <w:t xml:space="preserve">author who </w:t>
      </w:r>
      <w:r w:rsidR="00FB013E">
        <w:t>synthesises</w:t>
      </w:r>
      <w:r w:rsidR="00FE54A5">
        <w:t xml:space="preserve"> the empirical evidence on broader public benefits</w:t>
      </w:r>
      <w:r w:rsidR="009276B2">
        <w:t xml:space="preserve"> and the </w:t>
      </w:r>
      <w:r w:rsidR="00FB013E">
        <w:t xml:space="preserve">findings from </w:t>
      </w:r>
      <w:r w:rsidR="009276B2">
        <w:t xml:space="preserve">his work </w:t>
      </w:r>
      <w:r w:rsidR="00FB013E">
        <w:t>are used by Chapman and Lounkaew (2011; and 2015) in the Australian context.</w:t>
      </w:r>
    </w:p>
    <w:p w:rsidR="00B5584C" w:rsidRDefault="00FE54A5" w:rsidP="00B5584C">
      <w:pPr>
        <w:pStyle w:val="HeadingC"/>
      </w:pPr>
      <w:r>
        <w:t>Net government receipts</w:t>
      </w:r>
    </w:p>
    <w:p w:rsidR="00B5584C" w:rsidRDefault="00B5584C" w:rsidP="00B5584C">
      <w:pPr>
        <w:pStyle w:val="BodyText"/>
      </w:pPr>
      <w:r>
        <w:t xml:space="preserve">The most common measure of public market benefits that has been canvassed in the literature </w:t>
      </w:r>
      <w:r w:rsidR="009276B2">
        <w:t xml:space="preserve">is </w:t>
      </w:r>
      <w:r>
        <w:t xml:space="preserve">net government receipts (predominately through higher taxation revenue) that </w:t>
      </w:r>
      <w:r w:rsidR="009276B2">
        <w:t>result from</w:t>
      </w:r>
      <w:r>
        <w:t xml:space="preserve"> the higher wages earned by higher education graduates.</w:t>
      </w:r>
    </w:p>
    <w:p w:rsidR="00B5584C" w:rsidRDefault="00B5584C" w:rsidP="00B5584C">
      <w:pPr>
        <w:pStyle w:val="BodyText"/>
      </w:pPr>
      <w:r>
        <w:t xml:space="preserve">Norton (2012) </w:t>
      </w:r>
      <w:r w:rsidR="009276B2">
        <w:t xml:space="preserve">adopts </w:t>
      </w:r>
      <w:r>
        <w:t>an accounting approach to estimate the public market benefits by field of education.</w:t>
      </w:r>
      <w:r>
        <w:rPr>
          <w:rStyle w:val="FootnoteReference"/>
        </w:rPr>
        <w:footnoteReference w:id="19"/>
      </w:r>
      <w:r>
        <w:t xml:space="preserve"> He defines net public market benefits as the net present value of lifetime additional tax obligations less tuition subsidies. These intuitive results identify significantly greater public benefits from courses like medicine and law, with comparatively smaller benefits from nursing and humanities, and negative net benefits from performing arts graduates. However, as the author acknowledges, they fail to control for ability bias and focus on a single stream of direct monetary public benefits, without a consideration of any indirect effects</w:t>
      </w:r>
      <w:r w:rsidR="00FE54A5">
        <w:t xml:space="preserve"> (e.g. through labour productivity spillovers)</w:t>
      </w:r>
      <w:r>
        <w:t xml:space="preserve">. </w:t>
      </w:r>
    </w:p>
    <w:p w:rsidR="00171E24" w:rsidRDefault="00171E24" w:rsidP="00171E24">
      <w:pPr>
        <w:pStyle w:val="CaptionTable"/>
        <w:numPr>
          <w:ilvl w:val="6"/>
          <w:numId w:val="8"/>
        </w:numPr>
        <w:ind w:left="0"/>
      </w:pPr>
      <w:bookmarkStart w:id="34" w:name="_Toc465961121"/>
      <w:r>
        <w:t>: Private benefits from attaining tertiary education in 2009 (2010 PPS USD)</w:t>
      </w:r>
      <w:bookmarkEnd w:id="34"/>
    </w:p>
    <w:tbl>
      <w:tblPr>
        <w:tblStyle w:val="TableAETotals1"/>
        <w:tblW w:w="0" w:type="auto"/>
        <w:jc w:val="center"/>
        <w:tblLook w:val="04A0" w:firstRow="1" w:lastRow="0" w:firstColumn="1" w:lastColumn="0" w:noHBand="0" w:noVBand="1"/>
      </w:tblPr>
      <w:tblGrid>
        <w:gridCol w:w="2573"/>
        <w:gridCol w:w="875"/>
        <w:gridCol w:w="495"/>
        <w:gridCol w:w="875"/>
        <w:gridCol w:w="495"/>
        <w:gridCol w:w="875"/>
        <w:gridCol w:w="495"/>
        <w:gridCol w:w="773"/>
        <w:gridCol w:w="495"/>
      </w:tblGrid>
      <w:tr w:rsidR="00171E24" w:rsidRPr="00750AF5" w:rsidTr="00F95E54">
        <w:trPr>
          <w:cnfStyle w:val="100000000000" w:firstRow="1" w:lastRow="0" w:firstColumn="0" w:lastColumn="0" w:oddVBand="0" w:evenVBand="0" w:oddHBand="0" w:evenHBand="0" w:firstRowFirstColumn="0" w:firstRowLastColumn="0" w:lastRowFirstColumn="0" w:lastRowLastColumn="0"/>
          <w:jc w:val="center"/>
        </w:trPr>
        <w:tc>
          <w:tcPr>
            <w:tcW w:w="0" w:type="auto"/>
            <w:tcBorders>
              <w:bottom w:val="nil"/>
            </w:tcBorders>
          </w:tcPr>
          <w:p w:rsidR="00171E24" w:rsidRPr="00750AF5" w:rsidRDefault="00171E24" w:rsidP="00F95E54">
            <w:pPr>
              <w:pStyle w:val="BodyText"/>
              <w:spacing w:before="0"/>
              <w:jc w:val="center"/>
              <w:rPr>
                <w:rFonts w:asciiTheme="minorHAnsi" w:hAnsiTheme="minorHAnsi"/>
                <w:sz w:val="20"/>
              </w:rPr>
            </w:pPr>
          </w:p>
        </w:tc>
        <w:tc>
          <w:tcPr>
            <w:tcW w:w="0" w:type="auto"/>
            <w:gridSpan w:val="4"/>
            <w:tcBorders>
              <w:bottom w:val="nil"/>
            </w:tcBorders>
          </w:tcPr>
          <w:p w:rsidR="00171E24" w:rsidRPr="00262F0B" w:rsidRDefault="00171E24" w:rsidP="00F95E54">
            <w:pPr>
              <w:pStyle w:val="BodyText"/>
              <w:spacing w:before="0"/>
              <w:jc w:val="center"/>
              <w:rPr>
                <w:rFonts w:asciiTheme="minorHAnsi" w:hAnsiTheme="minorHAnsi"/>
                <w:sz w:val="20"/>
              </w:rPr>
            </w:pPr>
            <w:r w:rsidRPr="00750AF5">
              <w:rPr>
                <w:rFonts w:asciiTheme="minorHAnsi" w:hAnsiTheme="minorHAnsi"/>
                <w:sz w:val="20"/>
              </w:rPr>
              <w:t>Men</w:t>
            </w:r>
          </w:p>
        </w:tc>
        <w:tc>
          <w:tcPr>
            <w:tcW w:w="0" w:type="auto"/>
            <w:gridSpan w:val="4"/>
            <w:tcBorders>
              <w:bottom w:val="nil"/>
            </w:tcBorders>
          </w:tcPr>
          <w:p w:rsidR="00171E24" w:rsidRPr="00262F0B" w:rsidRDefault="00171E24" w:rsidP="00F95E54">
            <w:pPr>
              <w:pStyle w:val="BodyText"/>
              <w:spacing w:before="0"/>
              <w:jc w:val="center"/>
              <w:rPr>
                <w:rFonts w:asciiTheme="minorHAnsi" w:hAnsiTheme="minorHAnsi"/>
                <w:sz w:val="20"/>
              </w:rPr>
            </w:pPr>
            <w:r w:rsidRPr="00750AF5">
              <w:rPr>
                <w:rFonts w:asciiTheme="minorHAnsi" w:hAnsiTheme="minorHAnsi"/>
                <w:sz w:val="20"/>
              </w:rPr>
              <w:t>Women</w:t>
            </w:r>
          </w:p>
        </w:tc>
      </w:tr>
      <w:tr w:rsidR="00171E24" w:rsidRPr="00750AF5" w:rsidTr="00F95E54">
        <w:trPr>
          <w:jc w:val="center"/>
        </w:trPr>
        <w:tc>
          <w:tcPr>
            <w:tcW w:w="0" w:type="auto"/>
            <w:tcBorders>
              <w:top w:val="nil"/>
              <w:bottom w:val="nil"/>
            </w:tcBorders>
          </w:tcPr>
          <w:p w:rsidR="00171E24" w:rsidRPr="00750AF5" w:rsidRDefault="00171E24" w:rsidP="00F95E54">
            <w:pPr>
              <w:pStyle w:val="BodyText"/>
              <w:spacing w:before="0"/>
              <w:jc w:val="center"/>
              <w:rPr>
                <w:rFonts w:asciiTheme="minorHAnsi" w:hAnsiTheme="minorHAnsi"/>
                <w:sz w:val="20"/>
              </w:rPr>
            </w:pPr>
          </w:p>
        </w:tc>
        <w:tc>
          <w:tcPr>
            <w:tcW w:w="0" w:type="auto"/>
            <w:gridSpan w:val="2"/>
            <w:tcBorders>
              <w:top w:val="nil"/>
              <w:bottom w:val="nil"/>
            </w:tcBorders>
          </w:tcPr>
          <w:p w:rsidR="00171E24" w:rsidRPr="00262F0B" w:rsidRDefault="00171E24" w:rsidP="00F95E54">
            <w:pPr>
              <w:pStyle w:val="BodyText"/>
              <w:spacing w:before="0"/>
              <w:jc w:val="center"/>
              <w:rPr>
                <w:rFonts w:asciiTheme="minorHAnsi" w:hAnsiTheme="minorHAnsi"/>
                <w:sz w:val="20"/>
              </w:rPr>
            </w:pPr>
            <w:r w:rsidRPr="00750AF5">
              <w:rPr>
                <w:rFonts w:asciiTheme="minorHAnsi" w:hAnsiTheme="minorHAnsi"/>
                <w:sz w:val="20"/>
              </w:rPr>
              <w:t>Private</w:t>
            </w:r>
          </w:p>
        </w:tc>
        <w:tc>
          <w:tcPr>
            <w:tcW w:w="0" w:type="auto"/>
            <w:gridSpan w:val="2"/>
            <w:tcBorders>
              <w:top w:val="nil"/>
              <w:bottom w:val="nil"/>
            </w:tcBorders>
          </w:tcPr>
          <w:p w:rsidR="00171E24" w:rsidRPr="00262F0B" w:rsidRDefault="00171E24" w:rsidP="00F95E54">
            <w:pPr>
              <w:pStyle w:val="BodyText"/>
              <w:spacing w:before="0"/>
              <w:jc w:val="center"/>
              <w:rPr>
                <w:rFonts w:asciiTheme="minorHAnsi" w:hAnsiTheme="minorHAnsi"/>
                <w:sz w:val="20"/>
              </w:rPr>
            </w:pPr>
            <w:r w:rsidRPr="00750AF5">
              <w:rPr>
                <w:rFonts w:asciiTheme="minorHAnsi" w:hAnsiTheme="minorHAnsi"/>
                <w:sz w:val="20"/>
              </w:rPr>
              <w:t>Public</w:t>
            </w:r>
          </w:p>
        </w:tc>
        <w:tc>
          <w:tcPr>
            <w:tcW w:w="0" w:type="auto"/>
            <w:gridSpan w:val="2"/>
            <w:tcBorders>
              <w:top w:val="nil"/>
              <w:bottom w:val="nil"/>
            </w:tcBorders>
          </w:tcPr>
          <w:p w:rsidR="00171E24" w:rsidRPr="00262F0B" w:rsidRDefault="00171E24" w:rsidP="00F95E54">
            <w:pPr>
              <w:pStyle w:val="BodyText"/>
              <w:spacing w:before="0"/>
              <w:jc w:val="center"/>
              <w:rPr>
                <w:rFonts w:asciiTheme="minorHAnsi" w:hAnsiTheme="minorHAnsi"/>
                <w:sz w:val="20"/>
              </w:rPr>
            </w:pPr>
            <w:r w:rsidRPr="00750AF5">
              <w:rPr>
                <w:rFonts w:asciiTheme="minorHAnsi" w:hAnsiTheme="minorHAnsi"/>
                <w:sz w:val="20"/>
              </w:rPr>
              <w:t>Private</w:t>
            </w:r>
          </w:p>
        </w:tc>
        <w:tc>
          <w:tcPr>
            <w:tcW w:w="0" w:type="auto"/>
            <w:gridSpan w:val="2"/>
            <w:tcBorders>
              <w:top w:val="nil"/>
              <w:bottom w:val="nil"/>
            </w:tcBorders>
          </w:tcPr>
          <w:p w:rsidR="00171E24" w:rsidRPr="00262F0B" w:rsidRDefault="00171E24" w:rsidP="00F95E54">
            <w:pPr>
              <w:pStyle w:val="BodyText"/>
              <w:spacing w:before="0"/>
              <w:jc w:val="center"/>
              <w:rPr>
                <w:rFonts w:asciiTheme="minorHAnsi" w:hAnsiTheme="minorHAnsi"/>
                <w:sz w:val="20"/>
              </w:rPr>
            </w:pPr>
            <w:r w:rsidRPr="00750AF5">
              <w:rPr>
                <w:rFonts w:asciiTheme="minorHAnsi" w:hAnsiTheme="minorHAnsi"/>
                <w:sz w:val="20"/>
              </w:rPr>
              <w:t>Public</w:t>
            </w:r>
          </w:p>
        </w:tc>
      </w:tr>
      <w:tr w:rsidR="00171E24" w:rsidRPr="00750AF5" w:rsidTr="00F95E54">
        <w:trPr>
          <w:jc w:val="center"/>
        </w:trPr>
        <w:tc>
          <w:tcPr>
            <w:tcW w:w="0" w:type="auto"/>
            <w:tcBorders>
              <w:top w:val="nil"/>
              <w:bottom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p>
        </w:tc>
        <w:tc>
          <w:tcPr>
            <w:tcW w:w="0" w:type="auto"/>
            <w:tcBorders>
              <w:top w:val="nil"/>
              <w:bottom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w:t>
            </w:r>
          </w:p>
        </w:tc>
        <w:tc>
          <w:tcPr>
            <w:tcW w:w="0" w:type="auto"/>
            <w:tcBorders>
              <w:top w:val="nil"/>
              <w:bottom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w:t>
            </w:r>
          </w:p>
        </w:tc>
        <w:tc>
          <w:tcPr>
            <w:tcW w:w="0" w:type="auto"/>
            <w:tcBorders>
              <w:top w:val="nil"/>
              <w:bottom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w:t>
            </w:r>
          </w:p>
        </w:tc>
        <w:tc>
          <w:tcPr>
            <w:tcW w:w="0" w:type="auto"/>
            <w:tcBorders>
              <w:top w:val="nil"/>
              <w:bottom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w:t>
            </w:r>
          </w:p>
        </w:tc>
        <w:tc>
          <w:tcPr>
            <w:tcW w:w="0" w:type="auto"/>
            <w:tcBorders>
              <w:top w:val="nil"/>
              <w:bottom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w:t>
            </w:r>
          </w:p>
        </w:tc>
        <w:tc>
          <w:tcPr>
            <w:tcW w:w="0" w:type="auto"/>
            <w:tcBorders>
              <w:top w:val="nil"/>
              <w:bottom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w:t>
            </w:r>
          </w:p>
        </w:tc>
        <w:tc>
          <w:tcPr>
            <w:tcW w:w="0" w:type="auto"/>
            <w:tcBorders>
              <w:top w:val="nil"/>
              <w:bottom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w:t>
            </w:r>
          </w:p>
        </w:tc>
        <w:tc>
          <w:tcPr>
            <w:tcW w:w="0" w:type="auto"/>
            <w:tcBorders>
              <w:top w:val="nil"/>
              <w:bottom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w:t>
            </w:r>
          </w:p>
        </w:tc>
      </w:tr>
      <w:tr w:rsidR="00171E24" w:rsidRPr="00750AF5" w:rsidTr="00F95E54">
        <w:trPr>
          <w:jc w:val="center"/>
        </w:trPr>
        <w:tc>
          <w:tcPr>
            <w:tcW w:w="0" w:type="auto"/>
            <w:tcBorders>
              <w:top w:val="single" w:sz="8" w:space="0" w:color="002776" w:themeColor="accent1"/>
            </w:tcBorders>
          </w:tcPr>
          <w:p w:rsidR="00171E24" w:rsidRPr="00750AF5" w:rsidRDefault="00171E24" w:rsidP="00F95E54">
            <w:pPr>
              <w:pStyle w:val="BodyText"/>
              <w:spacing w:before="0"/>
              <w:jc w:val="left"/>
              <w:rPr>
                <w:rFonts w:asciiTheme="minorHAnsi" w:hAnsiTheme="minorHAnsi"/>
                <w:sz w:val="20"/>
              </w:rPr>
            </w:pPr>
            <w:r w:rsidRPr="00750AF5">
              <w:rPr>
                <w:rFonts w:asciiTheme="minorHAnsi" w:hAnsiTheme="minorHAnsi"/>
                <w:sz w:val="20"/>
              </w:rPr>
              <w:t>Total benefits</w:t>
            </w:r>
          </w:p>
        </w:tc>
        <w:tc>
          <w:tcPr>
            <w:tcW w:w="0" w:type="auto"/>
            <w:tcBorders>
              <w:top w:val="single" w:sz="8" w:space="0" w:color="002776" w:themeColor="accent1"/>
            </w:tcBorders>
          </w:tcPr>
          <w:p w:rsidR="00171E24" w:rsidRPr="00750AF5" w:rsidRDefault="00171E24" w:rsidP="00F95E54">
            <w:pPr>
              <w:pStyle w:val="BodyText"/>
              <w:spacing w:before="0"/>
              <w:jc w:val="center"/>
              <w:rPr>
                <w:rFonts w:asciiTheme="minorHAnsi" w:hAnsiTheme="minorHAnsi"/>
                <w:sz w:val="20"/>
              </w:rPr>
            </w:pPr>
            <w:r w:rsidRPr="00750AF5">
              <w:rPr>
                <w:rFonts w:asciiTheme="minorHAnsi" w:hAnsiTheme="minorHAnsi"/>
                <w:sz w:val="20"/>
              </w:rPr>
              <w:t>221,234</w:t>
            </w:r>
          </w:p>
        </w:tc>
        <w:tc>
          <w:tcPr>
            <w:tcW w:w="0" w:type="auto"/>
            <w:tcBorders>
              <w:top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64</w:t>
            </w:r>
          </w:p>
        </w:tc>
        <w:tc>
          <w:tcPr>
            <w:tcW w:w="0" w:type="auto"/>
            <w:tcBorders>
              <w:top w:val="single" w:sz="8" w:space="0" w:color="002776" w:themeColor="accent1"/>
            </w:tcBorders>
          </w:tcPr>
          <w:p w:rsidR="00171E24" w:rsidRPr="00750AF5" w:rsidRDefault="00171E24" w:rsidP="00F95E54">
            <w:pPr>
              <w:pStyle w:val="BodyText"/>
              <w:spacing w:before="0"/>
              <w:jc w:val="center"/>
              <w:rPr>
                <w:rFonts w:asciiTheme="minorHAnsi" w:hAnsiTheme="minorHAnsi"/>
                <w:sz w:val="20"/>
              </w:rPr>
            </w:pPr>
            <w:r w:rsidRPr="00750AF5">
              <w:rPr>
                <w:rFonts w:asciiTheme="minorHAnsi" w:hAnsiTheme="minorHAnsi"/>
                <w:sz w:val="20"/>
              </w:rPr>
              <w:t>124,441</w:t>
            </w:r>
          </w:p>
        </w:tc>
        <w:tc>
          <w:tcPr>
            <w:tcW w:w="0" w:type="auto"/>
            <w:tcBorders>
              <w:top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36</w:t>
            </w:r>
          </w:p>
        </w:tc>
        <w:tc>
          <w:tcPr>
            <w:tcW w:w="0" w:type="auto"/>
            <w:tcBorders>
              <w:top w:val="single" w:sz="8" w:space="0" w:color="002776" w:themeColor="accent1"/>
            </w:tcBorders>
          </w:tcPr>
          <w:p w:rsidR="00171E24" w:rsidRPr="00750AF5" w:rsidRDefault="00171E24" w:rsidP="00F95E54">
            <w:pPr>
              <w:pStyle w:val="BodyText"/>
              <w:spacing w:before="0"/>
              <w:jc w:val="center"/>
              <w:rPr>
                <w:rFonts w:asciiTheme="minorHAnsi" w:hAnsiTheme="minorHAnsi"/>
                <w:sz w:val="20"/>
              </w:rPr>
            </w:pPr>
            <w:r w:rsidRPr="00750AF5">
              <w:rPr>
                <w:rFonts w:asciiTheme="minorHAnsi" w:hAnsiTheme="minorHAnsi"/>
                <w:sz w:val="20"/>
              </w:rPr>
              <w:t>175,023</w:t>
            </w:r>
          </w:p>
        </w:tc>
        <w:tc>
          <w:tcPr>
            <w:tcW w:w="0" w:type="auto"/>
            <w:tcBorders>
              <w:top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66</w:t>
            </w:r>
          </w:p>
        </w:tc>
        <w:tc>
          <w:tcPr>
            <w:tcW w:w="0" w:type="auto"/>
            <w:tcBorders>
              <w:top w:val="single" w:sz="8" w:space="0" w:color="002776" w:themeColor="accent1"/>
            </w:tcBorders>
          </w:tcPr>
          <w:p w:rsidR="00171E24" w:rsidRPr="00750AF5" w:rsidRDefault="00171E24" w:rsidP="00F95E54">
            <w:pPr>
              <w:pStyle w:val="BodyText"/>
              <w:spacing w:before="0"/>
              <w:jc w:val="center"/>
              <w:rPr>
                <w:rFonts w:asciiTheme="minorHAnsi" w:hAnsiTheme="minorHAnsi"/>
                <w:sz w:val="20"/>
              </w:rPr>
            </w:pPr>
            <w:r w:rsidRPr="00750AF5">
              <w:rPr>
                <w:rFonts w:asciiTheme="minorHAnsi" w:hAnsiTheme="minorHAnsi"/>
                <w:sz w:val="20"/>
              </w:rPr>
              <w:t>91,641</w:t>
            </w:r>
          </w:p>
        </w:tc>
        <w:tc>
          <w:tcPr>
            <w:tcW w:w="0" w:type="auto"/>
            <w:tcBorders>
              <w:top w:val="single" w:sz="8" w:space="0" w:color="002776" w:themeColor="accent1"/>
            </w:tcBorders>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34</w:t>
            </w:r>
          </w:p>
        </w:tc>
      </w:tr>
      <w:tr w:rsidR="00171E24" w:rsidRPr="00750AF5" w:rsidTr="00F95E54">
        <w:trPr>
          <w:jc w:val="center"/>
        </w:trPr>
        <w:tc>
          <w:tcPr>
            <w:tcW w:w="0" w:type="auto"/>
          </w:tcPr>
          <w:p w:rsidR="00171E24" w:rsidRPr="00750AF5" w:rsidRDefault="00171E24" w:rsidP="00F95E54">
            <w:pPr>
              <w:pStyle w:val="BodyText"/>
              <w:spacing w:before="0"/>
              <w:jc w:val="left"/>
              <w:rPr>
                <w:rFonts w:asciiTheme="minorHAnsi" w:hAnsiTheme="minorHAnsi"/>
                <w:sz w:val="20"/>
              </w:rPr>
            </w:pPr>
            <w:r w:rsidRPr="00750AF5">
              <w:rPr>
                <w:rFonts w:asciiTheme="minorHAnsi" w:hAnsiTheme="minorHAnsi"/>
                <w:sz w:val="20"/>
              </w:rPr>
              <w:t>Net present value</w:t>
            </w:r>
          </w:p>
        </w:tc>
        <w:tc>
          <w:tcPr>
            <w:tcW w:w="0" w:type="auto"/>
          </w:tcPr>
          <w:p w:rsidR="00171E24" w:rsidRPr="00750AF5" w:rsidRDefault="00171E24" w:rsidP="00F95E54">
            <w:pPr>
              <w:pStyle w:val="BodyText"/>
              <w:spacing w:before="0"/>
              <w:jc w:val="center"/>
              <w:rPr>
                <w:rFonts w:asciiTheme="minorHAnsi" w:hAnsiTheme="minorHAnsi"/>
                <w:sz w:val="20"/>
              </w:rPr>
            </w:pPr>
            <w:r w:rsidRPr="00750AF5">
              <w:rPr>
                <w:rFonts w:asciiTheme="minorHAnsi" w:hAnsiTheme="minorHAnsi"/>
                <w:sz w:val="20"/>
              </w:rPr>
              <w:t>152,892</w:t>
            </w:r>
          </w:p>
        </w:tc>
        <w:tc>
          <w:tcPr>
            <w:tcW w:w="0" w:type="auto"/>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60</w:t>
            </w:r>
          </w:p>
        </w:tc>
        <w:tc>
          <w:tcPr>
            <w:tcW w:w="0" w:type="auto"/>
          </w:tcPr>
          <w:p w:rsidR="00171E24" w:rsidRPr="00750AF5" w:rsidRDefault="00171E24" w:rsidP="00F95E54">
            <w:pPr>
              <w:pStyle w:val="BodyText"/>
              <w:spacing w:before="0"/>
              <w:jc w:val="center"/>
              <w:rPr>
                <w:rFonts w:asciiTheme="minorHAnsi" w:hAnsiTheme="minorHAnsi"/>
                <w:sz w:val="20"/>
              </w:rPr>
            </w:pPr>
            <w:r w:rsidRPr="00750AF5">
              <w:rPr>
                <w:rFonts w:asciiTheme="minorHAnsi" w:hAnsiTheme="minorHAnsi"/>
                <w:sz w:val="20"/>
              </w:rPr>
              <w:t>103,866</w:t>
            </w:r>
          </w:p>
        </w:tc>
        <w:tc>
          <w:tcPr>
            <w:tcW w:w="0" w:type="auto"/>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40</w:t>
            </w:r>
          </w:p>
        </w:tc>
        <w:tc>
          <w:tcPr>
            <w:tcW w:w="0" w:type="auto"/>
          </w:tcPr>
          <w:p w:rsidR="00171E24" w:rsidRPr="00750AF5" w:rsidRDefault="00171E24" w:rsidP="00F95E54">
            <w:pPr>
              <w:pStyle w:val="BodyText"/>
              <w:spacing w:before="0"/>
              <w:jc w:val="center"/>
              <w:rPr>
                <w:rFonts w:asciiTheme="minorHAnsi" w:hAnsiTheme="minorHAnsi"/>
                <w:sz w:val="20"/>
              </w:rPr>
            </w:pPr>
            <w:r w:rsidRPr="00750AF5">
              <w:rPr>
                <w:rFonts w:asciiTheme="minorHAnsi" w:hAnsiTheme="minorHAnsi"/>
                <w:sz w:val="20"/>
              </w:rPr>
              <w:t>105,374</w:t>
            </w:r>
          </w:p>
        </w:tc>
        <w:tc>
          <w:tcPr>
            <w:tcW w:w="0" w:type="auto"/>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60</w:t>
            </w:r>
          </w:p>
        </w:tc>
        <w:tc>
          <w:tcPr>
            <w:tcW w:w="0" w:type="auto"/>
          </w:tcPr>
          <w:p w:rsidR="00171E24" w:rsidRPr="00750AF5" w:rsidRDefault="00171E24" w:rsidP="00F95E54">
            <w:pPr>
              <w:pStyle w:val="BodyText"/>
              <w:spacing w:before="0"/>
              <w:jc w:val="center"/>
              <w:rPr>
                <w:rFonts w:asciiTheme="minorHAnsi" w:hAnsiTheme="minorHAnsi"/>
                <w:sz w:val="20"/>
              </w:rPr>
            </w:pPr>
            <w:r w:rsidRPr="00750AF5">
              <w:rPr>
                <w:rFonts w:asciiTheme="minorHAnsi" w:hAnsiTheme="minorHAnsi"/>
                <w:sz w:val="20"/>
              </w:rPr>
              <w:t>70,921</w:t>
            </w:r>
          </w:p>
        </w:tc>
        <w:tc>
          <w:tcPr>
            <w:tcW w:w="0" w:type="auto"/>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40</w:t>
            </w:r>
          </w:p>
        </w:tc>
      </w:tr>
      <w:tr w:rsidR="00171E24" w:rsidRPr="00750AF5" w:rsidTr="00F95E54">
        <w:trPr>
          <w:jc w:val="center"/>
        </w:trPr>
        <w:tc>
          <w:tcPr>
            <w:tcW w:w="0" w:type="auto"/>
          </w:tcPr>
          <w:p w:rsidR="00171E24" w:rsidRPr="00750AF5" w:rsidRDefault="00171E24" w:rsidP="00F95E54">
            <w:pPr>
              <w:pStyle w:val="BodyText"/>
              <w:spacing w:before="0"/>
              <w:jc w:val="left"/>
              <w:rPr>
                <w:rFonts w:asciiTheme="minorHAnsi" w:hAnsiTheme="minorHAnsi"/>
                <w:sz w:val="20"/>
              </w:rPr>
            </w:pPr>
            <w:r w:rsidRPr="00750AF5">
              <w:rPr>
                <w:rFonts w:asciiTheme="minorHAnsi" w:hAnsiTheme="minorHAnsi"/>
                <w:sz w:val="20"/>
              </w:rPr>
              <w:t>Internal rate of return (IRR)</w:t>
            </w:r>
            <w:r>
              <w:rPr>
                <w:rStyle w:val="FootnoteReference"/>
              </w:rPr>
              <w:footnoteReference w:id="20"/>
            </w:r>
          </w:p>
        </w:tc>
        <w:tc>
          <w:tcPr>
            <w:tcW w:w="0" w:type="auto"/>
          </w:tcPr>
          <w:p w:rsidR="00171E24" w:rsidRPr="00750AF5" w:rsidRDefault="00171E24" w:rsidP="00F95E54">
            <w:pPr>
              <w:pStyle w:val="BodyText"/>
              <w:spacing w:before="0"/>
              <w:jc w:val="center"/>
              <w:rPr>
                <w:rFonts w:asciiTheme="minorHAnsi" w:hAnsiTheme="minorHAnsi"/>
                <w:sz w:val="20"/>
              </w:rPr>
            </w:pPr>
            <w:r w:rsidRPr="00262F0B">
              <w:rPr>
                <w:rFonts w:asciiTheme="minorHAnsi" w:hAnsiTheme="minorHAnsi"/>
                <w:sz w:val="20"/>
              </w:rPr>
              <w:t>9.0</w:t>
            </w:r>
            <w:r w:rsidRPr="00750AF5">
              <w:rPr>
                <w:rFonts w:asciiTheme="minorHAnsi" w:hAnsiTheme="minorHAnsi"/>
                <w:sz w:val="20"/>
              </w:rPr>
              <w:t>%</w:t>
            </w:r>
          </w:p>
        </w:tc>
        <w:tc>
          <w:tcPr>
            <w:tcW w:w="0" w:type="auto"/>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n/a</w:t>
            </w:r>
          </w:p>
        </w:tc>
        <w:tc>
          <w:tcPr>
            <w:tcW w:w="0" w:type="auto"/>
          </w:tcPr>
          <w:p w:rsidR="00171E24" w:rsidRPr="00750AF5" w:rsidRDefault="00171E24" w:rsidP="00F95E54">
            <w:pPr>
              <w:pStyle w:val="BodyText"/>
              <w:spacing w:before="0"/>
              <w:jc w:val="center"/>
              <w:rPr>
                <w:rFonts w:asciiTheme="minorHAnsi" w:hAnsiTheme="minorHAnsi"/>
                <w:sz w:val="20"/>
              </w:rPr>
            </w:pPr>
            <w:r w:rsidRPr="00262F0B">
              <w:rPr>
                <w:rFonts w:asciiTheme="minorHAnsi" w:hAnsiTheme="minorHAnsi"/>
                <w:sz w:val="20"/>
              </w:rPr>
              <w:t>12.9</w:t>
            </w:r>
            <w:r w:rsidRPr="00750AF5">
              <w:rPr>
                <w:rFonts w:asciiTheme="minorHAnsi" w:hAnsiTheme="minorHAnsi"/>
                <w:sz w:val="20"/>
              </w:rPr>
              <w:t>%</w:t>
            </w:r>
          </w:p>
        </w:tc>
        <w:tc>
          <w:tcPr>
            <w:tcW w:w="0" w:type="auto"/>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n/a</w:t>
            </w:r>
          </w:p>
        </w:tc>
        <w:tc>
          <w:tcPr>
            <w:tcW w:w="0" w:type="auto"/>
          </w:tcPr>
          <w:p w:rsidR="00171E24" w:rsidRPr="00750AF5" w:rsidRDefault="00171E24" w:rsidP="00F95E54">
            <w:pPr>
              <w:pStyle w:val="BodyText"/>
              <w:spacing w:before="0"/>
              <w:jc w:val="center"/>
              <w:rPr>
                <w:rFonts w:asciiTheme="minorHAnsi" w:hAnsiTheme="minorHAnsi"/>
                <w:sz w:val="20"/>
              </w:rPr>
            </w:pPr>
            <w:r w:rsidRPr="00262F0B">
              <w:rPr>
                <w:rFonts w:asciiTheme="minorHAnsi" w:hAnsiTheme="minorHAnsi"/>
                <w:sz w:val="20"/>
              </w:rPr>
              <w:t>8.9</w:t>
            </w:r>
            <w:r w:rsidRPr="00750AF5">
              <w:rPr>
                <w:rFonts w:asciiTheme="minorHAnsi" w:hAnsiTheme="minorHAnsi"/>
                <w:sz w:val="20"/>
              </w:rPr>
              <w:t>%</w:t>
            </w:r>
          </w:p>
        </w:tc>
        <w:tc>
          <w:tcPr>
            <w:tcW w:w="0" w:type="auto"/>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n/a</w:t>
            </w:r>
          </w:p>
        </w:tc>
        <w:tc>
          <w:tcPr>
            <w:tcW w:w="0" w:type="auto"/>
          </w:tcPr>
          <w:p w:rsidR="00171E24" w:rsidRPr="00750AF5" w:rsidRDefault="00171E24" w:rsidP="00F95E54">
            <w:pPr>
              <w:pStyle w:val="BodyText"/>
              <w:spacing w:before="0"/>
              <w:jc w:val="center"/>
              <w:rPr>
                <w:rFonts w:asciiTheme="minorHAnsi" w:hAnsiTheme="minorHAnsi"/>
                <w:sz w:val="20"/>
              </w:rPr>
            </w:pPr>
            <w:r w:rsidRPr="00262F0B">
              <w:rPr>
                <w:rFonts w:asciiTheme="minorHAnsi" w:hAnsiTheme="minorHAnsi"/>
                <w:sz w:val="20"/>
              </w:rPr>
              <w:t>13.5</w:t>
            </w:r>
            <w:r w:rsidRPr="00750AF5">
              <w:rPr>
                <w:rFonts w:asciiTheme="minorHAnsi" w:hAnsiTheme="minorHAnsi"/>
                <w:sz w:val="20"/>
              </w:rPr>
              <w:t>%</w:t>
            </w:r>
          </w:p>
        </w:tc>
        <w:tc>
          <w:tcPr>
            <w:tcW w:w="0" w:type="auto"/>
          </w:tcPr>
          <w:p w:rsidR="00171E24" w:rsidRPr="00262F0B" w:rsidRDefault="00171E24" w:rsidP="00F95E54">
            <w:pPr>
              <w:pStyle w:val="BodyText"/>
              <w:spacing w:before="0"/>
              <w:jc w:val="center"/>
              <w:rPr>
                <w:rFonts w:asciiTheme="minorHAnsi" w:hAnsiTheme="minorHAnsi"/>
                <w:sz w:val="20"/>
              </w:rPr>
            </w:pPr>
            <w:r>
              <w:rPr>
                <w:rFonts w:asciiTheme="minorHAnsi" w:hAnsiTheme="minorHAnsi"/>
                <w:sz w:val="20"/>
              </w:rPr>
              <w:t>n/a</w:t>
            </w:r>
          </w:p>
        </w:tc>
      </w:tr>
    </w:tbl>
    <w:p w:rsidR="00171E24" w:rsidRDefault="00171E24" w:rsidP="00171E24">
      <w:pPr>
        <w:pStyle w:val="Source"/>
      </w:pPr>
      <w:r>
        <w:t>Source: OECD Education at a Glance (2014)</w:t>
      </w:r>
    </w:p>
    <w:p w:rsidR="00A03A60" w:rsidRDefault="00B5584C" w:rsidP="007D5E88">
      <w:pPr>
        <w:pStyle w:val="BodyText"/>
      </w:pPr>
      <w:r>
        <w:t>This approach is also employed by the OECD (2014) at an aggregated level. To extend t</w:t>
      </w:r>
      <w:r w:rsidR="00FE54A5">
        <w:t>he range of public benefits (e.g. beyond that captured by Norton, 2012), this</w:t>
      </w:r>
      <w:r>
        <w:t xml:space="preserve"> </w:t>
      </w:r>
      <w:r w:rsidR="00FE54A5">
        <w:t xml:space="preserve">study </w:t>
      </w:r>
      <w:r>
        <w:t>also include</w:t>
      </w:r>
      <w:r w:rsidR="00FE54A5">
        <w:t>s</w:t>
      </w:r>
      <w:r>
        <w:t xml:space="preserve"> transfer savings from reduced housing benefits and social assistance.</w:t>
      </w:r>
      <w:r w:rsidR="002736C9">
        <w:t xml:space="preserve"> The results from this analysis suggest that the </w:t>
      </w:r>
      <w:r w:rsidR="00EF547B">
        <w:t>private</w:t>
      </w:r>
      <w:r w:rsidR="002736C9">
        <w:t xml:space="preserve"> </w:t>
      </w:r>
      <w:r w:rsidR="005D43C1">
        <w:t xml:space="preserve">benefits from tertiary education comprise around 60-66% </w:t>
      </w:r>
      <w:r w:rsidR="005D43C1">
        <w:lastRenderedPageBreak/>
        <w:t>of the total benefits. While private benefits are estimated to be larger in magnitude, the internal rate of return (IRR) to the public is larger than the private IRR. This is due to the relative private and public costs towards tertiary education in Australia (i.e. public costs are proportionally smaller than private costs)</w:t>
      </w:r>
      <w:r w:rsidR="00121C05">
        <w:t>.</w:t>
      </w:r>
      <w:r w:rsidR="007D5E88" w:rsidDel="007D5E88">
        <w:t xml:space="preserve"> </w:t>
      </w:r>
    </w:p>
    <w:p w:rsidR="00FB013E" w:rsidRPr="009276B2" w:rsidRDefault="00FB013E" w:rsidP="007D5E88">
      <w:pPr>
        <w:pStyle w:val="BodyText"/>
      </w:pPr>
      <w:r w:rsidRPr="009276B2">
        <w:rPr>
          <w:b/>
          <w:color w:val="002776"/>
          <w:sz w:val="24"/>
          <w:szCs w:val="28"/>
        </w:rPr>
        <w:t>Broader public benefits</w:t>
      </w:r>
    </w:p>
    <w:p w:rsidR="00B5584C" w:rsidRDefault="00B5584C" w:rsidP="00B5584C">
      <w:pPr>
        <w:pStyle w:val="BodyText"/>
      </w:pPr>
      <w:r>
        <w:t>McMahon (2004</w:t>
      </w:r>
      <w:r w:rsidR="007904EB">
        <w:t>;</w:t>
      </w:r>
      <w:r>
        <w:t xml:space="preserve"> 2006; and 2009) provides perhaps the most complete and comprehensive canvass of the empirical literature on education externalities, and is the first widely cited study to include a survey of efforts to appraise non-market public benefits (Chapman and Lounkaew, 2011; and 2015).</w:t>
      </w:r>
    </w:p>
    <w:p w:rsidR="00B5584C" w:rsidRDefault="00B5584C" w:rsidP="00B5584C">
      <w:pPr>
        <w:pStyle w:val="BodyText"/>
      </w:pPr>
      <w:r>
        <w:t xml:space="preserve">McMahon identifies the most common and accepted approach for calculating market benefits. First, estimate the total social rates of return to educational attainment using cross-country comparisons, then estimate the private returns to education based on individual earnings data using </w:t>
      </w:r>
      <w:r w:rsidR="009276B2">
        <w:t xml:space="preserve">what is known as a </w:t>
      </w:r>
      <w:r>
        <w:t>Mincer-type equation. As the social return is assumed to be comprehensive, the difference between these returns is, by definition, the public market benefits (McMahon, 2004).</w:t>
      </w:r>
    </w:p>
    <w:p w:rsidR="00B5584C" w:rsidRDefault="00B5584C" w:rsidP="00B5584C">
      <w:pPr>
        <w:pStyle w:val="BodyText"/>
      </w:pPr>
      <w:r>
        <w:t>McMahon notes that these returns are often overestimated due to the lack of controls or dynamic considerations</w:t>
      </w:r>
      <w:r w:rsidR="009276B2">
        <w:t xml:space="preserve"> –</w:t>
      </w:r>
      <w:r>
        <w:t xml:space="preserve"> in particular</w:t>
      </w:r>
      <w:r w:rsidR="009276B2">
        <w:t>,</w:t>
      </w:r>
      <w:r>
        <w:t xml:space="preserve"> temporal changes in technology and policy</w:t>
      </w:r>
      <w:r w:rsidR="009276B2">
        <w:t>. A</w:t>
      </w:r>
      <w:r>
        <w:t>s such, they may be considered to be an upper bound estimate of total benefits from educational attainment (Deloitte Access Economics, 2015)</w:t>
      </w:r>
      <w:r w:rsidR="000D5809">
        <w:t>.</w:t>
      </w:r>
    </w:p>
    <w:p w:rsidR="00B5584C" w:rsidRDefault="00B5584C" w:rsidP="00B5584C">
      <w:pPr>
        <w:pStyle w:val="BodyText"/>
      </w:pPr>
      <w:r>
        <w:t xml:space="preserve">McMahon synthesises the empirical results from across the literature to develop general results on the relative distributions of the types of benefits from education. </w:t>
      </w:r>
    </w:p>
    <w:p w:rsidR="00B5584C" w:rsidRDefault="00B5584C" w:rsidP="00B5584C">
      <w:pPr>
        <w:pStyle w:val="BodyText"/>
      </w:pPr>
      <w:r>
        <w:t xml:space="preserve">Comparing two different </w:t>
      </w:r>
      <w:r w:rsidR="00DA43F2">
        <w:t>studies using this general method</w:t>
      </w:r>
      <w:r>
        <w:t xml:space="preserve"> in the literature, McMahon posits that the average ratio of public-private market benefits is approximately even</w:t>
      </w:r>
      <w:r w:rsidR="009276B2">
        <w:t xml:space="preserve"> (</w:t>
      </w:r>
      <w:r>
        <w:t>i.e. 50</w:t>
      </w:r>
      <w:r w:rsidR="009276B2">
        <w:t>:</w:t>
      </w:r>
      <w:r>
        <w:t>50</w:t>
      </w:r>
      <w:r w:rsidR="009276B2">
        <w:t>)</w:t>
      </w:r>
      <w:r>
        <w:t xml:space="preserve">. The bounds of these results are between 37% and 61% for the proportion of total social market benefits </w:t>
      </w:r>
      <w:r w:rsidR="000D5809">
        <w:t>attributable to public market benefits</w:t>
      </w:r>
      <w:r>
        <w:t>.</w:t>
      </w:r>
      <w:r w:rsidR="00FA1610">
        <w:t xml:space="preserve"> </w:t>
      </w:r>
      <w:r>
        <w:t>Furthermore, the ratio of public</w:t>
      </w:r>
      <w:r w:rsidR="002A2048">
        <w:t>-</w:t>
      </w:r>
      <w:r>
        <w:t xml:space="preserve">private non-market returns is </w:t>
      </w:r>
      <w:r w:rsidR="00FA1610">
        <w:t>posited</w:t>
      </w:r>
      <w:r>
        <w:t xml:space="preserve"> to be in proportion to the public-</w:t>
      </w:r>
      <w:r w:rsidR="002E6446">
        <w:t>private ratio of market returns.</w:t>
      </w:r>
      <w:r w:rsidR="00301912">
        <w:rPr>
          <w:rStyle w:val="FootnoteReference"/>
          <w:lang w:eastAsia="en-AU"/>
        </w:rPr>
        <w:footnoteReference w:id="21"/>
      </w:r>
    </w:p>
    <w:p w:rsidR="00281662" w:rsidRDefault="00281662" w:rsidP="00281662">
      <w:pPr>
        <w:pStyle w:val="BodyText"/>
      </w:pPr>
      <w:r>
        <w:t>Building on the precedent set by McMahon, Deloitte Access Economics (2015) provide</w:t>
      </w:r>
      <w:r w:rsidR="009276B2">
        <w:t>s</w:t>
      </w:r>
      <w:r>
        <w:t xml:space="preserve"> a measure of the total economic contribution of university higher education to the Australian economy through the development of a cross-country macro-econometric model of economic growth that extends upon the neo-classical Solow growth model adopted by Mankiw et al. (1992) and further discussed by McMahon (2004) in the context of higher education. </w:t>
      </w:r>
    </w:p>
    <w:p w:rsidR="00281662" w:rsidRPr="00281662" w:rsidRDefault="00281662" w:rsidP="00281662">
      <w:pPr>
        <w:pStyle w:val="BodyText"/>
      </w:pPr>
      <w:r w:rsidRPr="00281662">
        <w:t xml:space="preserve">Based on this model, Deloitte Access Economics </w:t>
      </w:r>
      <w:r w:rsidR="009276B2">
        <w:t>finds</w:t>
      </w:r>
      <w:r w:rsidR="009276B2" w:rsidRPr="00281662">
        <w:t xml:space="preserve"> </w:t>
      </w:r>
      <w:r w:rsidRPr="00281662">
        <w:t xml:space="preserve">that the value that university teaching and learning adds to the productive capacity of the nation, through the development of the stock of higher education human capital, is estimated to </w:t>
      </w:r>
      <w:r w:rsidRPr="00281662">
        <w:rPr>
          <w:bCs/>
        </w:rPr>
        <w:t>$140 billion in GDP in 2014</w:t>
      </w:r>
      <w:r w:rsidRPr="00281662">
        <w:t xml:space="preserve">. </w:t>
      </w:r>
      <w:r w:rsidRPr="00281662">
        <w:rPr>
          <w:szCs w:val="22"/>
        </w:rPr>
        <w:t xml:space="preserve">That is, Australia’s GDP is </w:t>
      </w:r>
      <w:r w:rsidRPr="00281662">
        <w:rPr>
          <w:bCs/>
          <w:szCs w:val="22"/>
        </w:rPr>
        <w:t xml:space="preserve">8.5% higher </w:t>
      </w:r>
      <w:r w:rsidRPr="00281662">
        <w:rPr>
          <w:szCs w:val="22"/>
        </w:rPr>
        <w:t>because of the impact that university education has had on the productivity of the 28% of the workforce w</w:t>
      </w:r>
      <w:r>
        <w:rPr>
          <w:szCs w:val="22"/>
        </w:rPr>
        <w:t xml:space="preserve">ith a university qualification. This total benefit </w:t>
      </w:r>
      <w:r>
        <w:rPr>
          <w:szCs w:val="22"/>
        </w:rPr>
        <w:lastRenderedPageBreak/>
        <w:t>is appropriately considered to be the total social (private and public) benefit from higher education.</w:t>
      </w:r>
    </w:p>
    <w:p w:rsidR="00281662" w:rsidRDefault="00281662" w:rsidP="00281662">
      <w:pPr>
        <w:pStyle w:val="BodyText"/>
      </w:pPr>
      <w:r>
        <w:t>In this paper, Deloitte Access Economics</w:t>
      </w:r>
      <w:r w:rsidR="009276B2">
        <w:t xml:space="preserve"> </w:t>
      </w:r>
      <w:r>
        <w:t>concludes that</w:t>
      </w:r>
      <w:r w:rsidR="009276B2">
        <w:t>,</w:t>
      </w:r>
      <w:r>
        <w:t xml:space="preserve"> while it is not possible to directly estimate the spillover public benefits from university higher education, estimates of the total contribution of higher education attainment—when compared with the private benefits to individuals’ wages and employment (as in McMahon, 2004)—point to the existence of </w:t>
      </w:r>
      <w:r w:rsidR="009276B2">
        <w:rPr>
          <w:rStyle w:val="Boldword"/>
          <w:b w:val="0"/>
          <w:color w:val="auto"/>
        </w:rPr>
        <w:t>material</w:t>
      </w:r>
      <w:r w:rsidRPr="00281662">
        <w:rPr>
          <w:rStyle w:val="Boldword"/>
          <w:b w:val="0"/>
          <w:color w:val="auto"/>
        </w:rPr>
        <w:t xml:space="preserve"> spillover benefits</w:t>
      </w:r>
      <w:r w:rsidRPr="00281662">
        <w:rPr>
          <w:b/>
          <w:bCs/>
        </w:rPr>
        <w:t xml:space="preserve"> </w:t>
      </w:r>
      <w:r>
        <w:t xml:space="preserve">to the broader economy. </w:t>
      </w:r>
    </w:p>
    <w:p w:rsidR="00B30E82" w:rsidRDefault="00281662" w:rsidP="00B30E82">
      <w:pPr>
        <w:pStyle w:val="BodyText"/>
      </w:pPr>
      <w:r>
        <w:t xml:space="preserve">In perhaps the most influential recent study on public benefits from higher education in Australia, </w:t>
      </w:r>
      <w:r w:rsidR="00B5584C">
        <w:t>Chapman and Lounkaew (2011</w:t>
      </w:r>
      <w:r w:rsidR="000D5809">
        <w:t>; and</w:t>
      </w:r>
      <w:r w:rsidR="00B5584C">
        <w:t xml:space="preserve"> 2015)</w:t>
      </w:r>
      <w:r>
        <w:t xml:space="preserve"> develop estimates of the value of the public benefit from higher education qualifications in Australia, as part of the Lomax-Smith (2011) Base Funding Review. Chapman and Lounkaew u</w:t>
      </w:r>
      <w:r w:rsidR="00B5584C">
        <w:t xml:space="preserve">se HILDA data from 2008 to estimate the value of total externalities between approximately $10,600 and $16,000 (in 2014 terms) for an additional year of higher education. </w:t>
      </w:r>
    </w:p>
    <w:p w:rsidR="0012777F" w:rsidRDefault="0012777F" w:rsidP="00B5584C">
      <w:pPr>
        <w:pStyle w:val="BodyText"/>
      </w:pPr>
      <w:r>
        <w:t>In arriving at these estimates</w:t>
      </w:r>
      <w:r w:rsidR="009276B2">
        <w:t>,</w:t>
      </w:r>
      <w:r>
        <w:t xml:space="preserve"> Chapman and Lounkaew first calculate the private returns from higher education attainment. They first take average wages for bachelor degree holders and those without a post-school qualification from the ABS Census. </w:t>
      </w:r>
      <w:r w:rsidR="00B5584C">
        <w:t xml:space="preserve">Following a survey of the literature, </w:t>
      </w:r>
      <w:r w:rsidR="00B23C96">
        <w:t xml:space="preserve">Chapman and Lounkaew (2015) </w:t>
      </w:r>
      <w:r w:rsidR="00B5584C">
        <w:t>propose to use a range of 40% to 60% for the proportion of observed wage premiums to be attributable to human capital theory, compared to signalling theory (Barrett, 2012; Herault and Zakirova, 2011).</w:t>
      </w:r>
      <w:r w:rsidR="00B5584C">
        <w:rPr>
          <w:rStyle w:val="FootnoteReference"/>
        </w:rPr>
        <w:footnoteReference w:id="22"/>
      </w:r>
      <w:r w:rsidR="00B5584C">
        <w:t xml:space="preserve"> Additionally, the authors assume a 10% ability or motivation bias for graduate students, however it is unclear </w:t>
      </w:r>
      <w:r w:rsidR="00CC1D2E">
        <w:t xml:space="preserve">on what basis this figure is determined </w:t>
      </w:r>
      <w:r w:rsidR="00B5584C">
        <w:t xml:space="preserve">or how it is </w:t>
      </w:r>
      <w:r w:rsidR="00CC1D2E">
        <w:t xml:space="preserve">applied </w:t>
      </w:r>
      <w:r>
        <w:t>in their calculations.</w:t>
      </w:r>
      <w:r w:rsidR="00B23C96">
        <w:t xml:space="preserve"> Based on these assumptions, private returns attributable to qualification specific effects are estimated.</w:t>
      </w:r>
    </w:p>
    <w:p w:rsidR="001021DA" w:rsidRDefault="00CC1D2E" w:rsidP="00B5584C">
      <w:pPr>
        <w:pStyle w:val="BodyText"/>
      </w:pPr>
      <w:r>
        <w:t>The authors</w:t>
      </w:r>
      <w:r w:rsidR="00B23C96">
        <w:t xml:space="preserve"> then calculate the returns to government from higher tax returns that result from the higher incomes earned through the qualification effect outlined above. This forms the basis of their measure of public benefits. </w:t>
      </w:r>
    </w:p>
    <w:p w:rsidR="00B5584C" w:rsidRDefault="00B23C96" w:rsidP="00B5584C">
      <w:pPr>
        <w:pStyle w:val="BodyText"/>
      </w:pPr>
      <w:r>
        <w:t>To capture further non-market spillover effects that result from higher education they rely on results from McMahon (2004).</w:t>
      </w:r>
      <w:r w:rsidR="001021DA">
        <w:t xml:space="preserve"> </w:t>
      </w:r>
      <w:r>
        <w:t xml:space="preserve">In particular, they use the observation from McMahon (2004) that </w:t>
      </w:r>
      <w:r w:rsidR="00B5584C">
        <w:t>the value of non-market public benefits</w:t>
      </w:r>
      <w:r>
        <w:t xml:space="preserve"> from higher education</w:t>
      </w:r>
      <w:r w:rsidR="00B5584C">
        <w:t xml:space="preserve"> is proportional to 30% of the </w:t>
      </w:r>
      <w:r>
        <w:t xml:space="preserve">total </w:t>
      </w:r>
      <w:r w:rsidR="00B5584C">
        <w:t>social (public and private)</w:t>
      </w:r>
      <w:r>
        <w:t xml:space="preserve"> market</w:t>
      </w:r>
      <w:r w:rsidR="00B5584C">
        <w:t xml:space="preserve"> </w:t>
      </w:r>
      <w:r>
        <w:t>rate of return</w:t>
      </w:r>
      <w:r w:rsidR="00B5584C">
        <w:t xml:space="preserve">. This ratio is derived from the </w:t>
      </w:r>
      <w:r w:rsidR="00FA1610">
        <w:t xml:space="preserve">estimated </w:t>
      </w:r>
      <w:r w:rsidR="00B5584C">
        <w:t>market social rate of return</w:t>
      </w:r>
      <w:r w:rsidR="00FA1610">
        <w:t xml:space="preserve"> from higher education</w:t>
      </w:r>
      <w:r w:rsidR="00B5584C">
        <w:t xml:space="preserve"> (8.5%) and non-market public benefits (2.5%), </w:t>
      </w:r>
      <w:r w:rsidR="00FA1610">
        <w:t xml:space="preserve">which is used to estimate a relative ratio </w:t>
      </w:r>
      <w:r w:rsidR="00B5584C">
        <w:t>(2.5/8.5 ≈ 30%)</w:t>
      </w:r>
      <w:r w:rsidR="00FA1610">
        <w:t>.</w:t>
      </w:r>
    </w:p>
    <w:p w:rsidR="00FA1610" w:rsidRPr="00FA1610" w:rsidRDefault="00FA1610" w:rsidP="00B5584C">
      <w:pPr>
        <w:pStyle w:val="BodyText"/>
      </w:pPr>
      <w:r>
        <w:t xml:space="preserve">It </w:t>
      </w:r>
      <w:r w:rsidR="00336DA0">
        <w:t xml:space="preserve">is not clear, however, </w:t>
      </w:r>
      <w:r>
        <w:t xml:space="preserve">that this ratio </w:t>
      </w:r>
      <w:r w:rsidR="00336DA0">
        <w:t xml:space="preserve">is appropriately applied </w:t>
      </w:r>
      <w:r>
        <w:t xml:space="preserve">to the measure of public benefits estimated by Chapman and Lounkaew. </w:t>
      </w:r>
      <w:r w:rsidR="00336DA0">
        <w:t>T</w:t>
      </w:r>
      <w:r>
        <w:t xml:space="preserve">his ratio relates total social (public and </w:t>
      </w:r>
      <w:r>
        <w:rPr>
          <w:i/>
        </w:rPr>
        <w:t>private</w:t>
      </w:r>
      <w:r>
        <w:t xml:space="preserve">) benefits to non-market public benefits. However, Chapman and Lounkaew appear to apply this ratio to </w:t>
      </w:r>
      <w:r w:rsidR="001021DA">
        <w:t xml:space="preserve">a </w:t>
      </w:r>
      <w:r>
        <w:t>measure of public benefit</w:t>
      </w:r>
      <w:r w:rsidR="001021DA">
        <w:t xml:space="preserve"> only</w:t>
      </w:r>
      <w:r w:rsidRPr="00EF547B">
        <w:t xml:space="preserve">. </w:t>
      </w:r>
      <w:r w:rsidR="006462E7" w:rsidRPr="00EF547B">
        <w:t xml:space="preserve">Further, the use of ratios for </w:t>
      </w:r>
      <w:r w:rsidR="006462E7" w:rsidRPr="00EF547B">
        <w:rPr>
          <w:i/>
        </w:rPr>
        <w:t>rates of return</w:t>
      </w:r>
      <w:r w:rsidR="006462E7" w:rsidRPr="00EF547B">
        <w:t xml:space="preserve"> to calculate non-market based spillovers measure based on a measure of </w:t>
      </w:r>
      <w:r w:rsidR="006462E7" w:rsidRPr="00EF547B">
        <w:rPr>
          <w:i/>
        </w:rPr>
        <w:t>net benefit</w:t>
      </w:r>
      <w:r w:rsidR="006462E7" w:rsidRPr="00EF547B">
        <w:t xml:space="preserve"> is spurious, as it does not account for relativities in costs (against which benefits are measured to estimate rates of return</w:t>
      </w:r>
      <w:r w:rsidR="002736C9" w:rsidRPr="00EF547B">
        <w:t>)</w:t>
      </w:r>
      <w:r w:rsidRPr="00EF547B">
        <w:t>.</w:t>
      </w:r>
      <w:r w:rsidR="00121C05" w:rsidRPr="00EF547B">
        <w:rPr>
          <w:rStyle w:val="FootnoteReference"/>
        </w:rPr>
        <w:footnoteReference w:id="23"/>
      </w:r>
      <w:r w:rsidRPr="00EF547B">
        <w:t xml:space="preserve"> In particular, it should be noted that the base of this ratio (the 8.5% social rate of return) is based on method that does not explicitly include </w:t>
      </w:r>
      <w:r w:rsidRPr="00EF547B">
        <w:lastRenderedPageBreak/>
        <w:t xml:space="preserve">taxation revenue as a measure of benefit and so </w:t>
      </w:r>
      <w:r w:rsidR="00CD4D65" w:rsidRPr="00EF547B">
        <w:t>it is not</w:t>
      </w:r>
      <w:r w:rsidRPr="00EF547B">
        <w:t xml:space="preserve"> </w:t>
      </w:r>
      <w:r w:rsidR="00CD4D65" w:rsidRPr="00EF547B">
        <w:t>generally</w:t>
      </w:r>
      <w:r w:rsidR="00CD4D65">
        <w:t xml:space="preserve"> applicable </w:t>
      </w:r>
      <w:r>
        <w:t xml:space="preserve">to Chapman and Lounkaew’s measure </w:t>
      </w:r>
      <w:r w:rsidR="00CD4D65">
        <w:t>of public benefit.</w:t>
      </w:r>
    </w:p>
    <w:p w:rsidR="00CD4D65" w:rsidRDefault="00CD4D65" w:rsidP="00CD4D65">
      <w:pPr>
        <w:pStyle w:val="BodyText"/>
      </w:pPr>
      <w:r>
        <w:t xml:space="preserve">Chapman and Lounkaew do not explicitly calculate a ratio of public to private benefits </w:t>
      </w:r>
      <w:r w:rsidR="001021DA">
        <w:t xml:space="preserve">based on their </w:t>
      </w:r>
      <w:r>
        <w:t xml:space="preserve">results. Rather, they conclude that—in terms of funding policy—government would appropriately subsidise the base cost of a given higher education degree up to the value of the public externality. </w:t>
      </w:r>
    </w:p>
    <w:p w:rsidR="00B5584C" w:rsidRDefault="001021DA" w:rsidP="00CD4D65">
      <w:pPr>
        <w:pStyle w:val="BodyText"/>
      </w:pPr>
      <w:r>
        <w:t xml:space="preserve">The Lomax-Smith Base Funding Review concluded that </w:t>
      </w:r>
      <w:r w:rsidR="00CD4D65">
        <w:t>Chapman and Lounkaew’s results suggest that public benefits account for approximately 40 to 60</w:t>
      </w:r>
      <w:r w:rsidR="00F94F7F">
        <w:t>%</w:t>
      </w:r>
      <w:r w:rsidR="00CD4D65">
        <w:t xml:space="preserve"> of the average base funding amount (in 2010). </w:t>
      </w:r>
      <w:r>
        <w:t xml:space="preserve">The Review concludes that </w:t>
      </w:r>
      <w:r w:rsidR="00CD4D65">
        <w:t xml:space="preserve">the Government would </w:t>
      </w:r>
      <w:r w:rsidR="00D92045">
        <w:t xml:space="preserve">therefore </w:t>
      </w:r>
      <w:r w:rsidR="00CD4D65">
        <w:t>appropriately contribute anywhere between 40 to 60</w:t>
      </w:r>
      <w:r w:rsidR="00F94F7F">
        <w:t>%</w:t>
      </w:r>
      <w:r w:rsidR="00CD4D65">
        <w:t xml:space="preserve"> of the total base funding for a unit of study, with students contributing the balance (Lomax-Smith, 2011). It is based on this finding, and evidence from the OECD (2011)</w:t>
      </w:r>
      <w:r w:rsidR="00336DA0">
        <w:t>,</w:t>
      </w:r>
      <w:r w:rsidR="00D92045">
        <w:t xml:space="preserve"> that the Review recommended that “the most appropriate balance of contributions is for the Government to contribute at the top end of the given range (60</w:t>
      </w:r>
      <w:r w:rsidR="00F94F7F">
        <w:t>%</w:t>
      </w:r>
      <w:r w:rsidR="00D92045">
        <w:t>) with students contributing the balance (40</w:t>
      </w:r>
      <w:r w:rsidR="00F94F7F">
        <w:t>%</w:t>
      </w:r>
      <w:r w:rsidR="00D92045">
        <w:t>)</w:t>
      </w:r>
      <w:r w:rsidR="00336DA0">
        <w:t>”</w:t>
      </w:r>
      <w:r w:rsidR="00CD4D65">
        <w:t xml:space="preserve"> (Lomax-Smith, 2011, pp. 109).</w:t>
      </w:r>
    </w:p>
    <w:p w:rsidR="00DA43F2" w:rsidRDefault="00D92045" w:rsidP="00E82C7D">
      <w:pPr>
        <w:pStyle w:val="BodyText"/>
      </w:pPr>
      <w:r>
        <w:t xml:space="preserve">It should also be noted that the Lomax-Smith Base Funding Review notes “the difficulties in quantifying precisely the extent of public benefits from higher education” and therefore the limitations of Chapman and Lounkaew’s results (Lomax-Smith, 2011, pp. 109). Indeed, </w:t>
      </w:r>
      <w:r w:rsidR="00DA43F2">
        <w:t xml:space="preserve">Chapman and Lounkaew also recognise that their results are ‘uncomfortably aggregate’, </w:t>
      </w:r>
      <w:r>
        <w:t>claiming</w:t>
      </w:r>
      <w:r w:rsidR="00DA43F2">
        <w:t xml:space="preserve"> that the literature to date has yet to attempt to rigorously partition similar results by field of education, or otherwise.</w:t>
      </w:r>
    </w:p>
    <w:p w:rsidR="003C693C" w:rsidRDefault="003C693C" w:rsidP="00E82C7D">
      <w:pPr>
        <w:pStyle w:val="BodyText"/>
      </w:pPr>
      <w:r>
        <w:t xml:space="preserve">A more detailed review of the findings of Chapman and Lounkaew is provided in </w:t>
      </w:r>
      <w:r>
        <w:fldChar w:fldCharType="begin"/>
      </w:r>
      <w:r>
        <w:instrText xml:space="preserve"> REF _Ref459117292 \r \h </w:instrText>
      </w:r>
      <w:r>
        <w:fldChar w:fldCharType="separate"/>
      </w:r>
      <w:r w:rsidR="00534F9F">
        <w:t>Appendix A</w:t>
      </w:r>
      <w:r>
        <w:fldChar w:fldCharType="end"/>
      </w:r>
      <w:r>
        <w:t xml:space="preserve"> of this report.</w:t>
      </w:r>
    </w:p>
    <w:p w:rsidR="004C51B0" w:rsidRDefault="004C51B0" w:rsidP="004C51B0">
      <w:pPr>
        <w:pStyle w:val="HeadingC"/>
      </w:pPr>
      <w:r>
        <w:t>Neighbourhood spillovers</w:t>
      </w:r>
    </w:p>
    <w:p w:rsidR="004C51B0" w:rsidRDefault="004C51B0" w:rsidP="004C51B0">
      <w:pPr>
        <w:pStyle w:val="BodyText"/>
      </w:pPr>
      <w:r>
        <w:t>Where the approaches</w:t>
      </w:r>
      <w:r w:rsidR="00461538">
        <w:t xml:space="preserve"> outlined in the previous section</w:t>
      </w:r>
      <w:r>
        <w:t xml:space="preserve">, and bulk of the literature, tend to </w:t>
      </w:r>
      <w:r w:rsidR="00461538">
        <w:t>focus</w:t>
      </w:r>
      <w:r>
        <w:t xml:space="preserve"> </w:t>
      </w:r>
      <w:r w:rsidR="00461538">
        <w:t xml:space="preserve">on </w:t>
      </w:r>
      <w:r>
        <w:t>tax receipts from government</w:t>
      </w:r>
      <w:r w:rsidR="00461538">
        <w:t xml:space="preserve"> as a measure of public market benefit</w:t>
      </w:r>
      <w:r>
        <w:t>, a branch of research attempts to identify the spillovers that accrue as increased wages and employment outcomes within communities and locales.</w:t>
      </w:r>
    </w:p>
    <w:p w:rsidR="004C51B0" w:rsidRDefault="004C51B0" w:rsidP="004C51B0">
      <w:pPr>
        <w:pStyle w:val="BodyText"/>
      </w:pPr>
      <w:r>
        <w:t>Moretti (2004)</w:t>
      </w:r>
      <w:r w:rsidR="00336DA0">
        <w:t xml:space="preserve"> provides </w:t>
      </w:r>
      <w:r>
        <w:t xml:space="preserve">the leading international research with respect to neighbourhood wage effects that may result from higher concentrations of tertiary </w:t>
      </w:r>
      <w:r w:rsidR="00336DA0">
        <w:t>educated residents</w:t>
      </w:r>
      <w:r>
        <w:t xml:space="preserve">. The author uses a number of techniques to control for selection bias, in order to </w:t>
      </w:r>
      <w:r w:rsidR="00336DA0">
        <w:t xml:space="preserve">isolate </w:t>
      </w:r>
      <w:r>
        <w:t xml:space="preserve">a causal relationship between higher education and labour market outcomes. </w:t>
      </w:r>
    </w:p>
    <w:p w:rsidR="004C51B0" w:rsidRDefault="004C51B0" w:rsidP="004C51B0">
      <w:pPr>
        <w:pStyle w:val="BodyText"/>
      </w:pPr>
      <w:r>
        <w:t xml:space="preserve">The </w:t>
      </w:r>
      <w:r w:rsidR="00336DA0">
        <w:t>findings of this analysis suggest</w:t>
      </w:r>
      <w:r>
        <w:t xml:space="preserve"> that a one </w:t>
      </w:r>
      <w:r w:rsidR="00496C24">
        <w:t>percent</w:t>
      </w:r>
      <w:r>
        <w:t xml:space="preserve">age point increase in the concentration of tertiary qualifications in an American city raises average wages by 0.6 to 1.2% beyond the private market returns to education. When comparing this result for different groups of individuals, </w:t>
      </w:r>
      <w:r w:rsidR="00336DA0">
        <w:t xml:space="preserve">Moretti </w:t>
      </w:r>
      <w:r>
        <w:t>finds a 1.9% additional increase in wages for high school non-completers, a 1.6% increase for high school graduates and a 0.4% increase for university graduates.</w:t>
      </w:r>
    </w:p>
    <w:p w:rsidR="004C51B0" w:rsidRDefault="00336DA0" w:rsidP="004C51B0">
      <w:pPr>
        <w:pStyle w:val="BodyText"/>
      </w:pPr>
      <w:r>
        <w:t>The work also</w:t>
      </w:r>
      <w:r w:rsidR="004C51B0">
        <w:t xml:space="preserve"> seeks to understand whether positive neighbourhood spillover effects can overcome negative scarcity effects – whereby, a relative oversupply of more highly educated workers can exert downward pressure on high-skilled wages. </w:t>
      </w:r>
      <w:r>
        <w:t xml:space="preserve">In this regard, the </w:t>
      </w:r>
      <w:r w:rsidR="004C51B0">
        <w:t xml:space="preserve">results suggest that there is a net positive effect from increasing the concentration of tertiary </w:t>
      </w:r>
      <w:r w:rsidR="004C51B0">
        <w:lastRenderedPageBreak/>
        <w:t>educated graduates, and thus productivity gains reign over labour supply changes</w:t>
      </w:r>
      <w:r>
        <w:t>. T</w:t>
      </w:r>
      <w:r w:rsidR="004C51B0">
        <w:t xml:space="preserve">his result has not been replicated within the Australian context. </w:t>
      </w:r>
    </w:p>
    <w:p w:rsidR="004C51B0" w:rsidRDefault="00336DA0" w:rsidP="004C51B0">
      <w:pPr>
        <w:pStyle w:val="BodyText"/>
      </w:pPr>
      <w:r>
        <w:t>T</w:t>
      </w:r>
      <w:r w:rsidR="004C51B0">
        <w:t xml:space="preserve">hese results are consistent with conventional economic theory – where lower supplied (lower educated) workers receive greater marginal wage gains, compared to more highly supplied (higher educated) workers. </w:t>
      </w:r>
    </w:p>
    <w:p w:rsidR="004C51B0" w:rsidRPr="006E1DD1" w:rsidRDefault="004C51B0" w:rsidP="004C51B0">
      <w:pPr>
        <w:pStyle w:val="BodyText"/>
      </w:pPr>
      <w:r>
        <w:t>In an Australian context, Clarke and Skuterud (2011) examine a separate immigration question, however with comparable empirical research methods.</w:t>
      </w:r>
      <w:r>
        <w:rPr>
          <w:rStyle w:val="FootnoteReference"/>
        </w:rPr>
        <w:footnoteReference w:id="24"/>
      </w:r>
      <w:r>
        <w:t xml:space="preserve"> The authors utilise 1% samples</w:t>
      </w:r>
      <w:r>
        <w:rPr>
          <w:rStyle w:val="FootnoteReference"/>
        </w:rPr>
        <w:footnoteReference w:id="25"/>
      </w:r>
      <w:r>
        <w:t xml:space="preserve"> of Australian Census data from 1986 to 2005, restricting their sample to males between 25 and 59 in order to minimise sample selection issues from underlying differences in labour force participation.</w:t>
      </w:r>
      <w:r>
        <w:rPr>
          <w:rStyle w:val="FootnoteReference"/>
        </w:rPr>
        <w:footnoteReference w:id="26"/>
      </w:r>
      <w:r>
        <w:t xml:space="preserve"> Their empirical method relies on panel data and the utilisation of fixed effects and regional unemployment data in order to isolate differences across country-of-origin and more relatedly, education groups. </w:t>
      </w:r>
      <w:r w:rsidR="00EF547B">
        <w:t xml:space="preserve">It is the method presented in </w:t>
      </w:r>
      <w:r w:rsidR="00EF547B" w:rsidRPr="00EF547B">
        <w:t>Clarke and Skuterud</w:t>
      </w:r>
      <w:r w:rsidR="00EF547B">
        <w:t>’s work, rather than the findings, that are most relevant here.</w:t>
      </w:r>
    </w:p>
    <w:p w:rsidR="004C51B0" w:rsidRDefault="004C51B0" w:rsidP="004C51B0">
      <w:pPr>
        <w:pStyle w:val="HeadingC"/>
      </w:pPr>
      <w:r>
        <w:t xml:space="preserve">Non-market public benefits </w:t>
      </w:r>
    </w:p>
    <w:p w:rsidR="00461538" w:rsidRDefault="00461538" w:rsidP="00CD4D65">
      <w:pPr>
        <w:pStyle w:val="BodyText"/>
      </w:pPr>
      <w:r>
        <w:t>While measures of non-market benefits are discussed above in the context of McMahon (2004) and Chapman and Lounkaew (2011</w:t>
      </w:r>
      <w:r w:rsidR="00C118F7">
        <w:t>,</w:t>
      </w:r>
      <w:r>
        <w:t xml:space="preserve"> 2015), a further review of the studies that consider non-market benefits, and their findings, is presented here.</w:t>
      </w:r>
    </w:p>
    <w:p w:rsidR="00CD4D65" w:rsidRDefault="00CD4D65" w:rsidP="00CD4D65">
      <w:pPr>
        <w:pStyle w:val="BodyText"/>
      </w:pPr>
      <w:r>
        <w:t>Accompanying the findings of Norton (2012), Savage and Norton (2012) use econometric techniques, including propensity score matching,</w:t>
      </w:r>
      <w:r>
        <w:rPr>
          <w:rStyle w:val="FootnoteReference"/>
        </w:rPr>
        <w:footnoteReference w:id="27"/>
      </w:r>
      <w:r>
        <w:t xml:space="preserve"> in order to estimate non-market public benefits.  Their results show large positive relationships between education and civic group attendance, positive health behaviours and indicators, and social tolerance of cultures. They also find some evidence of positive relationships for reported life satisfaction and volunteering rates, whil</w:t>
      </w:r>
      <w:r w:rsidR="00336DA0">
        <w:t>e</w:t>
      </w:r>
      <w:r>
        <w:t xml:space="preserve"> no relationship </w:t>
      </w:r>
      <w:r w:rsidR="00336DA0">
        <w:t>is</w:t>
      </w:r>
      <w:r>
        <w:t xml:space="preserve"> found for job satisfaction. The authors do not attempt to assign monetary values to the size of their relationships, and thus their results are limited to the existence of any relationship.</w:t>
      </w:r>
    </w:p>
    <w:p w:rsidR="000923F3" w:rsidRDefault="004C51B0" w:rsidP="002F5CCE">
      <w:pPr>
        <w:pStyle w:val="BodyText"/>
        <w:rPr>
          <w:b/>
        </w:rPr>
      </w:pPr>
      <w:r>
        <w:t>McMahon (2004) presents a summary of research efforts which attempt to empirically identify specific non-market benefits. These regression</w:t>
      </w:r>
      <w:r w:rsidR="002F5CCE">
        <w:t>-based</w:t>
      </w:r>
      <w:r>
        <w:t xml:space="preserve"> estimates make some attempt to quantify outcomes that are typically qualitative in nature. Additional to the inherent measurement difficulties of assigning monetary values to non-monetary benefits, the problem of </w:t>
      </w:r>
      <w:r w:rsidRPr="00F13002">
        <w:rPr>
          <w:i/>
        </w:rPr>
        <w:t>simultaneity bias</w:t>
      </w:r>
      <w:r>
        <w:t xml:space="preserve"> – that is, both education and the outcome of interest are </w:t>
      </w:r>
      <w:r>
        <w:lastRenderedPageBreak/>
        <w:t>fu</w:t>
      </w:r>
      <w:r w:rsidR="00461538">
        <w:t xml:space="preserve">nctions of each other, which a standard ordinary least squares (OLS) regression </w:t>
      </w:r>
      <w:r>
        <w:t xml:space="preserve">estimate does not consider – is particularly apparent. </w:t>
      </w:r>
    </w:p>
    <w:p w:rsidR="000923F3" w:rsidRDefault="00AF0C15" w:rsidP="000923F3">
      <w:pPr>
        <w:pStyle w:val="Heading3"/>
        <w:numPr>
          <w:ilvl w:val="2"/>
          <w:numId w:val="8"/>
        </w:numPr>
        <w:tabs>
          <w:tab w:val="clear" w:pos="1418"/>
          <w:tab w:val="num" w:pos="1134"/>
        </w:tabs>
        <w:ind w:left="1134"/>
      </w:pPr>
      <w:r>
        <w:t>Benefits by l</w:t>
      </w:r>
      <w:r w:rsidR="000923F3">
        <w:t xml:space="preserve">evel of higher education </w:t>
      </w:r>
    </w:p>
    <w:p w:rsidR="002D7C0E" w:rsidRPr="002D7C0E" w:rsidRDefault="002D7C0E" w:rsidP="000923F3">
      <w:pPr>
        <w:pStyle w:val="BodyText"/>
        <w:rPr>
          <w:rStyle w:val="Boldword"/>
        </w:rPr>
      </w:pPr>
      <w:r>
        <w:rPr>
          <w:rStyle w:val="Boldword"/>
        </w:rPr>
        <w:t>Private benefits</w:t>
      </w:r>
    </w:p>
    <w:p w:rsidR="000923F3" w:rsidRDefault="00C523F0" w:rsidP="000923F3">
      <w:pPr>
        <w:pStyle w:val="BodyText"/>
      </w:pPr>
      <w:r>
        <w:t>A range of literature</w:t>
      </w:r>
      <w:r w:rsidR="000923F3">
        <w:t xml:space="preserve"> identifies the </w:t>
      </w:r>
      <w:r>
        <w:t xml:space="preserve">private returns to </w:t>
      </w:r>
      <w:r w:rsidR="000923F3">
        <w:t xml:space="preserve">higher education, </w:t>
      </w:r>
      <w:r>
        <w:t>for different qualification levels (i.e. sub-bachelor, bachelor and post-graduate)</w:t>
      </w:r>
      <w:r w:rsidR="000923F3">
        <w:t>. However, there is a relative dearth of research on the relative proportion of private and public benefits between post-bachelor, bach</w:t>
      </w:r>
      <w:r>
        <w:t xml:space="preserve">elor and sub-bachelor degrees. </w:t>
      </w:r>
    </w:p>
    <w:p w:rsidR="000923F3" w:rsidRDefault="00C523F0" w:rsidP="000923F3">
      <w:pPr>
        <w:pStyle w:val="BodyText"/>
      </w:pPr>
      <w:r>
        <w:t xml:space="preserve">Noting its relative robustness, </w:t>
      </w:r>
      <w:r w:rsidR="000923F3">
        <w:t>available</w:t>
      </w:r>
      <w:r>
        <w:t xml:space="preserve"> </w:t>
      </w:r>
      <w:r w:rsidRPr="00C523F0">
        <w:rPr>
          <w:b/>
          <w:color w:val="002776" w:themeColor="accent1"/>
        </w:rPr>
        <w:t>econometric</w:t>
      </w:r>
      <w:r w:rsidR="000923F3" w:rsidRPr="00C523F0">
        <w:rPr>
          <w:color w:val="002776" w:themeColor="accent1"/>
        </w:rPr>
        <w:t xml:space="preserve"> </w:t>
      </w:r>
      <w:r w:rsidR="000923F3">
        <w:t xml:space="preserve">evidence suggests that the level of social return to a sub-bachelor degree differs to that of a bachelor degree. For example, Leigh (2008) finds that the annual social return for a diploma or advanced diploma is 8%, compared to 15% for a bachelor degree. </w:t>
      </w:r>
      <w:r>
        <w:t>Wilkins (2015) also finds similar results, with returns to sub-bachelor degrees significantly lower than bachelor degrees.</w:t>
      </w:r>
      <w:r>
        <w:rPr>
          <w:rStyle w:val="FootnoteReference"/>
        </w:rPr>
        <w:footnoteReference w:id="28"/>
      </w:r>
    </w:p>
    <w:p w:rsidR="002D7C0E" w:rsidRPr="002D7C0E" w:rsidRDefault="002D7C0E" w:rsidP="002D7C0E">
      <w:pPr>
        <w:pStyle w:val="BodyText"/>
        <w:rPr>
          <w:rStyle w:val="Boldword"/>
        </w:rPr>
      </w:pPr>
      <w:r>
        <w:rPr>
          <w:rStyle w:val="Boldword"/>
        </w:rPr>
        <w:t>Public benefits</w:t>
      </w:r>
    </w:p>
    <w:p w:rsidR="000923F3" w:rsidRDefault="002D7C0E" w:rsidP="000923F3">
      <w:pPr>
        <w:pStyle w:val="BodyText"/>
      </w:pPr>
      <w:r>
        <w:t>While the observed difference in private returns from different higher education qualification levels implies that the level of public benefits vary on the basis of qualification level</w:t>
      </w:r>
      <w:r w:rsidR="000923F3">
        <w:t xml:space="preserve">, this does not necessarily imply that the split between the private and public market benefits </w:t>
      </w:r>
      <w:r>
        <w:t>differs on this basis (Deloitte Access Economics, 2014)</w:t>
      </w:r>
      <w:r w:rsidR="000923F3">
        <w:t xml:space="preserve">. </w:t>
      </w:r>
      <w:r>
        <w:t>In general terms, i</w:t>
      </w:r>
      <w:r w:rsidR="000923F3">
        <w:t xml:space="preserve">t is possible that graduates from different levels of higher education will have different propensities to participate in different occupations and industries, which </w:t>
      </w:r>
      <w:r>
        <w:t>may affect the extent of market-</w:t>
      </w:r>
      <w:r w:rsidR="000923F3">
        <w:t>based flow-on benefits that result from different qualification levels</w:t>
      </w:r>
      <w:r w:rsidR="00336DA0">
        <w:t>. H</w:t>
      </w:r>
      <w:r w:rsidR="000923F3">
        <w:t>owever</w:t>
      </w:r>
      <w:r w:rsidR="00336DA0">
        <w:t>,</w:t>
      </w:r>
      <w:r w:rsidR="000923F3">
        <w:t xml:space="preserve"> no studies have ex</w:t>
      </w:r>
      <w:r>
        <w:t>plored this question in detail.</w:t>
      </w:r>
    </w:p>
    <w:p w:rsidR="000923F3" w:rsidRDefault="00AF0C15" w:rsidP="000923F3">
      <w:pPr>
        <w:pStyle w:val="Heading3"/>
        <w:numPr>
          <w:ilvl w:val="2"/>
          <w:numId w:val="8"/>
        </w:numPr>
        <w:tabs>
          <w:tab w:val="clear" w:pos="1418"/>
          <w:tab w:val="num" w:pos="1134"/>
        </w:tabs>
        <w:ind w:left="1134"/>
      </w:pPr>
      <w:r>
        <w:t>Benefits by f</w:t>
      </w:r>
      <w:r w:rsidR="000923F3">
        <w:t xml:space="preserve">ield of education </w:t>
      </w:r>
    </w:p>
    <w:p w:rsidR="002D7C0E" w:rsidRDefault="002D7C0E" w:rsidP="002D7C0E">
      <w:pPr>
        <w:pStyle w:val="HeadingC"/>
      </w:pPr>
      <w:r>
        <w:t>Private</w:t>
      </w:r>
      <w:r w:rsidR="00451554">
        <w:t xml:space="preserve"> </w:t>
      </w:r>
      <w:r>
        <w:t>benefits</w:t>
      </w:r>
    </w:p>
    <w:p w:rsidR="00451554" w:rsidRPr="00CF037D" w:rsidRDefault="000923F3" w:rsidP="000923F3">
      <w:pPr>
        <w:pStyle w:val="BodyText"/>
        <w:rPr>
          <w:rStyle w:val="Boldword"/>
          <w:b w:val="0"/>
          <w:color w:val="auto"/>
        </w:rPr>
      </w:pPr>
      <w:r>
        <w:t>Differences in private market benefits</w:t>
      </w:r>
      <w:r w:rsidR="00451554">
        <w:t xml:space="preserve"> by discipline</w:t>
      </w:r>
      <w:r>
        <w:t xml:space="preserve"> are likely to result from the pathways of employment, namely differences in sectors and job types. </w:t>
      </w:r>
      <w:r w:rsidR="00CF037D">
        <w:t>A</w:t>
      </w:r>
      <w:r w:rsidR="00451554">
        <w:t xml:space="preserve"> number of studies have sought to measure the difference in</w:t>
      </w:r>
      <w:r w:rsidR="00CF037D">
        <w:t xml:space="preserve"> private</w:t>
      </w:r>
      <w:r w:rsidR="00451554">
        <w:t xml:space="preserve"> benefits by field of study (most notably, Norton, 2012; and Daly et al., 2015)</w:t>
      </w:r>
      <w:r w:rsidR="00CF037D">
        <w:t xml:space="preserve">, however these studies rely on </w:t>
      </w:r>
      <w:r w:rsidR="00CF037D">
        <w:rPr>
          <w:rStyle w:val="Boldword"/>
        </w:rPr>
        <w:t xml:space="preserve">accounting </w:t>
      </w:r>
      <w:r w:rsidR="00CF037D">
        <w:rPr>
          <w:rStyle w:val="Boldword"/>
          <w:b w:val="0"/>
          <w:color w:val="auto"/>
        </w:rPr>
        <w:t xml:space="preserve">methods </w:t>
      </w:r>
      <w:r w:rsidR="00C177B6">
        <w:rPr>
          <w:rStyle w:val="Boldword"/>
          <w:b w:val="0"/>
          <w:color w:val="auto"/>
        </w:rPr>
        <w:t xml:space="preserve">in </w:t>
      </w:r>
      <w:r w:rsidR="00CF037D">
        <w:rPr>
          <w:rStyle w:val="Boldword"/>
          <w:b w:val="0"/>
          <w:color w:val="auto"/>
        </w:rPr>
        <w:t xml:space="preserve">estimating benefits. The results from these studies are not considered </w:t>
      </w:r>
      <w:r w:rsidR="003B300E">
        <w:rPr>
          <w:rStyle w:val="Boldword"/>
          <w:b w:val="0"/>
          <w:color w:val="auto"/>
        </w:rPr>
        <w:t xml:space="preserve">an </w:t>
      </w:r>
      <w:r w:rsidR="00C354EE">
        <w:rPr>
          <w:rStyle w:val="Boldword"/>
          <w:b w:val="0"/>
          <w:color w:val="auto"/>
        </w:rPr>
        <w:t>accurate representation of the variation in private benefits</w:t>
      </w:r>
      <w:r w:rsidR="00CF037D">
        <w:rPr>
          <w:rStyle w:val="Boldword"/>
          <w:b w:val="0"/>
          <w:color w:val="auto"/>
        </w:rPr>
        <w:t>, as they fail to account for the differences in the characteristics of students who choose to study different disciplines.</w:t>
      </w:r>
    </w:p>
    <w:p w:rsidR="00154B90" w:rsidRDefault="00CF037D" w:rsidP="000923F3">
      <w:pPr>
        <w:pStyle w:val="BodyText"/>
        <w:rPr>
          <w:rStyle w:val="Boldword"/>
          <w:b w:val="0"/>
          <w:color w:val="auto"/>
        </w:rPr>
      </w:pPr>
      <w:r>
        <w:t xml:space="preserve">Studies that use </w:t>
      </w:r>
      <w:r w:rsidRPr="00C523F0">
        <w:rPr>
          <w:b/>
          <w:color w:val="002776" w:themeColor="accent1"/>
        </w:rPr>
        <w:t>econometric</w:t>
      </w:r>
      <w:r>
        <w:rPr>
          <w:b/>
          <w:color w:val="002776" w:themeColor="accent1"/>
        </w:rPr>
        <w:t xml:space="preserve"> </w:t>
      </w:r>
      <w:r>
        <w:rPr>
          <w:rStyle w:val="Boldword"/>
          <w:b w:val="0"/>
          <w:color w:val="auto"/>
        </w:rPr>
        <w:t xml:space="preserve">methods to estimate private benefits from higher education have considered how benefits vary on the basis of discipline (namely Wilkins, 2015; and Sinning, 2014), however they tend to place </w:t>
      </w:r>
      <w:r w:rsidR="00C354EE">
        <w:rPr>
          <w:rStyle w:val="Boldword"/>
          <w:b w:val="0"/>
          <w:color w:val="auto"/>
        </w:rPr>
        <w:t xml:space="preserve">limited </w:t>
      </w:r>
      <w:r>
        <w:rPr>
          <w:rStyle w:val="Boldword"/>
          <w:b w:val="0"/>
          <w:color w:val="auto"/>
        </w:rPr>
        <w:t xml:space="preserve">weight on the accuracy of their estimates due to small sample sizes in the available requisite datasets (namely, HILDA). </w:t>
      </w:r>
      <w:r w:rsidR="00154B90">
        <w:rPr>
          <w:rStyle w:val="Boldword"/>
          <w:b w:val="0"/>
          <w:color w:val="auto"/>
        </w:rPr>
        <w:t xml:space="preserve">Other studies that have estimated effects on the basis of discipline have found variations in the statistical significance of different disciplines on wage outcomes, and highly varied orders of effects, </w:t>
      </w:r>
      <w:r w:rsidR="00154B90">
        <w:rPr>
          <w:rStyle w:val="Boldword"/>
          <w:b w:val="0"/>
          <w:color w:val="auto"/>
        </w:rPr>
        <w:lastRenderedPageBreak/>
        <w:t xml:space="preserve">depending on the dataset used and individual’s gender (see </w:t>
      </w:r>
      <w:r w:rsidR="00154B90">
        <w:t>Carroll, 2014; Birch et al., 2009; and Koshy et al., 2016).</w:t>
      </w:r>
    </w:p>
    <w:p w:rsidR="002D7C0E" w:rsidRDefault="00154B90" w:rsidP="000923F3">
      <w:pPr>
        <w:pStyle w:val="BodyText"/>
        <w:rPr>
          <w:rStyle w:val="Boldword"/>
          <w:b w:val="0"/>
          <w:color w:val="auto"/>
        </w:rPr>
      </w:pPr>
      <w:r>
        <w:rPr>
          <w:rStyle w:val="Boldword"/>
          <w:b w:val="0"/>
          <w:color w:val="auto"/>
        </w:rPr>
        <w:t>To date, no</w:t>
      </w:r>
      <w:r w:rsidR="00CF037D">
        <w:rPr>
          <w:rStyle w:val="Boldword"/>
          <w:b w:val="0"/>
          <w:color w:val="auto"/>
        </w:rPr>
        <w:t xml:space="preserve"> author has </w:t>
      </w:r>
      <w:r>
        <w:rPr>
          <w:rStyle w:val="Boldword"/>
          <w:b w:val="0"/>
          <w:color w:val="auto"/>
        </w:rPr>
        <w:t>provided a consensus view</w:t>
      </w:r>
      <w:r w:rsidR="00CF037D">
        <w:rPr>
          <w:rStyle w:val="Boldword"/>
          <w:b w:val="0"/>
          <w:color w:val="auto"/>
        </w:rPr>
        <w:t xml:space="preserve"> of how private benefits from higher education may vary (using </w:t>
      </w:r>
      <w:r w:rsidR="00CF037D" w:rsidRPr="00CF037D">
        <w:rPr>
          <w:rStyle w:val="Boldword"/>
          <w:b w:val="0"/>
          <w:color w:val="auto"/>
        </w:rPr>
        <w:t>econometric methods</w:t>
      </w:r>
      <w:r w:rsidR="00CF037D">
        <w:rPr>
          <w:rStyle w:val="Boldword"/>
          <w:b w:val="0"/>
          <w:color w:val="auto"/>
        </w:rPr>
        <w:t>).</w:t>
      </w:r>
    </w:p>
    <w:p w:rsidR="00451554" w:rsidRDefault="00451554" w:rsidP="002D7C0E">
      <w:pPr>
        <w:pStyle w:val="HeadingC"/>
      </w:pPr>
      <w:r>
        <w:t>Public benefits</w:t>
      </w:r>
    </w:p>
    <w:p w:rsidR="00451554" w:rsidRDefault="00451554" w:rsidP="00451554">
      <w:pPr>
        <w:pStyle w:val="BodyText"/>
      </w:pPr>
      <w:r>
        <w:t>The only study which seeks to capture public benefits by discipline is Norton (2012), whose benefit measure is limited to only additional net government receipts that result from higher earnings due to higher education attainment. No empirical study has been identified that seeks to measure public broader benefits from higher education at a discipline level (including labour productivity based spillovers).</w:t>
      </w:r>
    </w:p>
    <w:p w:rsidR="00451554" w:rsidRDefault="00451554" w:rsidP="00451554">
      <w:pPr>
        <w:pStyle w:val="BodyText"/>
      </w:pPr>
      <w:r>
        <w:t>It is likely that the field of education, and subsequent industry of employment, will influence both the size and distribution of public benefits from labour productivity spillovers. However, no study has sought to systematically estimate these effects.</w:t>
      </w:r>
    </w:p>
    <w:p w:rsidR="002D7C0E" w:rsidRDefault="002D7C0E" w:rsidP="002D7C0E">
      <w:pPr>
        <w:pStyle w:val="HeadingC"/>
      </w:pPr>
      <w:r>
        <w:t xml:space="preserve">Non-market </w:t>
      </w:r>
      <w:r w:rsidR="00451554">
        <w:t xml:space="preserve">public </w:t>
      </w:r>
      <w:r>
        <w:t>benefits</w:t>
      </w:r>
    </w:p>
    <w:p w:rsidR="000923F3" w:rsidRDefault="000923F3" w:rsidP="000923F3">
      <w:pPr>
        <w:pStyle w:val="BodyText"/>
      </w:pPr>
      <w:r>
        <w:t>McMahon (2009) attempt</w:t>
      </w:r>
      <w:r w:rsidR="00C354EE">
        <w:t>s</w:t>
      </w:r>
      <w:r>
        <w:t xml:space="preserve"> to identify systematic non-market differences according to field of education in an international context. </w:t>
      </w:r>
      <w:r w:rsidR="002D7C0E">
        <w:t>This study finds that:</w:t>
      </w:r>
    </w:p>
    <w:p w:rsidR="000923F3" w:rsidRDefault="006F253B" w:rsidP="002D7C0E">
      <w:pPr>
        <w:pStyle w:val="Bullet1"/>
      </w:pPr>
      <w:r>
        <w:t>p</w:t>
      </w:r>
      <w:r w:rsidR="000923F3">
        <w:t>olitical science and law graduates are likely to strengthen civic institutions, political stability and the rule of law, which contribute and facilitate future economic growth</w:t>
      </w:r>
      <w:r>
        <w:t>;</w:t>
      </w:r>
      <w:r w:rsidR="000923F3">
        <w:t xml:space="preserve"> </w:t>
      </w:r>
    </w:p>
    <w:p w:rsidR="000923F3" w:rsidRDefault="006F253B" w:rsidP="002D7C0E">
      <w:pPr>
        <w:pStyle w:val="Bullet1"/>
      </w:pPr>
      <w:r>
        <w:t>f</w:t>
      </w:r>
      <w:r w:rsidR="000923F3">
        <w:t>oreign language studies and international affairs graduates can positively contribute to trade and export markets</w:t>
      </w:r>
      <w:r>
        <w:t>;</w:t>
      </w:r>
      <w:r w:rsidR="000923F3">
        <w:t xml:space="preserve"> </w:t>
      </w:r>
    </w:p>
    <w:p w:rsidR="000923F3" w:rsidRDefault="006F253B" w:rsidP="002D7C0E">
      <w:pPr>
        <w:pStyle w:val="Bullet1"/>
      </w:pPr>
      <w:r>
        <w:t>b</w:t>
      </w:r>
      <w:r w:rsidR="000923F3">
        <w:t>etter health outcomes are associated with students with research and training in the life sciences, medicine, nursing, pharmacy, and applied life sciences</w:t>
      </w:r>
      <w:r>
        <w:t>; and</w:t>
      </w:r>
    </w:p>
    <w:p w:rsidR="000923F3" w:rsidRDefault="006F253B" w:rsidP="002D7C0E">
      <w:pPr>
        <w:pStyle w:val="Bullet1"/>
      </w:pPr>
      <w:proofErr w:type="gramStart"/>
      <w:r>
        <w:t>q</w:t>
      </w:r>
      <w:r w:rsidR="000923F3">
        <w:t>uality</w:t>
      </w:r>
      <w:proofErr w:type="gramEnd"/>
      <w:r w:rsidR="000923F3">
        <w:t xml:space="preserve"> of life can be improved by graduates in the performing arts, such as music, dance and theatre, as well as architecture, art and design.</w:t>
      </w:r>
    </w:p>
    <w:p w:rsidR="00451554" w:rsidRDefault="00451554" w:rsidP="00451554">
      <w:pPr>
        <w:pStyle w:val="BodyText"/>
      </w:pPr>
      <w:r>
        <w:t xml:space="preserve">While this study provides some qualitative guidance on how non-market public benefits may arise on the basis of higher education discipline, there is </w:t>
      </w:r>
      <w:r w:rsidR="00CE6286">
        <w:t xml:space="preserve">less </w:t>
      </w:r>
      <w:r>
        <w:t xml:space="preserve">empirical evidence to inform their relative </w:t>
      </w:r>
      <w:r w:rsidR="00CE6286">
        <w:t>magnitude</w:t>
      </w:r>
      <w:r>
        <w:t xml:space="preserve"> (in pecuniary or non-pecuniary terms).</w:t>
      </w:r>
    </w:p>
    <w:p w:rsidR="000923F3" w:rsidRDefault="00AF0C15" w:rsidP="000923F3">
      <w:pPr>
        <w:pStyle w:val="Heading3"/>
        <w:numPr>
          <w:ilvl w:val="2"/>
          <w:numId w:val="8"/>
        </w:numPr>
        <w:tabs>
          <w:tab w:val="clear" w:pos="1418"/>
          <w:tab w:val="num" w:pos="1134"/>
        </w:tabs>
        <w:ind w:left="1134"/>
      </w:pPr>
      <w:bookmarkStart w:id="35" w:name="_Ref459113592"/>
      <w:r>
        <w:t>Benefits by p</w:t>
      </w:r>
      <w:r w:rsidR="000923F3" w:rsidRPr="006A6E51">
        <w:t>rovider type</w:t>
      </w:r>
      <w:bookmarkEnd w:id="35"/>
    </w:p>
    <w:p w:rsidR="00D87675" w:rsidRDefault="00D87675" w:rsidP="00D87675">
      <w:pPr>
        <w:pStyle w:val="HeadingC"/>
      </w:pPr>
      <w:r>
        <w:t>Private benefits</w:t>
      </w:r>
    </w:p>
    <w:p w:rsidR="008603E4" w:rsidRDefault="000923F3" w:rsidP="00E55305">
      <w:pPr>
        <w:pStyle w:val="BodyText"/>
      </w:pPr>
      <w:r>
        <w:t>It has been established in empirical research that higher education providers can impact the estimated private returns from higher education qualifications, though this impact is generally less significant than the variation across disciplines (</w:t>
      </w:r>
      <w:r w:rsidR="00C6165A">
        <w:t xml:space="preserve">Birch et al., 2009; Koshy, et al., 2016; Norton and </w:t>
      </w:r>
      <w:r w:rsidR="00C6165A">
        <w:rPr>
          <w:rFonts w:asciiTheme="minorHAnsi" w:hAnsiTheme="minorHAnsi"/>
          <w:szCs w:val="22"/>
        </w:rPr>
        <w:t>Cherastidtham</w:t>
      </w:r>
      <w:r w:rsidR="00C6165A">
        <w:t>, 2014; and Wilkins, 2015).</w:t>
      </w:r>
    </w:p>
    <w:p w:rsidR="00E55305" w:rsidRDefault="00D87675" w:rsidP="00E55305">
      <w:pPr>
        <w:pStyle w:val="BodyText"/>
      </w:pPr>
      <w:r>
        <w:lastRenderedPageBreak/>
        <w:t xml:space="preserve">Wilkins (2015) </w:t>
      </w:r>
      <w:r w:rsidR="00E55305">
        <w:t>compares results across group</w:t>
      </w:r>
      <w:r w:rsidR="003B300E">
        <w:t>s</w:t>
      </w:r>
      <w:r w:rsidR="00E55305">
        <w:t xml:space="preserve"> of universities and finds </w:t>
      </w:r>
      <w:r w:rsidR="00CE6286">
        <w:t xml:space="preserve">some </w:t>
      </w:r>
      <w:r w:rsidR="009926A3">
        <w:t>differences between</w:t>
      </w:r>
      <w:r w:rsidR="00E55305">
        <w:t xml:space="preserve"> clusters</w:t>
      </w:r>
      <w:r>
        <w:t xml:space="preserve"> of universities, </w:t>
      </w:r>
      <w:r w:rsidR="00037E07">
        <w:t>but these are not statistically significant across gender and functional form</w:t>
      </w:r>
      <w:r w:rsidR="00E55305">
        <w:t>.</w:t>
      </w:r>
      <w:r w:rsidR="00E55305" w:rsidRPr="006D68A8">
        <w:rPr>
          <w:rStyle w:val="FootnoteReference"/>
        </w:rPr>
        <w:t xml:space="preserve"> </w:t>
      </w:r>
      <w:r w:rsidR="00E55305">
        <w:rPr>
          <w:rStyle w:val="FootnoteReference"/>
        </w:rPr>
        <w:footnoteReference w:id="29"/>
      </w:r>
      <w:r w:rsidR="00E55305">
        <w:t xml:space="preserve"> </w:t>
      </w:r>
    </w:p>
    <w:p w:rsidR="008603E4" w:rsidRDefault="008603E4" w:rsidP="00E55305">
      <w:pPr>
        <w:pStyle w:val="BodyText"/>
      </w:pPr>
      <w:r>
        <w:t>Koshy, Seymour and Dockery (2016) utilise HILDA data to estimate difference</w:t>
      </w:r>
      <w:r w:rsidR="003B300E">
        <w:t>s</w:t>
      </w:r>
      <w:r>
        <w:t xml:space="preserve"> in graduate earnings by university institution groupings. Differing from previous work in the Australian context, the authors utilise life-time wage profiles (versus starting graduate wages) and control for many more factors, notably field of education and industry of employment, which are well known drivers of wage variation. The authors find that field of study dominates the effects of institutional grouping. However, females who attend Go8 and ATN universities tend to have higher average wage outcomes compared to other universities, but this relationship disappears for males.</w:t>
      </w:r>
    </w:p>
    <w:p w:rsidR="00204A33" w:rsidRDefault="008603E4" w:rsidP="008603E4">
      <w:pPr>
        <w:pStyle w:val="BodyText"/>
      </w:pPr>
      <w:r>
        <w:t xml:space="preserve">In contrast to the above studies which focus on institutional clusters of universities, </w:t>
      </w:r>
      <w:r w:rsidR="00204A33">
        <w:t>Carroll (2014) explores differences in graduate starting wages for universities with a top 100 global ranking. The author uses the 2012 Graduate Destination Survey and global publication rankings. Additionally, Carroll attempts to control for non-random self-selection by students into ‘more prestigious’ universities, by using a two-step regression approach that incorporates a ‘selection bias control factor’. This additional control accounts for the propensity of a student to choose a top university based on the field of education, and indicators for capital city resident, part-time student and whether course fees were deferred.</w:t>
      </w:r>
      <w:r w:rsidR="00B073F0">
        <w:rPr>
          <w:rStyle w:val="FootnoteReference"/>
        </w:rPr>
        <w:footnoteReference w:id="30"/>
      </w:r>
      <w:r w:rsidR="00204A33">
        <w:t xml:space="preserve"> </w:t>
      </w:r>
    </w:p>
    <w:p w:rsidR="00204A33" w:rsidRDefault="008603E4" w:rsidP="008603E4">
      <w:pPr>
        <w:pStyle w:val="BodyText"/>
      </w:pPr>
      <w:r>
        <w:t xml:space="preserve">Carroll’s </w:t>
      </w:r>
      <w:r w:rsidR="00204A33">
        <w:t>baseline results, which control for age, gender, field of education and honours degrees, suggest that graduates from globally ranked universities earn on average 3% higher than their peers. After including a self-selection control, which does not have a significant or substantial effect on wages, this premium increases to 4</w:t>
      </w:r>
      <w:r>
        <w:t>.5%, holding all else constant. These effects are modest, and there is some uncertainty as to how effective student controls are in the analysis, particularly as the Graduate Destination Survey has limited available demographic characteristics and highly variable response rates across universities.</w:t>
      </w:r>
    </w:p>
    <w:p w:rsidR="008603E4" w:rsidRDefault="008603E4" w:rsidP="008603E4">
      <w:pPr>
        <w:pStyle w:val="BodyText"/>
      </w:pPr>
      <w:r>
        <w:t>Studies that have sought to estimate differing private benefits on the basis of provider</w:t>
      </w:r>
      <w:r w:rsidR="00DB0A00">
        <w:t xml:space="preserve"> characteristics</w:t>
      </w:r>
      <w:r>
        <w:t xml:space="preserve"> necessarily attempt to control for heterogeneity in student characteristics between providers, including prior academic ability, through the use of econometric methods. However, there is some uncertainty as to the robustness of these controls, and whether there are further unobserved student characteristics which may confound estimated effects on a provider basis. Indeed, Wilkins (2015) notes that the measured differences between clusters of universities are not very large and are sensitive to model specification. </w:t>
      </w:r>
    </w:p>
    <w:p w:rsidR="008603E4" w:rsidRDefault="008603E4" w:rsidP="008603E4">
      <w:pPr>
        <w:pStyle w:val="BodyText"/>
      </w:pPr>
      <w:r>
        <w:t>Finally—with the exception of Carroll (2014)—the studies outlined above which consider private benefits by provider type have focused on institutional university clusters (Go8, ATN etc.)</w:t>
      </w:r>
      <w:r w:rsidR="00DB0A00">
        <w:t>, rather than individual institution or bespoke grouping</w:t>
      </w:r>
      <w:r>
        <w:t xml:space="preserve">. In principle, other higher education provider types and classifications may be considered when estimating relative </w:t>
      </w:r>
      <w:r>
        <w:lastRenderedPageBreak/>
        <w:t>private benefits (e.g. universities vs. NUHEPs). However, there are few if any reputable studies that have sought to estimate relative benefits on this basis.</w:t>
      </w:r>
    </w:p>
    <w:p w:rsidR="00D87675" w:rsidRDefault="00D87675" w:rsidP="00D87675">
      <w:pPr>
        <w:pStyle w:val="HeadingC"/>
      </w:pPr>
      <w:r>
        <w:t>Public benefits</w:t>
      </w:r>
    </w:p>
    <w:p w:rsidR="000923F3" w:rsidRDefault="00893416" w:rsidP="000923F3">
      <w:pPr>
        <w:pStyle w:val="BodyText"/>
      </w:pPr>
      <w:r>
        <w:t>W</w:t>
      </w:r>
      <w:r w:rsidR="000923F3">
        <w:t xml:space="preserve">hile the magnitude of returns to higher education may vary across providers, this does not necessarily imply that the ratio of private to public benefits would vary across providers (Deloitte Access Economics, 2014). This is clear from the direct relationship between private and public benefits, as described above, which is most closely influenced by discipline and level specific effects (McMahon, 2006). </w:t>
      </w:r>
    </w:p>
    <w:p w:rsidR="000923F3" w:rsidRDefault="000923F3" w:rsidP="000923F3">
      <w:pPr>
        <w:pStyle w:val="BodyText"/>
      </w:pPr>
      <w:r>
        <w:t xml:space="preserve">Indeed, the extent to which such variation would be expected to occur at a provider level is likely to be driven by more complex institution factors, as opposed to the market spillover effects associated with the industries that graduates are employed in, and the nature of their relative scarcity effects (Deloitte Access Economics, 2014). </w:t>
      </w:r>
    </w:p>
    <w:p w:rsidR="000923F3" w:rsidRDefault="000923F3" w:rsidP="000923F3">
      <w:pPr>
        <w:pStyle w:val="BodyText"/>
      </w:pPr>
      <w:r>
        <w:t xml:space="preserve">Further, where such labour market factors are found to vary according to provider type, these are likely to be associated with student specific factors (including discipline related effects), rather than factors inherent to provider type and so could not be considered to be attributable to providers specifically (Norton, 2012; Norton and </w:t>
      </w:r>
      <w:r>
        <w:rPr>
          <w:rFonts w:asciiTheme="minorHAnsi" w:hAnsiTheme="minorHAnsi"/>
          <w:szCs w:val="22"/>
        </w:rPr>
        <w:t>Cherastidtham, 2014</w:t>
      </w:r>
      <w:r>
        <w:t xml:space="preserve">). </w:t>
      </w:r>
    </w:p>
    <w:p w:rsidR="000923F3" w:rsidRDefault="000923F3" w:rsidP="00D87675">
      <w:pPr>
        <w:pStyle w:val="BodyText"/>
      </w:pPr>
      <w:r>
        <w:t xml:space="preserve">Deloitte Access Economics (2014) investigated the extent to which the ratio of private to public benefits from higher education </w:t>
      </w:r>
      <w:r w:rsidR="00DB0A00">
        <w:t xml:space="preserve">generated </w:t>
      </w:r>
      <w:r>
        <w:t>by non-university higher education providers (NUHEPs) might be expected to systematically vary from university providers. In this research it was determined that variations in the quality of institutions’ higher education degree programs (measured in terms of student’s private market outcomes) should not be directly used as a basis upon which to determine the contributions made by government and students in the context of relati</w:t>
      </w:r>
      <w:r w:rsidR="00D87675">
        <w:t>ve private and public benefits.</w:t>
      </w:r>
    </w:p>
    <w:p w:rsidR="00D87675" w:rsidRPr="00D87675" w:rsidRDefault="00D87675" w:rsidP="00D87675">
      <w:pPr>
        <w:pStyle w:val="BodyText"/>
      </w:pPr>
      <w:r>
        <w:t xml:space="preserve">A further exposition of this discussion is provided in </w:t>
      </w:r>
      <w:r w:rsidR="00E5330A">
        <w:t xml:space="preserve">Appendix A </w:t>
      </w:r>
      <w:r>
        <w:t>of this report.</w:t>
      </w:r>
    </w:p>
    <w:p w:rsidR="004C51B0" w:rsidRDefault="00AB61EA" w:rsidP="007E622B">
      <w:pPr>
        <w:pStyle w:val="Heading2"/>
        <w:numPr>
          <w:ilvl w:val="1"/>
          <w:numId w:val="8"/>
        </w:numPr>
        <w:ind w:left="567"/>
      </w:pPr>
      <w:bookmarkStart w:id="36" w:name="_Ref455062937"/>
      <w:bookmarkStart w:id="37" w:name="_Toc456686832"/>
      <w:bookmarkStart w:id="38" w:name="_Toc465961194"/>
      <w:r>
        <w:t>Implications for this</w:t>
      </w:r>
      <w:r w:rsidR="004C51B0">
        <w:t xml:space="preserve"> </w:t>
      </w:r>
      <w:bookmarkEnd w:id="36"/>
      <w:bookmarkEnd w:id="37"/>
      <w:r>
        <w:t>study</w:t>
      </w:r>
      <w:bookmarkEnd w:id="38"/>
    </w:p>
    <w:p w:rsidR="007766DF" w:rsidRDefault="007766DF" w:rsidP="007766DF">
      <w:pPr>
        <w:pStyle w:val="Heading3"/>
      </w:pPr>
      <w:r>
        <w:t>Overview of findings</w:t>
      </w:r>
    </w:p>
    <w:p w:rsidR="00F25F52" w:rsidRDefault="00657B68" w:rsidP="00657B68">
      <w:pPr>
        <w:pStyle w:val="BodyText"/>
      </w:pPr>
      <w:r>
        <w:t xml:space="preserve">Bringing </w:t>
      </w:r>
      <w:r w:rsidR="00893416">
        <w:t xml:space="preserve">the summary </w:t>
      </w:r>
      <w:r w:rsidR="00171E24">
        <w:t>of</w:t>
      </w:r>
      <w:r w:rsidR="00893416">
        <w:t xml:space="preserve"> the literature on the </w:t>
      </w:r>
      <w:r>
        <w:t xml:space="preserve">conceptual benefits </w:t>
      </w:r>
      <w:r w:rsidR="00893416">
        <w:t xml:space="preserve">from higher education </w:t>
      </w:r>
      <w:r w:rsidR="00D87675">
        <w:t xml:space="preserve">outline above </w:t>
      </w:r>
      <w:r>
        <w:t xml:space="preserve">together, </w:t>
      </w:r>
      <w:r>
        <w:fldChar w:fldCharType="begin"/>
      </w:r>
      <w:r>
        <w:instrText xml:space="preserve"> REF _Ref457574593 \r \h </w:instrText>
      </w:r>
      <w:r>
        <w:fldChar w:fldCharType="separate"/>
      </w:r>
      <w:r w:rsidR="00534F9F">
        <w:t>Table 2.2</w:t>
      </w:r>
      <w:r>
        <w:fldChar w:fldCharType="end"/>
      </w:r>
      <w:r>
        <w:t xml:space="preserve"> </w:t>
      </w:r>
      <w:r w:rsidR="007766DF">
        <w:t>outlines</w:t>
      </w:r>
      <w:r>
        <w:t xml:space="preserve"> the primary benefits measures </w:t>
      </w:r>
      <w:r w:rsidR="00F25F52">
        <w:t xml:space="preserve">canvassed in the literature. These benefits </w:t>
      </w:r>
      <w:r w:rsidR="00DB0A00">
        <w:t xml:space="preserve">in turn </w:t>
      </w:r>
      <w:r w:rsidR="00F25F52">
        <w:t xml:space="preserve">form the primary focus for the quantitative and qualitative analysis </w:t>
      </w:r>
      <w:r>
        <w:t>considered in this study.</w:t>
      </w:r>
      <w:r w:rsidR="00F25F52">
        <w:t xml:space="preserve"> </w:t>
      </w:r>
    </w:p>
    <w:p w:rsidR="00657B68" w:rsidRPr="00654B96" w:rsidRDefault="00657B68" w:rsidP="00657B68">
      <w:pPr>
        <w:pStyle w:val="CaptionTable"/>
        <w:ind w:left="0"/>
        <w:rPr>
          <w:rStyle w:val="Boldword"/>
          <w:b/>
          <w:i/>
          <w:color w:val="002776" w:themeColor="accent1"/>
        </w:rPr>
      </w:pPr>
      <w:bookmarkStart w:id="39" w:name="_Ref457574593"/>
      <w:bookmarkStart w:id="40" w:name="_Toc465961122"/>
      <w:r>
        <w:rPr>
          <w:rStyle w:val="Boldword"/>
          <w:b/>
          <w:color w:val="002776" w:themeColor="accent1"/>
        </w:rPr>
        <w:t xml:space="preserve">: </w:t>
      </w:r>
      <w:r w:rsidRPr="00654B96">
        <w:rPr>
          <w:rStyle w:val="Boldword"/>
          <w:b/>
          <w:color w:val="002776" w:themeColor="accent1"/>
        </w:rPr>
        <w:t xml:space="preserve">Common </w:t>
      </w:r>
      <w:r>
        <w:rPr>
          <w:rStyle w:val="Boldword"/>
          <w:b/>
          <w:color w:val="002776" w:themeColor="accent1"/>
        </w:rPr>
        <w:t xml:space="preserve">higher education </w:t>
      </w:r>
      <w:r w:rsidRPr="00654B96">
        <w:rPr>
          <w:rStyle w:val="Boldword"/>
          <w:b/>
          <w:color w:val="002776" w:themeColor="accent1"/>
        </w:rPr>
        <w:t>benefit measures</w:t>
      </w:r>
      <w:bookmarkEnd w:id="39"/>
      <w:bookmarkEnd w:id="40"/>
    </w:p>
    <w:tbl>
      <w:tblPr>
        <w:tblStyle w:val="TableAETotals"/>
        <w:tblW w:w="8908" w:type="dxa"/>
        <w:jc w:val="center"/>
        <w:tblLook w:val="0420" w:firstRow="1" w:lastRow="0" w:firstColumn="0" w:lastColumn="0" w:noHBand="0" w:noVBand="1"/>
      </w:tblPr>
      <w:tblGrid>
        <w:gridCol w:w="1239"/>
        <w:gridCol w:w="3449"/>
        <w:gridCol w:w="4220"/>
      </w:tblGrid>
      <w:tr w:rsidR="00657B68" w:rsidRPr="009F491F" w:rsidTr="006D68A8">
        <w:trPr>
          <w:cnfStyle w:val="100000000000" w:firstRow="1" w:lastRow="0" w:firstColumn="0" w:lastColumn="0" w:oddVBand="0" w:evenVBand="0" w:oddHBand="0" w:evenHBand="0" w:firstRowFirstColumn="0" w:firstRowLastColumn="0" w:lastRowFirstColumn="0" w:lastRowLastColumn="0"/>
          <w:trHeight w:val="40"/>
          <w:jc w:val="center"/>
        </w:trPr>
        <w:tc>
          <w:tcPr>
            <w:tcW w:w="1239" w:type="dxa"/>
            <w:hideMark/>
          </w:tcPr>
          <w:p w:rsidR="00657B68" w:rsidRPr="009F491F" w:rsidRDefault="00657B68" w:rsidP="006D68A8">
            <w:pPr>
              <w:rPr>
                <w:rFonts w:ascii="Arial" w:hAnsi="Arial" w:cs="Arial"/>
                <w:sz w:val="20"/>
                <w:lang w:eastAsia="en-AU"/>
              </w:rPr>
            </w:pPr>
          </w:p>
        </w:tc>
        <w:tc>
          <w:tcPr>
            <w:tcW w:w="3449" w:type="dxa"/>
            <w:hideMark/>
          </w:tcPr>
          <w:p w:rsidR="00657B68" w:rsidRPr="009F491F" w:rsidRDefault="00657B68" w:rsidP="006D68A8">
            <w:pPr>
              <w:jc w:val="center"/>
              <w:rPr>
                <w:rFonts w:ascii="Arial" w:hAnsi="Arial" w:cs="Arial"/>
                <w:sz w:val="20"/>
                <w:lang w:eastAsia="en-AU"/>
              </w:rPr>
            </w:pPr>
            <w:r w:rsidRPr="009F491F">
              <w:rPr>
                <w:rFonts w:cs="Arial"/>
                <w:b/>
                <w:bCs/>
                <w:color w:val="000000"/>
                <w:kern w:val="24"/>
                <w:sz w:val="20"/>
                <w:lang w:eastAsia="en-AU"/>
              </w:rPr>
              <w:t>Private</w:t>
            </w:r>
          </w:p>
        </w:tc>
        <w:tc>
          <w:tcPr>
            <w:tcW w:w="0" w:type="auto"/>
            <w:hideMark/>
          </w:tcPr>
          <w:p w:rsidR="00657B68" w:rsidRPr="009F491F" w:rsidRDefault="00657B68" w:rsidP="006D68A8">
            <w:pPr>
              <w:jc w:val="center"/>
              <w:rPr>
                <w:rFonts w:ascii="Arial" w:hAnsi="Arial" w:cs="Arial"/>
                <w:sz w:val="20"/>
                <w:lang w:eastAsia="en-AU"/>
              </w:rPr>
            </w:pPr>
            <w:r w:rsidRPr="009F491F">
              <w:rPr>
                <w:rFonts w:cs="Arial"/>
                <w:b/>
                <w:bCs/>
                <w:color w:val="000000"/>
                <w:kern w:val="24"/>
                <w:sz w:val="20"/>
                <w:lang w:eastAsia="en-AU"/>
              </w:rPr>
              <w:t>Public</w:t>
            </w:r>
          </w:p>
        </w:tc>
      </w:tr>
      <w:tr w:rsidR="00657B68" w:rsidRPr="009F491F" w:rsidTr="006D68A8">
        <w:trPr>
          <w:trHeight w:val="345"/>
          <w:jc w:val="center"/>
        </w:trPr>
        <w:tc>
          <w:tcPr>
            <w:tcW w:w="1239" w:type="dxa"/>
            <w:vMerge w:val="restart"/>
            <w:tcBorders>
              <w:top w:val="single" w:sz="8" w:space="0" w:color="002776"/>
              <w:bottom w:val="nil"/>
            </w:tcBorders>
            <w:vAlign w:val="center"/>
            <w:hideMark/>
          </w:tcPr>
          <w:p w:rsidR="00657B68" w:rsidRPr="009F491F" w:rsidRDefault="00657B68" w:rsidP="006D68A8">
            <w:pPr>
              <w:rPr>
                <w:rFonts w:ascii="Arial" w:hAnsi="Arial" w:cs="Arial"/>
                <w:sz w:val="20"/>
                <w:lang w:eastAsia="en-AU"/>
              </w:rPr>
            </w:pPr>
            <w:r w:rsidRPr="009F491F">
              <w:rPr>
                <w:rFonts w:cs="Arial"/>
                <w:b/>
                <w:bCs/>
                <w:color w:val="000000"/>
                <w:kern w:val="24"/>
                <w:sz w:val="20"/>
                <w:lang w:eastAsia="en-AU"/>
              </w:rPr>
              <w:t>Market</w:t>
            </w:r>
          </w:p>
        </w:tc>
        <w:tc>
          <w:tcPr>
            <w:tcW w:w="3449" w:type="dxa"/>
            <w:vMerge w:val="restart"/>
            <w:tcBorders>
              <w:top w:val="single" w:sz="8" w:space="0" w:color="002776"/>
              <w:bottom w:val="nil"/>
            </w:tcBorders>
            <w:vAlign w:val="center"/>
            <w:hideMark/>
          </w:tcPr>
          <w:p w:rsidR="00657B68" w:rsidRPr="009F491F" w:rsidRDefault="00657B68" w:rsidP="006D68A8">
            <w:pPr>
              <w:rPr>
                <w:rFonts w:ascii="Arial" w:hAnsi="Arial" w:cs="Arial"/>
                <w:sz w:val="20"/>
                <w:lang w:eastAsia="en-AU"/>
              </w:rPr>
            </w:pPr>
            <w:r w:rsidRPr="009F491F">
              <w:rPr>
                <w:rFonts w:cs="Arial"/>
                <w:color w:val="000000"/>
                <w:kern w:val="24"/>
                <w:sz w:val="20"/>
                <w:lang w:eastAsia="en-AU"/>
              </w:rPr>
              <w:t>Increased earnings (through employment and productivity effects)</w:t>
            </w:r>
          </w:p>
        </w:tc>
        <w:tc>
          <w:tcPr>
            <w:tcW w:w="0" w:type="auto"/>
            <w:tcBorders>
              <w:top w:val="single" w:sz="8" w:space="0" w:color="002776"/>
              <w:bottom w:val="nil"/>
            </w:tcBorders>
            <w:vAlign w:val="center"/>
            <w:hideMark/>
          </w:tcPr>
          <w:p w:rsidR="00657B68" w:rsidRPr="009F491F" w:rsidRDefault="00657B68" w:rsidP="006D68A8">
            <w:pPr>
              <w:rPr>
                <w:rFonts w:ascii="Arial" w:hAnsi="Arial" w:cs="Arial"/>
                <w:sz w:val="20"/>
                <w:lang w:eastAsia="en-AU"/>
              </w:rPr>
            </w:pPr>
            <w:r w:rsidRPr="009F491F">
              <w:rPr>
                <w:rFonts w:cs="Arial"/>
                <w:color w:val="000000"/>
                <w:kern w:val="24"/>
                <w:sz w:val="20"/>
                <w:lang w:eastAsia="en-AU"/>
              </w:rPr>
              <w:t>Net government receipts</w:t>
            </w:r>
          </w:p>
        </w:tc>
      </w:tr>
      <w:tr w:rsidR="00657B68" w:rsidRPr="009F491F" w:rsidTr="006D68A8">
        <w:trPr>
          <w:trHeight w:val="70"/>
          <w:jc w:val="center"/>
        </w:trPr>
        <w:tc>
          <w:tcPr>
            <w:tcW w:w="1239" w:type="dxa"/>
            <w:vMerge/>
            <w:tcBorders>
              <w:top w:val="nil"/>
              <w:bottom w:val="single" w:sz="4" w:space="0" w:color="auto"/>
            </w:tcBorders>
            <w:vAlign w:val="center"/>
            <w:hideMark/>
          </w:tcPr>
          <w:p w:rsidR="00657B68" w:rsidRPr="009F491F" w:rsidRDefault="00657B68" w:rsidP="006D68A8">
            <w:pPr>
              <w:rPr>
                <w:rFonts w:ascii="Arial" w:hAnsi="Arial" w:cs="Arial"/>
                <w:sz w:val="20"/>
                <w:lang w:eastAsia="en-AU"/>
              </w:rPr>
            </w:pPr>
          </w:p>
        </w:tc>
        <w:tc>
          <w:tcPr>
            <w:tcW w:w="3449" w:type="dxa"/>
            <w:vMerge/>
            <w:tcBorders>
              <w:top w:val="nil"/>
              <w:bottom w:val="single" w:sz="4" w:space="0" w:color="auto"/>
            </w:tcBorders>
            <w:vAlign w:val="center"/>
            <w:hideMark/>
          </w:tcPr>
          <w:p w:rsidR="00657B68" w:rsidRPr="009F491F" w:rsidRDefault="00657B68" w:rsidP="006D68A8">
            <w:pPr>
              <w:rPr>
                <w:rFonts w:ascii="Arial" w:hAnsi="Arial" w:cs="Arial"/>
                <w:sz w:val="20"/>
                <w:lang w:eastAsia="en-AU"/>
              </w:rPr>
            </w:pPr>
          </w:p>
        </w:tc>
        <w:tc>
          <w:tcPr>
            <w:tcW w:w="0" w:type="auto"/>
            <w:tcBorders>
              <w:top w:val="nil"/>
              <w:bottom w:val="single" w:sz="4" w:space="0" w:color="auto"/>
            </w:tcBorders>
            <w:shd w:val="clear" w:color="auto" w:fill="auto"/>
            <w:vAlign w:val="center"/>
            <w:hideMark/>
          </w:tcPr>
          <w:p w:rsidR="00F25F52" w:rsidRPr="00654B96" w:rsidRDefault="00657B68" w:rsidP="006D68A8">
            <w:pPr>
              <w:rPr>
                <w:rStyle w:val="Boldword"/>
                <w:b w:val="0"/>
                <w:color w:val="auto"/>
                <w:sz w:val="20"/>
              </w:rPr>
            </w:pPr>
            <w:r>
              <w:rPr>
                <w:rStyle w:val="Boldword"/>
                <w:b w:val="0"/>
                <w:color w:val="auto"/>
                <w:sz w:val="20"/>
              </w:rPr>
              <w:t>Labour p</w:t>
            </w:r>
            <w:r w:rsidRPr="00654B96">
              <w:rPr>
                <w:rStyle w:val="Boldword"/>
                <w:b w:val="0"/>
                <w:color w:val="auto"/>
                <w:sz w:val="20"/>
              </w:rPr>
              <w:t>roductivity spillovers</w:t>
            </w:r>
          </w:p>
        </w:tc>
      </w:tr>
      <w:tr w:rsidR="00657B68" w:rsidRPr="009F491F" w:rsidTr="006D68A8">
        <w:trPr>
          <w:trHeight w:val="584"/>
          <w:jc w:val="center"/>
        </w:trPr>
        <w:tc>
          <w:tcPr>
            <w:tcW w:w="1239" w:type="dxa"/>
            <w:tcBorders>
              <w:top w:val="single" w:sz="4" w:space="0" w:color="auto"/>
            </w:tcBorders>
            <w:vAlign w:val="center"/>
            <w:hideMark/>
          </w:tcPr>
          <w:p w:rsidR="00657B68" w:rsidRPr="009F491F" w:rsidRDefault="00657B68" w:rsidP="006D68A8">
            <w:pPr>
              <w:rPr>
                <w:rFonts w:ascii="Arial" w:hAnsi="Arial" w:cs="Arial"/>
                <w:sz w:val="20"/>
                <w:lang w:eastAsia="en-AU"/>
              </w:rPr>
            </w:pPr>
            <w:r w:rsidRPr="009F491F">
              <w:rPr>
                <w:rFonts w:cs="Arial"/>
                <w:b/>
                <w:bCs/>
                <w:color w:val="000000"/>
                <w:kern w:val="24"/>
                <w:sz w:val="20"/>
                <w:lang w:eastAsia="en-AU"/>
              </w:rPr>
              <w:t xml:space="preserve">Non-market </w:t>
            </w:r>
          </w:p>
        </w:tc>
        <w:tc>
          <w:tcPr>
            <w:tcW w:w="3449" w:type="dxa"/>
            <w:tcBorders>
              <w:top w:val="single" w:sz="4" w:space="0" w:color="auto"/>
            </w:tcBorders>
            <w:vAlign w:val="center"/>
            <w:hideMark/>
          </w:tcPr>
          <w:p w:rsidR="00657B68" w:rsidRPr="009F491F" w:rsidRDefault="00657B68" w:rsidP="006D68A8">
            <w:pPr>
              <w:rPr>
                <w:rFonts w:ascii="Arial" w:hAnsi="Arial" w:cs="Arial"/>
                <w:sz w:val="20"/>
                <w:lang w:eastAsia="en-AU"/>
              </w:rPr>
            </w:pPr>
            <w:r w:rsidRPr="009F491F">
              <w:rPr>
                <w:rFonts w:cs="Arial"/>
                <w:color w:val="000000"/>
                <w:kern w:val="24"/>
                <w:sz w:val="20"/>
                <w:lang w:eastAsia="en-AU"/>
              </w:rPr>
              <w:t>Improved health and wellbeing, pure consumption effects</w:t>
            </w:r>
            <w:r w:rsidR="00F25F52">
              <w:rPr>
                <w:rFonts w:cs="Arial"/>
                <w:color w:val="000000"/>
                <w:kern w:val="24"/>
                <w:sz w:val="20"/>
                <w:lang w:eastAsia="en-AU"/>
              </w:rPr>
              <w:t>, etc.</w:t>
            </w:r>
          </w:p>
        </w:tc>
        <w:tc>
          <w:tcPr>
            <w:tcW w:w="0" w:type="auto"/>
            <w:tcBorders>
              <w:top w:val="single" w:sz="4" w:space="0" w:color="auto"/>
            </w:tcBorders>
            <w:vAlign w:val="center"/>
            <w:hideMark/>
          </w:tcPr>
          <w:p w:rsidR="00657B68" w:rsidRPr="009F491F" w:rsidRDefault="00657B68" w:rsidP="006D68A8">
            <w:pPr>
              <w:rPr>
                <w:rFonts w:ascii="Arial" w:hAnsi="Arial" w:cs="Arial"/>
                <w:sz w:val="20"/>
                <w:lang w:eastAsia="en-AU"/>
              </w:rPr>
            </w:pPr>
            <w:r w:rsidRPr="009F491F">
              <w:rPr>
                <w:rFonts w:cs="Arial"/>
                <w:color w:val="000000"/>
                <w:kern w:val="24"/>
                <w:sz w:val="20"/>
                <w:lang w:eastAsia="en-AU"/>
              </w:rPr>
              <w:t>Broader benefits like increased political stability, lower rates of poverty, reduced inequality etc.</w:t>
            </w:r>
          </w:p>
        </w:tc>
      </w:tr>
    </w:tbl>
    <w:p w:rsidR="00657B68" w:rsidRDefault="00F25F52" w:rsidP="00F25F52">
      <w:pPr>
        <w:pStyle w:val="BodyText"/>
      </w:pPr>
      <w:r>
        <w:lastRenderedPageBreak/>
        <w:t>As noted above, there is limited precedent in the empirical literature for providing robust quantitative estimates of the non-market returns to higher education (particularly in pecuniary terms). McMahon (2004; 2004; and 2009) provides some estimates at an aggregate level (i.e. across countries), but these estimates have limited applicability to Australia and cannot be said to vary on the basis of qualification and discipline.</w:t>
      </w:r>
    </w:p>
    <w:p w:rsidR="00F25F52" w:rsidRDefault="00F25F52" w:rsidP="00F25F52">
      <w:pPr>
        <w:pStyle w:val="BodyText"/>
      </w:pPr>
      <w:r>
        <w:t>Norton and Savage (2012) provide some basis for understanding how non-market benefits from higher education might manifest in Australia. However, their analysis is limited to more qualitative observations and has limited insight at the qualification and discipline level.</w:t>
      </w:r>
    </w:p>
    <w:p w:rsidR="00F25F52" w:rsidRDefault="00F25F52" w:rsidP="00F25F52">
      <w:pPr>
        <w:pStyle w:val="BodyText"/>
      </w:pPr>
      <w:r>
        <w:t>Due to the relative intractability of empirical methods towards measuring non-market benefits, the original quantitative analysis developed in this study therefore focus</w:t>
      </w:r>
      <w:r w:rsidR="00564480">
        <w:t>es</w:t>
      </w:r>
      <w:r>
        <w:t xml:space="preserve"> on market-based benefits from higher education, measured at the qualification, discipline and provider</w:t>
      </w:r>
      <w:r w:rsidR="00564480">
        <w:t>-</w:t>
      </w:r>
      <w:r>
        <w:t>specific level.</w:t>
      </w:r>
    </w:p>
    <w:p w:rsidR="0093736F" w:rsidRDefault="0093736F" w:rsidP="00F25F52">
      <w:pPr>
        <w:pStyle w:val="BodyText"/>
      </w:pPr>
      <w:r>
        <w:t>Further, while private benefits from higher education are known to vary on the basis of provider, this study will focus its original empirical analysis for public benefits on qualification and discipline specific benefit</w:t>
      </w:r>
      <w:r w:rsidR="004A4398">
        <w:t>s. This strategic focus is in response to the findings of Deloitte Access Economics (2014) which suggest that it may not be conceptually appropriate (in general terms) to consider how relative private and public benefits vary on the basis of provider.</w:t>
      </w:r>
    </w:p>
    <w:p w:rsidR="004A4398" w:rsidRDefault="004A4398" w:rsidP="00F25F52">
      <w:pPr>
        <w:pStyle w:val="BodyText"/>
      </w:pPr>
      <w:r>
        <w:t>Noting this study’s focus on market-based benefits measured quantitatively at a qualification and discipline level, t</w:t>
      </w:r>
      <w:r w:rsidR="0093736F">
        <w:t xml:space="preserve">he review of the requisite literature outlined above is </w:t>
      </w:r>
      <w:r>
        <w:t xml:space="preserve">also </w:t>
      </w:r>
      <w:r w:rsidR="0093736F">
        <w:t xml:space="preserve">used to </w:t>
      </w:r>
      <w:r>
        <w:t>further inform</w:t>
      </w:r>
      <w:r w:rsidR="0093736F">
        <w:t xml:space="preserve"> the areas of focus for original empirical research.</w:t>
      </w:r>
      <w:r>
        <w:t xml:space="preserve"> </w:t>
      </w:r>
    </w:p>
    <w:p w:rsidR="00F25F52" w:rsidRDefault="0093736F" w:rsidP="004A4398">
      <w:pPr>
        <w:pStyle w:val="BodyText"/>
        <w:keepNext/>
        <w:keepLines/>
      </w:pPr>
      <w:r>
        <w:t xml:space="preserve">As summarised </w:t>
      </w:r>
      <w:r w:rsidR="003B300E">
        <w:t xml:space="preserve">in </w:t>
      </w:r>
      <w:r>
        <w:fldChar w:fldCharType="begin"/>
      </w:r>
      <w:r>
        <w:instrText xml:space="preserve"> REF _Ref457732613 \r \h </w:instrText>
      </w:r>
      <w:r>
        <w:fldChar w:fldCharType="separate"/>
      </w:r>
      <w:r w:rsidR="00534F9F">
        <w:t>Table 2.3</w:t>
      </w:r>
      <w:r>
        <w:fldChar w:fldCharType="end"/>
      </w:r>
      <w:r>
        <w:t>, the most prominent gaps in the recent empirical literature are:</w:t>
      </w:r>
    </w:p>
    <w:p w:rsidR="0093736F" w:rsidRDefault="0093736F" w:rsidP="004A4398">
      <w:pPr>
        <w:pStyle w:val="Bullet1"/>
        <w:keepNext/>
        <w:keepLines/>
      </w:pPr>
      <w:r>
        <w:t>robust discipline-level private returns to higher education measured using econometric methods; and</w:t>
      </w:r>
    </w:p>
    <w:p w:rsidR="0093736F" w:rsidRDefault="0093736F" w:rsidP="004A4398">
      <w:pPr>
        <w:pStyle w:val="Bullet1"/>
        <w:keepNext/>
        <w:keepLines/>
      </w:pPr>
      <w:proofErr w:type="gramStart"/>
      <w:r>
        <w:t>broader</w:t>
      </w:r>
      <w:proofErr w:type="gramEnd"/>
      <w:r>
        <w:t xml:space="preserve"> market-based spill</w:t>
      </w:r>
      <w:r w:rsidR="00564480">
        <w:t>-</w:t>
      </w:r>
      <w:r>
        <w:t>over effects from higher education, measured at an aggregate level</w:t>
      </w:r>
      <w:r>
        <w:rPr>
          <w:rStyle w:val="FootnoteReference"/>
        </w:rPr>
        <w:footnoteReference w:id="31"/>
      </w:r>
      <w:r>
        <w:t xml:space="preserve"> and—most significantly—at a discipline and qualification level.</w:t>
      </w:r>
    </w:p>
    <w:p w:rsidR="00657B68" w:rsidRPr="00A078D3" w:rsidRDefault="00657B68" w:rsidP="00657B68">
      <w:pPr>
        <w:pStyle w:val="CaptionTable"/>
        <w:ind w:left="0"/>
        <w:rPr>
          <w:lang w:eastAsia="en-AU"/>
        </w:rPr>
      </w:pPr>
      <w:bookmarkStart w:id="41" w:name="_Ref457732613"/>
      <w:bookmarkStart w:id="42" w:name="_Toc465961123"/>
      <w:r>
        <w:rPr>
          <w:lang w:eastAsia="en-AU"/>
        </w:rPr>
        <w:t>: Recent empirical research on market benefits, and the gaps filled by this study</w:t>
      </w:r>
      <w:bookmarkEnd w:id="41"/>
      <w:bookmarkEnd w:id="42"/>
    </w:p>
    <w:tbl>
      <w:tblPr>
        <w:tblStyle w:val="TableAETotals1"/>
        <w:tblW w:w="0" w:type="auto"/>
        <w:tblLook w:val="0420" w:firstRow="1" w:lastRow="0" w:firstColumn="0" w:lastColumn="0" w:noHBand="0" w:noVBand="1"/>
      </w:tblPr>
      <w:tblGrid>
        <w:gridCol w:w="1648"/>
        <w:gridCol w:w="1518"/>
        <w:gridCol w:w="1518"/>
        <w:gridCol w:w="1676"/>
        <w:gridCol w:w="1861"/>
      </w:tblGrid>
      <w:tr w:rsidR="00657B68" w:rsidRPr="00A078D3" w:rsidTr="006D68A8">
        <w:trPr>
          <w:cnfStyle w:val="100000000000" w:firstRow="1" w:lastRow="0" w:firstColumn="0" w:lastColumn="0" w:oddVBand="0" w:evenVBand="0" w:oddHBand="0" w:evenHBand="0" w:firstRowFirstColumn="0" w:firstRowLastColumn="0" w:lastRowFirstColumn="0" w:lastRowLastColumn="0"/>
          <w:trHeight w:val="92"/>
        </w:trPr>
        <w:tc>
          <w:tcPr>
            <w:tcW w:w="0" w:type="auto"/>
            <w:tcBorders>
              <w:bottom w:val="nil"/>
            </w:tcBorders>
          </w:tcPr>
          <w:p w:rsidR="00657B68" w:rsidRPr="00A078D3" w:rsidRDefault="00657B68" w:rsidP="006E4888">
            <w:pPr>
              <w:pStyle w:val="BodyText"/>
              <w:spacing w:before="0"/>
              <w:rPr>
                <w:sz w:val="20"/>
              </w:rPr>
            </w:pPr>
          </w:p>
        </w:tc>
        <w:tc>
          <w:tcPr>
            <w:tcW w:w="0" w:type="auto"/>
            <w:gridSpan w:val="2"/>
            <w:tcBorders>
              <w:bottom w:val="single" w:sz="4" w:space="0" w:color="002776" w:themeColor="accent1"/>
              <w:right w:val="single" w:sz="4" w:space="0" w:color="auto"/>
            </w:tcBorders>
          </w:tcPr>
          <w:p w:rsidR="00657B68" w:rsidRPr="00A078D3" w:rsidRDefault="00657B68" w:rsidP="006E4888">
            <w:pPr>
              <w:pStyle w:val="BodyText"/>
              <w:spacing w:before="0"/>
              <w:jc w:val="center"/>
              <w:rPr>
                <w:b/>
                <w:bCs/>
                <w:sz w:val="20"/>
              </w:rPr>
            </w:pPr>
            <w:r>
              <w:rPr>
                <w:b/>
                <w:bCs/>
                <w:sz w:val="20"/>
              </w:rPr>
              <w:t>Private</w:t>
            </w:r>
          </w:p>
        </w:tc>
        <w:tc>
          <w:tcPr>
            <w:tcW w:w="0" w:type="auto"/>
            <w:gridSpan w:val="2"/>
            <w:tcBorders>
              <w:left w:val="single" w:sz="4" w:space="0" w:color="auto"/>
              <w:bottom w:val="single" w:sz="4" w:space="0" w:color="002776" w:themeColor="accent1"/>
            </w:tcBorders>
          </w:tcPr>
          <w:p w:rsidR="00657B68" w:rsidRPr="00A078D3" w:rsidRDefault="00657B68" w:rsidP="008A3940">
            <w:pPr>
              <w:pStyle w:val="BodyText"/>
              <w:spacing w:before="0"/>
              <w:jc w:val="center"/>
              <w:rPr>
                <w:b/>
                <w:bCs/>
                <w:sz w:val="20"/>
              </w:rPr>
            </w:pPr>
            <w:r>
              <w:rPr>
                <w:b/>
                <w:bCs/>
                <w:sz w:val="20"/>
              </w:rPr>
              <w:t>Public</w:t>
            </w:r>
          </w:p>
        </w:tc>
      </w:tr>
      <w:tr w:rsidR="00657B68" w:rsidRPr="00A078D3" w:rsidTr="006D68A8">
        <w:trPr>
          <w:trHeight w:val="70"/>
        </w:trPr>
        <w:tc>
          <w:tcPr>
            <w:tcW w:w="0" w:type="auto"/>
            <w:tcBorders>
              <w:top w:val="nil"/>
              <w:bottom w:val="single" w:sz="12" w:space="0" w:color="002776" w:themeColor="accent1"/>
            </w:tcBorders>
            <w:hideMark/>
          </w:tcPr>
          <w:p w:rsidR="00657B68" w:rsidRPr="00BD72E1" w:rsidRDefault="00657B68" w:rsidP="006E4888">
            <w:pPr>
              <w:pStyle w:val="BodyText"/>
              <w:spacing w:before="0"/>
              <w:rPr>
                <w:i/>
                <w:color w:val="002776" w:themeColor="accent1"/>
                <w:sz w:val="20"/>
              </w:rPr>
            </w:pPr>
            <w:r w:rsidRPr="00BD72E1">
              <w:rPr>
                <w:i/>
                <w:color w:val="002776" w:themeColor="accent1"/>
                <w:sz w:val="20"/>
              </w:rPr>
              <w:t>Benefits measured by:</w:t>
            </w:r>
          </w:p>
        </w:tc>
        <w:tc>
          <w:tcPr>
            <w:tcW w:w="0" w:type="auto"/>
            <w:tcBorders>
              <w:top w:val="single" w:sz="4" w:space="0" w:color="002776" w:themeColor="accent1"/>
              <w:bottom w:val="single" w:sz="12" w:space="0" w:color="002776" w:themeColor="accent1"/>
            </w:tcBorders>
            <w:hideMark/>
          </w:tcPr>
          <w:p w:rsidR="00657B68" w:rsidRPr="00A078D3" w:rsidRDefault="00657B68" w:rsidP="006E4888">
            <w:pPr>
              <w:pStyle w:val="BodyText"/>
              <w:spacing w:before="0"/>
              <w:jc w:val="center"/>
              <w:rPr>
                <w:sz w:val="20"/>
              </w:rPr>
            </w:pPr>
            <w:r>
              <w:rPr>
                <w:b/>
                <w:bCs/>
                <w:sz w:val="20"/>
              </w:rPr>
              <w:t>A</w:t>
            </w:r>
            <w:r w:rsidRPr="00A078D3">
              <w:rPr>
                <w:b/>
                <w:bCs/>
                <w:sz w:val="20"/>
              </w:rPr>
              <w:t>ccounting methods</w:t>
            </w:r>
          </w:p>
        </w:tc>
        <w:tc>
          <w:tcPr>
            <w:tcW w:w="0" w:type="auto"/>
            <w:tcBorders>
              <w:top w:val="single" w:sz="4" w:space="0" w:color="002776" w:themeColor="accent1"/>
              <w:bottom w:val="single" w:sz="12" w:space="0" w:color="002776" w:themeColor="accent1"/>
              <w:right w:val="single" w:sz="4" w:space="0" w:color="auto"/>
            </w:tcBorders>
            <w:hideMark/>
          </w:tcPr>
          <w:p w:rsidR="00657B68" w:rsidRPr="00A078D3" w:rsidRDefault="00657B68" w:rsidP="008A3940">
            <w:pPr>
              <w:pStyle w:val="BodyText"/>
              <w:spacing w:before="0"/>
              <w:jc w:val="center"/>
              <w:rPr>
                <w:sz w:val="20"/>
              </w:rPr>
            </w:pPr>
            <w:r>
              <w:rPr>
                <w:b/>
                <w:bCs/>
                <w:sz w:val="20"/>
              </w:rPr>
              <w:t>E</w:t>
            </w:r>
            <w:r w:rsidRPr="00A078D3">
              <w:rPr>
                <w:b/>
                <w:bCs/>
                <w:sz w:val="20"/>
              </w:rPr>
              <w:t>conometric methods</w:t>
            </w:r>
          </w:p>
        </w:tc>
        <w:tc>
          <w:tcPr>
            <w:tcW w:w="1747" w:type="dxa"/>
            <w:tcBorders>
              <w:top w:val="single" w:sz="4" w:space="0" w:color="002776" w:themeColor="accent1"/>
              <w:left w:val="single" w:sz="4" w:space="0" w:color="auto"/>
              <w:bottom w:val="single" w:sz="12" w:space="0" w:color="002776" w:themeColor="accent1"/>
            </w:tcBorders>
            <w:hideMark/>
          </w:tcPr>
          <w:p w:rsidR="00657B68" w:rsidRPr="00A078D3" w:rsidRDefault="00657B68" w:rsidP="004837F2">
            <w:pPr>
              <w:pStyle w:val="BodyText"/>
              <w:spacing w:before="0"/>
              <w:jc w:val="center"/>
              <w:rPr>
                <w:sz w:val="20"/>
              </w:rPr>
            </w:pPr>
            <w:r>
              <w:rPr>
                <w:b/>
                <w:bCs/>
                <w:sz w:val="20"/>
              </w:rPr>
              <w:t xml:space="preserve">Government </w:t>
            </w:r>
            <w:r w:rsidRPr="00A078D3">
              <w:rPr>
                <w:b/>
                <w:bCs/>
                <w:sz w:val="20"/>
              </w:rPr>
              <w:t>receipts</w:t>
            </w:r>
          </w:p>
        </w:tc>
        <w:tc>
          <w:tcPr>
            <w:tcW w:w="1949" w:type="dxa"/>
            <w:tcBorders>
              <w:top w:val="single" w:sz="4" w:space="0" w:color="002776" w:themeColor="accent1"/>
              <w:bottom w:val="single" w:sz="12" w:space="0" w:color="002776" w:themeColor="accent1"/>
            </w:tcBorders>
            <w:hideMark/>
          </w:tcPr>
          <w:p w:rsidR="00657B68" w:rsidRPr="00A078D3" w:rsidRDefault="00FE54A5" w:rsidP="00D24D9F">
            <w:pPr>
              <w:pStyle w:val="BodyText"/>
              <w:spacing w:before="0"/>
              <w:jc w:val="center"/>
              <w:rPr>
                <w:sz w:val="20"/>
              </w:rPr>
            </w:pPr>
            <w:r>
              <w:rPr>
                <w:b/>
                <w:bCs/>
                <w:sz w:val="20"/>
              </w:rPr>
              <w:t>Broader spillovers</w:t>
            </w:r>
          </w:p>
        </w:tc>
      </w:tr>
      <w:tr w:rsidR="00657B68" w:rsidRPr="00A078D3" w:rsidTr="006D68A8">
        <w:trPr>
          <w:trHeight w:val="772"/>
        </w:trPr>
        <w:tc>
          <w:tcPr>
            <w:tcW w:w="0" w:type="auto"/>
            <w:tcBorders>
              <w:top w:val="single" w:sz="12" w:space="0" w:color="002776" w:themeColor="accent1"/>
              <w:bottom w:val="single" w:sz="4" w:space="0" w:color="auto"/>
              <w:right w:val="single" w:sz="4" w:space="0" w:color="auto"/>
            </w:tcBorders>
            <w:hideMark/>
          </w:tcPr>
          <w:p w:rsidR="00657B68" w:rsidRPr="00BD72E1" w:rsidRDefault="00657B68" w:rsidP="006E4888">
            <w:pPr>
              <w:pStyle w:val="BodyText"/>
              <w:spacing w:before="0"/>
              <w:jc w:val="left"/>
              <w:rPr>
                <w:color w:val="002776" w:themeColor="accent1"/>
                <w:sz w:val="20"/>
              </w:rPr>
            </w:pPr>
            <w:r w:rsidRPr="00BD72E1">
              <w:rPr>
                <w:b/>
                <w:bCs/>
                <w:i/>
                <w:iCs/>
                <w:color w:val="002776" w:themeColor="accent1"/>
                <w:sz w:val="20"/>
              </w:rPr>
              <w:t>Field of study</w:t>
            </w:r>
          </w:p>
        </w:tc>
        <w:tc>
          <w:tcPr>
            <w:tcW w:w="0" w:type="auto"/>
            <w:vMerge w:val="restart"/>
            <w:tcBorders>
              <w:top w:val="single" w:sz="12" w:space="0" w:color="002776" w:themeColor="accent1"/>
              <w:left w:val="single" w:sz="4" w:space="0" w:color="auto"/>
              <w:bottom w:val="single" w:sz="4" w:space="0" w:color="auto"/>
              <w:right w:val="single" w:sz="4" w:space="0" w:color="auto"/>
            </w:tcBorders>
            <w:vAlign w:val="center"/>
            <w:hideMark/>
          </w:tcPr>
          <w:p w:rsidR="00657B68" w:rsidRPr="00A078D3" w:rsidRDefault="00657B68" w:rsidP="006E4888">
            <w:pPr>
              <w:pStyle w:val="BodyText"/>
              <w:numPr>
                <w:ilvl w:val="0"/>
                <w:numId w:val="22"/>
              </w:numPr>
              <w:spacing w:before="0"/>
              <w:ind w:left="170" w:hanging="170"/>
              <w:jc w:val="left"/>
              <w:rPr>
                <w:sz w:val="20"/>
              </w:rPr>
            </w:pPr>
            <w:r w:rsidRPr="00A078D3">
              <w:rPr>
                <w:sz w:val="20"/>
              </w:rPr>
              <w:t>Daly et al. (2015)</w:t>
            </w:r>
          </w:p>
          <w:p w:rsidR="00657B68" w:rsidRPr="00A078D3" w:rsidRDefault="00B5584C" w:rsidP="008A3940">
            <w:pPr>
              <w:pStyle w:val="BodyText"/>
              <w:numPr>
                <w:ilvl w:val="0"/>
                <w:numId w:val="22"/>
              </w:numPr>
              <w:spacing w:before="0"/>
              <w:ind w:left="170" w:hanging="170"/>
              <w:jc w:val="left"/>
              <w:rPr>
                <w:sz w:val="20"/>
              </w:rPr>
            </w:pPr>
            <w:r>
              <w:rPr>
                <w:sz w:val="20"/>
              </w:rPr>
              <w:t>Norton (2012</w:t>
            </w:r>
            <w:r w:rsidR="00657B68" w:rsidRPr="00A078D3">
              <w:rPr>
                <w:sz w:val="20"/>
              </w:rPr>
              <w:t>)</w:t>
            </w:r>
          </w:p>
        </w:tc>
        <w:tc>
          <w:tcPr>
            <w:tcW w:w="0" w:type="auto"/>
            <w:tcBorders>
              <w:top w:val="single" w:sz="12" w:space="0" w:color="002776" w:themeColor="accent1"/>
              <w:left w:val="single" w:sz="4" w:space="0" w:color="auto"/>
              <w:bottom w:val="single" w:sz="4" w:space="0" w:color="auto"/>
              <w:right w:val="single" w:sz="4" w:space="0" w:color="auto"/>
            </w:tcBorders>
            <w:shd w:val="clear" w:color="auto" w:fill="C6D9F1" w:themeFill="text2" w:themeFillTint="33"/>
            <w:vAlign w:val="center"/>
            <w:hideMark/>
          </w:tcPr>
          <w:p w:rsidR="00657B68" w:rsidRPr="00A078D3" w:rsidRDefault="00657B68" w:rsidP="004837F2">
            <w:pPr>
              <w:pStyle w:val="BodyText"/>
              <w:spacing w:before="0"/>
              <w:jc w:val="left"/>
              <w:rPr>
                <w:sz w:val="20"/>
              </w:rPr>
            </w:pPr>
            <w:r w:rsidRPr="00A078D3">
              <w:rPr>
                <w:b/>
                <w:bCs/>
                <w:sz w:val="20"/>
              </w:rPr>
              <w:t>Gap filled by this</w:t>
            </w:r>
            <w:r>
              <w:rPr>
                <w:b/>
                <w:bCs/>
                <w:sz w:val="20"/>
              </w:rPr>
              <w:t xml:space="preserve"> </w:t>
            </w:r>
            <w:r w:rsidRPr="00A078D3">
              <w:rPr>
                <w:b/>
                <w:bCs/>
                <w:sz w:val="20"/>
              </w:rPr>
              <w:t xml:space="preserve">study </w:t>
            </w:r>
          </w:p>
        </w:tc>
        <w:tc>
          <w:tcPr>
            <w:tcW w:w="1747" w:type="dxa"/>
            <w:vMerge w:val="restart"/>
            <w:tcBorders>
              <w:top w:val="single" w:sz="12" w:space="0" w:color="002776" w:themeColor="accent1"/>
              <w:left w:val="single" w:sz="4" w:space="0" w:color="auto"/>
              <w:bottom w:val="single" w:sz="4" w:space="0" w:color="auto"/>
              <w:right w:val="single" w:sz="4" w:space="0" w:color="auto"/>
            </w:tcBorders>
            <w:vAlign w:val="center"/>
            <w:hideMark/>
          </w:tcPr>
          <w:p w:rsidR="00657B68" w:rsidRPr="00A078D3" w:rsidRDefault="00657B68" w:rsidP="00D24D9F">
            <w:pPr>
              <w:pStyle w:val="BodyText"/>
              <w:numPr>
                <w:ilvl w:val="0"/>
                <w:numId w:val="23"/>
              </w:numPr>
              <w:spacing w:before="0"/>
              <w:ind w:left="170" w:hanging="170"/>
              <w:jc w:val="left"/>
              <w:rPr>
                <w:sz w:val="20"/>
              </w:rPr>
            </w:pPr>
            <w:r w:rsidRPr="00A078D3">
              <w:rPr>
                <w:sz w:val="20"/>
              </w:rPr>
              <w:t>Norton (201</w:t>
            </w:r>
            <w:r w:rsidR="00B5584C">
              <w:rPr>
                <w:sz w:val="20"/>
              </w:rPr>
              <w:t>2</w:t>
            </w:r>
            <w:r w:rsidRPr="00A078D3">
              <w:rPr>
                <w:sz w:val="20"/>
              </w:rPr>
              <w:t>)</w:t>
            </w:r>
          </w:p>
        </w:tc>
        <w:tc>
          <w:tcPr>
            <w:tcW w:w="1949" w:type="dxa"/>
            <w:vMerge w:val="restart"/>
            <w:tcBorders>
              <w:top w:val="single" w:sz="12" w:space="0" w:color="002776" w:themeColor="accent1"/>
              <w:left w:val="single" w:sz="4" w:space="0" w:color="auto"/>
              <w:bottom w:val="single" w:sz="4" w:space="0" w:color="auto"/>
            </w:tcBorders>
            <w:shd w:val="clear" w:color="auto" w:fill="C6D9F1" w:themeFill="text2" w:themeFillTint="33"/>
            <w:vAlign w:val="center"/>
            <w:hideMark/>
          </w:tcPr>
          <w:p w:rsidR="00657B68" w:rsidRPr="00A078D3" w:rsidRDefault="00657B68" w:rsidP="00D24D9F">
            <w:pPr>
              <w:pStyle w:val="BodyText"/>
              <w:spacing w:before="0"/>
              <w:jc w:val="left"/>
              <w:rPr>
                <w:sz w:val="20"/>
              </w:rPr>
            </w:pPr>
            <w:r w:rsidRPr="00A078D3">
              <w:rPr>
                <w:b/>
                <w:bCs/>
                <w:sz w:val="20"/>
              </w:rPr>
              <w:t xml:space="preserve">Gap filled by this study </w:t>
            </w:r>
          </w:p>
        </w:tc>
      </w:tr>
      <w:tr w:rsidR="00657B68" w:rsidRPr="00A078D3" w:rsidTr="006D68A8">
        <w:trPr>
          <w:trHeight w:val="60"/>
        </w:trPr>
        <w:tc>
          <w:tcPr>
            <w:tcW w:w="0" w:type="auto"/>
            <w:tcBorders>
              <w:top w:val="single" w:sz="4" w:space="0" w:color="auto"/>
              <w:bottom w:val="single" w:sz="4" w:space="0" w:color="auto"/>
              <w:right w:val="single" w:sz="4" w:space="0" w:color="auto"/>
            </w:tcBorders>
            <w:hideMark/>
          </w:tcPr>
          <w:p w:rsidR="00657B68" w:rsidRPr="00BD72E1" w:rsidRDefault="00657B68" w:rsidP="006E4888">
            <w:pPr>
              <w:pStyle w:val="BodyText"/>
              <w:spacing w:before="0"/>
              <w:jc w:val="left"/>
              <w:rPr>
                <w:color w:val="002776" w:themeColor="accent1"/>
                <w:sz w:val="20"/>
              </w:rPr>
            </w:pPr>
            <w:r w:rsidRPr="00BD72E1">
              <w:rPr>
                <w:b/>
                <w:bCs/>
                <w:i/>
                <w:iCs/>
                <w:color w:val="002776" w:themeColor="accent1"/>
                <w:sz w:val="20"/>
              </w:rPr>
              <w:t>Qualification level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7B68" w:rsidRPr="00A078D3" w:rsidRDefault="00657B68" w:rsidP="00D24D9F">
            <w:pPr>
              <w:pStyle w:val="BodyText"/>
              <w:spacing w:before="0"/>
              <w:ind w:left="170" w:hanging="170"/>
              <w:jc w:val="left"/>
              <w:rPr>
                <w:sz w:val="20"/>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657B68" w:rsidRPr="00A078D3" w:rsidRDefault="00657B68" w:rsidP="00D24D9F">
            <w:pPr>
              <w:pStyle w:val="BodyText"/>
              <w:numPr>
                <w:ilvl w:val="0"/>
                <w:numId w:val="24"/>
              </w:numPr>
              <w:spacing w:before="0"/>
              <w:ind w:left="170" w:hanging="170"/>
              <w:jc w:val="left"/>
              <w:rPr>
                <w:sz w:val="20"/>
              </w:rPr>
            </w:pPr>
            <w:r w:rsidRPr="00A078D3">
              <w:rPr>
                <w:sz w:val="20"/>
              </w:rPr>
              <w:t xml:space="preserve">Wilkins (2015) – </w:t>
            </w:r>
            <w:r w:rsidRPr="00A078D3">
              <w:rPr>
                <w:i/>
                <w:iCs/>
                <w:sz w:val="20"/>
              </w:rPr>
              <w:t xml:space="preserve">also </w:t>
            </w:r>
            <w:r w:rsidRPr="00A078D3">
              <w:rPr>
                <w:i/>
                <w:iCs/>
                <w:sz w:val="20"/>
              </w:rPr>
              <w:lastRenderedPageBreak/>
              <w:t>looked at provider level</w:t>
            </w:r>
          </w:p>
          <w:p w:rsidR="00657B68" w:rsidRPr="00A078D3" w:rsidRDefault="00657B68" w:rsidP="00D24D9F">
            <w:pPr>
              <w:pStyle w:val="BodyText"/>
              <w:numPr>
                <w:ilvl w:val="0"/>
                <w:numId w:val="24"/>
              </w:numPr>
              <w:spacing w:before="0"/>
              <w:ind w:left="170" w:hanging="170"/>
              <w:jc w:val="left"/>
              <w:rPr>
                <w:sz w:val="20"/>
              </w:rPr>
            </w:pPr>
            <w:r w:rsidRPr="00A078D3">
              <w:rPr>
                <w:sz w:val="20"/>
              </w:rPr>
              <w:t>Sinning</w:t>
            </w:r>
            <w:r w:rsidR="00F950D0">
              <w:rPr>
                <w:sz w:val="20"/>
              </w:rPr>
              <w:t xml:space="preserve"> (2014</w:t>
            </w:r>
            <w:r w:rsidRPr="00A078D3">
              <w:rPr>
                <w:sz w:val="20"/>
              </w:rPr>
              <w:t>)</w:t>
            </w:r>
          </w:p>
          <w:p w:rsidR="00657B68" w:rsidRPr="00A078D3" w:rsidRDefault="00657B68" w:rsidP="00D24D9F">
            <w:pPr>
              <w:pStyle w:val="BodyText"/>
              <w:numPr>
                <w:ilvl w:val="0"/>
                <w:numId w:val="24"/>
              </w:numPr>
              <w:spacing w:before="0"/>
              <w:ind w:left="170" w:hanging="170"/>
              <w:jc w:val="left"/>
              <w:rPr>
                <w:sz w:val="20"/>
              </w:rPr>
            </w:pPr>
            <w:r w:rsidRPr="00A078D3">
              <w:rPr>
                <w:sz w:val="20"/>
              </w:rPr>
              <w:t>Leigh (2008)</w:t>
            </w:r>
          </w:p>
        </w:tc>
        <w:tc>
          <w:tcPr>
            <w:tcW w:w="1747" w:type="dxa"/>
            <w:vMerge/>
            <w:tcBorders>
              <w:top w:val="single" w:sz="4" w:space="0" w:color="auto"/>
              <w:left w:val="single" w:sz="4" w:space="0" w:color="auto"/>
              <w:bottom w:val="single" w:sz="4" w:space="0" w:color="auto"/>
              <w:right w:val="single" w:sz="4" w:space="0" w:color="auto"/>
            </w:tcBorders>
            <w:vAlign w:val="center"/>
            <w:hideMark/>
          </w:tcPr>
          <w:p w:rsidR="00657B68" w:rsidRPr="00A078D3" w:rsidRDefault="00657B68" w:rsidP="00D24D9F">
            <w:pPr>
              <w:pStyle w:val="BodyText"/>
              <w:spacing w:before="0"/>
              <w:ind w:left="170" w:hanging="170"/>
              <w:jc w:val="left"/>
              <w:rPr>
                <w:sz w:val="20"/>
              </w:rPr>
            </w:pPr>
          </w:p>
        </w:tc>
        <w:tc>
          <w:tcPr>
            <w:tcW w:w="1949" w:type="dxa"/>
            <w:vMerge/>
            <w:tcBorders>
              <w:top w:val="single" w:sz="4" w:space="0" w:color="auto"/>
              <w:left w:val="single" w:sz="4" w:space="0" w:color="auto"/>
              <w:bottom w:val="single" w:sz="4" w:space="0" w:color="auto"/>
            </w:tcBorders>
            <w:shd w:val="clear" w:color="auto" w:fill="C6D9F1" w:themeFill="text2" w:themeFillTint="33"/>
            <w:vAlign w:val="center"/>
            <w:hideMark/>
          </w:tcPr>
          <w:p w:rsidR="00657B68" w:rsidRPr="00A078D3" w:rsidRDefault="00657B68" w:rsidP="00D24D9F">
            <w:pPr>
              <w:pStyle w:val="BodyText"/>
              <w:spacing w:before="0"/>
              <w:ind w:left="170" w:hanging="170"/>
              <w:jc w:val="left"/>
              <w:rPr>
                <w:sz w:val="20"/>
              </w:rPr>
            </w:pPr>
          </w:p>
        </w:tc>
      </w:tr>
      <w:tr w:rsidR="00657B68" w:rsidRPr="00A078D3" w:rsidTr="0093736F">
        <w:trPr>
          <w:trHeight w:val="1048"/>
        </w:trPr>
        <w:tc>
          <w:tcPr>
            <w:tcW w:w="0" w:type="auto"/>
            <w:tcBorders>
              <w:top w:val="single" w:sz="4" w:space="0" w:color="auto"/>
              <w:bottom w:val="single" w:sz="12" w:space="0" w:color="002776"/>
              <w:right w:val="single" w:sz="4" w:space="0" w:color="auto"/>
            </w:tcBorders>
            <w:hideMark/>
          </w:tcPr>
          <w:p w:rsidR="00657B68" w:rsidRPr="00BD72E1" w:rsidRDefault="00657B68" w:rsidP="006E4888">
            <w:pPr>
              <w:pStyle w:val="BodyText"/>
              <w:spacing w:before="0"/>
              <w:jc w:val="left"/>
              <w:rPr>
                <w:color w:val="002776" w:themeColor="accent1"/>
                <w:sz w:val="20"/>
              </w:rPr>
            </w:pPr>
            <w:r w:rsidRPr="00BD72E1">
              <w:rPr>
                <w:b/>
                <w:bCs/>
                <w:i/>
                <w:iCs/>
                <w:color w:val="002776" w:themeColor="accent1"/>
                <w:sz w:val="20"/>
              </w:rPr>
              <w:lastRenderedPageBreak/>
              <w:t>At an aggregate level</w:t>
            </w:r>
          </w:p>
        </w:tc>
        <w:tc>
          <w:tcPr>
            <w:tcW w:w="0" w:type="auto"/>
            <w:tcBorders>
              <w:top w:val="single" w:sz="4" w:space="0" w:color="auto"/>
              <w:left w:val="single" w:sz="4" w:space="0" w:color="auto"/>
              <w:bottom w:val="single" w:sz="12" w:space="0" w:color="002776"/>
              <w:right w:val="single" w:sz="4" w:space="0" w:color="auto"/>
            </w:tcBorders>
            <w:vAlign w:val="center"/>
            <w:hideMark/>
          </w:tcPr>
          <w:p w:rsidR="00657B68" w:rsidRPr="00A078D3" w:rsidRDefault="00657B68" w:rsidP="006E4888">
            <w:pPr>
              <w:pStyle w:val="BodyText"/>
              <w:numPr>
                <w:ilvl w:val="0"/>
                <w:numId w:val="25"/>
              </w:numPr>
              <w:spacing w:before="0"/>
              <w:ind w:left="170" w:hanging="170"/>
              <w:jc w:val="left"/>
              <w:rPr>
                <w:sz w:val="20"/>
              </w:rPr>
            </w:pPr>
            <w:r w:rsidRPr="00A078D3">
              <w:rPr>
                <w:sz w:val="20"/>
              </w:rPr>
              <w:t>Chapman and Lounkaew (2011, 2015)</w:t>
            </w:r>
          </w:p>
          <w:p w:rsidR="00657B68" w:rsidRPr="00A078D3" w:rsidRDefault="00657B68" w:rsidP="008A3940">
            <w:pPr>
              <w:pStyle w:val="BodyText"/>
              <w:numPr>
                <w:ilvl w:val="0"/>
                <w:numId w:val="25"/>
              </w:numPr>
              <w:spacing w:before="0"/>
              <w:ind w:left="170" w:hanging="170"/>
              <w:jc w:val="left"/>
              <w:rPr>
                <w:sz w:val="20"/>
              </w:rPr>
            </w:pPr>
            <w:r w:rsidRPr="00A078D3">
              <w:rPr>
                <w:sz w:val="20"/>
              </w:rPr>
              <w:t>OECD Education at a Glance (2014)</w:t>
            </w:r>
          </w:p>
        </w:tc>
        <w:tc>
          <w:tcPr>
            <w:tcW w:w="0" w:type="auto"/>
            <w:vMerge/>
            <w:tcBorders>
              <w:top w:val="single" w:sz="4" w:space="0" w:color="auto"/>
              <w:left w:val="single" w:sz="4" w:space="0" w:color="auto"/>
              <w:bottom w:val="single" w:sz="12" w:space="0" w:color="002776"/>
              <w:right w:val="single" w:sz="4" w:space="0" w:color="auto"/>
            </w:tcBorders>
            <w:vAlign w:val="center"/>
            <w:hideMark/>
          </w:tcPr>
          <w:p w:rsidR="00657B68" w:rsidRPr="00A078D3" w:rsidRDefault="00657B68" w:rsidP="00D24D9F">
            <w:pPr>
              <w:pStyle w:val="BodyText"/>
              <w:spacing w:before="0"/>
              <w:ind w:left="170" w:hanging="170"/>
              <w:jc w:val="left"/>
              <w:rPr>
                <w:sz w:val="20"/>
              </w:rPr>
            </w:pPr>
          </w:p>
        </w:tc>
        <w:tc>
          <w:tcPr>
            <w:tcW w:w="1747" w:type="dxa"/>
            <w:tcBorders>
              <w:top w:val="single" w:sz="4" w:space="0" w:color="auto"/>
              <w:left w:val="single" w:sz="4" w:space="0" w:color="auto"/>
              <w:bottom w:val="single" w:sz="12" w:space="0" w:color="002776"/>
              <w:right w:val="single" w:sz="4" w:space="0" w:color="auto"/>
            </w:tcBorders>
            <w:vAlign w:val="center"/>
            <w:hideMark/>
          </w:tcPr>
          <w:p w:rsidR="00657B68" w:rsidRPr="00A078D3" w:rsidRDefault="00657B68" w:rsidP="00D24D9F">
            <w:pPr>
              <w:pStyle w:val="BodyText"/>
              <w:numPr>
                <w:ilvl w:val="0"/>
                <w:numId w:val="25"/>
              </w:numPr>
              <w:spacing w:before="0"/>
              <w:ind w:left="170" w:hanging="170"/>
              <w:jc w:val="left"/>
              <w:rPr>
                <w:sz w:val="20"/>
              </w:rPr>
            </w:pPr>
            <w:r w:rsidRPr="00A078D3">
              <w:rPr>
                <w:sz w:val="20"/>
              </w:rPr>
              <w:t>OECD education at a glance (2014)</w:t>
            </w:r>
          </w:p>
          <w:p w:rsidR="00657B68" w:rsidRPr="00A078D3" w:rsidRDefault="00B5584C" w:rsidP="00D24D9F">
            <w:pPr>
              <w:pStyle w:val="BodyText"/>
              <w:numPr>
                <w:ilvl w:val="0"/>
                <w:numId w:val="25"/>
              </w:numPr>
              <w:spacing w:before="0"/>
              <w:ind w:left="170" w:hanging="170"/>
              <w:jc w:val="left"/>
              <w:rPr>
                <w:sz w:val="20"/>
              </w:rPr>
            </w:pPr>
            <w:r>
              <w:rPr>
                <w:sz w:val="20"/>
              </w:rPr>
              <w:t>Norton (2012</w:t>
            </w:r>
            <w:r w:rsidR="00657B68" w:rsidRPr="00A078D3">
              <w:rPr>
                <w:sz w:val="20"/>
              </w:rPr>
              <w:t>)</w:t>
            </w:r>
          </w:p>
        </w:tc>
        <w:tc>
          <w:tcPr>
            <w:tcW w:w="1949" w:type="dxa"/>
            <w:tcBorders>
              <w:top w:val="single" w:sz="4" w:space="0" w:color="auto"/>
              <w:left w:val="single" w:sz="4" w:space="0" w:color="auto"/>
              <w:bottom w:val="single" w:sz="12" w:space="0" w:color="002776"/>
            </w:tcBorders>
            <w:shd w:val="clear" w:color="auto" w:fill="C6D9F1" w:themeFill="text2" w:themeFillTint="33"/>
            <w:vAlign w:val="center"/>
            <w:hideMark/>
          </w:tcPr>
          <w:p w:rsidR="00657B68" w:rsidRPr="00A078D3" w:rsidRDefault="00657B68" w:rsidP="00D24D9F">
            <w:pPr>
              <w:pStyle w:val="BodyText"/>
              <w:numPr>
                <w:ilvl w:val="0"/>
                <w:numId w:val="25"/>
              </w:numPr>
              <w:spacing w:before="0"/>
              <w:ind w:left="170" w:hanging="170"/>
              <w:jc w:val="left"/>
              <w:rPr>
                <w:sz w:val="20"/>
              </w:rPr>
            </w:pPr>
            <w:r w:rsidRPr="00A078D3">
              <w:rPr>
                <w:sz w:val="20"/>
              </w:rPr>
              <w:t>McMahon (various)</w:t>
            </w:r>
            <w:r>
              <w:rPr>
                <w:rStyle w:val="FootnoteReference"/>
              </w:rPr>
              <w:footnoteReference w:id="32"/>
            </w:r>
          </w:p>
          <w:p w:rsidR="00657B68" w:rsidRPr="00A078D3" w:rsidRDefault="00657B68" w:rsidP="00D24D9F">
            <w:pPr>
              <w:pStyle w:val="BodyText"/>
              <w:numPr>
                <w:ilvl w:val="0"/>
                <w:numId w:val="25"/>
              </w:numPr>
              <w:spacing w:before="0"/>
              <w:ind w:left="170" w:hanging="170"/>
              <w:jc w:val="left"/>
              <w:rPr>
                <w:sz w:val="20"/>
              </w:rPr>
            </w:pPr>
            <w:r w:rsidRPr="00A078D3">
              <w:rPr>
                <w:sz w:val="20"/>
              </w:rPr>
              <w:t>Chapman and Lounkaew (2011, 2015)</w:t>
            </w:r>
            <w:r>
              <w:rPr>
                <w:rStyle w:val="FootnoteReference"/>
              </w:rPr>
              <w:footnoteReference w:id="33"/>
            </w:r>
            <w:r w:rsidRPr="00A078D3">
              <w:rPr>
                <w:sz w:val="20"/>
              </w:rPr>
              <w:t xml:space="preserve"> – </w:t>
            </w:r>
            <w:r w:rsidRPr="00A078D3">
              <w:rPr>
                <w:i/>
                <w:iCs/>
                <w:sz w:val="20"/>
              </w:rPr>
              <w:t xml:space="preserve">draws explicitly on McMahon </w:t>
            </w:r>
          </w:p>
        </w:tc>
      </w:tr>
    </w:tbl>
    <w:p w:rsidR="00120642" w:rsidRDefault="004A4398" w:rsidP="004A4398">
      <w:pPr>
        <w:pStyle w:val="BodyText"/>
      </w:pPr>
      <w:r>
        <w:t xml:space="preserve">In </w:t>
      </w:r>
      <w:r w:rsidR="00564480">
        <w:t xml:space="preserve">seeking to provide </w:t>
      </w:r>
      <w:r>
        <w:t>a more comprehensive and robust empirical base on the private and public benefits from higher education</w:t>
      </w:r>
      <w:r w:rsidR="00120642">
        <w:t xml:space="preserve">, this study’s methodological approach directly </w:t>
      </w:r>
      <w:r w:rsidR="00564480">
        <w:t xml:space="preserve">bridges </w:t>
      </w:r>
      <w:r w:rsidR="00120642">
        <w:t>the gaps identified in the relevant literature summarised above. The following section outlines the specific implications of this literature review on this analytical approach, motivating the analysis and finding presented in the following sections of this report.</w:t>
      </w:r>
    </w:p>
    <w:p w:rsidR="00657B68" w:rsidRPr="00840B45" w:rsidRDefault="007766DF" w:rsidP="007766DF">
      <w:pPr>
        <w:pStyle w:val="Heading3"/>
        <w:rPr>
          <w:szCs w:val="22"/>
        </w:rPr>
      </w:pPr>
      <w:r>
        <w:t>Implications for this study’s a</w:t>
      </w:r>
      <w:r w:rsidR="00657B68" w:rsidRPr="00840B45">
        <w:t>nalytical approach</w:t>
      </w:r>
    </w:p>
    <w:p w:rsidR="00657B68" w:rsidRDefault="00120642" w:rsidP="00120642">
      <w:pPr>
        <w:pStyle w:val="HeadingC"/>
      </w:pPr>
      <w:r>
        <w:t>Private benefits</w:t>
      </w:r>
    </w:p>
    <w:p w:rsidR="00120642" w:rsidRDefault="00120642" w:rsidP="00120642">
      <w:pPr>
        <w:pStyle w:val="BodyText"/>
      </w:pPr>
      <w:r>
        <w:t>This study expands on previous econometric studies of the returns to higher education with a focus of estimating the returns to specific qualification levels</w:t>
      </w:r>
      <w:r w:rsidR="00023C9E">
        <w:t>, disciplines and providers</w:t>
      </w:r>
      <w:r>
        <w:t>. The analysis utilises micro-econometric modelling on a large panel dataset (namely, the HILDA dataset) to estimate the private returns from higher education across each dimension</w:t>
      </w:r>
      <w:r w:rsidR="00023C9E">
        <w:t xml:space="preserve"> (qualification, discipline and provider)</w:t>
      </w:r>
      <w:r>
        <w:t xml:space="preserve">, controlling for differences in cohorts and address ability bias (see Wilkins, 2015; Leigh, 2008; and Sinning, 2014, among others). </w:t>
      </w:r>
      <w:r w:rsidR="004068B4">
        <w:t>These estimates include returns from higher education in terms of higher rates of employment, as well as higher wage premiums related to higher labour productivity.</w:t>
      </w:r>
    </w:p>
    <w:p w:rsidR="00023C9E" w:rsidRDefault="00023C9E" w:rsidP="00120642">
      <w:pPr>
        <w:pStyle w:val="BodyText"/>
      </w:pPr>
      <w:r>
        <w:t xml:space="preserve">A primary consideration in this approach is overcoming challenges faced by previous studies regarding sample size. Estimating effects for specific combinations of qualification, discipline and provider, while simultaneously controlling for observed demographic and ability characteristics, may mean that there </w:t>
      </w:r>
      <w:r w:rsidR="00564480">
        <w:t xml:space="preserve">are </w:t>
      </w:r>
      <w:r>
        <w:t>insufficient degrees of freedom available to develop robust estimates (Sinning, 2014). This challenge is overcome by a number of methodological approaches, which extend upon previous literature</w:t>
      </w:r>
      <w:r w:rsidR="00564480">
        <w:t>,</w:t>
      </w:r>
      <w:r>
        <w:t xml:space="preserve"> including:</w:t>
      </w:r>
    </w:p>
    <w:p w:rsidR="00023C9E" w:rsidRDefault="00023C9E" w:rsidP="00023C9E">
      <w:pPr>
        <w:pStyle w:val="Bullet1"/>
      </w:pPr>
      <w:r>
        <w:t xml:space="preserve">strategically clustering disciplines of study into </w:t>
      </w:r>
      <w:r w:rsidR="00564480">
        <w:t xml:space="preserve">sufficiently </w:t>
      </w:r>
      <w:r>
        <w:t xml:space="preserve">large groups (with similar characteristics) to allow for </w:t>
      </w:r>
      <w:r w:rsidR="00564480">
        <w:t xml:space="preserve">statistically </w:t>
      </w:r>
      <w:r>
        <w:t>significant estimates to be generated, while also retaining meaningful variation in effects;</w:t>
      </w:r>
    </w:p>
    <w:p w:rsidR="004068B4" w:rsidRDefault="00023C9E" w:rsidP="00023C9E">
      <w:pPr>
        <w:pStyle w:val="Bullet1"/>
      </w:pPr>
      <w:r>
        <w:t>independently estimating qualification, discipline and provider specific effects, thereby retaining sufficient degrees of freedom in the econometric analysis</w:t>
      </w:r>
      <w:r w:rsidR="004068B4">
        <w:t>; and</w:t>
      </w:r>
    </w:p>
    <w:p w:rsidR="00023C9E" w:rsidRDefault="004068B4" w:rsidP="00023C9E">
      <w:pPr>
        <w:pStyle w:val="Bullet1"/>
      </w:pPr>
      <w:proofErr w:type="gramStart"/>
      <w:r>
        <w:t>considering</w:t>
      </w:r>
      <w:proofErr w:type="gramEnd"/>
      <w:r>
        <w:t xml:space="preserve"> how qualification effects vary based on age, to capture the degree of persistence in the returns from higher education over the course of a person’s career</w:t>
      </w:r>
      <w:r w:rsidR="00023C9E">
        <w:t>.</w:t>
      </w:r>
    </w:p>
    <w:p w:rsidR="00023C9E" w:rsidRDefault="004068B4" w:rsidP="004068B4">
      <w:pPr>
        <w:pStyle w:val="BodyText"/>
      </w:pPr>
      <w:r>
        <w:t xml:space="preserve">The results from this analysis comprise a set </w:t>
      </w:r>
      <w:r w:rsidR="00564480">
        <w:t xml:space="preserve">of </w:t>
      </w:r>
      <w:r>
        <w:t xml:space="preserve">wage premium estimates, related to specific higher education qualification levels, disciplines and providers. These estimates are comparable to the results from similar studies (e.g. Wilkins, 2015). With the use of ABS </w:t>
      </w:r>
      <w:r>
        <w:lastRenderedPageBreak/>
        <w:t>Census data, it is also possible to use these results to measure comparable estimates to Norton (2012) and Daly et al. (2015), including net present value (NPV) measures of private benefits which can be used to calculate internal rates of return (IRR) or returns on investment (ROI).</w:t>
      </w:r>
    </w:p>
    <w:p w:rsidR="00120642" w:rsidRDefault="00120642" w:rsidP="00120642">
      <w:pPr>
        <w:pStyle w:val="BodyText"/>
      </w:pPr>
      <w:r>
        <w:t xml:space="preserve">The </w:t>
      </w:r>
      <w:r w:rsidR="004068B4">
        <w:t>wage premium</w:t>
      </w:r>
      <w:r>
        <w:t xml:space="preserve"> estimates obtained from the econometric analysis </w:t>
      </w:r>
      <w:r w:rsidR="00C50639">
        <w:t xml:space="preserve">are </w:t>
      </w:r>
      <w:r>
        <w:t xml:space="preserve">then used to parametrise the individual labour productivity benefits associated with higher education attainment across the level, discipline and provider dimensions. </w:t>
      </w:r>
      <w:r w:rsidR="005103ED">
        <w:t>These estimates are used as the basis for calculating broader market-based spill</w:t>
      </w:r>
      <w:r w:rsidR="00C50639">
        <w:t>-</w:t>
      </w:r>
      <w:r w:rsidR="005103ED">
        <w:t>over returns which comprise the primary measure of public benefits considered in this study.</w:t>
      </w:r>
    </w:p>
    <w:p w:rsidR="00120642" w:rsidRDefault="00120642" w:rsidP="00120642">
      <w:pPr>
        <w:pStyle w:val="HeadingC"/>
      </w:pPr>
      <w:r>
        <w:t>Public benefits</w:t>
      </w:r>
    </w:p>
    <w:p w:rsidR="005103ED" w:rsidRDefault="005103ED" w:rsidP="004C51B0">
      <w:pPr>
        <w:pStyle w:val="BodyText"/>
      </w:pPr>
      <w:r>
        <w:t>This study incorporates the established measure of public benefit from higher education—net government receipts—and extends the measure of public benefits to include broader productivity-based spillovers from higher education.</w:t>
      </w:r>
    </w:p>
    <w:p w:rsidR="005103ED" w:rsidRDefault="005103ED" w:rsidP="005103ED">
      <w:pPr>
        <w:pStyle w:val="BodyText"/>
      </w:pPr>
      <w:r>
        <w:t>While McMahon (2004)—and subsequently, Deloitte Access Economics (2015)—provide</w:t>
      </w:r>
      <w:r w:rsidR="00C50639">
        <w:t>s</w:t>
      </w:r>
      <w:r>
        <w:t xml:space="preserve"> a method for measuring the total social return from higher education attainment at an aggregate level, this method </w:t>
      </w:r>
      <w:r w:rsidR="004C51B0">
        <w:t xml:space="preserve">does not tractably allow for a dimensional analysis of benefits (i.e. by </w:t>
      </w:r>
      <w:r>
        <w:t xml:space="preserve">qualification </w:t>
      </w:r>
      <w:r w:rsidR="004C51B0">
        <w:t>level,</w:t>
      </w:r>
      <w:r>
        <w:t xml:space="preserve"> or</w:t>
      </w:r>
      <w:r w:rsidR="004C51B0">
        <w:t xml:space="preserve"> discipline). </w:t>
      </w:r>
      <w:r>
        <w:t>Similarly, Chapman and Lounkaew’s reliance on estimates from McMahon (2004) do</w:t>
      </w:r>
      <w:r w:rsidR="00C50639">
        <w:t>es</w:t>
      </w:r>
      <w:r>
        <w:t xml:space="preserve"> not effectively allow for estimates of public benefits to be derived that meaningfully vary across these dimension</w:t>
      </w:r>
      <w:r w:rsidR="00C50639">
        <w:t>s</w:t>
      </w:r>
      <w:r>
        <w:t>.</w:t>
      </w:r>
    </w:p>
    <w:p w:rsidR="0035322E" w:rsidRDefault="0035322E" w:rsidP="004C51B0">
      <w:pPr>
        <w:pStyle w:val="Default"/>
        <w:spacing w:before="240"/>
        <w:jc w:val="both"/>
        <w:rPr>
          <w:rFonts w:cs="Times New Roman"/>
          <w:color w:val="auto"/>
          <w:sz w:val="22"/>
          <w:szCs w:val="20"/>
          <w:lang w:eastAsia="en-US"/>
        </w:rPr>
      </w:pPr>
      <w:r>
        <w:rPr>
          <w:rFonts w:cs="Times New Roman"/>
          <w:color w:val="auto"/>
          <w:sz w:val="22"/>
          <w:szCs w:val="20"/>
          <w:lang w:eastAsia="en-US"/>
        </w:rPr>
        <w:t xml:space="preserve">The most prospective method for estimating broader market-based spillover returns from higher education involves using a dynamic model of the Australian economy to estimate how increases in levels of labour productivity </w:t>
      </w:r>
      <w:r w:rsidR="00C50639">
        <w:rPr>
          <w:rFonts w:cs="Times New Roman"/>
          <w:color w:val="auto"/>
          <w:sz w:val="22"/>
          <w:szCs w:val="20"/>
          <w:lang w:eastAsia="en-US"/>
        </w:rPr>
        <w:t>attributable to higher education attainment impact</w:t>
      </w:r>
      <w:r>
        <w:rPr>
          <w:rFonts w:cs="Times New Roman"/>
          <w:color w:val="auto"/>
          <w:sz w:val="22"/>
          <w:szCs w:val="20"/>
          <w:lang w:eastAsia="en-US"/>
        </w:rPr>
        <w:t xml:space="preserve"> other areas of the economy. This is achieved by simulating the total economic effects from increasing the level of supply of workers with specific educational qualifications or skills, the value of which is estimated using known productivity benefits caused by educational attainment (i.e. by using estimates of wage premium effects, as outlined above).</w:t>
      </w:r>
    </w:p>
    <w:p w:rsidR="00534DD4" w:rsidRDefault="00534DD4" w:rsidP="00534DD4">
      <w:pPr>
        <w:pStyle w:val="BodyText"/>
      </w:pPr>
      <w:r>
        <w:rPr>
          <w:rStyle w:val="Boldword"/>
          <w:b w:val="0"/>
          <w:color w:val="auto"/>
        </w:rPr>
        <w:t xml:space="preserve">In particular, the effect of increasing the level of labour productivity in the economy on total economic output is determined through the dynamics of </w:t>
      </w:r>
      <w:r w:rsidR="00E735FF">
        <w:rPr>
          <w:rStyle w:val="Boldword"/>
          <w:b w:val="0"/>
          <w:color w:val="auto"/>
        </w:rPr>
        <w:t xml:space="preserve">a </w:t>
      </w:r>
      <w:r>
        <w:t xml:space="preserve">Computable General Equilibrium (CGE) </w:t>
      </w:r>
      <w:r>
        <w:rPr>
          <w:rStyle w:val="Boldword"/>
          <w:b w:val="0"/>
          <w:color w:val="auto"/>
        </w:rPr>
        <w:t>model. To be precise, d</w:t>
      </w:r>
      <w:r>
        <w:t xml:space="preserve">ue to the complementary way in which firms use labour and capital (as well as land and natural resources), the productivity of labour is a driver for the demand of other economic factors – in particular, capital. In this way, growth in the stock of skills in the workforce </w:t>
      </w:r>
      <w:r w:rsidR="00AA7089">
        <w:t>a</w:t>
      </w:r>
      <w:r>
        <w:t>ffects the stock of capital demanded in the economy, and therefore boosts net investment in businesses, which has further flow-on effects to total employment and ultimately, to total economic output (i.e. national income).</w:t>
      </w:r>
    </w:p>
    <w:p w:rsidR="00534DD4" w:rsidRDefault="00534DD4" w:rsidP="00534DD4">
      <w:pPr>
        <w:pStyle w:val="BodyText"/>
        <w:rPr>
          <w:lang w:eastAsia="en-AU"/>
        </w:rPr>
      </w:pPr>
      <w:r>
        <w:t>In practical terms, simulations of the CGE model of the Australian economy can be highly complex, as they incorporate a significant array of dynamic relationships between prices, factors of production and industries in the economy. Nonetheless, the conceptual dynamics of the CGE model are relatively straightforward. These dynamics imply that the key factors which will determine the relative private and public benefits from higher education are the capital-intensity of the industries which specific higher education graduates participate in, and the nature of skills substitutability in these industries (including relative capacity to absorb more skilled workers).</w:t>
      </w:r>
    </w:p>
    <w:p w:rsidR="005103ED" w:rsidRDefault="0035322E" w:rsidP="004C51B0">
      <w:pPr>
        <w:pStyle w:val="Default"/>
        <w:spacing w:before="240"/>
        <w:jc w:val="both"/>
        <w:rPr>
          <w:rFonts w:cs="Times New Roman"/>
          <w:color w:val="auto"/>
          <w:sz w:val="22"/>
          <w:szCs w:val="20"/>
          <w:lang w:eastAsia="en-US"/>
        </w:rPr>
      </w:pPr>
      <w:r>
        <w:rPr>
          <w:rFonts w:cs="Times New Roman"/>
          <w:color w:val="auto"/>
          <w:sz w:val="22"/>
          <w:szCs w:val="20"/>
          <w:lang w:eastAsia="en-US"/>
        </w:rPr>
        <w:lastRenderedPageBreak/>
        <w:t xml:space="preserve">Two notable studies have used dynamic models of the Australian economy to estimate the total returns to </w:t>
      </w:r>
      <w:r w:rsidR="00BE5D85">
        <w:rPr>
          <w:rFonts w:cs="Times New Roman"/>
          <w:color w:val="auto"/>
          <w:sz w:val="22"/>
          <w:szCs w:val="20"/>
          <w:lang w:eastAsia="en-US"/>
        </w:rPr>
        <w:t xml:space="preserve">areas of </w:t>
      </w:r>
      <w:r>
        <w:rPr>
          <w:rFonts w:cs="Times New Roman"/>
          <w:color w:val="auto"/>
          <w:sz w:val="22"/>
          <w:szCs w:val="20"/>
          <w:lang w:eastAsia="en-US"/>
        </w:rPr>
        <w:t>education</w:t>
      </w:r>
      <w:r w:rsidR="00BE5D85">
        <w:rPr>
          <w:rFonts w:cs="Times New Roman"/>
          <w:color w:val="auto"/>
          <w:sz w:val="22"/>
          <w:szCs w:val="20"/>
          <w:lang w:eastAsia="en-US"/>
        </w:rPr>
        <w:t xml:space="preserve"> (other than higher education)</w:t>
      </w:r>
      <w:r>
        <w:rPr>
          <w:rFonts w:cs="Times New Roman"/>
          <w:color w:val="auto"/>
          <w:sz w:val="22"/>
          <w:szCs w:val="20"/>
          <w:lang w:eastAsia="en-US"/>
        </w:rPr>
        <w:t>.</w:t>
      </w:r>
    </w:p>
    <w:p w:rsidR="0035322E" w:rsidRDefault="0035322E" w:rsidP="0035322E">
      <w:pPr>
        <w:pStyle w:val="Bullet1"/>
      </w:pPr>
      <w:r>
        <w:t>Deloitte Access Economic</w:t>
      </w:r>
      <w:r w:rsidR="00BE5D85">
        <w:t>s</w:t>
      </w:r>
      <w:r>
        <w:t xml:space="preserve"> (</w:t>
      </w:r>
      <w:r w:rsidR="00EF547B">
        <w:t>forthcoming</w:t>
      </w:r>
      <w:r>
        <w:t xml:space="preserve">) use a CGE model of the Australian economy to simulate the effects of increasing the level of schooling quality in Australia (measured in terms of outcomes on the OECD Programme for International Student Assessment (PISA)), using econometrically estimated returns to wages from increases in cognitive ability (measured in terms of PISA scores). </w:t>
      </w:r>
    </w:p>
    <w:p w:rsidR="0035322E" w:rsidRDefault="0035322E" w:rsidP="0035322E">
      <w:pPr>
        <w:pStyle w:val="Bullet2"/>
      </w:pPr>
      <w:r>
        <w:t xml:space="preserve">This study finds that increased labour productivity has significant flow-on effects </w:t>
      </w:r>
      <w:r w:rsidR="00BE5D85">
        <w:t>to the economy,</w:t>
      </w:r>
      <w:r>
        <w:t xml:space="preserve"> with a 5% increase in PISA scores found to increase</w:t>
      </w:r>
      <w:r w:rsidR="00BE5D85">
        <w:t xml:space="preserve"> Australia’s</w:t>
      </w:r>
      <w:r>
        <w:t xml:space="preserve"> GDP by </w:t>
      </w:r>
      <w:r w:rsidR="00BE5D85">
        <w:t xml:space="preserve">$12 billion (in 2066), </w:t>
      </w:r>
      <w:r>
        <w:t>through increased business investment and employment.</w:t>
      </w:r>
    </w:p>
    <w:p w:rsidR="00BE5D85" w:rsidRDefault="00BE5D85" w:rsidP="00BE5D85">
      <w:pPr>
        <w:pStyle w:val="Bullet1"/>
      </w:pPr>
      <w:r>
        <w:t>Independent Economics (2013) use a CGE model of the Australian economy to simulate the impact of increasing the qualification levels of individuals with no post-school qualification to the level of a VET Certificate III or above.</w:t>
      </w:r>
    </w:p>
    <w:p w:rsidR="00BE5D85" w:rsidRDefault="00BE5D85" w:rsidP="00BE5D85">
      <w:pPr>
        <w:pStyle w:val="Bullet2"/>
      </w:pPr>
      <w:r>
        <w:t>This study finds an internal rate of return of around 18% from investments in VET qualifications in Australia.</w:t>
      </w:r>
    </w:p>
    <w:p w:rsidR="00BE5D85" w:rsidRDefault="00BE5D85" w:rsidP="00BE5D85">
      <w:pPr>
        <w:pStyle w:val="Bullet2"/>
      </w:pPr>
      <w:r>
        <w:t>Benefits are calculated as the changes to employability – increased propensity to participate in the labour force, to be employed, and to achieve full-time work – and productivity benefits in greater skills of workers.</w:t>
      </w:r>
    </w:p>
    <w:p w:rsidR="00BE5D85" w:rsidRDefault="00BE5D85" w:rsidP="00BE5D85">
      <w:pPr>
        <w:pStyle w:val="Bullet2"/>
      </w:pPr>
      <w:r>
        <w:t>A key extension of this work is that it includes the benefits of students who do not finish their VET qualification, as well as the benefits accrued from students who complete a VET qualification, but which is not higher than their previous highest qualification (commonly, reskilling students).</w:t>
      </w:r>
    </w:p>
    <w:p w:rsidR="00AE1D8B" w:rsidRDefault="00AE1D8B" w:rsidP="00AE1D8B">
      <w:pPr>
        <w:pStyle w:val="BodyText"/>
      </w:pPr>
      <w:r>
        <w:t>Looking at the spillover effects from higher education, Cadence Economics (2016) use a CGE model of the Australian economy to estimate the effects from increased levels of workers with higher education qualifications. Their analysis finds that 120 additional jobs are generated for every 1</w:t>
      </w:r>
      <w:r w:rsidR="00C50639">
        <w:t>,</w:t>
      </w:r>
      <w:r>
        <w:t xml:space="preserve">000 additional graduates that enter the workforce with a higher education qualification, and that there are significant spillover impacts on the wages of individuals without a higher education qualification. </w:t>
      </w:r>
    </w:p>
    <w:p w:rsidR="00AE6A8D" w:rsidRDefault="00AE1D8B" w:rsidP="00AE1D8B">
      <w:pPr>
        <w:pStyle w:val="BodyText"/>
      </w:pPr>
      <w:r>
        <w:t xml:space="preserve">While this analysis effectively demonstrates the linkages between labour productivity and total economic activity in the economy, the results from the analysis cannot be considered to be causal, and likely overestimate the true impact on the economy. In particular, the analysis does not appropriately capture the opportunity cost to the economy of increasing the level of higher education attainment in the workforce, in terms of the effective productivity of those without a higher education qualification. </w:t>
      </w:r>
    </w:p>
    <w:p w:rsidR="00AE1D8B" w:rsidRDefault="00AE1D8B" w:rsidP="00AE1D8B">
      <w:pPr>
        <w:pStyle w:val="BodyText"/>
      </w:pPr>
      <w:r>
        <w:t>Further, th</w:t>
      </w:r>
      <w:r w:rsidR="00C50639">
        <w:t>is</w:t>
      </w:r>
      <w:r>
        <w:t xml:space="preserve"> analysis has no consideration for the dynamics of labour market demand in the economy,</w:t>
      </w:r>
      <w:r w:rsidR="00AE6A8D">
        <w:t xml:space="preserve"> as it does not capture the substitutability of workers with different qualification levels. </w:t>
      </w:r>
      <w:r w:rsidR="00C50639">
        <w:t>T</w:t>
      </w:r>
      <w:r w:rsidR="00AE6A8D">
        <w:t>he Cadence analysis increases the level of labour productivity for the representative worker in the economy, without regard for the relative scarcity effects on wages for different types of labour</w:t>
      </w:r>
      <w:r>
        <w:t xml:space="preserve"> and the extent to which </w:t>
      </w:r>
      <w:r w:rsidR="00AE6A8D">
        <w:t xml:space="preserve">businesses would optimally choose to </w:t>
      </w:r>
      <w:r>
        <w:t xml:space="preserve">employ </w:t>
      </w:r>
      <w:r w:rsidR="00AE6A8D">
        <w:t>and utilise the skills of workers with higher qualification levels, and substitute away from other factors of production (including other types of labour).</w:t>
      </w:r>
    </w:p>
    <w:p w:rsidR="00AE6A8D" w:rsidRDefault="00AE6A8D" w:rsidP="00AE6A8D">
      <w:pPr>
        <w:pStyle w:val="BodyText"/>
      </w:pPr>
      <w:r>
        <w:t xml:space="preserve">Neighbourhood econometric analyses effectively capture the causal impact of increased levels of higher education attainment by capturing both the productivity and relative scarcity </w:t>
      </w:r>
      <w:r>
        <w:lastRenderedPageBreak/>
        <w:t xml:space="preserve">effects on labour market outcomes, while controlling for industry structures and labour market demand (see Moretti, 2004 and Clarke and Skuterud, 2013). </w:t>
      </w:r>
      <w:r w:rsidR="00C50639">
        <w:t>The analysis presented in this report</w:t>
      </w:r>
      <w:r>
        <w:t xml:space="preserve"> considers these effects in the Australian context to understand the causal impact that higher education attainment can have on broader labour market outcomes by applying similar econometric methodologies to Australian data. The results of this analysis are the</w:t>
      </w:r>
      <w:r w:rsidR="00171E24">
        <w:t>n</w:t>
      </w:r>
      <w:r>
        <w:t xml:space="preserve"> used to inform subsequent dynamic simulations of the Australian economy for specific educational qualifications and disciplines.</w:t>
      </w:r>
    </w:p>
    <w:p w:rsidR="00BE5D85" w:rsidRDefault="00AE6A8D" w:rsidP="004C51B0">
      <w:pPr>
        <w:pStyle w:val="Default"/>
        <w:spacing w:before="240"/>
        <w:jc w:val="both"/>
        <w:rPr>
          <w:rFonts w:cs="Times New Roman"/>
          <w:color w:val="auto"/>
          <w:sz w:val="22"/>
          <w:szCs w:val="20"/>
          <w:lang w:eastAsia="en-US"/>
        </w:rPr>
      </w:pPr>
      <w:r>
        <w:rPr>
          <w:rFonts w:cs="Times New Roman"/>
          <w:color w:val="auto"/>
          <w:sz w:val="22"/>
          <w:szCs w:val="20"/>
          <w:lang w:eastAsia="en-US"/>
        </w:rPr>
        <w:t>The above studies which consider the spillover productivity effects from higher levels of educational attainment limit their analysis to generic qualifications and consider only the impact on the economy as a whole. An important area of exploration for this study is to understand how the flow-on productivity effects from educational attainment vary on the basis of qualification and discipline.</w:t>
      </w:r>
    </w:p>
    <w:p w:rsidR="004C51B0" w:rsidRPr="002602FA" w:rsidRDefault="00534DD4" w:rsidP="004C51B0">
      <w:pPr>
        <w:pStyle w:val="BodyText"/>
        <w:rPr>
          <w:lang w:eastAsia="en-AU"/>
        </w:rPr>
      </w:pPr>
      <w:r>
        <w:t xml:space="preserve">As is discussed in further detail in the following sections of this report, to estimate the </w:t>
      </w:r>
      <w:r w:rsidR="002602FA">
        <w:t xml:space="preserve">qualification and </w:t>
      </w:r>
      <w:r>
        <w:t xml:space="preserve">discipline specific </w:t>
      </w:r>
      <w:r w:rsidR="002602FA">
        <w:t xml:space="preserve">public benefits from higher education, a mapping from qualification and discipline to occupation and industry of employment is developed. This mapping is then used to parametrise the simulations applied to </w:t>
      </w:r>
      <w:r w:rsidR="002602FA" w:rsidRPr="007E20D9">
        <w:rPr>
          <w:b/>
          <w:bCs/>
          <w:color w:val="002776"/>
          <w:szCs w:val="22"/>
        </w:rPr>
        <w:t>the Deloitte Access Economics Regional General Equilibrium Model (DAE-RGEM)</w:t>
      </w:r>
      <w:r w:rsidR="002602FA">
        <w:rPr>
          <w:b/>
          <w:bCs/>
          <w:szCs w:val="22"/>
        </w:rPr>
        <w:t xml:space="preserve"> </w:t>
      </w:r>
      <w:r w:rsidR="002602FA">
        <w:rPr>
          <w:szCs w:val="22"/>
        </w:rPr>
        <w:t>(the Deloitte Access Economics in</w:t>
      </w:r>
      <w:r w:rsidR="00C50639">
        <w:rPr>
          <w:szCs w:val="22"/>
        </w:rPr>
        <w:t>-</w:t>
      </w:r>
      <w:r w:rsidR="002602FA">
        <w:rPr>
          <w:szCs w:val="22"/>
        </w:rPr>
        <w:t>house CGE model).</w:t>
      </w:r>
      <w:r w:rsidR="002602FA">
        <w:rPr>
          <w:rStyle w:val="Boldword"/>
          <w:b w:val="0"/>
          <w:color w:val="auto"/>
        </w:rPr>
        <w:t xml:space="preserve"> </w:t>
      </w:r>
      <w:r w:rsidR="002602FA">
        <w:rPr>
          <w:szCs w:val="22"/>
        </w:rPr>
        <w:t xml:space="preserve">These simulations involve </w:t>
      </w:r>
      <w:r w:rsidR="004C51B0">
        <w:rPr>
          <w:szCs w:val="22"/>
        </w:rPr>
        <w:t xml:space="preserve">adding/removing skill levels of workers in the economy and </w:t>
      </w:r>
      <w:r w:rsidR="00C50639">
        <w:rPr>
          <w:szCs w:val="22"/>
        </w:rPr>
        <w:t>analysing</w:t>
      </w:r>
      <w:r w:rsidR="004C51B0">
        <w:rPr>
          <w:szCs w:val="22"/>
        </w:rPr>
        <w:t xml:space="preserve"> the total impact on gross domestic product (national income) relative to the </w:t>
      </w:r>
      <w:r w:rsidR="004C51B0">
        <w:rPr>
          <w:i/>
          <w:iCs/>
          <w:szCs w:val="22"/>
        </w:rPr>
        <w:t xml:space="preserve">net </w:t>
      </w:r>
      <w:r w:rsidR="004C51B0">
        <w:rPr>
          <w:szCs w:val="22"/>
        </w:rPr>
        <w:t>income benefits attracted by individuals who receive higher levels of educational attainment</w:t>
      </w:r>
      <w:r w:rsidR="002602FA">
        <w:rPr>
          <w:szCs w:val="22"/>
        </w:rPr>
        <w:t>—</w:t>
      </w:r>
      <w:r w:rsidR="004C51B0">
        <w:rPr>
          <w:szCs w:val="22"/>
        </w:rPr>
        <w:t xml:space="preserve">thereby isolating </w:t>
      </w:r>
      <w:r w:rsidR="002602FA">
        <w:rPr>
          <w:szCs w:val="22"/>
        </w:rPr>
        <w:t>the private and public benefits on a qualification and discipline specific basis.</w:t>
      </w:r>
    </w:p>
    <w:p w:rsidR="00A06596" w:rsidRDefault="00A06596" w:rsidP="00A06596">
      <w:pPr>
        <w:pStyle w:val="HeadingC"/>
      </w:pPr>
      <w:r>
        <w:t>Other considerations</w:t>
      </w:r>
    </w:p>
    <w:p w:rsidR="00A06596" w:rsidRDefault="00A06596" w:rsidP="00A06596">
      <w:pPr>
        <w:pStyle w:val="BodyText"/>
      </w:pPr>
      <w:r>
        <w:t xml:space="preserve">While CGE models of the Australian economy are effective tools for capturing the spillover benefits from higher education, as discussed here and in subsequent </w:t>
      </w:r>
      <w:r w:rsidR="00356108">
        <w:t>sections</w:t>
      </w:r>
      <w:r>
        <w:t>, they do not capture all of the possible market-based benefits that may result from higher education attainment. As such, the original empirical analysis developed as part of this study goes some way in filling this gap in the empirical literature, but further research and analysis</w:t>
      </w:r>
      <w:r w:rsidR="00C50639">
        <w:t xml:space="preserve"> may nevertheless be</w:t>
      </w:r>
      <w:r>
        <w:t xml:space="preserve"> required to understand the full range of public benefits. These further areas of research are discussed in further detail in </w:t>
      </w:r>
      <w:r w:rsidR="00746205">
        <w:t>Section</w:t>
      </w:r>
      <w:r>
        <w:t xml:space="preserve"> </w:t>
      </w:r>
      <w:r w:rsidR="00171E24">
        <w:t>7</w:t>
      </w:r>
      <w:r>
        <w:t>, with some important findings provided to complement this study’s core empirical analysis.</w:t>
      </w:r>
    </w:p>
    <w:p w:rsidR="00120642" w:rsidRPr="004E796D" w:rsidRDefault="00A06596" w:rsidP="00120642">
      <w:pPr>
        <w:pStyle w:val="BodyText"/>
      </w:pPr>
      <w:r>
        <w:t>Further, w</w:t>
      </w:r>
      <w:r w:rsidR="00120642" w:rsidRPr="00B50E88">
        <w:t xml:space="preserve">hile </w:t>
      </w:r>
      <w:r>
        <w:t xml:space="preserve">this study’s </w:t>
      </w:r>
      <w:r w:rsidR="00120642">
        <w:t>focus</w:t>
      </w:r>
      <w:r w:rsidR="00120642" w:rsidRPr="00B50E88">
        <w:t xml:space="preserve"> </w:t>
      </w:r>
      <w:r>
        <w:t xml:space="preserve">is </w:t>
      </w:r>
      <w:r w:rsidR="00120642" w:rsidRPr="00B50E88">
        <w:t xml:space="preserve">predominately on the private and public market benefits from higher education, findings from the literature on wider </w:t>
      </w:r>
      <w:r w:rsidR="00120642">
        <w:t>market and non-monetary</w:t>
      </w:r>
      <w:r w:rsidR="00120642" w:rsidRPr="00B50E88">
        <w:t xml:space="preserve"> benefits </w:t>
      </w:r>
      <w:r w:rsidR="00C50639">
        <w:t>are</w:t>
      </w:r>
      <w:r w:rsidR="00120642" w:rsidRPr="00B50E88">
        <w:t xml:space="preserve"> considered qualitatively </w:t>
      </w:r>
      <w:r w:rsidR="00120642">
        <w:t xml:space="preserve">alongside these results. </w:t>
      </w:r>
      <w:r w:rsidR="00120642" w:rsidRPr="00B50E88">
        <w:t>This allow</w:t>
      </w:r>
      <w:r w:rsidR="00C50639">
        <w:t>s</w:t>
      </w:r>
      <w:r w:rsidR="00120642" w:rsidRPr="00B50E88">
        <w:t xml:space="preserve"> for possible inferences to be made regarding the scale and scope of these additional benefits, and how they may systematically vary across disciplines, education levels and providers.</w:t>
      </w:r>
    </w:p>
    <w:p w:rsidR="004C51B0" w:rsidRDefault="004C51B0" w:rsidP="004C51B0">
      <w:pPr>
        <w:pStyle w:val="BodyText"/>
      </w:pPr>
    </w:p>
    <w:p w:rsidR="00C374F4" w:rsidRDefault="00D417A4" w:rsidP="002320EB">
      <w:pPr>
        <w:pStyle w:val="Heading1"/>
        <w:jc w:val="both"/>
        <w:rPr>
          <w:lang w:eastAsia="en-AU"/>
        </w:rPr>
      </w:pPr>
      <w:bookmarkStart w:id="43" w:name="_Ref454883471"/>
      <w:bookmarkStart w:id="44" w:name="_Ref454667593"/>
      <w:bookmarkStart w:id="45" w:name="_Ref454829395"/>
      <w:bookmarkStart w:id="46" w:name="_Toc465961195"/>
      <w:r>
        <w:rPr>
          <w:lang w:eastAsia="en-AU"/>
        </w:rPr>
        <w:lastRenderedPageBreak/>
        <w:t>Analytical</w:t>
      </w:r>
      <w:r w:rsidR="004D1F48">
        <w:rPr>
          <w:lang w:eastAsia="en-AU"/>
        </w:rPr>
        <w:t xml:space="preserve"> a</w:t>
      </w:r>
      <w:r w:rsidR="0016138A">
        <w:rPr>
          <w:lang w:eastAsia="en-AU"/>
        </w:rPr>
        <w:t>pproach</w:t>
      </w:r>
      <w:bookmarkEnd w:id="43"/>
      <w:bookmarkEnd w:id="44"/>
      <w:bookmarkEnd w:id="45"/>
      <w:bookmarkEnd w:id="46"/>
    </w:p>
    <w:p w:rsidR="00D417A4" w:rsidRPr="00DC6F95" w:rsidRDefault="00D417A4" w:rsidP="002320EB">
      <w:pPr>
        <w:pStyle w:val="BodyText"/>
        <w:rPr>
          <w:lang w:eastAsia="en-AU"/>
        </w:rPr>
      </w:pPr>
      <w:r w:rsidRPr="00DC6F95">
        <w:rPr>
          <w:lang w:eastAsia="en-AU"/>
        </w:rPr>
        <w:t xml:space="preserve">The approach </w:t>
      </w:r>
      <w:r w:rsidR="00C50639">
        <w:rPr>
          <w:lang w:eastAsia="en-AU"/>
        </w:rPr>
        <w:t>to the empirical analysis conducted to inform this report</w:t>
      </w:r>
      <w:r w:rsidRPr="00DC6F95">
        <w:rPr>
          <w:lang w:eastAsia="en-AU"/>
        </w:rPr>
        <w:t xml:space="preserve"> </w:t>
      </w:r>
      <w:r w:rsidR="00DC6F95" w:rsidRPr="00DC6F95">
        <w:rPr>
          <w:lang w:eastAsia="en-AU"/>
        </w:rPr>
        <w:t xml:space="preserve">is presented </w:t>
      </w:r>
      <w:r w:rsidRPr="00DC6F95">
        <w:rPr>
          <w:lang w:eastAsia="en-AU"/>
        </w:rPr>
        <w:t xml:space="preserve">in this </w:t>
      </w:r>
      <w:r w:rsidR="00883DFB">
        <w:rPr>
          <w:lang w:eastAsia="en-AU"/>
        </w:rPr>
        <w:t>section</w:t>
      </w:r>
      <w:r w:rsidRPr="00DC6F95">
        <w:rPr>
          <w:lang w:eastAsia="en-AU"/>
        </w:rPr>
        <w:t xml:space="preserve">. </w:t>
      </w:r>
      <w:r w:rsidR="00DC6F95" w:rsidRPr="00DC6F95">
        <w:rPr>
          <w:lang w:eastAsia="en-AU"/>
        </w:rPr>
        <w:t xml:space="preserve">This </w:t>
      </w:r>
      <w:r w:rsidR="00C50639">
        <w:rPr>
          <w:lang w:eastAsia="en-AU"/>
        </w:rPr>
        <w:t>includes</w:t>
      </w:r>
      <w:r w:rsidR="00C50639" w:rsidRPr="00DC6F95">
        <w:rPr>
          <w:lang w:eastAsia="en-AU"/>
        </w:rPr>
        <w:t xml:space="preserve"> </w:t>
      </w:r>
      <w:r w:rsidR="00DC6F95" w:rsidRPr="00DC6F95">
        <w:rPr>
          <w:lang w:eastAsia="en-AU"/>
        </w:rPr>
        <w:t xml:space="preserve">an overall snapshot of the process, </w:t>
      </w:r>
      <w:r w:rsidR="00DC6F95">
        <w:rPr>
          <w:lang w:eastAsia="en-AU"/>
        </w:rPr>
        <w:t>to build an</w:t>
      </w:r>
      <w:r w:rsidR="00DC6F95" w:rsidRPr="00DC6F95">
        <w:rPr>
          <w:lang w:eastAsia="en-AU"/>
        </w:rPr>
        <w:t xml:space="preserve"> understand</w:t>
      </w:r>
      <w:r w:rsidR="00DC6F95">
        <w:rPr>
          <w:lang w:eastAsia="en-AU"/>
        </w:rPr>
        <w:t>ing of</w:t>
      </w:r>
      <w:r w:rsidR="00DC6F95" w:rsidRPr="00DC6F95">
        <w:rPr>
          <w:lang w:eastAsia="en-AU"/>
        </w:rPr>
        <w:t xml:space="preserve"> the role of each a</w:t>
      </w:r>
      <w:r w:rsidR="00DC6F95">
        <w:rPr>
          <w:lang w:eastAsia="en-AU"/>
        </w:rPr>
        <w:t xml:space="preserve">nalytical component of the work, </w:t>
      </w:r>
      <w:r w:rsidR="00DC6F95" w:rsidRPr="00DC6F95">
        <w:rPr>
          <w:lang w:eastAsia="en-AU"/>
        </w:rPr>
        <w:t xml:space="preserve">and the linkages between </w:t>
      </w:r>
      <w:r w:rsidRPr="00DC6F95">
        <w:rPr>
          <w:lang w:eastAsia="en-AU"/>
        </w:rPr>
        <w:t xml:space="preserve">each empirical component. </w:t>
      </w:r>
      <w:r w:rsidR="00DC6F95">
        <w:rPr>
          <w:lang w:eastAsia="en-AU"/>
        </w:rPr>
        <w:t xml:space="preserve">The key datasets used are described. Further detail on the methodology is contained in </w:t>
      </w:r>
      <w:r w:rsidR="00883DFB">
        <w:rPr>
          <w:lang w:eastAsia="en-AU"/>
        </w:rPr>
        <w:t>Sections</w:t>
      </w:r>
      <w:r w:rsidR="00DC6F95">
        <w:rPr>
          <w:lang w:eastAsia="en-AU"/>
        </w:rPr>
        <w:t xml:space="preserve"> 4 and 5, and technical detail is contained in Appendices B and C.</w:t>
      </w:r>
    </w:p>
    <w:p w:rsidR="00F56C48" w:rsidRDefault="00F56C48" w:rsidP="008352AD">
      <w:pPr>
        <w:pStyle w:val="Heading2"/>
        <w:jc w:val="both"/>
      </w:pPr>
      <w:bookmarkStart w:id="47" w:name="_Toc452464192"/>
      <w:bookmarkStart w:id="48" w:name="_Toc465961196"/>
      <w:r>
        <w:rPr>
          <w:lang w:eastAsia="en-AU"/>
        </w:rPr>
        <w:t xml:space="preserve">Overview of the </w:t>
      </w:r>
      <w:bookmarkEnd w:id="47"/>
      <w:r w:rsidR="008352AD">
        <w:rPr>
          <w:lang w:eastAsia="en-AU"/>
        </w:rPr>
        <w:t>analytical process</w:t>
      </w:r>
      <w:bookmarkEnd w:id="48"/>
    </w:p>
    <w:p w:rsidR="005205CC" w:rsidRDefault="00354AC0" w:rsidP="002320EB">
      <w:pPr>
        <w:spacing w:before="240" w:after="240"/>
        <w:jc w:val="both"/>
      </w:pPr>
      <w:r>
        <w:t xml:space="preserve">This section outlines the analytical process to understand the benefits of higher education, in particular the public and private shares of those benefits. The analytical process is stepped through in the same sequence as </w:t>
      </w:r>
      <w:r w:rsidR="00B95800">
        <w:fldChar w:fldCharType="begin"/>
      </w:r>
      <w:r w:rsidR="00B95800">
        <w:instrText xml:space="preserve"> REF _Ref452458047 \r \h </w:instrText>
      </w:r>
      <w:r w:rsidR="00B95800">
        <w:fldChar w:fldCharType="separate"/>
      </w:r>
      <w:r w:rsidR="00534F9F">
        <w:t>Figure 3.1</w:t>
      </w:r>
      <w:r w:rsidR="00B95800">
        <w:fldChar w:fldCharType="end"/>
      </w:r>
      <w:r>
        <w:t xml:space="preserve"> below. This figure is repeated at key stages of the report, to signpost which component is being discussed.</w:t>
      </w:r>
    </w:p>
    <w:p w:rsidR="00F56C48" w:rsidRPr="008144DD" w:rsidRDefault="00F56C48" w:rsidP="00AD48BC">
      <w:pPr>
        <w:pStyle w:val="CaptionFigure"/>
        <w:ind w:hanging="3119"/>
        <w:rPr>
          <w:lang w:eastAsia="en-AU"/>
        </w:rPr>
      </w:pPr>
      <w:bookmarkStart w:id="49" w:name="_Ref452458047"/>
      <w:bookmarkStart w:id="50" w:name="_Toc452464228"/>
      <w:bookmarkStart w:id="51" w:name="_Toc465961112"/>
      <w:r w:rsidRPr="008144DD">
        <w:rPr>
          <w:lang w:eastAsia="en-AU"/>
        </w:rPr>
        <w:t>: Illustrative summary of approach</w:t>
      </w:r>
      <w:bookmarkEnd w:id="49"/>
      <w:bookmarkEnd w:id="50"/>
      <w:bookmarkEnd w:id="51"/>
    </w:p>
    <w:p w:rsidR="00F56C48" w:rsidRDefault="00FA2D1E" w:rsidP="00FA2D1E">
      <w:pPr>
        <w:pStyle w:val="BodyText"/>
        <w:ind w:left="-567"/>
        <w:jc w:val="left"/>
        <w:rPr>
          <w:lang w:eastAsia="en-AU"/>
        </w:rPr>
      </w:pPr>
      <w:r w:rsidRPr="00FA2D1E">
        <w:rPr>
          <w:noProof/>
          <w:lang w:eastAsia="en-AU"/>
        </w:rPr>
        <w:drawing>
          <wp:inline distT="0" distB="0" distL="0" distR="0" wp14:anchorId="1AA453CC" wp14:editId="2D2F7102">
            <wp:extent cx="6076962" cy="2695699"/>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78804" cy="2696516"/>
                    </a:xfrm>
                    <a:prstGeom prst="rect">
                      <a:avLst/>
                    </a:prstGeom>
                    <a:noFill/>
                    <a:ln>
                      <a:noFill/>
                    </a:ln>
                  </pic:spPr>
                </pic:pic>
              </a:graphicData>
            </a:graphic>
          </wp:inline>
        </w:drawing>
      </w:r>
    </w:p>
    <w:p w:rsidR="00834DE5" w:rsidRPr="008144DD" w:rsidRDefault="00834DE5" w:rsidP="00834DE5">
      <w:pPr>
        <w:pStyle w:val="Source"/>
        <w:rPr>
          <w:lang w:eastAsia="en-AU"/>
        </w:rPr>
      </w:pPr>
      <w:r>
        <w:rPr>
          <w:lang w:eastAsia="en-AU"/>
        </w:rPr>
        <w:t>Source: Deloitte Access Economics</w:t>
      </w:r>
    </w:p>
    <w:p w:rsidR="006A17D8" w:rsidRDefault="006A17D8" w:rsidP="00A060C2">
      <w:pPr>
        <w:pStyle w:val="Heading3"/>
        <w:numPr>
          <w:ilvl w:val="2"/>
          <w:numId w:val="26"/>
        </w:numPr>
        <w:jc w:val="both"/>
        <w:rPr>
          <w:lang w:eastAsia="en-AU"/>
        </w:rPr>
      </w:pPr>
      <w:r>
        <w:rPr>
          <w:lang w:eastAsia="en-AU"/>
        </w:rPr>
        <w:t>Wage gains as a primary measure of</w:t>
      </w:r>
      <w:r w:rsidR="00F65411">
        <w:rPr>
          <w:lang w:eastAsia="en-AU"/>
        </w:rPr>
        <w:t xml:space="preserve"> market</w:t>
      </w:r>
      <w:r>
        <w:rPr>
          <w:lang w:eastAsia="en-AU"/>
        </w:rPr>
        <w:t xml:space="preserve"> benefits</w:t>
      </w:r>
    </w:p>
    <w:p w:rsidR="006A17D8" w:rsidRDefault="006A17D8" w:rsidP="006A17D8">
      <w:pPr>
        <w:pStyle w:val="BodyText"/>
        <w:rPr>
          <w:lang w:eastAsia="en-AU"/>
        </w:rPr>
      </w:pPr>
      <w:r>
        <w:rPr>
          <w:lang w:eastAsia="en-AU"/>
        </w:rPr>
        <w:t xml:space="preserve">In understanding the </w:t>
      </w:r>
      <w:r w:rsidR="00817916">
        <w:rPr>
          <w:lang w:eastAsia="en-AU"/>
        </w:rPr>
        <w:t xml:space="preserve">market benefits of higher education, the first measure is the wage premium for those with a higher education qualification. </w:t>
      </w:r>
      <w:r w:rsidR="001B0EEF">
        <w:rPr>
          <w:lang w:eastAsia="en-AU"/>
        </w:rPr>
        <w:t xml:space="preserve">This measure of wage gains is relative to those who enter the labour market with </w:t>
      </w:r>
      <w:r w:rsidR="00EA6D4C">
        <w:rPr>
          <w:lang w:eastAsia="en-AU"/>
        </w:rPr>
        <w:t>no post-school qualification</w:t>
      </w:r>
      <w:r w:rsidR="001B0EEF">
        <w:rPr>
          <w:lang w:eastAsia="en-AU"/>
        </w:rPr>
        <w:t>.</w:t>
      </w:r>
    </w:p>
    <w:p w:rsidR="00354AC0" w:rsidRDefault="00354AC0" w:rsidP="006A17D8">
      <w:pPr>
        <w:pStyle w:val="BodyText"/>
        <w:rPr>
          <w:lang w:eastAsia="en-AU"/>
        </w:rPr>
      </w:pPr>
      <w:r>
        <w:rPr>
          <w:lang w:eastAsia="en-AU"/>
        </w:rPr>
        <w:t xml:space="preserve">Wages vary over an individual’s career, so </w:t>
      </w:r>
      <w:r w:rsidR="00C50639">
        <w:rPr>
          <w:lang w:eastAsia="en-AU"/>
        </w:rPr>
        <w:t xml:space="preserve">net present value </w:t>
      </w:r>
      <w:r>
        <w:rPr>
          <w:lang w:eastAsia="en-AU"/>
        </w:rPr>
        <w:t xml:space="preserve">(NPV) calculations are used to represent a series of wages over time in a single figure. Other important forms of wage dynamics, along with other structural dynamics, are covered in </w:t>
      </w:r>
      <w:r w:rsidR="00763B53">
        <w:rPr>
          <w:lang w:eastAsia="en-AU"/>
        </w:rPr>
        <w:t>Section</w:t>
      </w:r>
      <w:r>
        <w:rPr>
          <w:lang w:eastAsia="en-AU"/>
        </w:rPr>
        <w:t xml:space="preserve"> </w:t>
      </w:r>
      <w:r>
        <w:rPr>
          <w:lang w:eastAsia="en-AU"/>
        </w:rPr>
        <w:fldChar w:fldCharType="begin"/>
      </w:r>
      <w:r>
        <w:rPr>
          <w:lang w:eastAsia="en-AU"/>
        </w:rPr>
        <w:instrText xml:space="preserve"> REF _Ref457333251 \r \h </w:instrText>
      </w:r>
      <w:r>
        <w:rPr>
          <w:lang w:eastAsia="en-AU"/>
        </w:rPr>
      </w:r>
      <w:r>
        <w:rPr>
          <w:lang w:eastAsia="en-AU"/>
        </w:rPr>
        <w:fldChar w:fldCharType="separate"/>
      </w:r>
      <w:r w:rsidR="00534F9F">
        <w:rPr>
          <w:lang w:eastAsia="en-AU"/>
        </w:rPr>
        <w:t>6</w:t>
      </w:r>
      <w:r>
        <w:rPr>
          <w:lang w:eastAsia="en-AU"/>
        </w:rPr>
        <w:fldChar w:fldCharType="end"/>
      </w:r>
      <w:r>
        <w:rPr>
          <w:lang w:eastAsia="en-AU"/>
        </w:rPr>
        <w:t>.</w:t>
      </w:r>
    </w:p>
    <w:p w:rsidR="00EA6D4C" w:rsidRDefault="00EA6D4C" w:rsidP="006A17D8">
      <w:pPr>
        <w:pStyle w:val="BodyText"/>
        <w:rPr>
          <w:lang w:eastAsia="en-AU"/>
        </w:rPr>
      </w:pPr>
      <w:r>
        <w:rPr>
          <w:lang w:eastAsia="en-AU"/>
        </w:rPr>
        <w:t xml:space="preserve">Wage </w:t>
      </w:r>
      <w:r w:rsidR="00354AC0">
        <w:rPr>
          <w:lang w:eastAsia="en-AU"/>
        </w:rPr>
        <w:t>differences</w:t>
      </w:r>
      <w:r>
        <w:rPr>
          <w:lang w:eastAsia="en-AU"/>
        </w:rPr>
        <w:t xml:space="preserve"> are the obvious starting point to understand private market benefits</w:t>
      </w:r>
      <w:r w:rsidR="00354AC0">
        <w:rPr>
          <w:lang w:eastAsia="en-AU"/>
        </w:rPr>
        <w:t xml:space="preserve"> </w:t>
      </w:r>
      <w:r w:rsidR="00620A81">
        <w:rPr>
          <w:lang w:eastAsia="en-AU"/>
        </w:rPr>
        <w:t>from</w:t>
      </w:r>
      <w:r w:rsidR="00C50639">
        <w:rPr>
          <w:lang w:eastAsia="en-AU"/>
        </w:rPr>
        <w:t xml:space="preserve"> higher </w:t>
      </w:r>
      <w:r w:rsidR="00354AC0">
        <w:rPr>
          <w:lang w:eastAsia="en-AU"/>
        </w:rPr>
        <w:t xml:space="preserve">education. They are also the primary linkage to </w:t>
      </w:r>
      <w:r>
        <w:rPr>
          <w:lang w:eastAsia="en-AU"/>
        </w:rPr>
        <w:t xml:space="preserve">the public market benefits. This is </w:t>
      </w:r>
      <w:r>
        <w:rPr>
          <w:lang w:eastAsia="en-AU"/>
        </w:rPr>
        <w:lastRenderedPageBreak/>
        <w:t>because the market-based productivity</w:t>
      </w:r>
      <w:r w:rsidR="004000C2">
        <w:rPr>
          <w:rStyle w:val="FootnoteReference"/>
          <w:lang w:eastAsia="en-AU"/>
        </w:rPr>
        <w:footnoteReference w:id="34"/>
      </w:r>
      <w:r>
        <w:rPr>
          <w:lang w:eastAsia="en-AU"/>
        </w:rPr>
        <w:t xml:space="preserve"> </w:t>
      </w:r>
      <w:r w:rsidR="004000C2">
        <w:rPr>
          <w:lang w:eastAsia="en-AU"/>
        </w:rPr>
        <w:t xml:space="preserve">of </w:t>
      </w:r>
      <w:r w:rsidR="00F65411">
        <w:rPr>
          <w:lang w:eastAsia="en-AU"/>
        </w:rPr>
        <w:t xml:space="preserve">a worker </w:t>
      </w:r>
      <w:r>
        <w:rPr>
          <w:lang w:eastAsia="en-AU"/>
        </w:rPr>
        <w:t xml:space="preserve">is </w:t>
      </w:r>
      <w:r w:rsidR="00620A81">
        <w:rPr>
          <w:lang w:eastAsia="en-AU"/>
        </w:rPr>
        <w:t xml:space="preserve">largely </w:t>
      </w:r>
      <w:r w:rsidR="00F65411">
        <w:rPr>
          <w:lang w:eastAsia="en-AU"/>
        </w:rPr>
        <w:t xml:space="preserve">reflected in their wage. This is a widely-used convention in economics. It has also been examined critically in economics literature, discussed further in </w:t>
      </w:r>
      <w:r w:rsidR="00763B53">
        <w:rPr>
          <w:lang w:eastAsia="en-AU"/>
        </w:rPr>
        <w:t>S</w:t>
      </w:r>
      <w:r w:rsidR="00F65411">
        <w:rPr>
          <w:lang w:eastAsia="en-AU"/>
        </w:rPr>
        <w:t xml:space="preserve">ection </w:t>
      </w:r>
      <w:r w:rsidR="00F65411">
        <w:rPr>
          <w:lang w:eastAsia="en-AU"/>
        </w:rPr>
        <w:fldChar w:fldCharType="begin"/>
      </w:r>
      <w:r w:rsidR="00F65411">
        <w:rPr>
          <w:lang w:eastAsia="en-AU"/>
        </w:rPr>
        <w:instrText xml:space="preserve"> REF _Ref457334752 \r \h </w:instrText>
      </w:r>
      <w:r w:rsidR="00F65411">
        <w:rPr>
          <w:lang w:eastAsia="en-AU"/>
        </w:rPr>
      </w:r>
      <w:r w:rsidR="00F65411">
        <w:rPr>
          <w:lang w:eastAsia="en-AU"/>
        </w:rPr>
        <w:fldChar w:fldCharType="separate"/>
      </w:r>
      <w:r w:rsidR="00534F9F">
        <w:rPr>
          <w:lang w:eastAsia="en-AU"/>
        </w:rPr>
        <w:t>5.2.1</w:t>
      </w:r>
      <w:r w:rsidR="00F65411">
        <w:rPr>
          <w:lang w:eastAsia="en-AU"/>
        </w:rPr>
        <w:fldChar w:fldCharType="end"/>
      </w:r>
      <w:r w:rsidR="00F65411">
        <w:rPr>
          <w:lang w:eastAsia="en-AU"/>
        </w:rPr>
        <w:t xml:space="preserve">. </w:t>
      </w:r>
    </w:p>
    <w:p w:rsidR="00C66677" w:rsidRDefault="00A75D0F" w:rsidP="00C66677">
      <w:pPr>
        <w:pStyle w:val="Heading3"/>
        <w:jc w:val="both"/>
        <w:rPr>
          <w:lang w:eastAsia="en-AU"/>
        </w:rPr>
      </w:pPr>
      <w:r>
        <w:rPr>
          <w:lang w:eastAsia="en-AU"/>
        </w:rPr>
        <w:t>Q</w:t>
      </w:r>
      <w:r w:rsidR="00C66677">
        <w:rPr>
          <w:lang w:eastAsia="en-AU"/>
        </w:rPr>
        <w:t xml:space="preserve">ualification </w:t>
      </w:r>
      <w:r>
        <w:rPr>
          <w:lang w:eastAsia="en-AU"/>
        </w:rPr>
        <w:t xml:space="preserve">effects versus </w:t>
      </w:r>
      <w:r w:rsidR="00C66677">
        <w:rPr>
          <w:lang w:eastAsia="en-AU"/>
        </w:rPr>
        <w:t>demographic</w:t>
      </w:r>
      <w:r w:rsidR="00540334">
        <w:rPr>
          <w:lang w:eastAsia="en-AU"/>
        </w:rPr>
        <w:t>s</w:t>
      </w:r>
      <w:r w:rsidR="00C66677">
        <w:rPr>
          <w:lang w:eastAsia="en-AU"/>
        </w:rPr>
        <w:t xml:space="preserve"> effects in </w:t>
      </w:r>
      <w:r w:rsidR="00540334">
        <w:rPr>
          <w:lang w:eastAsia="en-AU"/>
        </w:rPr>
        <w:t xml:space="preserve">observed </w:t>
      </w:r>
      <w:r w:rsidR="00C66677">
        <w:rPr>
          <w:lang w:eastAsia="en-AU"/>
        </w:rPr>
        <w:t>wage premiums</w:t>
      </w:r>
    </w:p>
    <w:p w:rsidR="00540334" w:rsidRDefault="00540334" w:rsidP="006A17D8">
      <w:pPr>
        <w:pStyle w:val="BodyText"/>
        <w:rPr>
          <w:lang w:eastAsia="en-AU"/>
        </w:rPr>
      </w:pPr>
      <w:r>
        <w:rPr>
          <w:lang w:eastAsia="en-AU"/>
        </w:rPr>
        <w:t xml:space="preserve">A wide range of factors affect wages between individuals in the labour force. Qualifications are a key </w:t>
      </w:r>
      <w:r w:rsidR="00C50639">
        <w:rPr>
          <w:lang w:eastAsia="en-AU"/>
        </w:rPr>
        <w:t>influence</w:t>
      </w:r>
      <w:r>
        <w:rPr>
          <w:lang w:eastAsia="en-AU"/>
        </w:rPr>
        <w:t xml:space="preserve">, but </w:t>
      </w:r>
      <w:r w:rsidR="00C50639">
        <w:rPr>
          <w:lang w:eastAsia="en-AU"/>
        </w:rPr>
        <w:t>an array of</w:t>
      </w:r>
      <w:r>
        <w:rPr>
          <w:lang w:eastAsia="en-AU"/>
        </w:rPr>
        <w:t xml:space="preserve"> other </w:t>
      </w:r>
      <w:r w:rsidR="00C50639">
        <w:rPr>
          <w:lang w:eastAsia="en-AU"/>
        </w:rPr>
        <w:t xml:space="preserve">variables </w:t>
      </w:r>
      <w:r>
        <w:rPr>
          <w:lang w:eastAsia="en-AU"/>
        </w:rPr>
        <w:t>are also important</w:t>
      </w:r>
      <w:r w:rsidR="003D0C90">
        <w:rPr>
          <w:lang w:eastAsia="en-AU"/>
        </w:rPr>
        <w:t>, including</w:t>
      </w:r>
      <w:r>
        <w:rPr>
          <w:lang w:eastAsia="en-AU"/>
        </w:rPr>
        <w:t xml:space="preserve">: </w:t>
      </w:r>
    </w:p>
    <w:p w:rsidR="00540334" w:rsidRDefault="00E95401" w:rsidP="00540334">
      <w:pPr>
        <w:pStyle w:val="Bullet1"/>
      </w:pPr>
      <w:r>
        <w:t>d</w:t>
      </w:r>
      <w:r w:rsidR="00540334">
        <w:t>emograph</w:t>
      </w:r>
      <w:r>
        <w:t>ics – gender, social/ethnic background, age;</w:t>
      </w:r>
    </w:p>
    <w:p w:rsidR="00540334" w:rsidRDefault="00E95401" w:rsidP="00540334">
      <w:pPr>
        <w:pStyle w:val="Bullet1"/>
      </w:pPr>
      <w:r>
        <w:t>cognitive ability – innate ability and talent for a given job; and</w:t>
      </w:r>
    </w:p>
    <w:p w:rsidR="00E95401" w:rsidRDefault="00E95401" w:rsidP="00540334">
      <w:pPr>
        <w:pStyle w:val="Bullet1"/>
      </w:pPr>
      <w:proofErr w:type="gramStart"/>
      <w:r>
        <w:t>time</w:t>
      </w:r>
      <w:proofErr w:type="gramEnd"/>
      <w:r>
        <w:t xml:space="preserve"> or region specific factors.</w:t>
      </w:r>
    </w:p>
    <w:p w:rsidR="00E95401" w:rsidRDefault="00540334" w:rsidP="006A17D8">
      <w:pPr>
        <w:pStyle w:val="BodyText"/>
        <w:rPr>
          <w:lang w:eastAsia="en-AU"/>
        </w:rPr>
      </w:pPr>
      <w:r>
        <w:rPr>
          <w:lang w:eastAsia="en-AU"/>
        </w:rPr>
        <w:t xml:space="preserve">In observing the </w:t>
      </w:r>
      <w:r w:rsidR="00E95401">
        <w:rPr>
          <w:lang w:eastAsia="en-AU"/>
        </w:rPr>
        <w:t xml:space="preserve">average </w:t>
      </w:r>
      <w:r>
        <w:rPr>
          <w:lang w:eastAsia="en-AU"/>
        </w:rPr>
        <w:t xml:space="preserve">wage differences between different </w:t>
      </w:r>
      <w:r w:rsidR="00E95401">
        <w:rPr>
          <w:lang w:eastAsia="en-AU"/>
        </w:rPr>
        <w:t xml:space="preserve">groups of </w:t>
      </w:r>
      <w:r>
        <w:rPr>
          <w:lang w:eastAsia="en-AU"/>
        </w:rPr>
        <w:t xml:space="preserve">qualification holders, </w:t>
      </w:r>
      <w:r w:rsidR="00E95401">
        <w:rPr>
          <w:lang w:eastAsia="en-AU"/>
        </w:rPr>
        <w:t>these other factors may vary on average also. For example, Law bachelor holders may have different social backgrounds on average to those without a post-school qualification.</w:t>
      </w:r>
      <w:r w:rsidR="006B5C65">
        <w:rPr>
          <w:lang w:eastAsia="en-AU"/>
        </w:rPr>
        <w:t xml:space="preserve"> </w:t>
      </w:r>
      <w:r w:rsidR="00E95401">
        <w:rPr>
          <w:lang w:eastAsia="en-AU"/>
        </w:rPr>
        <w:t xml:space="preserve">When comparing observed averages across these groups, the average wage difference includes the effect of the qualification itself, </w:t>
      </w:r>
      <w:r w:rsidR="006B5C65">
        <w:rPr>
          <w:lang w:eastAsia="en-AU"/>
        </w:rPr>
        <w:t xml:space="preserve">but also includes effects of different demographics. </w:t>
      </w:r>
    </w:p>
    <w:p w:rsidR="00780B61" w:rsidRDefault="006B5C65" w:rsidP="006A17D8">
      <w:pPr>
        <w:pStyle w:val="BodyText"/>
        <w:rPr>
          <w:lang w:eastAsia="en-AU"/>
        </w:rPr>
      </w:pPr>
      <w:r>
        <w:rPr>
          <w:lang w:eastAsia="en-AU"/>
        </w:rPr>
        <w:t xml:space="preserve">This step of the process uses econometrics to separate the qualification effects from other factors affecting wages. These are presented as a </w:t>
      </w:r>
      <w:r w:rsidR="001A6083">
        <w:rPr>
          <w:lang w:eastAsia="en-AU"/>
        </w:rPr>
        <w:t>percent</w:t>
      </w:r>
      <w:r>
        <w:rPr>
          <w:lang w:eastAsia="en-AU"/>
        </w:rPr>
        <w:t xml:space="preserve">age share of the observed wage premium. These qualification and demographic effects are taken into account when calculating the </w:t>
      </w:r>
      <w:r w:rsidR="00F05B65">
        <w:rPr>
          <w:lang w:eastAsia="en-AU"/>
        </w:rPr>
        <w:t>private returns</w:t>
      </w:r>
      <w:r w:rsidR="003D0C90">
        <w:rPr>
          <w:lang w:eastAsia="en-AU"/>
        </w:rPr>
        <w:t xml:space="preserve"> –</w:t>
      </w:r>
      <w:r w:rsidR="00F05B65">
        <w:rPr>
          <w:lang w:eastAsia="en-AU"/>
        </w:rPr>
        <w:t xml:space="preserve"> that is</w:t>
      </w:r>
      <w:r w:rsidR="003D0C90">
        <w:rPr>
          <w:lang w:eastAsia="en-AU"/>
        </w:rPr>
        <w:t>,</w:t>
      </w:r>
      <w:r w:rsidR="00F05B65">
        <w:rPr>
          <w:lang w:eastAsia="en-AU"/>
        </w:rPr>
        <w:t xml:space="preserve"> </w:t>
      </w:r>
      <w:r w:rsidR="003D0C90">
        <w:rPr>
          <w:lang w:eastAsia="en-AU"/>
        </w:rPr>
        <w:t xml:space="preserve">the NPV </w:t>
      </w:r>
      <w:r>
        <w:rPr>
          <w:lang w:eastAsia="en-AU"/>
        </w:rPr>
        <w:t xml:space="preserve">of the </w:t>
      </w:r>
      <w:r w:rsidR="00F05B65">
        <w:rPr>
          <w:lang w:eastAsia="en-AU"/>
        </w:rPr>
        <w:t xml:space="preserve">post-tax </w:t>
      </w:r>
      <w:r>
        <w:rPr>
          <w:lang w:eastAsia="en-AU"/>
        </w:rPr>
        <w:t>wage premium between individuals in the market.</w:t>
      </w:r>
      <w:r w:rsidR="00F05B65">
        <w:rPr>
          <w:lang w:eastAsia="en-AU"/>
        </w:rPr>
        <w:t xml:space="preserve"> The concept of post-tax wage premiums is important, given this study is concerned with whether the benefits are accruing to private individuals</w:t>
      </w:r>
      <w:r w:rsidR="003D0C90">
        <w:rPr>
          <w:lang w:eastAsia="en-AU"/>
        </w:rPr>
        <w:t xml:space="preserve"> or the</w:t>
      </w:r>
      <w:r w:rsidR="00F05B65">
        <w:rPr>
          <w:lang w:eastAsia="en-AU"/>
        </w:rPr>
        <w:t xml:space="preserve"> broader public.</w:t>
      </w:r>
      <w:r w:rsidR="00780B61">
        <w:rPr>
          <w:lang w:eastAsia="en-AU"/>
        </w:rPr>
        <w:t xml:space="preserve"> This component of the study is the focus of </w:t>
      </w:r>
      <w:r w:rsidR="00745596">
        <w:rPr>
          <w:lang w:eastAsia="en-AU"/>
        </w:rPr>
        <w:t>Section</w:t>
      </w:r>
      <w:r w:rsidR="00780B61">
        <w:rPr>
          <w:lang w:eastAsia="en-AU"/>
        </w:rPr>
        <w:t xml:space="preserve"> </w:t>
      </w:r>
      <w:r w:rsidR="00780B61">
        <w:rPr>
          <w:lang w:eastAsia="en-AU"/>
        </w:rPr>
        <w:fldChar w:fldCharType="begin"/>
      </w:r>
      <w:r w:rsidR="00780B61">
        <w:rPr>
          <w:lang w:eastAsia="en-AU"/>
        </w:rPr>
        <w:instrText xml:space="preserve"> REF _Ref457342391 \r \h </w:instrText>
      </w:r>
      <w:r w:rsidR="00780B61">
        <w:rPr>
          <w:lang w:eastAsia="en-AU"/>
        </w:rPr>
      </w:r>
      <w:r w:rsidR="00780B61">
        <w:rPr>
          <w:lang w:eastAsia="en-AU"/>
        </w:rPr>
        <w:fldChar w:fldCharType="separate"/>
      </w:r>
      <w:r w:rsidR="00534F9F">
        <w:rPr>
          <w:lang w:eastAsia="en-AU"/>
        </w:rPr>
        <w:t>4</w:t>
      </w:r>
      <w:r w:rsidR="00780B61">
        <w:rPr>
          <w:lang w:eastAsia="en-AU"/>
        </w:rPr>
        <w:fldChar w:fldCharType="end"/>
      </w:r>
      <w:r w:rsidR="00780B61">
        <w:rPr>
          <w:lang w:eastAsia="en-AU"/>
        </w:rPr>
        <w:t>.</w:t>
      </w:r>
    </w:p>
    <w:p w:rsidR="00F05B65" w:rsidRDefault="00F05B65" w:rsidP="007C0EEC">
      <w:pPr>
        <w:pStyle w:val="Heading3"/>
        <w:rPr>
          <w:lang w:eastAsia="en-AU"/>
        </w:rPr>
      </w:pPr>
      <w:bookmarkStart w:id="52" w:name="_Ref458153437"/>
      <w:r>
        <w:rPr>
          <w:lang w:eastAsia="en-AU"/>
        </w:rPr>
        <w:t>The effects of higher education on others in the labour market</w:t>
      </w:r>
      <w:bookmarkEnd w:id="52"/>
    </w:p>
    <w:p w:rsidR="00F05B65" w:rsidRDefault="00F05B65" w:rsidP="00F05B65">
      <w:pPr>
        <w:pStyle w:val="BodyText"/>
      </w:pPr>
      <w:r w:rsidRPr="00321A29">
        <w:t xml:space="preserve">Moving beyond </w:t>
      </w:r>
      <w:r>
        <w:t>the private returns to education, the share of qualifications held in the workforce affect</w:t>
      </w:r>
      <w:r w:rsidR="003D0C90">
        <w:t>s</w:t>
      </w:r>
      <w:r>
        <w:t xml:space="preserve"> all </w:t>
      </w:r>
      <w:r w:rsidR="003D0C90">
        <w:t>of its participants</w:t>
      </w:r>
      <w:r>
        <w:t xml:space="preserve">.  There are two predominant effects – </w:t>
      </w:r>
      <w:r>
        <w:rPr>
          <w:b/>
        </w:rPr>
        <w:t>relative scarcity</w:t>
      </w:r>
      <w:r w:rsidRPr="00B76AF4">
        <w:rPr>
          <w:b/>
        </w:rPr>
        <w:t xml:space="preserve">, and </w:t>
      </w:r>
      <w:r>
        <w:rPr>
          <w:b/>
        </w:rPr>
        <w:t>overall productivity</w:t>
      </w:r>
      <w:r>
        <w:t>.</w:t>
      </w:r>
    </w:p>
    <w:p w:rsidR="0044412A" w:rsidRDefault="0044412A" w:rsidP="006A17D8">
      <w:pPr>
        <w:pStyle w:val="BodyText"/>
        <w:rPr>
          <w:lang w:eastAsia="en-AU"/>
        </w:rPr>
      </w:pPr>
      <w:r>
        <w:rPr>
          <w:lang w:eastAsia="en-AU"/>
        </w:rPr>
        <w:t>Different kinds of workers, with different levels of qualification, are partially substitutable for firms. For certain tasks, five less qualified workers may be as productive as four more qualified workers. In this highly simplified case, firms will choose whic</w:t>
      </w:r>
      <w:r w:rsidR="008275C2">
        <w:rPr>
          <w:lang w:eastAsia="en-AU"/>
        </w:rPr>
        <w:t>hever group is least expensive.</w:t>
      </w:r>
      <w:r>
        <w:rPr>
          <w:lang w:eastAsia="en-AU"/>
        </w:rPr>
        <w:t xml:space="preserve"> However, this ratio will not hold for all tasks. There may be some tasks which require higher qualified workers and some tasks where qualifications are irrelevant.  </w:t>
      </w:r>
      <w:r w:rsidR="008275C2">
        <w:rPr>
          <w:lang w:eastAsia="en-AU"/>
        </w:rPr>
        <w:t>In this way, workers</w:t>
      </w:r>
      <w:r w:rsidR="003D0C90">
        <w:rPr>
          <w:lang w:eastAsia="en-AU"/>
        </w:rPr>
        <w:t xml:space="preserve"> with</w:t>
      </w:r>
      <w:r w:rsidR="008275C2">
        <w:rPr>
          <w:lang w:eastAsia="en-AU"/>
        </w:rPr>
        <w:t xml:space="preserve"> different qualifications are partially or imperfectly substitutable for firms. </w:t>
      </w:r>
    </w:p>
    <w:p w:rsidR="000F1AE5" w:rsidRDefault="008275C2" w:rsidP="006A17D8">
      <w:pPr>
        <w:pStyle w:val="BodyText"/>
        <w:rPr>
          <w:lang w:eastAsia="en-AU"/>
        </w:rPr>
      </w:pPr>
      <w:r>
        <w:rPr>
          <w:lang w:eastAsia="en-AU"/>
        </w:rPr>
        <w:t xml:space="preserve">As a result of this partial substitutability, when there is a relative </w:t>
      </w:r>
      <w:r w:rsidR="0044412A">
        <w:rPr>
          <w:lang w:eastAsia="en-AU"/>
        </w:rPr>
        <w:t xml:space="preserve">abundance of </w:t>
      </w:r>
      <w:r w:rsidR="000F1AE5">
        <w:rPr>
          <w:lang w:eastAsia="en-AU"/>
        </w:rPr>
        <w:t>low</w:t>
      </w:r>
      <w:r>
        <w:rPr>
          <w:lang w:eastAsia="en-AU"/>
        </w:rPr>
        <w:t xml:space="preserve">-skilled workers in the workforce, firms will use </w:t>
      </w:r>
      <w:r w:rsidR="000F1AE5">
        <w:rPr>
          <w:lang w:eastAsia="en-AU"/>
        </w:rPr>
        <w:t>low</w:t>
      </w:r>
      <w:r>
        <w:rPr>
          <w:lang w:eastAsia="en-AU"/>
        </w:rPr>
        <w:t xml:space="preserve">-skilled workers for more tasks, but not all. </w:t>
      </w:r>
      <w:r w:rsidR="000F1AE5">
        <w:rPr>
          <w:lang w:eastAsia="en-AU"/>
        </w:rPr>
        <w:t xml:space="preserve">If the </w:t>
      </w:r>
      <w:r w:rsidR="000F1AE5">
        <w:rPr>
          <w:lang w:eastAsia="en-AU"/>
        </w:rPr>
        <w:lastRenderedPageBreak/>
        <w:t xml:space="preserve">mix of qualifications increases in the workforce, there will be a </w:t>
      </w:r>
      <w:r w:rsidR="000F1AE5" w:rsidRPr="000F1AE5">
        <w:rPr>
          <w:b/>
          <w:lang w:eastAsia="en-AU"/>
        </w:rPr>
        <w:t>relative scarcity effect:</w:t>
      </w:r>
      <w:r w:rsidR="000F1AE5">
        <w:rPr>
          <w:lang w:eastAsia="en-AU"/>
        </w:rPr>
        <w:t xml:space="preserve"> those with higher skills will be less scarce, and those with lower skills will be slightly </w:t>
      </w:r>
      <w:r w:rsidR="00F626A1">
        <w:rPr>
          <w:lang w:eastAsia="en-AU"/>
        </w:rPr>
        <w:t>scarcer</w:t>
      </w:r>
      <w:r w:rsidR="000F1AE5">
        <w:rPr>
          <w:lang w:eastAsia="en-AU"/>
        </w:rPr>
        <w:t xml:space="preserve">. The wage patterns will reflect this: there </w:t>
      </w:r>
      <w:r w:rsidR="000F1AE5" w:rsidRPr="000F1AE5">
        <w:rPr>
          <w:lang w:eastAsia="en-AU"/>
        </w:rPr>
        <w:t xml:space="preserve">will </w:t>
      </w:r>
      <w:r w:rsidR="000F1AE5">
        <w:rPr>
          <w:lang w:eastAsia="en-AU"/>
        </w:rPr>
        <w:t xml:space="preserve">be </w:t>
      </w:r>
      <w:r w:rsidR="000F1AE5" w:rsidRPr="000F1AE5">
        <w:rPr>
          <w:lang w:eastAsia="en-AU"/>
        </w:rPr>
        <w:t xml:space="preserve">downward pressure on wages for </w:t>
      </w:r>
      <w:r w:rsidR="000F1AE5">
        <w:rPr>
          <w:lang w:eastAsia="en-AU"/>
        </w:rPr>
        <w:t>high-skilled workers</w:t>
      </w:r>
      <w:r w:rsidR="000F1AE5" w:rsidRPr="000F1AE5">
        <w:rPr>
          <w:lang w:eastAsia="en-AU"/>
        </w:rPr>
        <w:t xml:space="preserve">, and upward pressure on wages for </w:t>
      </w:r>
      <w:r w:rsidR="000F1AE5">
        <w:rPr>
          <w:lang w:eastAsia="en-AU"/>
        </w:rPr>
        <w:t>low skilled workers.</w:t>
      </w:r>
    </w:p>
    <w:p w:rsidR="00DE13E7" w:rsidRDefault="00DE13E7" w:rsidP="00DE13E7">
      <w:pPr>
        <w:pStyle w:val="BodyText"/>
        <w:rPr>
          <w:lang w:eastAsia="en-AU"/>
        </w:rPr>
      </w:pPr>
      <w:r>
        <w:rPr>
          <w:lang w:eastAsia="en-AU"/>
        </w:rPr>
        <w:t>Skills of a particular kind, say from a certain field of study, may be more substitutable for firms than others. This is reflected in the observed wage differentials, but also sensitivity of firms’ responses to market wage changes. Skills of a certain kind may be in relative surplus in the economy, and it may be relatively easy for firms to find these skills as required.</w:t>
      </w:r>
    </w:p>
    <w:p w:rsidR="000F1AE5" w:rsidRDefault="000F1AE5" w:rsidP="006A17D8">
      <w:pPr>
        <w:pStyle w:val="BodyText"/>
        <w:rPr>
          <w:lang w:eastAsia="en-AU"/>
        </w:rPr>
      </w:pPr>
      <w:r>
        <w:rPr>
          <w:lang w:eastAsia="en-AU"/>
        </w:rPr>
        <w:t xml:space="preserve">Overall skills in the workforce, in this case the amount of formal </w:t>
      </w:r>
      <w:r w:rsidR="004A177D">
        <w:rPr>
          <w:lang w:eastAsia="en-AU"/>
        </w:rPr>
        <w:t>qualifications held, is conventionally termed ‘human capital’ in the economy. This is because a worker may use acquired skills in a conceptually similar way to conventional capital, such as a piece of machinery, to create output. As the amount of human capital in the economy increases, the total amount of output will increase</w:t>
      </w:r>
      <w:r w:rsidR="00780B61">
        <w:rPr>
          <w:lang w:eastAsia="en-AU"/>
        </w:rPr>
        <w:t xml:space="preserve">, as the </w:t>
      </w:r>
      <w:r w:rsidR="00780B61" w:rsidRPr="00780B61">
        <w:rPr>
          <w:b/>
          <w:lang w:eastAsia="en-AU"/>
        </w:rPr>
        <w:t>overall productivity</w:t>
      </w:r>
      <w:r w:rsidR="00780B61">
        <w:rPr>
          <w:lang w:eastAsia="en-AU"/>
        </w:rPr>
        <w:t xml:space="preserve"> of the economy has risen</w:t>
      </w:r>
      <w:r w:rsidR="004A177D">
        <w:rPr>
          <w:lang w:eastAsia="en-AU"/>
        </w:rPr>
        <w:t xml:space="preserve">. This will result in higher incomes to be shared amongst all parts of the economy involved in production, as well as tax revenue. This overall uplift in incomes will place upward pressure on </w:t>
      </w:r>
      <w:r w:rsidR="00620A81">
        <w:rPr>
          <w:lang w:eastAsia="en-AU"/>
        </w:rPr>
        <w:t xml:space="preserve">wages for </w:t>
      </w:r>
      <w:r w:rsidR="004A177D">
        <w:rPr>
          <w:lang w:eastAsia="en-AU"/>
        </w:rPr>
        <w:t xml:space="preserve">all parts of the labour force. </w:t>
      </w:r>
    </w:p>
    <w:p w:rsidR="00780B61" w:rsidRDefault="00780B61" w:rsidP="00780B61">
      <w:pPr>
        <w:pStyle w:val="BodyText"/>
      </w:pPr>
      <w:r>
        <w:t xml:space="preserve">The net result of the </w:t>
      </w:r>
      <w:r w:rsidRPr="000F1AE5">
        <w:rPr>
          <w:b/>
          <w:lang w:eastAsia="en-AU"/>
        </w:rPr>
        <w:t xml:space="preserve">relative scarcity </w:t>
      </w:r>
      <w:r>
        <w:rPr>
          <w:b/>
          <w:lang w:eastAsia="en-AU"/>
        </w:rPr>
        <w:t xml:space="preserve">and overall productivity </w:t>
      </w:r>
      <w:r w:rsidRPr="000F1AE5">
        <w:rPr>
          <w:b/>
          <w:lang w:eastAsia="en-AU"/>
        </w:rPr>
        <w:t>effect</w:t>
      </w:r>
      <w:r>
        <w:rPr>
          <w:b/>
          <w:lang w:eastAsia="en-AU"/>
        </w:rPr>
        <w:t>s</w:t>
      </w:r>
      <w:r>
        <w:t xml:space="preserve"> is that there is a combined upward pressure on wages for lower-skilled workers, and opposing upward and downward pressure on wages for higher skilled workers.</w:t>
      </w:r>
    </w:p>
    <w:p w:rsidR="00F05B65" w:rsidRPr="00F05B65" w:rsidRDefault="00780B61" w:rsidP="00F05B65">
      <w:pPr>
        <w:pStyle w:val="BodyText"/>
        <w:rPr>
          <w:lang w:eastAsia="en-AU"/>
        </w:rPr>
      </w:pPr>
      <w:r>
        <w:rPr>
          <w:lang w:eastAsia="en-AU"/>
        </w:rPr>
        <w:t xml:space="preserve">The relative strengths of these effects is examined though the relevant literature, </w:t>
      </w:r>
      <w:r w:rsidR="00B829F9">
        <w:rPr>
          <w:lang w:eastAsia="en-AU"/>
        </w:rPr>
        <w:t xml:space="preserve">the labour market simulations within the CGE framework, </w:t>
      </w:r>
      <w:r>
        <w:rPr>
          <w:lang w:eastAsia="en-AU"/>
        </w:rPr>
        <w:t xml:space="preserve">and </w:t>
      </w:r>
      <w:r w:rsidR="00B829F9">
        <w:rPr>
          <w:lang w:eastAsia="en-AU"/>
        </w:rPr>
        <w:t xml:space="preserve">dedicated </w:t>
      </w:r>
      <w:r>
        <w:rPr>
          <w:lang w:eastAsia="en-AU"/>
        </w:rPr>
        <w:t xml:space="preserve">exploratory empirical analysis. This is </w:t>
      </w:r>
      <w:r w:rsidR="00B829F9">
        <w:rPr>
          <w:lang w:eastAsia="en-AU"/>
        </w:rPr>
        <w:t>discussed</w:t>
      </w:r>
      <w:r>
        <w:rPr>
          <w:lang w:eastAsia="en-AU"/>
        </w:rPr>
        <w:t xml:space="preserve"> in Section </w:t>
      </w:r>
      <w:r w:rsidR="00D92137">
        <w:rPr>
          <w:lang w:eastAsia="en-AU"/>
        </w:rPr>
        <w:fldChar w:fldCharType="begin"/>
      </w:r>
      <w:r w:rsidR="00D92137">
        <w:rPr>
          <w:lang w:eastAsia="en-AU"/>
        </w:rPr>
        <w:instrText xml:space="preserve"> REF _Ref457329098 \r \h </w:instrText>
      </w:r>
      <w:r w:rsidR="00D92137">
        <w:rPr>
          <w:lang w:eastAsia="en-AU"/>
        </w:rPr>
      </w:r>
      <w:r w:rsidR="00D92137">
        <w:rPr>
          <w:lang w:eastAsia="en-AU"/>
        </w:rPr>
        <w:fldChar w:fldCharType="separate"/>
      </w:r>
      <w:r w:rsidR="00534F9F">
        <w:rPr>
          <w:lang w:eastAsia="en-AU"/>
        </w:rPr>
        <w:t>5.1</w:t>
      </w:r>
      <w:r w:rsidR="00D92137">
        <w:rPr>
          <w:lang w:eastAsia="en-AU"/>
        </w:rPr>
        <w:fldChar w:fldCharType="end"/>
      </w:r>
      <w:r w:rsidR="00B829F9">
        <w:rPr>
          <w:lang w:eastAsia="en-AU"/>
        </w:rPr>
        <w:t>.</w:t>
      </w:r>
    </w:p>
    <w:p w:rsidR="00834DE5" w:rsidRDefault="00834DE5" w:rsidP="00834DE5">
      <w:pPr>
        <w:pStyle w:val="Heading3"/>
        <w:rPr>
          <w:lang w:eastAsia="en-AU"/>
        </w:rPr>
      </w:pPr>
      <w:r w:rsidRPr="00C66677">
        <w:rPr>
          <w:lang w:eastAsia="en-AU"/>
        </w:rPr>
        <w:t>Understa</w:t>
      </w:r>
      <w:r>
        <w:rPr>
          <w:lang w:eastAsia="en-AU"/>
        </w:rPr>
        <w:t xml:space="preserve">nding the effects of higher education on the </w:t>
      </w:r>
      <w:r w:rsidR="00A75D0F">
        <w:rPr>
          <w:lang w:eastAsia="en-AU"/>
        </w:rPr>
        <w:t xml:space="preserve">overall </w:t>
      </w:r>
      <w:r>
        <w:rPr>
          <w:lang w:eastAsia="en-AU"/>
        </w:rPr>
        <w:t>economy</w:t>
      </w:r>
    </w:p>
    <w:p w:rsidR="005559CF" w:rsidRDefault="005559CF" w:rsidP="005559CF">
      <w:pPr>
        <w:pStyle w:val="BodyText"/>
      </w:pPr>
      <w:r>
        <w:t xml:space="preserve">As noted previously, </w:t>
      </w:r>
      <w:r w:rsidR="00950DB0">
        <w:t xml:space="preserve">the amount of higher qualification skills in the workforce is a determinant </w:t>
      </w:r>
      <w:r w:rsidR="00620A81">
        <w:t xml:space="preserve">of </w:t>
      </w:r>
      <w:r>
        <w:t xml:space="preserve">overall labour productivity </w:t>
      </w:r>
      <w:r w:rsidR="00950DB0">
        <w:t>in the economy. If the stock of higher qualification skills rises, this boosts overall productivity</w:t>
      </w:r>
      <w:r>
        <w:t xml:space="preserve">, which has effects for the broader </w:t>
      </w:r>
      <w:r w:rsidR="00950DB0">
        <w:t xml:space="preserve">Australian economy. </w:t>
      </w:r>
    </w:p>
    <w:p w:rsidR="00950DB0" w:rsidRDefault="005559CF" w:rsidP="005559CF">
      <w:pPr>
        <w:pStyle w:val="BodyText"/>
      </w:pPr>
      <w:r>
        <w:t xml:space="preserve">Due to the complementary way in which firms use labour and capital (as well as land and natural resources), </w:t>
      </w:r>
      <w:r w:rsidR="00950DB0">
        <w:t xml:space="preserve">the </w:t>
      </w:r>
      <w:r>
        <w:t xml:space="preserve">productivity </w:t>
      </w:r>
      <w:r w:rsidR="00950DB0">
        <w:t xml:space="preserve">of labour is a driver to </w:t>
      </w:r>
      <w:r>
        <w:t xml:space="preserve">the </w:t>
      </w:r>
      <w:r w:rsidR="00950DB0">
        <w:t>demand for</w:t>
      </w:r>
      <w:r>
        <w:t xml:space="preserve"> capital. </w:t>
      </w:r>
      <w:r w:rsidR="00950DB0">
        <w:t>In this way, growth in the stock of skills in the workforce will affect the stock of capital demanded in the economy.</w:t>
      </w:r>
    </w:p>
    <w:p w:rsidR="005559CF" w:rsidRDefault="005559CF" w:rsidP="005559CF">
      <w:pPr>
        <w:pStyle w:val="BodyText"/>
      </w:pPr>
      <w:r>
        <w:t>An increase in the stock of capital is best thought of as net investment. Investment is an important component of GDP overall, so any changes in invest</w:t>
      </w:r>
      <w:r w:rsidR="00950DB0">
        <w:t>ment will be reflected in GDP.</w:t>
      </w:r>
    </w:p>
    <w:p w:rsidR="005559CF" w:rsidRDefault="00DE13E7" w:rsidP="005559CF">
      <w:pPr>
        <w:pStyle w:val="BodyText"/>
      </w:pPr>
      <w:r>
        <w:t>Certain skill types, for example engineering, are employe</w:t>
      </w:r>
      <w:r w:rsidR="00620A81">
        <w:t>d in industries which involve a</w:t>
      </w:r>
      <w:r w:rsidR="004D27AE">
        <w:t xml:space="preserve"> </w:t>
      </w:r>
      <w:r w:rsidR="00620A81">
        <w:t>lot</w:t>
      </w:r>
      <w:r>
        <w:t xml:space="preserve"> of capital</w:t>
      </w:r>
      <w:r w:rsidR="005559CF">
        <w:t xml:space="preserve">, like manufacturing, mining and utilities. This means </w:t>
      </w:r>
      <w:r>
        <w:t xml:space="preserve">an increase in the productivity of these skillsets will have a proportionally large impact on </w:t>
      </w:r>
      <w:r w:rsidR="00F626A1">
        <w:t>demand for capital</w:t>
      </w:r>
      <w:r w:rsidR="005559CF">
        <w:t>, which in turn generates a significant investment effect</w:t>
      </w:r>
      <w:r w:rsidR="00F626A1">
        <w:t xml:space="preserve"> in the economy overall</w:t>
      </w:r>
      <w:r w:rsidR="005559CF">
        <w:t>.</w:t>
      </w:r>
    </w:p>
    <w:p w:rsidR="00F626A1" w:rsidRDefault="00F626A1" w:rsidP="005559CF">
      <w:pPr>
        <w:pStyle w:val="BodyText"/>
      </w:pPr>
      <w:r>
        <w:t>As introduced previously, i</w:t>
      </w:r>
      <w:r w:rsidRPr="00F626A1">
        <w:t xml:space="preserve">f the stock of higher qualification skills rises, this boosts overall productivity, </w:t>
      </w:r>
      <w:r>
        <w:t xml:space="preserve">increasing output. This increase in output leads to greater incomes for labour, </w:t>
      </w:r>
      <w:r>
        <w:lastRenderedPageBreak/>
        <w:t xml:space="preserve">capital holders, and also revenue for government through taxation of these factor incomes. Incomes earned by labour and capital are re-spent partly within the domestic economy. </w:t>
      </w:r>
    </w:p>
    <w:p w:rsidR="005559CF" w:rsidRPr="005559CF" w:rsidRDefault="00F626A1" w:rsidP="005559CF">
      <w:pPr>
        <w:pStyle w:val="BodyText"/>
      </w:pPr>
      <w:r>
        <w:t>Hence</w:t>
      </w:r>
      <w:r w:rsidR="003D0C90">
        <w:t>,</w:t>
      </w:r>
      <w:r>
        <w:t xml:space="preserve"> there are second-round expansionary effects to the investment effect associated with a rise in </w:t>
      </w:r>
      <w:r w:rsidRPr="00F626A1">
        <w:t>stock of higher qualification</w:t>
      </w:r>
      <w:r>
        <w:t>. In</w:t>
      </w:r>
      <w:r w:rsidR="00D92137">
        <w:t xml:space="preserve"> this way, t</w:t>
      </w:r>
      <w:r>
        <w:t xml:space="preserve">he total market benefits of higher education </w:t>
      </w:r>
      <w:r w:rsidR="003D0C90">
        <w:t>are</w:t>
      </w:r>
      <w:r>
        <w:t xml:space="preserve"> best captured using a </w:t>
      </w:r>
      <w:r w:rsidR="00D92137">
        <w:t xml:space="preserve">general equilibrium model of the economy, which can simulate the full suite of market interactions in a comprehensive framework. </w:t>
      </w:r>
    </w:p>
    <w:p w:rsidR="00834DE5" w:rsidRDefault="00834DE5" w:rsidP="00834DE5">
      <w:pPr>
        <w:pStyle w:val="Heading3"/>
        <w:rPr>
          <w:lang w:eastAsia="en-AU"/>
        </w:rPr>
      </w:pPr>
      <w:bookmarkStart w:id="53" w:name="_Ref457334298"/>
      <w:r w:rsidRPr="00C66677">
        <w:rPr>
          <w:lang w:eastAsia="en-AU"/>
        </w:rPr>
        <w:t>Understa</w:t>
      </w:r>
      <w:r>
        <w:rPr>
          <w:lang w:eastAsia="en-AU"/>
        </w:rPr>
        <w:t xml:space="preserve">nding the </w:t>
      </w:r>
      <w:r w:rsidR="00A75D0F">
        <w:rPr>
          <w:lang w:eastAsia="en-AU"/>
        </w:rPr>
        <w:t xml:space="preserve">broader public benefits </w:t>
      </w:r>
      <w:r>
        <w:rPr>
          <w:lang w:eastAsia="en-AU"/>
        </w:rPr>
        <w:t>of higher education</w:t>
      </w:r>
      <w:bookmarkEnd w:id="53"/>
    </w:p>
    <w:p w:rsidR="00780B61" w:rsidRDefault="00780B61" w:rsidP="00780B61">
      <w:pPr>
        <w:pStyle w:val="BodyText"/>
      </w:pPr>
      <w:r>
        <w:t xml:space="preserve">Besides the benefits that flow through the CGE framework, there are significant other market </w:t>
      </w:r>
      <w:r w:rsidR="00620A81">
        <w:t xml:space="preserve">and non-market </w:t>
      </w:r>
      <w:r>
        <w:t>effects that result from these ind</w:t>
      </w:r>
      <w:r w:rsidR="005559CF">
        <w:t>ividuals electing to pursue higher education</w:t>
      </w:r>
      <w:r>
        <w:t>. These can be categorised as follows:</w:t>
      </w:r>
    </w:p>
    <w:p w:rsidR="00780B61" w:rsidRDefault="005559CF" w:rsidP="00780B61">
      <w:pPr>
        <w:pStyle w:val="Bullet1"/>
        <w:ind w:left="567" w:hanging="567"/>
      </w:pPr>
      <w:r>
        <w:rPr>
          <w:b/>
        </w:rPr>
        <w:t>p</w:t>
      </w:r>
      <w:r w:rsidR="00780B61" w:rsidRPr="005559CF">
        <w:rPr>
          <w:b/>
        </w:rPr>
        <w:t>rivate benefits:</w:t>
      </w:r>
      <w:r w:rsidR="00780B61">
        <w:t xml:space="preserve"> these include i</w:t>
      </w:r>
      <w:r w:rsidR="00780B61" w:rsidRPr="005F34E1">
        <w:t>mproved health and wellbeing</w:t>
      </w:r>
      <w:r w:rsidR="00780B61">
        <w:t xml:space="preserve"> for those graduates, and bet</w:t>
      </w:r>
      <w:r>
        <w:t>ter outcomes for their families;</w:t>
      </w:r>
    </w:p>
    <w:p w:rsidR="00780B61" w:rsidRDefault="005559CF" w:rsidP="00780B61">
      <w:pPr>
        <w:pStyle w:val="Bullet1"/>
        <w:ind w:left="567" w:hanging="567"/>
      </w:pPr>
      <w:r>
        <w:rPr>
          <w:b/>
        </w:rPr>
        <w:t>g</w:t>
      </w:r>
      <w:r w:rsidR="00780B61" w:rsidRPr="005559CF">
        <w:rPr>
          <w:b/>
        </w:rPr>
        <w:t>eneral public benefits:</w:t>
      </w:r>
      <w:r w:rsidR="00780B61">
        <w:t xml:space="preserve"> these include i</w:t>
      </w:r>
      <w:r w:rsidR="00780B61" w:rsidRPr="005F34E1">
        <w:t xml:space="preserve">ncreased political </w:t>
      </w:r>
      <w:r w:rsidR="00780B61">
        <w:t>engagement</w:t>
      </w:r>
      <w:r w:rsidR="00780B61" w:rsidRPr="005F34E1">
        <w:t xml:space="preserve">, lower rates of poverty, </w:t>
      </w:r>
      <w:r>
        <w:t>and reduced inequality; and</w:t>
      </w:r>
    </w:p>
    <w:p w:rsidR="005559CF" w:rsidRDefault="005559CF" w:rsidP="00780B61">
      <w:pPr>
        <w:pStyle w:val="Bullet1"/>
        <w:ind w:left="567" w:hanging="567"/>
      </w:pPr>
      <w:proofErr w:type="gramStart"/>
      <w:r>
        <w:rPr>
          <w:b/>
        </w:rPr>
        <w:t>f</w:t>
      </w:r>
      <w:r w:rsidR="00780B61" w:rsidRPr="005559CF">
        <w:rPr>
          <w:b/>
        </w:rPr>
        <w:t>ield-specific</w:t>
      </w:r>
      <w:proofErr w:type="gramEnd"/>
      <w:r w:rsidR="00780B61" w:rsidRPr="005559CF">
        <w:rPr>
          <w:b/>
        </w:rPr>
        <w:t xml:space="preserve"> public benefits:</w:t>
      </w:r>
      <w:r w:rsidR="00780B61">
        <w:t xml:space="preserve"> in addition, there are certain benefits that are specific to the field of study chosen. </w:t>
      </w:r>
    </w:p>
    <w:p w:rsidR="005559CF" w:rsidRDefault="005559CF" w:rsidP="000E3D02">
      <w:pPr>
        <w:pStyle w:val="BodyText"/>
      </w:pPr>
      <w:r w:rsidRPr="00AD48BC">
        <w:t>There are broad range</w:t>
      </w:r>
      <w:r w:rsidR="00AD48BC" w:rsidRPr="00AD48BC">
        <w:t>s of benefits</w:t>
      </w:r>
      <w:r w:rsidRPr="00AD48BC">
        <w:t xml:space="preserve"> </w:t>
      </w:r>
      <w:r w:rsidR="00780B61" w:rsidRPr="00AD48BC">
        <w:t xml:space="preserve">for </w:t>
      </w:r>
      <w:r w:rsidRPr="00AD48BC">
        <w:t xml:space="preserve">certain </w:t>
      </w:r>
      <w:r w:rsidR="00780B61" w:rsidRPr="00AD48BC">
        <w:t>disciplines</w:t>
      </w:r>
      <w:r w:rsidR="00AD48BC" w:rsidRPr="00AD48BC">
        <w:t>, which</w:t>
      </w:r>
      <w:r w:rsidR="00780B61" w:rsidRPr="00AD48BC">
        <w:t xml:space="preserve"> may include the following:</w:t>
      </w:r>
      <w:r w:rsidRPr="00AD48BC">
        <w:t xml:space="preserve"> </w:t>
      </w:r>
      <w:r w:rsidR="00780B61" w:rsidRPr="00AD48BC">
        <w:t>increa</w:t>
      </w:r>
      <w:r w:rsidR="00780B61" w:rsidRPr="005F34E1">
        <w:t xml:space="preserve">sed </w:t>
      </w:r>
      <w:r w:rsidR="00780B61">
        <w:t xml:space="preserve">quality of </w:t>
      </w:r>
      <w:r>
        <w:t xml:space="preserve">the health or education sectors, </w:t>
      </w:r>
      <w:r w:rsidR="00780B61">
        <w:t xml:space="preserve">consumer surplus spillovers from increased skills </w:t>
      </w:r>
      <w:r>
        <w:t xml:space="preserve">in cultural or creative sectors, </w:t>
      </w:r>
      <w:r w:rsidR="00780B61">
        <w:t>increased likelihood of transformative technology change; and</w:t>
      </w:r>
      <w:r>
        <w:t xml:space="preserve"> increased knowledge diffusion</w:t>
      </w:r>
      <w:r w:rsidR="00780B61">
        <w:t>.</w:t>
      </w:r>
    </w:p>
    <w:p w:rsidR="00780B61" w:rsidRPr="00780B61" w:rsidRDefault="00780B61" w:rsidP="000E3D02">
      <w:pPr>
        <w:pStyle w:val="BodyText"/>
      </w:pPr>
      <w:r>
        <w:t>Some of these effects may eventually lead to increased levels of economic activity as measured through GDP, but the transfer mechanism is not the typical market mechanism.</w:t>
      </w:r>
      <w:r w:rsidR="005559CF">
        <w:t xml:space="preserve"> </w:t>
      </w:r>
      <w:r>
        <w:t>For example, higher quality teaching will lead to better skills outcomes for the students, which will result in increased labour productivity when these students eventually enter the workforce. This will have longer-term positive consequences for the economy as measured by GDP.</w:t>
      </w:r>
    </w:p>
    <w:p w:rsidR="00F56C48" w:rsidRDefault="003D0C90" w:rsidP="00C41BEE">
      <w:pPr>
        <w:pStyle w:val="Heading2"/>
        <w:rPr>
          <w:lang w:eastAsia="en-AU"/>
        </w:rPr>
      </w:pPr>
      <w:bookmarkStart w:id="54" w:name="_Toc465961197"/>
      <w:r>
        <w:rPr>
          <w:lang w:eastAsia="en-AU"/>
        </w:rPr>
        <w:t>Underpinning data sources</w:t>
      </w:r>
      <w:bookmarkEnd w:id="54"/>
      <w:r>
        <w:rPr>
          <w:lang w:eastAsia="en-AU"/>
        </w:rPr>
        <w:t xml:space="preserve"> </w:t>
      </w:r>
    </w:p>
    <w:p w:rsidR="00834DE5" w:rsidRDefault="00834DE5" w:rsidP="002320EB">
      <w:pPr>
        <w:pStyle w:val="Heading3"/>
        <w:jc w:val="both"/>
      </w:pPr>
      <w:r>
        <w:t xml:space="preserve">ABS Census </w:t>
      </w:r>
      <w:r w:rsidR="00620A81">
        <w:t>of Population and H</w:t>
      </w:r>
      <w:r w:rsidR="008A2500">
        <w:t>ousing</w:t>
      </w:r>
    </w:p>
    <w:p w:rsidR="0083262F" w:rsidRDefault="0083262F" w:rsidP="0083262F">
      <w:pPr>
        <w:pStyle w:val="BodyText"/>
        <w:tabs>
          <w:tab w:val="left" w:pos="2536"/>
        </w:tabs>
      </w:pPr>
      <w:bookmarkStart w:id="55" w:name="_Ref457422167"/>
      <w:r>
        <w:t xml:space="preserve">The Census of Population and Housing is a comprehensive record of everyone who is in Australia on a single evening. It is the largest form of statistical collection undertaken in the country, and has provided a comprehensive snapshot of Australia’s people and household for more than 100 years. Census data is used to support the planning, administration and policy development and activities of governments, businesses, and communities. The Census is conducted every five years. </w:t>
      </w:r>
    </w:p>
    <w:p w:rsidR="0083262F" w:rsidRPr="00DA3E1C" w:rsidRDefault="0083262F" w:rsidP="0083262F">
      <w:pPr>
        <w:pStyle w:val="BodyText"/>
        <w:tabs>
          <w:tab w:val="left" w:pos="2536"/>
        </w:tabs>
      </w:pPr>
      <w:r>
        <w:t xml:space="preserve">For the purpose of this report, the Census topics of most interest are (1) employment, including questions on the employment status, industry of employment, and average weekly wages of individuals, and (2) educational attainment, including the highest level of educational attainment and field of education. While this kind of information is recorded in </w:t>
      </w:r>
      <w:r>
        <w:lastRenderedPageBreak/>
        <w:t>the ABS Survey of Education and Work, the specific permutations and dimensionality of this data is uniquely available in the Census.</w:t>
      </w:r>
    </w:p>
    <w:p w:rsidR="00F56C48" w:rsidRDefault="00834DE5" w:rsidP="002320EB">
      <w:pPr>
        <w:pStyle w:val="Heading3"/>
        <w:jc w:val="both"/>
      </w:pPr>
      <w:bookmarkStart w:id="56" w:name="_Ref458420257"/>
      <w:r>
        <w:t xml:space="preserve">Household Income and Labour </w:t>
      </w:r>
      <w:r w:rsidR="002F41F3">
        <w:t xml:space="preserve">Dynamics </w:t>
      </w:r>
      <w:r>
        <w:t xml:space="preserve">in Australia (HILDA) </w:t>
      </w:r>
      <w:bookmarkEnd w:id="55"/>
      <w:r w:rsidR="003D0C90">
        <w:t>survey</w:t>
      </w:r>
      <w:bookmarkEnd w:id="56"/>
    </w:p>
    <w:p w:rsidR="00D92137" w:rsidRDefault="00D92137" w:rsidP="00D92137">
      <w:pPr>
        <w:pStyle w:val="BodyText"/>
      </w:pPr>
      <w:r>
        <w:t>The Household Income and Labour Dynamics in Australia (HILDA) survey is a longitudinal survey that examines broad social and economic factors, with a particular focus on family, household formation, income and work. Whilst the majority of questions in the survey are repeated every year, there are also additional modules of questions in each year that relate to different specific topics.</w:t>
      </w:r>
    </w:p>
    <w:p w:rsidR="00D92137" w:rsidRDefault="00D92137" w:rsidP="00D92137">
      <w:pPr>
        <w:pStyle w:val="BodyText"/>
      </w:pPr>
      <w:r>
        <w:t xml:space="preserve">The HILDA survey began in 2001 with 7,682 households, 19,914 enumerated persons and 13,969 respondent persons (who were interviewed). Of these original respondent persons, 8,112 (58%) remain in Wave 14. At Wave 11, a top-up sample of 4,009 individuals (2,153 households) </w:t>
      </w:r>
      <w:r w:rsidR="002F41F3">
        <w:t xml:space="preserve">was </w:t>
      </w:r>
      <w:r>
        <w:t xml:space="preserve">added to the survey to </w:t>
      </w:r>
      <w:r w:rsidR="00C47F73">
        <w:t>compensate</w:t>
      </w:r>
      <w:r>
        <w:t xml:space="preserve"> for this attrition over time in the sample (Summerfield et. al., 2015). </w:t>
      </w:r>
    </w:p>
    <w:p w:rsidR="00D92137" w:rsidRDefault="00D92137" w:rsidP="00D92137">
      <w:pPr>
        <w:pStyle w:val="BodyText"/>
      </w:pPr>
      <w:r>
        <w:t>Wave 12 (2012) of the survey</w:t>
      </w:r>
      <w:r w:rsidR="002F41F3">
        <w:t xml:space="preserve"> included </w:t>
      </w:r>
      <w:r>
        <w:t>questions relating to human capital</w:t>
      </w:r>
      <w:r w:rsidR="00C47F73">
        <w:t>.</w:t>
      </w:r>
      <w:r>
        <w:t xml:space="preserve"> These questions elicited data on </w:t>
      </w:r>
      <w:r w:rsidR="002F41F3">
        <w:t xml:space="preserve">the </w:t>
      </w:r>
      <w:r>
        <w:t xml:space="preserve">highest level of educational attainment, </w:t>
      </w:r>
      <w:r w:rsidR="002F41F3">
        <w:t xml:space="preserve">the </w:t>
      </w:r>
      <w:r>
        <w:t xml:space="preserve">field of education, </w:t>
      </w:r>
      <w:r w:rsidR="002F41F3">
        <w:t xml:space="preserve">the </w:t>
      </w:r>
      <w:r>
        <w:t xml:space="preserve">university </w:t>
      </w:r>
      <w:r w:rsidR="00C47F73">
        <w:t>attended</w:t>
      </w:r>
      <w:r>
        <w:t xml:space="preserve"> and cognitive ability. This study uses this data to explore (and extend the existing literature on) the private wage gains from higher education (</w:t>
      </w:r>
      <w:r w:rsidR="00745596">
        <w:t>Section</w:t>
      </w:r>
      <w:r>
        <w:t xml:space="preserve"> </w:t>
      </w:r>
      <w:r>
        <w:fldChar w:fldCharType="begin"/>
      </w:r>
      <w:r>
        <w:instrText xml:space="preserve"> REF _Ref457342391 \r \h </w:instrText>
      </w:r>
      <w:r>
        <w:fldChar w:fldCharType="separate"/>
      </w:r>
      <w:r w:rsidR="00534F9F">
        <w:t>4</w:t>
      </w:r>
      <w:r>
        <w:fldChar w:fldCharType="end"/>
      </w:r>
      <w:r>
        <w:t xml:space="preserve">) and the labour market spillover benefits of higher education (Section  </w:t>
      </w:r>
      <w:r>
        <w:fldChar w:fldCharType="begin"/>
      </w:r>
      <w:r>
        <w:instrText xml:space="preserve"> REF _Ref457329098 \r \h </w:instrText>
      </w:r>
      <w:r>
        <w:fldChar w:fldCharType="separate"/>
      </w:r>
      <w:r w:rsidR="00534F9F">
        <w:t>5.1</w:t>
      </w:r>
      <w:r>
        <w:fldChar w:fldCharType="end"/>
      </w:r>
      <w:r>
        <w:t xml:space="preserve">). </w:t>
      </w:r>
    </w:p>
    <w:p w:rsidR="009C6C96" w:rsidRDefault="009C6C96" w:rsidP="009C6C96">
      <w:pPr>
        <w:pStyle w:val="Heading1"/>
        <w:numPr>
          <w:ilvl w:val="0"/>
          <w:numId w:val="8"/>
        </w:numPr>
        <w:jc w:val="both"/>
        <w:rPr>
          <w:lang w:eastAsia="en-AU"/>
        </w:rPr>
      </w:pPr>
      <w:bookmarkStart w:id="57" w:name="_Ref457342391"/>
      <w:bookmarkStart w:id="58" w:name="_Toc465961198"/>
      <w:r>
        <w:rPr>
          <w:lang w:eastAsia="en-AU"/>
        </w:rPr>
        <w:lastRenderedPageBreak/>
        <w:t>Private market benefits from higher education</w:t>
      </w:r>
      <w:bookmarkEnd w:id="57"/>
      <w:bookmarkEnd w:id="58"/>
    </w:p>
    <w:p w:rsidR="009C6C96" w:rsidRPr="008A2500" w:rsidRDefault="009C6C96" w:rsidP="009C6C96">
      <w:pPr>
        <w:pStyle w:val="BodyText"/>
      </w:pPr>
      <w:r w:rsidRPr="008A2500">
        <w:t>This section discusses the models and results used in the key econometric streams:</w:t>
      </w:r>
    </w:p>
    <w:p w:rsidR="009C6C96" w:rsidRPr="008A2500" w:rsidRDefault="009C6C96" w:rsidP="009C6C96">
      <w:pPr>
        <w:pStyle w:val="Bullet1"/>
      </w:pPr>
      <w:r w:rsidRPr="008A2500">
        <w:t xml:space="preserve">determining the private gain, controlling for </w:t>
      </w:r>
      <w:r w:rsidR="002F41F3">
        <w:t xml:space="preserve">qualification, </w:t>
      </w:r>
      <w:r w:rsidRPr="008A2500">
        <w:t>cognitive ability</w:t>
      </w:r>
      <w:r w:rsidR="00C47F73">
        <w:t>,</w:t>
      </w:r>
      <w:r w:rsidR="002F41F3">
        <w:t xml:space="preserve"> and other demographic variables</w:t>
      </w:r>
      <w:r w:rsidRPr="008A2500">
        <w:t xml:space="preserve">; and </w:t>
      </w:r>
    </w:p>
    <w:p w:rsidR="009C6C96" w:rsidRPr="008A2500" w:rsidRDefault="009C6C96" w:rsidP="009C6C96">
      <w:pPr>
        <w:pStyle w:val="Bullet1"/>
      </w:pPr>
      <w:proofErr w:type="gramStart"/>
      <w:r w:rsidRPr="008A2500">
        <w:t>determining</w:t>
      </w:r>
      <w:proofErr w:type="gramEnd"/>
      <w:r w:rsidRPr="008A2500">
        <w:t xml:space="preserve"> the labour market spillovers for those with and without higher education. </w:t>
      </w:r>
    </w:p>
    <w:p w:rsidR="009C6C96" w:rsidRDefault="009C6C96" w:rsidP="009C6C96">
      <w:pPr>
        <w:spacing w:before="240"/>
        <w:jc w:val="both"/>
        <w:rPr>
          <w:lang w:eastAsia="en-AU"/>
        </w:rPr>
      </w:pPr>
      <w:r>
        <w:rPr>
          <w:lang w:eastAsia="en-AU"/>
        </w:rPr>
        <w:t xml:space="preserve">This is the first stage of the modelling discussed in Section </w:t>
      </w:r>
      <w:r>
        <w:rPr>
          <w:lang w:eastAsia="en-AU"/>
        </w:rPr>
        <w:fldChar w:fldCharType="begin"/>
      </w:r>
      <w:r>
        <w:rPr>
          <w:lang w:eastAsia="en-AU"/>
        </w:rPr>
        <w:instrText xml:space="preserve"> REF _Ref454829395 \r \h  \* MERGEFORMAT </w:instrText>
      </w:r>
      <w:r>
        <w:rPr>
          <w:lang w:eastAsia="en-AU"/>
        </w:rPr>
      </w:r>
      <w:r>
        <w:rPr>
          <w:lang w:eastAsia="en-AU"/>
        </w:rPr>
        <w:fldChar w:fldCharType="separate"/>
      </w:r>
      <w:r w:rsidR="00534F9F">
        <w:rPr>
          <w:lang w:eastAsia="en-AU"/>
        </w:rPr>
        <w:t>3</w:t>
      </w:r>
      <w:r>
        <w:rPr>
          <w:lang w:eastAsia="en-AU"/>
        </w:rPr>
        <w:fldChar w:fldCharType="end"/>
      </w:r>
      <w:r>
        <w:rPr>
          <w:lang w:eastAsia="en-AU"/>
        </w:rPr>
        <w:t xml:space="preserve"> – see </w:t>
      </w:r>
      <w:r>
        <w:rPr>
          <w:lang w:eastAsia="en-AU"/>
        </w:rPr>
        <w:fldChar w:fldCharType="begin"/>
      </w:r>
      <w:r>
        <w:rPr>
          <w:lang w:eastAsia="en-AU"/>
        </w:rPr>
        <w:instrText xml:space="preserve"> REF _Ref454829480 \r \h  \* MERGEFORMAT </w:instrText>
      </w:r>
      <w:r>
        <w:rPr>
          <w:lang w:eastAsia="en-AU"/>
        </w:rPr>
      </w:r>
      <w:r>
        <w:rPr>
          <w:lang w:eastAsia="en-AU"/>
        </w:rPr>
        <w:fldChar w:fldCharType="separate"/>
      </w:r>
      <w:r w:rsidR="00534F9F">
        <w:rPr>
          <w:lang w:eastAsia="en-AU"/>
        </w:rPr>
        <w:t>Figure 4.1</w:t>
      </w:r>
      <w:r>
        <w:rPr>
          <w:lang w:eastAsia="en-AU"/>
        </w:rPr>
        <w:fldChar w:fldCharType="end"/>
      </w:r>
      <w:r>
        <w:rPr>
          <w:lang w:eastAsia="en-AU"/>
        </w:rPr>
        <w:t xml:space="preserve">. The key results of this section are summarised in </w:t>
      </w:r>
      <w:r w:rsidRPr="00AC1FC7">
        <w:rPr>
          <w:lang w:eastAsia="en-AU"/>
        </w:rPr>
        <w:t xml:space="preserve">Box </w:t>
      </w:r>
      <w:r w:rsidR="00437C3E">
        <w:rPr>
          <w:lang w:eastAsia="en-AU"/>
        </w:rPr>
        <w:t>4.</w:t>
      </w:r>
      <w:r w:rsidRPr="00AC1FC7">
        <w:rPr>
          <w:lang w:eastAsia="en-AU"/>
        </w:rPr>
        <w:t>1</w:t>
      </w:r>
      <w:r>
        <w:rPr>
          <w:lang w:eastAsia="en-AU"/>
        </w:rPr>
        <w:t>.</w:t>
      </w:r>
    </w:p>
    <w:p w:rsidR="009C6C96" w:rsidRPr="00FA2D1E" w:rsidRDefault="009C6C96" w:rsidP="009C6C96">
      <w:pPr>
        <w:pStyle w:val="CaptionFigure"/>
        <w:numPr>
          <w:ilvl w:val="8"/>
          <w:numId w:val="8"/>
        </w:numPr>
        <w:ind w:left="0"/>
        <w:rPr>
          <w:lang w:eastAsia="en-AU"/>
        </w:rPr>
      </w:pPr>
      <w:bookmarkStart w:id="59" w:name="_Ref454829480"/>
      <w:bookmarkStart w:id="60" w:name="_Toc457375705"/>
      <w:bookmarkStart w:id="61" w:name="_Toc465961113"/>
      <w:r w:rsidRPr="00FA2D1E">
        <w:rPr>
          <w:lang w:eastAsia="en-AU"/>
        </w:rPr>
        <w:t>: Illustrative summary of approach</w:t>
      </w:r>
      <w:bookmarkEnd w:id="59"/>
      <w:bookmarkEnd w:id="60"/>
      <w:bookmarkEnd w:id="61"/>
    </w:p>
    <w:p w:rsidR="009C6C96" w:rsidRDefault="00FA2D1E" w:rsidP="009C6C96">
      <w:pPr>
        <w:pStyle w:val="BodyText"/>
        <w:jc w:val="center"/>
        <w:rPr>
          <w:highlight w:val="yellow"/>
          <w:lang w:eastAsia="en-AU"/>
        </w:rPr>
      </w:pPr>
      <w:r w:rsidRPr="00FA2D1E">
        <w:rPr>
          <w:noProof/>
          <w:lang w:eastAsia="en-AU"/>
        </w:rPr>
        <w:drawing>
          <wp:inline distT="0" distB="0" distL="0" distR="0" wp14:anchorId="100F2089" wp14:editId="2F5FF433">
            <wp:extent cx="5220335" cy="2315705"/>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20335" cy="2315705"/>
                    </a:xfrm>
                    <a:prstGeom prst="rect">
                      <a:avLst/>
                    </a:prstGeom>
                    <a:noFill/>
                    <a:ln>
                      <a:noFill/>
                    </a:ln>
                  </pic:spPr>
                </pic:pic>
              </a:graphicData>
            </a:graphic>
          </wp:inline>
        </w:drawing>
      </w:r>
    </w:p>
    <w:p w:rsidR="009C6C96" w:rsidRPr="004F3B1D" w:rsidRDefault="009C6C96" w:rsidP="009C6C96">
      <w:pPr>
        <w:pStyle w:val="BodyText"/>
        <w:jc w:val="center"/>
        <w:rPr>
          <w:highlight w:val="yellow"/>
          <w:lang w:eastAsia="en-AU"/>
        </w:rPr>
      </w:pPr>
    </w:p>
    <w:tbl>
      <w:tblPr>
        <w:tblStyle w:val="TableGrid"/>
        <w:tblW w:w="9073" w:type="dxa"/>
        <w:tblInd w:w="-885" w:type="dxa"/>
        <w:tblLayout w:type="fixed"/>
        <w:tblLook w:val="04A0" w:firstRow="1" w:lastRow="0" w:firstColumn="1" w:lastColumn="0" w:noHBand="0" w:noVBand="1"/>
      </w:tblPr>
      <w:tblGrid>
        <w:gridCol w:w="9073"/>
      </w:tblGrid>
      <w:tr w:rsidR="009C6C96" w:rsidRPr="001E610C" w:rsidTr="00DA4CA5">
        <w:tc>
          <w:tcPr>
            <w:tcW w:w="9073" w:type="dxa"/>
            <w:tcBorders>
              <w:top w:val="single" w:sz="4" w:space="0" w:color="002776"/>
              <w:left w:val="single" w:sz="4" w:space="0" w:color="002776"/>
              <w:bottom w:val="single" w:sz="4" w:space="0" w:color="002776"/>
              <w:right w:val="single" w:sz="4" w:space="0" w:color="002776"/>
            </w:tcBorders>
            <w:shd w:val="clear" w:color="auto" w:fill="DCDCDC"/>
          </w:tcPr>
          <w:p w:rsidR="009C6C96" w:rsidRPr="001E610C" w:rsidRDefault="00972EF6" w:rsidP="00180687">
            <w:pPr>
              <w:pStyle w:val="Bullet1"/>
              <w:numPr>
                <w:ilvl w:val="0"/>
                <w:numId w:val="0"/>
              </w:numPr>
              <w:ind w:left="360" w:hanging="360"/>
              <w:rPr>
                <w:b/>
              </w:rPr>
            </w:pPr>
            <w:r w:rsidRPr="001E610C">
              <w:rPr>
                <w:b/>
                <w:color w:val="002776"/>
              </w:rPr>
              <w:lastRenderedPageBreak/>
              <w:t>Box 4</w:t>
            </w:r>
            <w:r w:rsidR="00437C3E">
              <w:rPr>
                <w:b/>
                <w:color w:val="002776"/>
              </w:rPr>
              <w:t>.1</w:t>
            </w:r>
            <w:r w:rsidR="009C6C96" w:rsidRPr="001E610C">
              <w:rPr>
                <w:b/>
                <w:color w:val="002776"/>
              </w:rPr>
              <w:t>: Key findings</w:t>
            </w:r>
          </w:p>
          <w:p w:rsidR="009C6C96" w:rsidRPr="001E610C" w:rsidRDefault="009C6C96" w:rsidP="00180687">
            <w:pPr>
              <w:pStyle w:val="Bullet1"/>
              <w:rPr>
                <w:sz w:val="20"/>
              </w:rPr>
            </w:pPr>
            <w:r w:rsidRPr="001E610C">
              <w:rPr>
                <w:sz w:val="20"/>
              </w:rPr>
              <w:t>After controlling for demographic</w:t>
            </w:r>
            <w:r w:rsidR="002F41F3">
              <w:rPr>
                <w:sz w:val="20"/>
              </w:rPr>
              <w:t>s</w:t>
            </w:r>
            <w:r w:rsidRPr="001E610C">
              <w:rPr>
                <w:sz w:val="20"/>
              </w:rPr>
              <w:t xml:space="preserve"> and cognitive ability, the regression analysis </w:t>
            </w:r>
            <w:r w:rsidR="000578DF" w:rsidRPr="00DA4CA5">
              <w:rPr>
                <w:sz w:val="20"/>
              </w:rPr>
              <w:t xml:space="preserve">(Section </w:t>
            </w:r>
            <w:r w:rsidR="000578DF" w:rsidRPr="00DA4CA5">
              <w:rPr>
                <w:sz w:val="20"/>
              </w:rPr>
              <w:fldChar w:fldCharType="begin"/>
            </w:r>
            <w:r w:rsidR="000578DF" w:rsidRPr="00DA4CA5">
              <w:rPr>
                <w:sz w:val="20"/>
              </w:rPr>
              <w:instrText xml:space="preserve"> REF _Ref460358003 \r \h  \* MERGEFORMAT </w:instrText>
            </w:r>
            <w:r w:rsidR="000578DF" w:rsidRPr="00DA4CA5">
              <w:rPr>
                <w:sz w:val="20"/>
              </w:rPr>
            </w:r>
            <w:r w:rsidR="000578DF" w:rsidRPr="00DA4CA5">
              <w:rPr>
                <w:sz w:val="20"/>
              </w:rPr>
              <w:fldChar w:fldCharType="separate"/>
            </w:r>
            <w:r w:rsidR="00534F9F">
              <w:rPr>
                <w:sz w:val="20"/>
              </w:rPr>
              <w:t>4.2.1</w:t>
            </w:r>
            <w:r w:rsidR="000578DF" w:rsidRPr="00DA4CA5">
              <w:rPr>
                <w:sz w:val="20"/>
              </w:rPr>
              <w:fldChar w:fldCharType="end"/>
            </w:r>
            <w:r w:rsidR="000578DF" w:rsidRPr="00DA4CA5">
              <w:rPr>
                <w:sz w:val="20"/>
              </w:rPr>
              <w:t>)</w:t>
            </w:r>
            <w:r w:rsidRPr="000C6FE8">
              <w:rPr>
                <w:sz w:val="20"/>
              </w:rPr>
              <w:t xml:space="preserve"> </w:t>
            </w:r>
            <w:r w:rsidR="003D0C90" w:rsidRPr="001E610C">
              <w:rPr>
                <w:sz w:val="20"/>
              </w:rPr>
              <w:t xml:space="preserve">finds </w:t>
            </w:r>
            <w:r w:rsidRPr="001E610C">
              <w:rPr>
                <w:sz w:val="20"/>
              </w:rPr>
              <w:t>that there are positive wage premiums for postgraduate degree holders</w:t>
            </w:r>
            <w:r w:rsidR="00043E2B" w:rsidRPr="00DA4CA5">
              <w:rPr>
                <w:sz w:val="20"/>
              </w:rPr>
              <w:t xml:space="preserve">, (25% </w:t>
            </w:r>
            <w:r w:rsidRPr="001E610C">
              <w:rPr>
                <w:sz w:val="20"/>
              </w:rPr>
              <w:t>compared to an individual with no post-school qualification) and bachelor degree holders (</w:t>
            </w:r>
            <w:r w:rsidR="00043E2B" w:rsidRPr="00DA4CA5">
              <w:rPr>
                <w:sz w:val="20"/>
              </w:rPr>
              <w:t>17</w:t>
            </w:r>
            <w:r w:rsidRPr="001E610C">
              <w:rPr>
                <w:sz w:val="20"/>
              </w:rPr>
              <w:t xml:space="preserve">%).  </w:t>
            </w:r>
          </w:p>
          <w:p w:rsidR="001E610C" w:rsidRPr="001E610C" w:rsidRDefault="001E610C" w:rsidP="00DA4CA5">
            <w:pPr>
              <w:pStyle w:val="Bullet2"/>
              <w:rPr>
                <w:sz w:val="20"/>
              </w:rPr>
            </w:pPr>
            <w:r w:rsidRPr="001E610C">
              <w:rPr>
                <w:sz w:val="20"/>
              </w:rPr>
              <w:t xml:space="preserve">The wage premiums for </w:t>
            </w:r>
            <w:r w:rsidR="0075680D">
              <w:rPr>
                <w:sz w:val="20"/>
              </w:rPr>
              <w:t>s</w:t>
            </w:r>
            <w:r w:rsidRPr="001E610C">
              <w:rPr>
                <w:sz w:val="20"/>
              </w:rPr>
              <w:t>ub-bachelor degrees and Certificate III/IV degrees are positive and negative</w:t>
            </w:r>
            <w:r w:rsidR="002F41F3">
              <w:rPr>
                <w:sz w:val="20"/>
              </w:rPr>
              <w:t>,</w:t>
            </w:r>
            <w:r w:rsidRPr="001E610C">
              <w:rPr>
                <w:sz w:val="20"/>
              </w:rPr>
              <w:t xml:space="preserve"> respectively, but statistically insignificant.  </w:t>
            </w:r>
          </w:p>
          <w:p w:rsidR="001E610C" w:rsidRPr="001E610C" w:rsidRDefault="001E610C" w:rsidP="001E610C">
            <w:pPr>
              <w:pStyle w:val="Bullet1"/>
              <w:rPr>
                <w:sz w:val="20"/>
              </w:rPr>
            </w:pPr>
            <w:r w:rsidRPr="001E610C">
              <w:rPr>
                <w:sz w:val="20"/>
              </w:rPr>
              <w:t xml:space="preserve">There is </w:t>
            </w:r>
            <w:r w:rsidR="000C6FE8">
              <w:rPr>
                <w:sz w:val="20"/>
              </w:rPr>
              <w:t xml:space="preserve">also </w:t>
            </w:r>
            <w:r w:rsidRPr="001E610C">
              <w:rPr>
                <w:sz w:val="20"/>
              </w:rPr>
              <w:t xml:space="preserve">significant variation in the size of </w:t>
            </w:r>
            <w:r w:rsidR="000C6FE8">
              <w:rPr>
                <w:sz w:val="20"/>
              </w:rPr>
              <w:t xml:space="preserve">the wage premium </w:t>
            </w:r>
            <w:r w:rsidRPr="001E610C">
              <w:rPr>
                <w:sz w:val="20"/>
              </w:rPr>
              <w:t>across disciplines</w:t>
            </w:r>
            <w:r w:rsidR="000578DF" w:rsidRPr="00DA4CA5">
              <w:rPr>
                <w:sz w:val="20"/>
              </w:rPr>
              <w:t xml:space="preserve"> (Section </w:t>
            </w:r>
            <w:r w:rsidR="000578DF" w:rsidRPr="00DA4CA5">
              <w:rPr>
                <w:sz w:val="20"/>
              </w:rPr>
              <w:fldChar w:fldCharType="begin"/>
            </w:r>
            <w:r w:rsidR="000578DF" w:rsidRPr="00DA4CA5">
              <w:rPr>
                <w:sz w:val="20"/>
              </w:rPr>
              <w:instrText xml:space="preserve"> REF _Ref460358003 \r \h </w:instrText>
            </w:r>
            <w:r w:rsidR="0097714B">
              <w:rPr>
                <w:sz w:val="20"/>
              </w:rPr>
              <w:instrText xml:space="preserve"> \* MERGEFORMAT </w:instrText>
            </w:r>
            <w:r w:rsidR="000578DF" w:rsidRPr="00DA4CA5">
              <w:rPr>
                <w:sz w:val="20"/>
              </w:rPr>
            </w:r>
            <w:r w:rsidR="000578DF" w:rsidRPr="00DA4CA5">
              <w:rPr>
                <w:sz w:val="20"/>
              </w:rPr>
              <w:fldChar w:fldCharType="separate"/>
            </w:r>
            <w:r w:rsidR="00534F9F">
              <w:rPr>
                <w:sz w:val="20"/>
              </w:rPr>
              <w:t>4.2.1</w:t>
            </w:r>
            <w:r w:rsidR="000578DF" w:rsidRPr="00DA4CA5">
              <w:rPr>
                <w:sz w:val="20"/>
              </w:rPr>
              <w:fldChar w:fldCharType="end"/>
            </w:r>
            <w:r w:rsidR="000578DF" w:rsidRPr="00DA4CA5">
              <w:rPr>
                <w:sz w:val="20"/>
              </w:rPr>
              <w:t>)</w:t>
            </w:r>
            <w:r w:rsidR="005349BF">
              <w:rPr>
                <w:sz w:val="20"/>
              </w:rPr>
              <w:t>.  For example</w:t>
            </w:r>
            <w:r w:rsidR="006A580A">
              <w:rPr>
                <w:sz w:val="20"/>
              </w:rPr>
              <w:t>:</w:t>
            </w:r>
          </w:p>
          <w:p w:rsidR="001E610C" w:rsidRPr="001E610C" w:rsidRDefault="001E610C" w:rsidP="001E610C">
            <w:pPr>
              <w:pStyle w:val="Bullet2"/>
              <w:rPr>
                <w:sz w:val="18"/>
              </w:rPr>
            </w:pPr>
            <w:r w:rsidRPr="001E610C">
              <w:rPr>
                <w:sz w:val="20"/>
              </w:rPr>
              <w:t xml:space="preserve">an average </w:t>
            </w:r>
            <w:r w:rsidR="00CE575A" w:rsidRPr="00DA4CA5">
              <w:rPr>
                <w:sz w:val="20"/>
              </w:rPr>
              <w:t>M</w:t>
            </w:r>
            <w:r w:rsidRPr="001E610C">
              <w:rPr>
                <w:sz w:val="20"/>
              </w:rPr>
              <w:t xml:space="preserve">edicine qualification </w:t>
            </w:r>
            <w:r w:rsidR="002F41F3">
              <w:rPr>
                <w:sz w:val="20"/>
              </w:rPr>
              <w:t xml:space="preserve">is associated with </w:t>
            </w:r>
            <w:r w:rsidR="00CE575A" w:rsidRPr="00DA4CA5">
              <w:rPr>
                <w:sz w:val="20"/>
              </w:rPr>
              <w:t>earn</w:t>
            </w:r>
            <w:r w:rsidR="00DE2F82">
              <w:rPr>
                <w:sz w:val="20"/>
              </w:rPr>
              <w:t xml:space="preserve">ings that are </w:t>
            </w:r>
            <w:r w:rsidR="00CE575A" w:rsidRPr="00DA4CA5">
              <w:rPr>
                <w:sz w:val="20"/>
              </w:rPr>
              <w:t xml:space="preserve"> 31</w:t>
            </w:r>
            <w:r w:rsidRPr="001E610C">
              <w:rPr>
                <w:sz w:val="20"/>
              </w:rPr>
              <w:t xml:space="preserve">% more </w:t>
            </w:r>
            <w:r w:rsidR="00DE2F82">
              <w:rPr>
                <w:sz w:val="20"/>
              </w:rPr>
              <w:t>than an</w:t>
            </w:r>
            <w:r w:rsidR="00E735FF">
              <w:rPr>
                <w:sz w:val="20"/>
              </w:rPr>
              <w:t xml:space="preserve"> </w:t>
            </w:r>
            <w:r w:rsidR="00CE575A" w:rsidRPr="00DA4CA5">
              <w:rPr>
                <w:sz w:val="20"/>
              </w:rPr>
              <w:t xml:space="preserve">average Arts </w:t>
            </w:r>
            <w:r w:rsidRPr="001E610C">
              <w:rPr>
                <w:sz w:val="20"/>
              </w:rPr>
              <w:t xml:space="preserve">qualification; </w:t>
            </w:r>
            <w:r w:rsidR="000C6FE8">
              <w:rPr>
                <w:sz w:val="20"/>
              </w:rPr>
              <w:t>and</w:t>
            </w:r>
          </w:p>
          <w:p w:rsidR="001E610C" w:rsidRPr="001E610C" w:rsidRDefault="001E610C" w:rsidP="001E610C">
            <w:pPr>
              <w:pStyle w:val="Bullet2"/>
              <w:rPr>
                <w:sz w:val="18"/>
              </w:rPr>
            </w:pPr>
            <w:proofErr w:type="gramStart"/>
            <w:r w:rsidRPr="001E610C">
              <w:rPr>
                <w:sz w:val="20"/>
              </w:rPr>
              <w:t>an</w:t>
            </w:r>
            <w:proofErr w:type="gramEnd"/>
            <w:r w:rsidRPr="001E610C">
              <w:rPr>
                <w:sz w:val="20"/>
              </w:rPr>
              <w:t xml:space="preserve"> average </w:t>
            </w:r>
            <w:r w:rsidR="00CE575A" w:rsidRPr="00DA4CA5">
              <w:rPr>
                <w:sz w:val="20"/>
              </w:rPr>
              <w:t>Food and Hospitality</w:t>
            </w:r>
            <w:r w:rsidRPr="001E610C">
              <w:rPr>
                <w:sz w:val="20"/>
              </w:rPr>
              <w:t xml:space="preserve"> qualification </w:t>
            </w:r>
            <w:r w:rsidR="002F41F3">
              <w:rPr>
                <w:sz w:val="20"/>
              </w:rPr>
              <w:t xml:space="preserve">is associated with </w:t>
            </w:r>
            <w:r w:rsidR="00CE575A" w:rsidRPr="00DA4CA5">
              <w:rPr>
                <w:sz w:val="20"/>
              </w:rPr>
              <w:t>earn</w:t>
            </w:r>
            <w:r w:rsidR="00DE2F82">
              <w:rPr>
                <w:sz w:val="20"/>
              </w:rPr>
              <w:t>ing</w:t>
            </w:r>
            <w:r w:rsidR="00CE575A" w:rsidRPr="00DA4CA5">
              <w:rPr>
                <w:sz w:val="20"/>
              </w:rPr>
              <w:t xml:space="preserve">s </w:t>
            </w:r>
            <w:r w:rsidR="00DE2F82">
              <w:rPr>
                <w:sz w:val="20"/>
              </w:rPr>
              <w:t xml:space="preserve">that are </w:t>
            </w:r>
            <w:r w:rsidR="00CE575A" w:rsidRPr="00DA4CA5">
              <w:rPr>
                <w:sz w:val="20"/>
              </w:rPr>
              <w:t>13</w:t>
            </w:r>
            <w:r w:rsidRPr="001E610C">
              <w:rPr>
                <w:sz w:val="20"/>
              </w:rPr>
              <w:t>%</w:t>
            </w:r>
            <w:r w:rsidR="005349BF">
              <w:rPr>
                <w:sz w:val="20"/>
              </w:rPr>
              <w:t xml:space="preserve"> </w:t>
            </w:r>
            <w:r w:rsidR="00CE575A" w:rsidRPr="00DA4CA5">
              <w:rPr>
                <w:sz w:val="20"/>
              </w:rPr>
              <w:t>less</w:t>
            </w:r>
            <w:r w:rsidR="00165D6D">
              <w:rPr>
                <w:sz w:val="20"/>
              </w:rPr>
              <w:t xml:space="preserve"> </w:t>
            </w:r>
            <w:r w:rsidR="005349BF" w:rsidRPr="006E4888">
              <w:rPr>
                <w:sz w:val="20"/>
              </w:rPr>
              <w:t xml:space="preserve"> </w:t>
            </w:r>
            <w:r w:rsidRPr="001E610C">
              <w:rPr>
                <w:sz w:val="20"/>
              </w:rPr>
              <w:t xml:space="preserve">than </w:t>
            </w:r>
            <w:r w:rsidR="00DE2F82">
              <w:rPr>
                <w:sz w:val="20"/>
              </w:rPr>
              <w:t xml:space="preserve">an </w:t>
            </w:r>
            <w:r w:rsidR="00CE575A" w:rsidRPr="00DA4CA5">
              <w:rPr>
                <w:sz w:val="20"/>
              </w:rPr>
              <w:t xml:space="preserve">average Arts </w:t>
            </w:r>
            <w:r w:rsidRPr="00F95E54">
              <w:rPr>
                <w:sz w:val="20"/>
              </w:rPr>
              <w:t>qualification</w:t>
            </w:r>
            <w:r w:rsidRPr="001E610C">
              <w:rPr>
                <w:sz w:val="20"/>
              </w:rPr>
              <w:t>.</w:t>
            </w:r>
          </w:p>
          <w:p w:rsidR="000578DF" w:rsidRPr="00DA4CA5" w:rsidRDefault="000578DF" w:rsidP="00BB418B">
            <w:pPr>
              <w:pStyle w:val="Bullet1"/>
              <w:rPr>
                <w:sz w:val="20"/>
              </w:rPr>
            </w:pPr>
            <w:r w:rsidRPr="00DA4CA5">
              <w:rPr>
                <w:sz w:val="20"/>
              </w:rPr>
              <w:t xml:space="preserve">The share of observed wage premiums attributable to the qualification (as opposed to other demographic factors, Section </w:t>
            </w:r>
            <w:r w:rsidRPr="00DA4CA5">
              <w:rPr>
                <w:sz w:val="20"/>
              </w:rPr>
              <w:fldChar w:fldCharType="begin"/>
            </w:r>
            <w:r w:rsidRPr="00DA4CA5">
              <w:rPr>
                <w:sz w:val="20"/>
              </w:rPr>
              <w:instrText xml:space="preserve"> REF _Ref460360110 \r \h </w:instrText>
            </w:r>
            <w:r w:rsidR="0097714B">
              <w:rPr>
                <w:sz w:val="20"/>
              </w:rPr>
              <w:instrText xml:space="preserve"> \* MERGEFORMAT </w:instrText>
            </w:r>
            <w:r w:rsidRPr="00DA4CA5">
              <w:rPr>
                <w:sz w:val="20"/>
              </w:rPr>
            </w:r>
            <w:r w:rsidRPr="00DA4CA5">
              <w:rPr>
                <w:sz w:val="20"/>
              </w:rPr>
              <w:fldChar w:fldCharType="separate"/>
            </w:r>
            <w:r w:rsidR="00534F9F">
              <w:rPr>
                <w:sz w:val="20"/>
              </w:rPr>
              <w:t>4.2.2</w:t>
            </w:r>
            <w:r w:rsidRPr="00DA4CA5">
              <w:rPr>
                <w:sz w:val="20"/>
              </w:rPr>
              <w:fldChar w:fldCharType="end"/>
            </w:r>
            <w:r w:rsidRPr="00DA4CA5">
              <w:rPr>
                <w:sz w:val="20"/>
              </w:rPr>
              <w:t xml:space="preserve">) varies by field of education, with the largest shares at the bachelor and postgraduate levels for </w:t>
            </w:r>
            <w:r w:rsidR="0097714B" w:rsidRPr="00DA4CA5">
              <w:rPr>
                <w:sz w:val="20"/>
              </w:rPr>
              <w:t>Nursing, Other</w:t>
            </w:r>
            <w:r w:rsidRPr="00DA4CA5">
              <w:rPr>
                <w:sz w:val="20"/>
              </w:rPr>
              <w:t xml:space="preserve"> </w:t>
            </w:r>
            <w:r w:rsidR="0097714B" w:rsidRPr="00DA4CA5">
              <w:rPr>
                <w:sz w:val="20"/>
              </w:rPr>
              <w:t xml:space="preserve">Health, </w:t>
            </w:r>
            <w:r w:rsidRPr="00DA4CA5">
              <w:rPr>
                <w:sz w:val="20"/>
              </w:rPr>
              <w:t>Medicine</w:t>
            </w:r>
            <w:r w:rsidR="0097714B" w:rsidRPr="00DA4CA5">
              <w:rPr>
                <w:sz w:val="20"/>
              </w:rPr>
              <w:t xml:space="preserve"> and Education</w:t>
            </w:r>
            <w:r w:rsidRPr="00DA4CA5">
              <w:rPr>
                <w:sz w:val="20"/>
              </w:rPr>
              <w:t>.</w:t>
            </w:r>
          </w:p>
          <w:p w:rsidR="009C6C96" w:rsidRDefault="008F1EFF" w:rsidP="00BB418B">
            <w:pPr>
              <w:pStyle w:val="Bullet1"/>
              <w:rPr>
                <w:sz w:val="20"/>
              </w:rPr>
            </w:pPr>
            <w:r w:rsidRPr="00DA4CA5">
              <w:rPr>
                <w:sz w:val="20"/>
              </w:rPr>
              <w:t xml:space="preserve">The net present value of wage premiums (attributable to the qualification effect, accounting for the likelihood of employment and participation) are shown below (and in Section </w:t>
            </w:r>
            <w:r w:rsidRPr="00DA4CA5">
              <w:rPr>
                <w:sz w:val="20"/>
              </w:rPr>
              <w:fldChar w:fldCharType="begin"/>
            </w:r>
            <w:r w:rsidRPr="00DA4CA5">
              <w:rPr>
                <w:sz w:val="20"/>
              </w:rPr>
              <w:instrText xml:space="preserve"> REF _Ref460353967 \r \h  \* MERGEFORMAT </w:instrText>
            </w:r>
            <w:r w:rsidRPr="00DA4CA5">
              <w:rPr>
                <w:sz w:val="20"/>
              </w:rPr>
            </w:r>
            <w:r w:rsidRPr="00DA4CA5">
              <w:rPr>
                <w:sz w:val="20"/>
              </w:rPr>
              <w:fldChar w:fldCharType="separate"/>
            </w:r>
            <w:r w:rsidR="00534F9F">
              <w:rPr>
                <w:sz w:val="20"/>
              </w:rPr>
              <w:t>4.2.3</w:t>
            </w:r>
            <w:r w:rsidRPr="00DA4CA5">
              <w:rPr>
                <w:sz w:val="20"/>
              </w:rPr>
              <w:fldChar w:fldCharType="end"/>
            </w:r>
            <w:r w:rsidRPr="00DA4CA5">
              <w:rPr>
                <w:sz w:val="20"/>
              </w:rPr>
              <w:t xml:space="preserve">).  </w:t>
            </w:r>
          </w:p>
          <w:p w:rsidR="000C6FE8" w:rsidRPr="00DA4CA5" w:rsidRDefault="006A580A" w:rsidP="00DA4CA5">
            <w:pPr>
              <w:pStyle w:val="Bullet2"/>
              <w:rPr>
                <w:sz w:val="20"/>
              </w:rPr>
            </w:pPr>
            <w:r>
              <w:rPr>
                <w:sz w:val="20"/>
              </w:rPr>
              <w:t>A</w:t>
            </w:r>
            <w:r w:rsidR="000C6FE8" w:rsidRPr="00DA4CA5">
              <w:rPr>
                <w:sz w:val="20"/>
              </w:rPr>
              <w:t xml:space="preserve">n average bachelor-level Medicine qualification </w:t>
            </w:r>
            <w:r w:rsidR="00C47F73">
              <w:rPr>
                <w:sz w:val="20"/>
              </w:rPr>
              <w:t>is associated with</w:t>
            </w:r>
            <w:r w:rsidR="000C6FE8" w:rsidRPr="00DA4CA5">
              <w:rPr>
                <w:sz w:val="20"/>
              </w:rPr>
              <w:t xml:space="preserve"> 107% more </w:t>
            </w:r>
            <w:r w:rsidR="00C47F73">
              <w:rPr>
                <w:sz w:val="20"/>
              </w:rPr>
              <w:t xml:space="preserve">earnings </w:t>
            </w:r>
            <w:r w:rsidR="000C6FE8" w:rsidRPr="00DA4CA5">
              <w:rPr>
                <w:sz w:val="20"/>
              </w:rPr>
              <w:t>after tax over their lifetime than the typical earnings for no-post school qualification; whereas</w:t>
            </w:r>
          </w:p>
          <w:p w:rsidR="000C6FE8" w:rsidRDefault="000C6FE8" w:rsidP="00DA4CA5">
            <w:pPr>
              <w:pStyle w:val="Bullet2"/>
              <w:rPr>
                <w:sz w:val="20"/>
              </w:rPr>
            </w:pPr>
            <w:proofErr w:type="gramStart"/>
            <w:r w:rsidRPr="00DA4CA5">
              <w:rPr>
                <w:sz w:val="20"/>
              </w:rPr>
              <w:t>an</w:t>
            </w:r>
            <w:proofErr w:type="gramEnd"/>
            <w:r w:rsidRPr="00DA4CA5">
              <w:rPr>
                <w:sz w:val="20"/>
              </w:rPr>
              <w:t xml:space="preserve"> average bachelor-level Arts qualification </w:t>
            </w:r>
            <w:r w:rsidR="00C47F73">
              <w:rPr>
                <w:sz w:val="20"/>
              </w:rPr>
              <w:t xml:space="preserve">is associated with </w:t>
            </w:r>
            <w:r w:rsidRPr="00DA4CA5">
              <w:rPr>
                <w:sz w:val="20"/>
              </w:rPr>
              <w:t xml:space="preserve">20% more </w:t>
            </w:r>
            <w:r w:rsidR="00C47F73">
              <w:rPr>
                <w:sz w:val="20"/>
              </w:rPr>
              <w:t xml:space="preserve">earnings </w:t>
            </w:r>
            <w:r w:rsidRPr="00DA4CA5">
              <w:rPr>
                <w:sz w:val="20"/>
              </w:rPr>
              <w:t xml:space="preserve">after tax over their lifetime than the typical earnings for  no-post school qualification. </w:t>
            </w:r>
          </w:p>
          <w:p w:rsidR="0016248B" w:rsidRPr="00DA4CA5" w:rsidRDefault="0016248B" w:rsidP="00DA4CA5">
            <w:pPr>
              <w:pStyle w:val="Bullet2"/>
              <w:numPr>
                <w:ilvl w:val="0"/>
                <w:numId w:val="0"/>
              </w:numPr>
              <w:ind w:left="1287"/>
              <w:rPr>
                <w:sz w:val="20"/>
              </w:rPr>
            </w:pPr>
          </w:p>
          <w:tbl>
            <w:tblPr>
              <w:tblW w:w="8524" w:type="dxa"/>
              <w:jc w:val="center"/>
              <w:tblLayout w:type="fixed"/>
              <w:tblCellMar>
                <w:left w:w="0" w:type="dxa"/>
                <w:right w:w="0" w:type="dxa"/>
              </w:tblCellMar>
              <w:tblLook w:val="04A0" w:firstRow="1" w:lastRow="0" w:firstColumn="1" w:lastColumn="0" w:noHBand="0" w:noVBand="1"/>
            </w:tblPr>
            <w:tblGrid>
              <w:gridCol w:w="1604"/>
              <w:gridCol w:w="19"/>
              <w:gridCol w:w="684"/>
              <w:gridCol w:w="689"/>
              <w:gridCol w:w="689"/>
              <w:gridCol w:w="603"/>
              <w:gridCol w:w="627"/>
              <w:gridCol w:w="689"/>
              <w:gridCol w:w="530"/>
              <w:gridCol w:w="689"/>
              <w:gridCol w:w="585"/>
              <w:gridCol w:w="564"/>
              <w:gridCol w:w="552"/>
            </w:tblGrid>
            <w:tr w:rsidR="00B1646A" w:rsidRPr="00574710" w:rsidTr="00DA4CA5">
              <w:trPr>
                <w:trHeight w:val="540"/>
                <w:jc w:val="center"/>
              </w:trPr>
              <w:tc>
                <w:tcPr>
                  <w:tcW w:w="941" w:type="pct"/>
                  <w:tcBorders>
                    <w:top w:val="single" w:sz="12" w:space="0" w:color="002776"/>
                    <w:left w:val="nil"/>
                    <w:bottom w:val="single" w:sz="8" w:space="0" w:color="002776"/>
                    <w:right w:val="nil"/>
                  </w:tcBorders>
                  <w:shd w:val="clear" w:color="auto" w:fill="auto"/>
                  <w:hideMark/>
                </w:tcPr>
                <w:p w:rsidR="005815D8" w:rsidRPr="00444981" w:rsidRDefault="005815D8" w:rsidP="005815D8">
                  <w:pPr>
                    <w:outlineLvl w:val="0"/>
                    <w:rPr>
                      <w:rFonts w:asciiTheme="minorHAnsi" w:hAnsiTheme="minorHAnsi"/>
                      <w:color w:val="000000"/>
                      <w:sz w:val="20"/>
                    </w:rPr>
                  </w:pPr>
                  <w:r w:rsidRPr="00444981">
                    <w:rPr>
                      <w:rFonts w:asciiTheme="minorHAnsi" w:hAnsiTheme="minorHAnsi"/>
                      <w:color w:val="000000"/>
                      <w:sz w:val="20"/>
                    </w:rPr>
                    <w:t> </w:t>
                  </w:r>
                </w:p>
              </w:tc>
              <w:tc>
                <w:tcPr>
                  <w:tcW w:w="412" w:type="pct"/>
                  <w:gridSpan w:val="2"/>
                  <w:tcBorders>
                    <w:top w:val="single" w:sz="12" w:space="0" w:color="002776"/>
                    <w:left w:val="nil"/>
                    <w:bottom w:val="single" w:sz="8" w:space="0" w:color="002776"/>
                    <w:right w:val="nil"/>
                  </w:tcBorders>
                  <w:shd w:val="clear" w:color="auto" w:fill="auto"/>
                  <w:vAlign w:val="center"/>
                  <w:hideMark/>
                </w:tcPr>
                <w:p w:rsidR="005815D8" w:rsidRPr="00444981" w:rsidRDefault="005815D8" w:rsidP="005815D8">
                  <w:pPr>
                    <w:jc w:val="center"/>
                    <w:outlineLvl w:val="0"/>
                    <w:rPr>
                      <w:rFonts w:asciiTheme="minorHAnsi" w:hAnsiTheme="minorHAnsi"/>
                      <w:b/>
                      <w:bCs/>
                      <w:color w:val="002776"/>
                      <w:sz w:val="20"/>
                    </w:rPr>
                  </w:pPr>
                  <w:r>
                    <w:rPr>
                      <w:rFonts w:cs="Arial"/>
                      <w:b/>
                      <w:bCs/>
                      <w:color w:val="002776"/>
                      <w:sz w:val="20"/>
                    </w:rPr>
                    <w:t>Med.</w:t>
                  </w:r>
                </w:p>
              </w:tc>
              <w:tc>
                <w:tcPr>
                  <w:tcW w:w="404" w:type="pct"/>
                  <w:tcBorders>
                    <w:top w:val="single" w:sz="12" w:space="0" w:color="002776"/>
                    <w:left w:val="nil"/>
                    <w:bottom w:val="single" w:sz="8" w:space="0" w:color="002776"/>
                    <w:right w:val="nil"/>
                  </w:tcBorders>
                  <w:shd w:val="clear" w:color="auto" w:fill="auto"/>
                  <w:vAlign w:val="center"/>
                  <w:hideMark/>
                </w:tcPr>
                <w:p w:rsidR="005815D8" w:rsidRPr="00444981" w:rsidRDefault="005815D8" w:rsidP="005815D8">
                  <w:pPr>
                    <w:jc w:val="center"/>
                    <w:outlineLvl w:val="0"/>
                    <w:rPr>
                      <w:rFonts w:asciiTheme="minorHAnsi" w:hAnsiTheme="minorHAnsi"/>
                      <w:b/>
                      <w:bCs/>
                      <w:color w:val="002776"/>
                      <w:sz w:val="20"/>
                    </w:rPr>
                  </w:pPr>
                  <w:r>
                    <w:rPr>
                      <w:rFonts w:cs="Arial"/>
                      <w:b/>
                      <w:bCs/>
                      <w:color w:val="002776"/>
                      <w:sz w:val="20"/>
                    </w:rPr>
                    <w:t>Nurs.</w:t>
                  </w:r>
                </w:p>
              </w:tc>
              <w:tc>
                <w:tcPr>
                  <w:tcW w:w="404" w:type="pct"/>
                  <w:tcBorders>
                    <w:top w:val="single" w:sz="12" w:space="0" w:color="002776"/>
                    <w:left w:val="nil"/>
                    <w:bottom w:val="single" w:sz="8" w:space="0" w:color="002776"/>
                    <w:right w:val="nil"/>
                  </w:tcBorders>
                  <w:shd w:val="clear" w:color="auto" w:fill="auto"/>
                  <w:vAlign w:val="center"/>
                  <w:hideMark/>
                </w:tcPr>
                <w:p w:rsidR="005815D8" w:rsidRPr="00444981" w:rsidRDefault="005815D8" w:rsidP="005815D8">
                  <w:pPr>
                    <w:jc w:val="center"/>
                    <w:outlineLvl w:val="0"/>
                    <w:rPr>
                      <w:rFonts w:asciiTheme="minorHAnsi" w:hAnsiTheme="minorHAnsi"/>
                      <w:b/>
                      <w:bCs/>
                      <w:color w:val="002776"/>
                      <w:sz w:val="20"/>
                    </w:rPr>
                  </w:pPr>
                  <w:r>
                    <w:rPr>
                      <w:rFonts w:cs="Arial"/>
                      <w:b/>
                      <w:bCs/>
                      <w:color w:val="002776"/>
                      <w:sz w:val="20"/>
                    </w:rPr>
                    <w:t>Other Health</w:t>
                  </w:r>
                </w:p>
              </w:tc>
              <w:tc>
                <w:tcPr>
                  <w:tcW w:w="354" w:type="pct"/>
                  <w:tcBorders>
                    <w:top w:val="single" w:sz="12" w:space="0" w:color="002776"/>
                    <w:left w:val="nil"/>
                    <w:bottom w:val="single" w:sz="8" w:space="0" w:color="002776"/>
                    <w:right w:val="nil"/>
                  </w:tcBorders>
                  <w:shd w:val="clear" w:color="auto" w:fill="auto"/>
                  <w:vAlign w:val="center"/>
                  <w:hideMark/>
                </w:tcPr>
                <w:p w:rsidR="005815D8" w:rsidRPr="00444981" w:rsidRDefault="005815D8" w:rsidP="005815D8">
                  <w:pPr>
                    <w:jc w:val="center"/>
                    <w:outlineLvl w:val="0"/>
                    <w:rPr>
                      <w:rFonts w:asciiTheme="minorHAnsi" w:hAnsiTheme="minorHAnsi"/>
                      <w:b/>
                      <w:bCs/>
                      <w:color w:val="002776"/>
                      <w:sz w:val="20"/>
                    </w:rPr>
                  </w:pPr>
                  <w:r>
                    <w:rPr>
                      <w:rFonts w:cs="Arial"/>
                      <w:b/>
                      <w:bCs/>
                      <w:color w:val="002776"/>
                      <w:sz w:val="20"/>
                    </w:rPr>
                    <w:t>Educ.</w:t>
                  </w:r>
                </w:p>
              </w:tc>
              <w:tc>
                <w:tcPr>
                  <w:tcW w:w="368" w:type="pct"/>
                  <w:tcBorders>
                    <w:top w:val="single" w:sz="12" w:space="0" w:color="002776"/>
                    <w:left w:val="nil"/>
                    <w:bottom w:val="single" w:sz="8" w:space="0" w:color="002776"/>
                    <w:right w:val="nil"/>
                  </w:tcBorders>
                  <w:shd w:val="clear" w:color="auto" w:fill="auto"/>
                  <w:vAlign w:val="center"/>
                  <w:hideMark/>
                </w:tcPr>
                <w:p w:rsidR="005815D8" w:rsidRPr="00444981" w:rsidRDefault="005815D8" w:rsidP="005815D8">
                  <w:pPr>
                    <w:jc w:val="center"/>
                    <w:outlineLvl w:val="0"/>
                    <w:rPr>
                      <w:rFonts w:asciiTheme="minorHAnsi" w:hAnsiTheme="minorHAnsi"/>
                      <w:b/>
                      <w:bCs/>
                      <w:color w:val="002776"/>
                      <w:sz w:val="20"/>
                    </w:rPr>
                  </w:pPr>
                  <w:r>
                    <w:rPr>
                      <w:rFonts w:cs="Arial"/>
                      <w:b/>
                      <w:bCs/>
                      <w:color w:val="002776"/>
                      <w:sz w:val="20"/>
                    </w:rPr>
                    <w:t>Eng.</w:t>
                  </w:r>
                </w:p>
              </w:tc>
              <w:tc>
                <w:tcPr>
                  <w:tcW w:w="404" w:type="pct"/>
                  <w:tcBorders>
                    <w:top w:val="single" w:sz="12" w:space="0" w:color="002776"/>
                    <w:left w:val="nil"/>
                    <w:bottom w:val="single" w:sz="8" w:space="0" w:color="002776"/>
                    <w:right w:val="nil"/>
                  </w:tcBorders>
                  <w:shd w:val="clear" w:color="auto" w:fill="auto"/>
                  <w:vAlign w:val="center"/>
                  <w:hideMark/>
                </w:tcPr>
                <w:p w:rsidR="005815D8" w:rsidRPr="00444981" w:rsidRDefault="005815D8" w:rsidP="005815D8">
                  <w:pPr>
                    <w:jc w:val="center"/>
                    <w:outlineLvl w:val="0"/>
                    <w:rPr>
                      <w:rFonts w:asciiTheme="minorHAnsi" w:hAnsiTheme="minorHAnsi"/>
                      <w:b/>
                      <w:bCs/>
                      <w:color w:val="002776"/>
                      <w:sz w:val="20"/>
                    </w:rPr>
                  </w:pPr>
                  <w:r>
                    <w:rPr>
                      <w:rFonts w:cs="Arial"/>
                      <w:b/>
                      <w:bCs/>
                      <w:color w:val="002776"/>
                      <w:sz w:val="20"/>
                    </w:rPr>
                    <w:t>Mgmt</w:t>
                  </w:r>
                </w:p>
              </w:tc>
              <w:tc>
                <w:tcPr>
                  <w:tcW w:w="311" w:type="pct"/>
                  <w:tcBorders>
                    <w:top w:val="single" w:sz="12" w:space="0" w:color="002776"/>
                    <w:left w:val="nil"/>
                    <w:bottom w:val="single" w:sz="8" w:space="0" w:color="002776"/>
                    <w:right w:val="nil"/>
                  </w:tcBorders>
                  <w:shd w:val="clear" w:color="auto" w:fill="auto"/>
                  <w:vAlign w:val="center"/>
                  <w:hideMark/>
                </w:tcPr>
                <w:p w:rsidR="005815D8" w:rsidRPr="00444981" w:rsidRDefault="005815D8" w:rsidP="005815D8">
                  <w:pPr>
                    <w:jc w:val="center"/>
                    <w:outlineLvl w:val="0"/>
                    <w:rPr>
                      <w:rFonts w:asciiTheme="minorHAnsi" w:hAnsiTheme="minorHAnsi"/>
                      <w:b/>
                      <w:bCs/>
                      <w:color w:val="002776"/>
                      <w:sz w:val="20"/>
                    </w:rPr>
                  </w:pPr>
                  <w:r>
                    <w:rPr>
                      <w:rFonts w:cs="Arial"/>
                      <w:b/>
                      <w:bCs/>
                      <w:color w:val="002776"/>
                      <w:sz w:val="20"/>
                    </w:rPr>
                    <w:t>Law</w:t>
                  </w:r>
                </w:p>
              </w:tc>
              <w:tc>
                <w:tcPr>
                  <w:tcW w:w="404" w:type="pct"/>
                  <w:tcBorders>
                    <w:top w:val="single" w:sz="12" w:space="0" w:color="002776"/>
                    <w:left w:val="nil"/>
                    <w:bottom w:val="single" w:sz="8" w:space="0" w:color="002776"/>
                    <w:right w:val="nil"/>
                  </w:tcBorders>
                  <w:shd w:val="clear" w:color="auto" w:fill="auto"/>
                  <w:vAlign w:val="center"/>
                  <w:hideMark/>
                </w:tcPr>
                <w:p w:rsidR="005815D8" w:rsidRPr="00444981" w:rsidRDefault="005815D8" w:rsidP="005815D8">
                  <w:pPr>
                    <w:jc w:val="center"/>
                    <w:outlineLvl w:val="0"/>
                    <w:rPr>
                      <w:rFonts w:asciiTheme="minorHAnsi" w:hAnsiTheme="minorHAnsi"/>
                      <w:b/>
                      <w:bCs/>
                      <w:color w:val="002776"/>
                      <w:sz w:val="20"/>
                    </w:rPr>
                  </w:pPr>
                  <w:r>
                    <w:rPr>
                      <w:rFonts w:cs="Arial"/>
                      <w:b/>
                      <w:bCs/>
                      <w:color w:val="002776"/>
                      <w:sz w:val="20"/>
                    </w:rPr>
                    <w:t>Arts</w:t>
                  </w:r>
                </w:p>
              </w:tc>
              <w:tc>
                <w:tcPr>
                  <w:tcW w:w="343" w:type="pct"/>
                  <w:tcBorders>
                    <w:top w:val="single" w:sz="12" w:space="0" w:color="002776"/>
                    <w:left w:val="nil"/>
                    <w:bottom w:val="single" w:sz="8" w:space="0" w:color="002776"/>
                    <w:right w:val="nil"/>
                  </w:tcBorders>
                  <w:shd w:val="clear" w:color="auto" w:fill="auto"/>
                  <w:vAlign w:val="center"/>
                  <w:hideMark/>
                </w:tcPr>
                <w:p w:rsidR="005815D8" w:rsidRPr="00444981" w:rsidRDefault="005815D8" w:rsidP="005815D8">
                  <w:pPr>
                    <w:jc w:val="center"/>
                    <w:outlineLvl w:val="0"/>
                    <w:rPr>
                      <w:rFonts w:asciiTheme="minorHAnsi" w:hAnsiTheme="minorHAnsi"/>
                      <w:b/>
                      <w:bCs/>
                      <w:color w:val="002776"/>
                      <w:sz w:val="20"/>
                    </w:rPr>
                  </w:pPr>
                  <w:r>
                    <w:rPr>
                      <w:rFonts w:cs="Arial"/>
                      <w:b/>
                      <w:bCs/>
                      <w:color w:val="002776"/>
                      <w:sz w:val="20"/>
                    </w:rPr>
                    <w:t>Sci.</w:t>
                  </w:r>
                </w:p>
              </w:tc>
              <w:tc>
                <w:tcPr>
                  <w:tcW w:w="331" w:type="pct"/>
                  <w:tcBorders>
                    <w:top w:val="single" w:sz="12" w:space="0" w:color="002776"/>
                    <w:left w:val="nil"/>
                    <w:bottom w:val="single" w:sz="8" w:space="0" w:color="002776"/>
                    <w:right w:val="nil"/>
                  </w:tcBorders>
                  <w:vAlign w:val="center"/>
                </w:tcPr>
                <w:p w:rsidR="005815D8" w:rsidRPr="006E4888" w:rsidRDefault="005815D8" w:rsidP="005815D8">
                  <w:pPr>
                    <w:jc w:val="center"/>
                    <w:outlineLvl w:val="0"/>
                    <w:rPr>
                      <w:rFonts w:asciiTheme="minorHAnsi" w:hAnsiTheme="minorHAnsi"/>
                      <w:b/>
                      <w:bCs/>
                      <w:color w:val="002776"/>
                      <w:sz w:val="20"/>
                    </w:rPr>
                  </w:pPr>
                  <w:r>
                    <w:rPr>
                      <w:rFonts w:cs="Arial"/>
                      <w:b/>
                      <w:bCs/>
                      <w:color w:val="002776"/>
                      <w:sz w:val="20"/>
                    </w:rPr>
                    <w:t>IT</w:t>
                  </w:r>
                </w:p>
              </w:tc>
              <w:tc>
                <w:tcPr>
                  <w:tcW w:w="324" w:type="pct"/>
                  <w:tcBorders>
                    <w:top w:val="single" w:sz="12" w:space="0" w:color="002776"/>
                    <w:left w:val="nil"/>
                    <w:bottom w:val="single" w:sz="8" w:space="0" w:color="002776"/>
                    <w:right w:val="nil"/>
                  </w:tcBorders>
                  <w:shd w:val="clear" w:color="auto" w:fill="auto"/>
                  <w:vAlign w:val="center"/>
                  <w:hideMark/>
                </w:tcPr>
                <w:p w:rsidR="005815D8" w:rsidRPr="00444981" w:rsidRDefault="005815D8" w:rsidP="005815D8">
                  <w:pPr>
                    <w:jc w:val="center"/>
                    <w:outlineLvl w:val="0"/>
                    <w:rPr>
                      <w:rFonts w:asciiTheme="minorHAnsi" w:hAnsiTheme="minorHAnsi"/>
                      <w:b/>
                      <w:bCs/>
                      <w:color w:val="002776"/>
                      <w:sz w:val="20"/>
                    </w:rPr>
                  </w:pPr>
                  <w:r>
                    <w:rPr>
                      <w:rFonts w:cs="Arial"/>
                      <w:b/>
                      <w:bCs/>
                      <w:color w:val="002776"/>
                      <w:sz w:val="20"/>
                    </w:rPr>
                    <w:t>Ave.</w:t>
                  </w:r>
                </w:p>
              </w:tc>
            </w:tr>
            <w:tr w:rsidR="00B1646A" w:rsidRPr="00574710" w:rsidTr="00DA4CA5">
              <w:trPr>
                <w:trHeight w:val="320"/>
                <w:jc w:val="center"/>
              </w:trPr>
              <w:tc>
                <w:tcPr>
                  <w:tcW w:w="941" w:type="pct"/>
                  <w:tcBorders>
                    <w:top w:val="single" w:sz="12" w:space="0" w:color="002776"/>
                    <w:left w:val="nil"/>
                    <w:right w:val="nil"/>
                  </w:tcBorders>
                  <w:shd w:val="clear" w:color="auto" w:fill="auto"/>
                </w:tcPr>
                <w:p w:rsidR="005815D8" w:rsidRPr="00CD18A1" w:rsidRDefault="005815D8" w:rsidP="005815D8">
                  <w:pPr>
                    <w:outlineLvl w:val="0"/>
                    <w:rPr>
                      <w:rFonts w:asciiTheme="minorHAnsi" w:hAnsiTheme="minorHAnsi"/>
                      <w:b/>
                      <w:color w:val="000000"/>
                      <w:sz w:val="20"/>
                    </w:rPr>
                  </w:pPr>
                  <w:r w:rsidRPr="00CD18A1">
                    <w:rPr>
                      <w:rFonts w:asciiTheme="minorHAnsi" w:hAnsiTheme="minorHAnsi"/>
                      <w:b/>
                      <w:color w:val="002776" w:themeColor="accent1"/>
                      <w:sz w:val="20"/>
                    </w:rPr>
                    <w:t>Bachelor level</w:t>
                  </w:r>
                </w:p>
              </w:tc>
              <w:tc>
                <w:tcPr>
                  <w:tcW w:w="412" w:type="pct"/>
                  <w:gridSpan w:val="2"/>
                  <w:tcBorders>
                    <w:top w:val="single" w:sz="12" w:space="0" w:color="002776"/>
                    <w:left w:val="nil"/>
                    <w:right w:val="nil"/>
                  </w:tcBorders>
                  <w:shd w:val="clear" w:color="auto" w:fill="auto"/>
                  <w:vAlign w:val="center"/>
                </w:tcPr>
                <w:p w:rsidR="005815D8" w:rsidRPr="00444981" w:rsidRDefault="005815D8" w:rsidP="005815D8">
                  <w:pPr>
                    <w:jc w:val="center"/>
                    <w:outlineLvl w:val="0"/>
                    <w:rPr>
                      <w:rFonts w:asciiTheme="minorHAnsi" w:hAnsiTheme="minorHAnsi"/>
                      <w:b/>
                      <w:bCs/>
                      <w:color w:val="002776"/>
                      <w:sz w:val="20"/>
                    </w:rPr>
                  </w:pPr>
                </w:p>
              </w:tc>
              <w:tc>
                <w:tcPr>
                  <w:tcW w:w="404" w:type="pct"/>
                  <w:tcBorders>
                    <w:top w:val="single" w:sz="12" w:space="0" w:color="002776"/>
                    <w:left w:val="nil"/>
                    <w:right w:val="nil"/>
                  </w:tcBorders>
                  <w:shd w:val="clear" w:color="auto" w:fill="auto"/>
                  <w:vAlign w:val="center"/>
                </w:tcPr>
                <w:p w:rsidR="005815D8" w:rsidRPr="00444981" w:rsidRDefault="005815D8" w:rsidP="005815D8">
                  <w:pPr>
                    <w:jc w:val="center"/>
                    <w:outlineLvl w:val="0"/>
                    <w:rPr>
                      <w:rFonts w:asciiTheme="minorHAnsi" w:hAnsiTheme="minorHAnsi"/>
                      <w:b/>
                      <w:bCs/>
                      <w:color w:val="002776"/>
                      <w:sz w:val="20"/>
                    </w:rPr>
                  </w:pPr>
                </w:p>
              </w:tc>
              <w:tc>
                <w:tcPr>
                  <w:tcW w:w="404" w:type="pct"/>
                  <w:tcBorders>
                    <w:top w:val="single" w:sz="12" w:space="0" w:color="002776"/>
                    <w:left w:val="nil"/>
                    <w:right w:val="nil"/>
                  </w:tcBorders>
                  <w:shd w:val="clear" w:color="auto" w:fill="auto"/>
                  <w:vAlign w:val="center"/>
                </w:tcPr>
                <w:p w:rsidR="005815D8" w:rsidRPr="00444981" w:rsidRDefault="005815D8" w:rsidP="005815D8">
                  <w:pPr>
                    <w:jc w:val="center"/>
                    <w:outlineLvl w:val="0"/>
                    <w:rPr>
                      <w:rFonts w:asciiTheme="minorHAnsi" w:hAnsiTheme="minorHAnsi"/>
                      <w:b/>
                      <w:bCs/>
                      <w:color w:val="002776"/>
                      <w:sz w:val="20"/>
                    </w:rPr>
                  </w:pPr>
                </w:p>
              </w:tc>
              <w:tc>
                <w:tcPr>
                  <w:tcW w:w="354" w:type="pct"/>
                  <w:tcBorders>
                    <w:top w:val="single" w:sz="12" w:space="0" w:color="002776"/>
                    <w:left w:val="nil"/>
                    <w:right w:val="nil"/>
                  </w:tcBorders>
                  <w:shd w:val="clear" w:color="auto" w:fill="auto"/>
                  <w:vAlign w:val="center"/>
                </w:tcPr>
                <w:p w:rsidR="005815D8" w:rsidRPr="00444981" w:rsidRDefault="005815D8" w:rsidP="005815D8">
                  <w:pPr>
                    <w:jc w:val="center"/>
                    <w:outlineLvl w:val="0"/>
                    <w:rPr>
                      <w:rFonts w:asciiTheme="minorHAnsi" w:hAnsiTheme="minorHAnsi"/>
                      <w:b/>
                      <w:bCs/>
                      <w:color w:val="002776"/>
                      <w:sz w:val="20"/>
                    </w:rPr>
                  </w:pPr>
                </w:p>
              </w:tc>
              <w:tc>
                <w:tcPr>
                  <w:tcW w:w="368" w:type="pct"/>
                  <w:tcBorders>
                    <w:top w:val="single" w:sz="12" w:space="0" w:color="002776"/>
                    <w:left w:val="nil"/>
                    <w:right w:val="nil"/>
                  </w:tcBorders>
                  <w:shd w:val="clear" w:color="auto" w:fill="auto"/>
                  <w:vAlign w:val="center"/>
                </w:tcPr>
                <w:p w:rsidR="005815D8" w:rsidRPr="00444981" w:rsidRDefault="005815D8" w:rsidP="005815D8">
                  <w:pPr>
                    <w:jc w:val="center"/>
                    <w:outlineLvl w:val="0"/>
                    <w:rPr>
                      <w:rFonts w:asciiTheme="minorHAnsi" w:hAnsiTheme="minorHAnsi"/>
                      <w:b/>
                      <w:bCs/>
                      <w:color w:val="002776"/>
                      <w:sz w:val="20"/>
                    </w:rPr>
                  </w:pPr>
                </w:p>
              </w:tc>
              <w:tc>
                <w:tcPr>
                  <w:tcW w:w="404" w:type="pct"/>
                  <w:tcBorders>
                    <w:top w:val="single" w:sz="12" w:space="0" w:color="002776"/>
                    <w:left w:val="nil"/>
                    <w:right w:val="nil"/>
                  </w:tcBorders>
                  <w:shd w:val="clear" w:color="auto" w:fill="auto"/>
                  <w:vAlign w:val="center"/>
                </w:tcPr>
                <w:p w:rsidR="005815D8" w:rsidRPr="00444981" w:rsidRDefault="005815D8" w:rsidP="005815D8">
                  <w:pPr>
                    <w:jc w:val="center"/>
                    <w:outlineLvl w:val="0"/>
                    <w:rPr>
                      <w:rFonts w:asciiTheme="minorHAnsi" w:hAnsiTheme="minorHAnsi"/>
                      <w:b/>
                      <w:bCs/>
                      <w:color w:val="002776"/>
                      <w:sz w:val="20"/>
                    </w:rPr>
                  </w:pPr>
                </w:p>
              </w:tc>
              <w:tc>
                <w:tcPr>
                  <w:tcW w:w="311" w:type="pct"/>
                  <w:tcBorders>
                    <w:top w:val="single" w:sz="12" w:space="0" w:color="002776"/>
                    <w:left w:val="nil"/>
                    <w:right w:val="nil"/>
                  </w:tcBorders>
                  <w:shd w:val="clear" w:color="auto" w:fill="auto"/>
                  <w:vAlign w:val="center"/>
                </w:tcPr>
                <w:p w:rsidR="005815D8" w:rsidRPr="00444981" w:rsidRDefault="005815D8" w:rsidP="005815D8">
                  <w:pPr>
                    <w:jc w:val="center"/>
                    <w:outlineLvl w:val="0"/>
                    <w:rPr>
                      <w:rFonts w:asciiTheme="minorHAnsi" w:hAnsiTheme="minorHAnsi"/>
                      <w:b/>
                      <w:bCs/>
                      <w:color w:val="002776"/>
                      <w:sz w:val="20"/>
                    </w:rPr>
                  </w:pPr>
                </w:p>
              </w:tc>
              <w:tc>
                <w:tcPr>
                  <w:tcW w:w="404" w:type="pct"/>
                  <w:tcBorders>
                    <w:top w:val="single" w:sz="12" w:space="0" w:color="002776"/>
                    <w:left w:val="nil"/>
                    <w:right w:val="nil"/>
                  </w:tcBorders>
                  <w:shd w:val="clear" w:color="auto" w:fill="auto"/>
                  <w:vAlign w:val="center"/>
                </w:tcPr>
                <w:p w:rsidR="005815D8" w:rsidRPr="00444981" w:rsidRDefault="005815D8" w:rsidP="005815D8">
                  <w:pPr>
                    <w:jc w:val="center"/>
                    <w:outlineLvl w:val="0"/>
                    <w:rPr>
                      <w:rFonts w:asciiTheme="minorHAnsi" w:hAnsiTheme="minorHAnsi"/>
                      <w:b/>
                      <w:bCs/>
                      <w:color w:val="002776"/>
                      <w:sz w:val="20"/>
                    </w:rPr>
                  </w:pPr>
                </w:p>
              </w:tc>
              <w:tc>
                <w:tcPr>
                  <w:tcW w:w="343" w:type="pct"/>
                  <w:tcBorders>
                    <w:top w:val="single" w:sz="12" w:space="0" w:color="002776"/>
                    <w:left w:val="nil"/>
                    <w:right w:val="nil"/>
                  </w:tcBorders>
                  <w:shd w:val="clear" w:color="auto" w:fill="auto"/>
                  <w:vAlign w:val="center"/>
                </w:tcPr>
                <w:p w:rsidR="005815D8" w:rsidRPr="00444981" w:rsidRDefault="005815D8" w:rsidP="005815D8">
                  <w:pPr>
                    <w:jc w:val="center"/>
                    <w:outlineLvl w:val="0"/>
                    <w:rPr>
                      <w:rFonts w:asciiTheme="minorHAnsi" w:hAnsiTheme="minorHAnsi"/>
                      <w:b/>
                      <w:bCs/>
                      <w:color w:val="002776"/>
                      <w:sz w:val="20"/>
                    </w:rPr>
                  </w:pPr>
                </w:p>
              </w:tc>
              <w:tc>
                <w:tcPr>
                  <w:tcW w:w="331" w:type="pct"/>
                  <w:tcBorders>
                    <w:top w:val="single" w:sz="12" w:space="0" w:color="002776"/>
                    <w:left w:val="nil"/>
                    <w:right w:val="nil"/>
                  </w:tcBorders>
                  <w:shd w:val="clear" w:color="auto" w:fill="auto"/>
                </w:tcPr>
                <w:p w:rsidR="005815D8" w:rsidRPr="00CD18A1" w:rsidRDefault="005815D8" w:rsidP="005815D8">
                  <w:pPr>
                    <w:jc w:val="center"/>
                    <w:outlineLvl w:val="0"/>
                    <w:rPr>
                      <w:rFonts w:asciiTheme="minorHAnsi" w:hAnsiTheme="minorHAnsi"/>
                      <w:bCs/>
                      <w:color w:val="002776"/>
                      <w:sz w:val="20"/>
                    </w:rPr>
                  </w:pPr>
                </w:p>
              </w:tc>
              <w:tc>
                <w:tcPr>
                  <w:tcW w:w="324" w:type="pct"/>
                  <w:tcBorders>
                    <w:top w:val="single" w:sz="12" w:space="0" w:color="002776"/>
                    <w:left w:val="nil"/>
                    <w:right w:val="nil"/>
                  </w:tcBorders>
                  <w:shd w:val="clear" w:color="auto" w:fill="auto"/>
                  <w:vAlign w:val="center"/>
                </w:tcPr>
                <w:p w:rsidR="005815D8" w:rsidRPr="00CD18A1" w:rsidRDefault="005815D8" w:rsidP="005815D8">
                  <w:pPr>
                    <w:jc w:val="center"/>
                    <w:outlineLvl w:val="0"/>
                    <w:rPr>
                      <w:rFonts w:asciiTheme="minorHAnsi" w:hAnsiTheme="minorHAnsi"/>
                      <w:bCs/>
                      <w:color w:val="002776"/>
                      <w:sz w:val="20"/>
                    </w:rPr>
                  </w:pPr>
                </w:p>
              </w:tc>
            </w:tr>
            <w:tr w:rsidR="00B1646A" w:rsidRPr="00574710" w:rsidTr="00DA4CA5">
              <w:trPr>
                <w:trHeight w:val="320"/>
                <w:jc w:val="center"/>
              </w:trPr>
              <w:tc>
                <w:tcPr>
                  <w:tcW w:w="941" w:type="pct"/>
                  <w:tcBorders>
                    <w:left w:val="nil"/>
                    <w:right w:val="nil"/>
                  </w:tcBorders>
                  <w:shd w:val="clear" w:color="auto" w:fill="auto"/>
                  <w:vAlign w:val="bottom"/>
                </w:tcPr>
                <w:p w:rsidR="005815D8" w:rsidRPr="0064325C" w:rsidRDefault="005815D8" w:rsidP="005815D8">
                  <w:pPr>
                    <w:outlineLvl w:val="0"/>
                    <w:rPr>
                      <w:rFonts w:asciiTheme="minorHAnsi" w:hAnsiTheme="minorHAnsi"/>
                      <w:color w:val="002776" w:themeColor="accent1"/>
                      <w:sz w:val="18"/>
                      <w:szCs w:val="18"/>
                    </w:rPr>
                  </w:pPr>
                  <w:r w:rsidRPr="00DA4CA5">
                    <w:rPr>
                      <w:rFonts w:asciiTheme="minorHAnsi" w:hAnsiTheme="minorHAnsi" w:cs="Arial"/>
                      <w:bCs/>
                      <w:sz w:val="20"/>
                      <w:szCs w:val="18"/>
                    </w:rPr>
                    <w:t>Sample size (n)</w:t>
                  </w:r>
                </w:p>
              </w:tc>
              <w:tc>
                <w:tcPr>
                  <w:tcW w:w="412" w:type="pct"/>
                  <w:gridSpan w:val="2"/>
                  <w:tcBorders>
                    <w:left w:val="nil"/>
                    <w:right w:val="nil"/>
                  </w:tcBorders>
                  <w:shd w:val="clear" w:color="auto" w:fill="auto"/>
                  <w:vAlign w:val="bottom"/>
                </w:tcPr>
                <w:p w:rsidR="005815D8" w:rsidRPr="0064325C" w:rsidRDefault="005815D8" w:rsidP="005815D8">
                  <w:pPr>
                    <w:jc w:val="center"/>
                    <w:outlineLvl w:val="0"/>
                    <w:rPr>
                      <w:rFonts w:asciiTheme="minorHAnsi" w:hAnsiTheme="minorHAnsi"/>
                      <w:b/>
                      <w:bCs/>
                      <w:color w:val="002776"/>
                      <w:sz w:val="18"/>
                      <w:szCs w:val="18"/>
                    </w:rPr>
                  </w:pPr>
                  <w:r w:rsidRPr="0064325C">
                    <w:rPr>
                      <w:rFonts w:asciiTheme="minorHAnsi" w:hAnsiTheme="minorHAnsi" w:cs="Arial"/>
                      <w:sz w:val="18"/>
                      <w:szCs w:val="18"/>
                    </w:rPr>
                    <w:t>262</w:t>
                  </w:r>
                </w:p>
              </w:tc>
              <w:tc>
                <w:tcPr>
                  <w:tcW w:w="404" w:type="pct"/>
                  <w:tcBorders>
                    <w:left w:val="nil"/>
                    <w:right w:val="nil"/>
                  </w:tcBorders>
                  <w:shd w:val="clear" w:color="auto" w:fill="auto"/>
                  <w:vAlign w:val="bottom"/>
                </w:tcPr>
                <w:p w:rsidR="005815D8" w:rsidRPr="0064325C" w:rsidRDefault="005815D8" w:rsidP="005815D8">
                  <w:pPr>
                    <w:jc w:val="center"/>
                    <w:outlineLvl w:val="0"/>
                    <w:rPr>
                      <w:rFonts w:asciiTheme="minorHAnsi" w:hAnsiTheme="minorHAnsi"/>
                      <w:b/>
                      <w:bCs/>
                      <w:color w:val="002776"/>
                      <w:sz w:val="18"/>
                      <w:szCs w:val="18"/>
                    </w:rPr>
                  </w:pPr>
                  <w:r w:rsidRPr="0064325C">
                    <w:rPr>
                      <w:rFonts w:asciiTheme="minorHAnsi" w:hAnsiTheme="minorHAnsi" w:cs="Arial"/>
                      <w:sz w:val="18"/>
                      <w:szCs w:val="18"/>
                    </w:rPr>
                    <w:t>1261</w:t>
                  </w:r>
                </w:p>
              </w:tc>
              <w:tc>
                <w:tcPr>
                  <w:tcW w:w="404" w:type="pct"/>
                  <w:tcBorders>
                    <w:left w:val="nil"/>
                    <w:right w:val="nil"/>
                  </w:tcBorders>
                  <w:shd w:val="clear" w:color="auto" w:fill="auto"/>
                  <w:vAlign w:val="bottom"/>
                </w:tcPr>
                <w:p w:rsidR="005815D8" w:rsidRPr="0064325C" w:rsidRDefault="005815D8" w:rsidP="005815D8">
                  <w:pPr>
                    <w:jc w:val="center"/>
                    <w:outlineLvl w:val="0"/>
                    <w:rPr>
                      <w:rFonts w:asciiTheme="minorHAnsi" w:hAnsiTheme="minorHAnsi"/>
                      <w:b/>
                      <w:bCs/>
                      <w:color w:val="002776"/>
                      <w:sz w:val="18"/>
                      <w:szCs w:val="18"/>
                    </w:rPr>
                  </w:pPr>
                  <w:r w:rsidRPr="0064325C">
                    <w:rPr>
                      <w:rFonts w:asciiTheme="minorHAnsi" w:hAnsiTheme="minorHAnsi" w:cs="Arial"/>
                      <w:sz w:val="18"/>
                      <w:szCs w:val="18"/>
                    </w:rPr>
                    <w:t>790</w:t>
                  </w:r>
                </w:p>
              </w:tc>
              <w:tc>
                <w:tcPr>
                  <w:tcW w:w="354" w:type="pct"/>
                  <w:tcBorders>
                    <w:left w:val="nil"/>
                    <w:right w:val="nil"/>
                  </w:tcBorders>
                  <w:shd w:val="clear" w:color="auto" w:fill="auto"/>
                  <w:vAlign w:val="bottom"/>
                </w:tcPr>
                <w:p w:rsidR="005815D8" w:rsidRPr="0064325C" w:rsidRDefault="005815D8" w:rsidP="005815D8">
                  <w:pPr>
                    <w:jc w:val="center"/>
                    <w:outlineLvl w:val="0"/>
                    <w:rPr>
                      <w:rFonts w:asciiTheme="minorHAnsi" w:hAnsiTheme="minorHAnsi"/>
                      <w:b/>
                      <w:bCs/>
                      <w:color w:val="002776"/>
                      <w:sz w:val="18"/>
                      <w:szCs w:val="18"/>
                    </w:rPr>
                  </w:pPr>
                  <w:r w:rsidRPr="0064325C">
                    <w:rPr>
                      <w:rFonts w:asciiTheme="minorHAnsi" w:hAnsiTheme="minorHAnsi" w:cs="Arial"/>
                      <w:sz w:val="18"/>
                      <w:szCs w:val="18"/>
                    </w:rPr>
                    <w:t>2404</w:t>
                  </w:r>
                </w:p>
              </w:tc>
              <w:tc>
                <w:tcPr>
                  <w:tcW w:w="368" w:type="pct"/>
                  <w:tcBorders>
                    <w:left w:val="nil"/>
                    <w:right w:val="nil"/>
                  </w:tcBorders>
                  <w:shd w:val="clear" w:color="auto" w:fill="auto"/>
                  <w:vAlign w:val="bottom"/>
                </w:tcPr>
                <w:p w:rsidR="005815D8" w:rsidRPr="0064325C" w:rsidRDefault="005815D8" w:rsidP="005815D8">
                  <w:pPr>
                    <w:jc w:val="center"/>
                    <w:outlineLvl w:val="0"/>
                    <w:rPr>
                      <w:rFonts w:asciiTheme="minorHAnsi" w:hAnsiTheme="minorHAnsi"/>
                      <w:b/>
                      <w:bCs/>
                      <w:color w:val="002776"/>
                      <w:sz w:val="18"/>
                      <w:szCs w:val="18"/>
                    </w:rPr>
                  </w:pPr>
                  <w:r w:rsidRPr="0064325C">
                    <w:rPr>
                      <w:rFonts w:asciiTheme="minorHAnsi" w:hAnsiTheme="minorHAnsi" w:cs="Arial"/>
                      <w:sz w:val="18"/>
                      <w:szCs w:val="18"/>
                    </w:rPr>
                    <w:t>1518</w:t>
                  </w:r>
                </w:p>
              </w:tc>
              <w:tc>
                <w:tcPr>
                  <w:tcW w:w="404" w:type="pct"/>
                  <w:tcBorders>
                    <w:left w:val="nil"/>
                    <w:right w:val="nil"/>
                  </w:tcBorders>
                  <w:shd w:val="clear" w:color="auto" w:fill="auto"/>
                  <w:vAlign w:val="bottom"/>
                </w:tcPr>
                <w:p w:rsidR="005815D8" w:rsidRPr="0064325C" w:rsidRDefault="005815D8" w:rsidP="005815D8">
                  <w:pPr>
                    <w:jc w:val="center"/>
                    <w:outlineLvl w:val="0"/>
                    <w:rPr>
                      <w:rFonts w:asciiTheme="minorHAnsi" w:hAnsiTheme="minorHAnsi"/>
                      <w:b/>
                      <w:bCs/>
                      <w:color w:val="002776"/>
                      <w:sz w:val="18"/>
                      <w:szCs w:val="18"/>
                    </w:rPr>
                  </w:pPr>
                  <w:r w:rsidRPr="0064325C">
                    <w:rPr>
                      <w:rFonts w:asciiTheme="minorHAnsi" w:hAnsiTheme="minorHAnsi" w:cs="Arial"/>
                      <w:sz w:val="18"/>
                      <w:szCs w:val="18"/>
                    </w:rPr>
                    <w:t>2694</w:t>
                  </w:r>
                </w:p>
              </w:tc>
              <w:tc>
                <w:tcPr>
                  <w:tcW w:w="311" w:type="pct"/>
                  <w:tcBorders>
                    <w:left w:val="nil"/>
                    <w:right w:val="nil"/>
                  </w:tcBorders>
                  <w:shd w:val="clear" w:color="auto" w:fill="auto"/>
                  <w:vAlign w:val="bottom"/>
                </w:tcPr>
                <w:p w:rsidR="005815D8" w:rsidRPr="0064325C" w:rsidRDefault="005815D8" w:rsidP="005815D8">
                  <w:pPr>
                    <w:jc w:val="center"/>
                    <w:outlineLvl w:val="0"/>
                    <w:rPr>
                      <w:rFonts w:asciiTheme="minorHAnsi" w:hAnsiTheme="minorHAnsi"/>
                      <w:b/>
                      <w:bCs/>
                      <w:color w:val="002776"/>
                      <w:sz w:val="18"/>
                      <w:szCs w:val="18"/>
                    </w:rPr>
                  </w:pPr>
                  <w:r w:rsidRPr="0064325C">
                    <w:rPr>
                      <w:rFonts w:asciiTheme="minorHAnsi" w:hAnsiTheme="minorHAnsi" w:cs="Arial"/>
                      <w:sz w:val="18"/>
                      <w:szCs w:val="18"/>
                    </w:rPr>
                    <w:t>463</w:t>
                  </w:r>
                </w:p>
              </w:tc>
              <w:tc>
                <w:tcPr>
                  <w:tcW w:w="404" w:type="pct"/>
                  <w:tcBorders>
                    <w:left w:val="nil"/>
                    <w:right w:val="nil"/>
                  </w:tcBorders>
                  <w:shd w:val="clear" w:color="auto" w:fill="auto"/>
                  <w:vAlign w:val="bottom"/>
                </w:tcPr>
                <w:p w:rsidR="005815D8" w:rsidRPr="0064325C" w:rsidRDefault="005815D8" w:rsidP="005815D8">
                  <w:pPr>
                    <w:jc w:val="center"/>
                    <w:outlineLvl w:val="0"/>
                    <w:rPr>
                      <w:rFonts w:asciiTheme="minorHAnsi" w:hAnsiTheme="minorHAnsi"/>
                      <w:b/>
                      <w:bCs/>
                      <w:color w:val="002776"/>
                      <w:sz w:val="18"/>
                      <w:szCs w:val="18"/>
                    </w:rPr>
                  </w:pPr>
                  <w:r w:rsidRPr="0064325C">
                    <w:rPr>
                      <w:rFonts w:asciiTheme="minorHAnsi" w:hAnsiTheme="minorHAnsi" w:cs="Arial"/>
                      <w:sz w:val="18"/>
                      <w:szCs w:val="18"/>
                    </w:rPr>
                    <w:t>2309</w:t>
                  </w:r>
                </w:p>
              </w:tc>
              <w:tc>
                <w:tcPr>
                  <w:tcW w:w="343" w:type="pct"/>
                  <w:tcBorders>
                    <w:left w:val="nil"/>
                    <w:right w:val="nil"/>
                  </w:tcBorders>
                  <w:shd w:val="clear" w:color="auto" w:fill="auto"/>
                  <w:vAlign w:val="bottom"/>
                </w:tcPr>
                <w:p w:rsidR="005815D8" w:rsidRPr="0064325C" w:rsidRDefault="005815D8" w:rsidP="005815D8">
                  <w:pPr>
                    <w:jc w:val="center"/>
                    <w:outlineLvl w:val="0"/>
                    <w:rPr>
                      <w:rFonts w:asciiTheme="minorHAnsi" w:hAnsiTheme="minorHAnsi"/>
                      <w:b/>
                      <w:bCs/>
                      <w:color w:val="002776"/>
                      <w:sz w:val="18"/>
                      <w:szCs w:val="18"/>
                    </w:rPr>
                  </w:pPr>
                  <w:r w:rsidRPr="0064325C">
                    <w:rPr>
                      <w:rFonts w:asciiTheme="minorHAnsi" w:hAnsiTheme="minorHAnsi" w:cs="Arial"/>
                      <w:sz w:val="18"/>
                      <w:szCs w:val="18"/>
                    </w:rPr>
                    <w:t>1145</w:t>
                  </w:r>
                </w:p>
              </w:tc>
              <w:tc>
                <w:tcPr>
                  <w:tcW w:w="331" w:type="pct"/>
                  <w:tcBorders>
                    <w:left w:val="nil"/>
                    <w:right w:val="nil"/>
                  </w:tcBorders>
                  <w:shd w:val="clear" w:color="auto" w:fill="auto"/>
                  <w:vAlign w:val="bottom"/>
                </w:tcPr>
                <w:p w:rsidR="005815D8" w:rsidRPr="0064325C" w:rsidRDefault="005815D8" w:rsidP="005815D8">
                  <w:pPr>
                    <w:jc w:val="center"/>
                    <w:outlineLvl w:val="0"/>
                    <w:rPr>
                      <w:rFonts w:asciiTheme="minorHAnsi" w:hAnsiTheme="minorHAnsi"/>
                      <w:bCs/>
                      <w:color w:val="002776"/>
                      <w:sz w:val="18"/>
                      <w:szCs w:val="18"/>
                    </w:rPr>
                  </w:pPr>
                  <w:r w:rsidRPr="0064325C">
                    <w:rPr>
                      <w:rFonts w:asciiTheme="minorHAnsi" w:hAnsiTheme="minorHAnsi" w:cs="Arial"/>
                      <w:sz w:val="18"/>
                      <w:szCs w:val="18"/>
                    </w:rPr>
                    <w:t>670</w:t>
                  </w:r>
                </w:p>
              </w:tc>
              <w:tc>
                <w:tcPr>
                  <w:tcW w:w="324" w:type="pct"/>
                  <w:tcBorders>
                    <w:left w:val="nil"/>
                    <w:right w:val="nil"/>
                  </w:tcBorders>
                  <w:shd w:val="clear" w:color="auto" w:fill="auto"/>
                  <w:vAlign w:val="bottom"/>
                </w:tcPr>
                <w:p w:rsidR="005815D8" w:rsidRPr="0064325C" w:rsidRDefault="005815D8" w:rsidP="005815D8">
                  <w:pPr>
                    <w:jc w:val="center"/>
                    <w:outlineLvl w:val="0"/>
                    <w:rPr>
                      <w:rFonts w:asciiTheme="minorHAnsi" w:hAnsiTheme="minorHAnsi"/>
                      <w:bCs/>
                      <w:color w:val="002776"/>
                      <w:sz w:val="18"/>
                      <w:szCs w:val="18"/>
                    </w:rPr>
                  </w:pPr>
                  <w:r w:rsidRPr="0064325C">
                    <w:rPr>
                      <w:rFonts w:asciiTheme="minorHAnsi" w:hAnsiTheme="minorHAnsi" w:cs="Arial"/>
                      <w:color w:val="000000"/>
                      <w:sz w:val="18"/>
                      <w:szCs w:val="18"/>
                    </w:rPr>
                    <w:t>13,516</w:t>
                  </w:r>
                </w:p>
              </w:tc>
            </w:tr>
            <w:tr w:rsidR="00B1646A" w:rsidRPr="00F10F95" w:rsidTr="00DA4CA5">
              <w:trPr>
                <w:trHeight w:val="285"/>
                <w:jc w:val="center"/>
              </w:trPr>
              <w:tc>
                <w:tcPr>
                  <w:tcW w:w="1353" w:type="pct"/>
                  <w:gridSpan w:val="3"/>
                  <w:tcBorders>
                    <w:top w:val="nil"/>
                    <w:left w:val="nil"/>
                    <w:bottom w:val="nil"/>
                    <w:right w:val="nil"/>
                  </w:tcBorders>
                  <w:shd w:val="clear" w:color="auto" w:fill="auto"/>
                  <w:noWrap/>
                  <w:hideMark/>
                </w:tcPr>
                <w:p w:rsidR="005815D8" w:rsidRPr="00CD18A1" w:rsidRDefault="005815D8" w:rsidP="005815D8">
                  <w:pPr>
                    <w:outlineLvl w:val="0"/>
                    <w:rPr>
                      <w:rFonts w:asciiTheme="minorHAnsi" w:hAnsiTheme="minorHAnsi"/>
                      <w:bCs/>
                      <w:i/>
                      <w:color w:val="002776"/>
                      <w:sz w:val="20"/>
                    </w:rPr>
                  </w:pPr>
                  <w:r>
                    <w:rPr>
                      <w:rFonts w:asciiTheme="minorHAnsi" w:hAnsiTheme="minorHAnsi"/>
                      <w:bCs/>
                      <w:i/>
                      <w:color w:val="000000"/>
                      <w:sz w:val="20"/>
                    </w:rPr>
                    <w:t>Percentage</w:t>
                  </w:r>
                  <w:r w:rsidRPr="00CD18A1">
                    <w:rPr>
                      <w:rFonts w:asciiTheme="minorHAnsi" w:hAnsiTheme="minorHAnsi"/>
                      <w:bCs/>
                      <w:i/>
                      <w:color w:val="000000"/>
                      <w:sz w:val="20"/>
                    </w:rPr>
                    <w:t xml:space="preserve"> premium</w:t>
                  </w:r>
                </w:p>
              </w:tc>
              <w:tc>
                <w:tcPr>
                  <w:tcW w:w="404"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404"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354"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368"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404"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311"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404"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343"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331" w:type="pct"/>
                  <w:tcBorders>
                    <w:top w:val="nil"/>
                    <w:left w:val="nil"/>
                    <w:bottom w:val="nil"/>
                    <w:right w:val="nil"/>
                  </w:tcBorders>
                  <w:shd w:val="clear" w:color="auto" w:fill="auto"/>
                </w:tcPr>
                <w:p w:rsidR="005815D8" w:rsidRPr="00CD18A1" w:rsidRDefault="005815D8" w:rsidP="005815D8">
                  <w:pPr>
                    <w:outlineLvl w:val="0"/>
                    <w:rPr>
                      <w:rFonts w:asciiTheme="minorHAnsi" w:hAnsiTheme="minorHAnsi"/>
                      <w:b/>
                      <w:bCs/>
                      <w:color w:val="002776" w:themeColor="accent1"/>
                      <w:sz w:val="20"/>
                    </w:rPr>
                  </w:pPr>
                </w:p>
              </w:tc>
              <w:tc>
                <w:tcPr>
                  <w:tcW w:w="324" w:type="pct"/>
                  <w:tcBorders>
                    <w:top w:val="nil"/>
                    <w:left w:val="nil"/>
                    <w:bottom w:val="nil"/>
                    <w:right w:val="nil"/>
                  </w:tcBorders>
                  <w:shd w:val="clear" w:color="auto" w:fill="auto"/>
                  <w:vAlign w:val="center"/>
                  <w:hideMark/>
                </w:tcPr>
                <w:p w:rsidR="005815D8" w:rsidRPr="00CD18A1" w:rsidRDefault="005815D8" w:rsidP="005815D8">
                  <w:pPr>
                    <w:outlineLvl w:val="0"/>
                    <w:rPr>
                      <w:rFonts w:asciiTheme="minorHAnsi" w:hAnsiTheme="minorHAnsi"/>
                      <w:b/>
                      <w:bCs/>
                      <w:color w:val="002776" w:themeColor="accent1"/>
                      <w:sz w:val="20"/>
                    </w:rPr>
                  </w:pPr>
                </w:p>
              </w:tc>
            </w:tr>
            <w:tr w:rsidR="00B1646A" w:rsidRPr="00F10F95" w:rsidTr="00DA4CA5">
              <w:trPr>
                <w:trHeight w:val="255"/>
                <w:jc w:val="center"/>
              </w:trPr>
              <w:tc>
                <w:tcPr>
                  <w:tcW w:w="941" w:type="pct"/>
                  <w:tcBorders>
                    <w:top w:val="nil"/>
                    <w:left w:val="nil"/>
                    <w:bottom w:val="nil"/>
                    <w:right w:val="nil"/>
                  </w:tcBorders>
                  <w:shd w:val="clear" w:color="auto" w:fill="auto"/>
                  <w:vAlign w:val="center"/>
                  <w:hideMark/>
                </w:tcPr>
                <w:p w:rsidR="005815D8" w:rsidRPr="00444981" w:rsidRDefault="005815D8" w:rsidP="005815D8">
                  <w:pPr>
                    <w:ind w:left="108"/>
                    <w:jc w:val="both"/>
                    <w:outlineLvl w:val="0"/>
                    <w:rPr>
                      <w:rFonts w:asciiTheme="minorHAnsi" w:hAnsiTheme="minorHAnsi"/>
                      <w:i/>
                      <w:iCs/>
                      <w:color w:val="000000"/>
                      <w:sz w:val="20"/>
                    </w:rPr>
                  </w:pPr>
                  <w:r w:rsidRPr="00444981">
                    <w:rPr>
                      <w:rFonts w:asciiTheme="minorHAnsi" w:hAnsiTheme="minorHAnsi"/>
                      <w:i/>
                      <w:iCs/>
                      <w:color w:val="000000"/>
                      <w:sz w:val="20"/>
                    </w:rPr>
                    <w:t>Undiscounted</w:t>
                  </w:r>
                </w:p>
              </w:tc>
              <w:tc>
                <w:tcPr>
                  <w:tcW w:w="412" w:type="pct"/>
                  <w:gridSpan w:val="2"/>
                  <w:tcBorders>
                    <w:top w:val="nil"/>
                    <w:left w:val="nil"/>
                    <w:bottom w:val="nil"/>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107%</w:t>
                  </w:r>
                </w:p>
              </w:tc>
              <w:tc>
                <w:tcPr>
                  <w:tcW w:w="404" w:type="pct"/>
                  <w:tcBorders>
                    <w:top w:val="nil"/>
                    <w:left w:val="nil"/>
                    <w:bottom w:val="nil"/>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94%</w:t>
                  </w:r>
                </w:p>
              </w:tc>
              <w:tc>
                <w:tcPr>
                  <w:tcW w:w="404" w:type="pct"/>
                  <w:tcBorders>
                    <w:top w:val="nil"/>
                    <w:left w:val="nil"/>
                    <w:bottom w:val="nil"/>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92%</w:t>
                  </w:r>
                </w:p>
              </w:tc>
              <w:tc>
                <w:tcPr>
                  <w:tcW w:w="354" w:type="pct"/>
                  <w:tcBorders>
                    <w:top w:val="nil"/>
                    <w:left w:val="nil"/>
                    <w:bottom w:val="nil"/>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47%</w:t>
                  </w:r>
                </w:p>
              </w:tc>
              <w:tc>
                <w:tcPr>
                  <w:tcW w:w="368" w:type="pct"/>
                  <w:tcBorders>
                    <w:top w:val="nil"/>
                    <w:left w:val="nil"/>
                    <w:bottom w:val="nil"/>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51%</w:t>
                  </w:r>
                </w:p>
              </w:tc>
              <w:tc>
                <w:tcPr>
                  <w:tcW w:w="404" w:type="pct"/>
                  <w:tcBorders>
                    <w:top w:val="nil"/>
                    <w:left w:val="nil"/>
                    <w:bottom w:val="nil"/>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37%</w:t>
                  </w:r>
                </w:p>
              </w:tc>
              <w:tc>
                <w:tcPr>
                  <w:tcW w:w="311" w:type="pct"/>
                  <w:tcBorders>
                    <w:top w:val="nil"/>
                    <w:left w:val="nil"/>
                    <w:bottom w:val="nil"/>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58%</w:t>
                  </w:r>
                </w:p>
              </w:tc>
              <w:tc>
                <w:tcPr>
                  <w:tcW w:w="404" w:type="pct"/>
                  <w:tcBorders>
                    <w:top w:val="nil"/>
                    <w:left w:val="nil"/>
                    <w:bottom w:val="nil"/>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20%</w:t>
                  </w:r>
                </w:p>
              </w:tc>
              <w:tc>
                <w:tcPr>
                  <w:tcW w:w="343" w:type="pct"/>
                  <w:tcBorders>
                    <w:top w:val="nil"/>
                    <w:left w:val="nil"/>
                    <w:bottom w:val="nil"/>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35%</w:t>
                  </w:r>
                </w:p>
              </w:tc>
              <w:tc>
                <w:tcPr>
                  <w:tcW w:w="331" w:type="pct"/>
                  <w:tcBorders>
                    <w:top w:val="nil"/>
                    <w:left w:val="nil"/>
                    <w:bottom w:val="nil"/>
                    <w:right w:val="nil"/>
                  </w:tcBorders>
                  <w:vAlign w:val="center"/>
                </w:tcPr>
                <w:p w:rsidR="005815D8" w:rsidRPr="006E4888" w:rsidRDefault="005815D8" w:rsidP="005815D8">
                  <w:pPr>
                    <w:jc w:val="center"/>
                    <w:outlineLvl w:val="0"/>
                    <w:rPr>
                      <w:sz w:val="18"/>
                    </w:rPr>
                  </w:pPr>
                  <w:r w:rsidRPr="0064325C">
                    <w:rPr>
                      <w:sz w:val="18"/>
                    </w:rPr>
                    <w:t>39%</w:t>
                  </w:r>
                </w:p>
              </w:tc>
              <w:tc>
                <w:tcPr>
                  <w:tcW w:w="324" w:type="pct"/>
                  <w:tcBorders>
                    <w:top w:val="nil"/>
                    <w:left w:val="nil"/>
                    <w:bottom w:val="nil"/>
                    <w:right w:val="nil"/>
                  </w:tcBorders>
                  <w:shd w:val="clear" w:color="auto" w:fill="auto"/>
                  <w:vAlign w:val="center"/>
                  <w:hideMark/>
                </w:tcPr>
                <w:p w:rsidR="005815D8" w:rsidRPr="00CD18A1" w:rsidRDefault="005815D8" w:rsidP="005815D8">
                  <w:pPr>
                    <w:jc w:val="center"/>
                    <w:outlineLvl w:val="0"/>
                    <w:rPr>
                      <w:rFonts w:asciiTheme="minorHAnsi" w:hAnsiTheme="minorHAnsi"/>
                      <w:b/>
                      <w:color w:val="002776" w:themeColor="accent1"/>
                      <w:sz w:val="18"/>
                    </w:rPr>
                  </w:pPr>
                  <w:r w:rsidRPr="0064325C">
                    <w:rPr>
                      <w:b/>
                      <w:color w:val="002776" w:themeColor="accent1"/>
                      <w:sz w:val="18"/>
                    </w:rPr>
                    <w:t>49%</w:t>
                  </w:r>
                </w:p>
              </w:tc>
            </w:tr>
            <w:tr w:rsidR="00B1646A" w:rsidRPr="00F10F95" w:rsidTr="00DA4CA5">
              <w:trPr>
                <w:trHeight w:val="255"/>
                <w:jc w:val="center"/>
              </w:trPr>
              <w:tc>
                <w:tcPr>
                  <w:tcW w:w="941" w:type="pct"/>
                  <w:tcBorders>
                    <w:top w:val="nil"/>
                    <w:left w:val="nil"/>
                    <w:bottom w:val="single" w:sz="4" w:space="0" w:color="002776" w:themeColor="accent1"/>
                    <w:right w:val="nil"/>
                  </w:tcBorders>
                  <w:shd w:val="clear" w:color="auto" w:fill="auto"/>
                  <w:noWrap/>
                  <w:vAlign w:val="bottom"/>
                  <w:hideMark/>
                </w:tcPr>
                <w:p w:rsidR="005815D8" w:rsidRPr="00444981" w:rsidRDefault="005815D8" w:rsidP="005815D8">
                  <w:pPr>
                    <w:ind w:left="108"/>
                    <w:outlineLvl w:val="0"/>
                    <w:rPr>
                      <w:rFonts w:asciiTheme="minorHAnsi" w:hAnsiTheme="minorHAnsi"/>
                      <w:i/>
                      <w:iCs/>
                      <w:color w:val="000000"/>
                      <w:sz w:val="20"/>
                    </w:rPr>
                  </w:pPr>
                  <w:r w:rsidRPr="00444981">
                    <w:rPr>
                      <w:rFonts w:asciiTheme="minorHAnsi" w:hAnsiTheme="minorHAnsi"/>
                      <w:i/>
                      <w:iCs/>
                      <w:color w:val="000000"/>
                      <w:sz w:val="20"/>
                    </w:rPr>
                    <w:t>Discounted NPV</w:t>
                  </w:r>
                </w:p>
              </w:tc>
              <w:tc>
                <w:tcPr>
                  <w:tcW w:w="412" w:type="pct"/>
                  <w:gridSpan w:val="2"/>
                  <w:tcBorders>
                    <w:top w:val="nil"/>
                    <w:left w:val="nil"/>
                    <w:bottom w:val="single" w:sz="4" w:space="0" w:color="002776" w:themeColor="accent1"/>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75%</w:t>
                  </w:r>
                </w:p>
              </w:tc>
              <w:tc>
                <w:tcPr>
                  <w:tcW w:w="404" w:type="pct"/>
                  <w:tcBorders>
                    <w:top w:val="nil"/>
                    <w:left w:val="nil"/>
                    <w:bottom w:val="single" w:sz="4" w:space="0" w:color="002776" w:themeColor="accent1"/>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84%</w:t>
                  </w:r>
                </w:p>
              </w:tc>
              <w:tc>
                <w:tcPr>
                  <w:tcW w:w="404" w:type="pct"/>
                  <w:tcBorders>
                    <w:top w:val="nil"/>
                    <w:left w:val="nil"/>
                    <w:bottom w:val="single" w:sz="4" w:space="0" w:color="002776" w:themeColor="accent1"/>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82%</w:t>
                  </w:r>
                </w:p>
              </w:tc>
              <w:tc>
                <w:tcPr>
                  <w:tcW w:w="354" w:type="pct"/>
                  <w:tcBorders>
                    <w:top w:val="nil"/>
                    <w:left w:val="nil"/>
                    <w:bottom w:val="single" w:sz="4" w:space="0" w:color="002776" w:themeColor="accent1"/>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38%</w:t>
                  </w:r>
                </w:p>
              </w:tc>
              <w:tc>
                <w:tcPr>
                  <w:tcW w:w="368" w:type="pct"/>
                  <w:tcBorders>
                    <w:top w:val="nil"/>
                    <w:left w:val="nil"/>
                    <w:bottom w:val="single" w:sz="4" w:space="0" w:color="002776" w:themeColor="accent1"/>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43%</w:t>
                  </w:r>
                </w:p>
              </w:tc>
              <w:tc>
                <w:tcPr>
                  <w:tcW w:w="404" w:type="pct"/>
                  <w:tcBorders>
                    <w:top w:val="nil"/>
                    <w:left w:val="nil"/>
                    <w:bottom w:val="single" w:sz="4" w:space="0" w:color="002776" w:themeColor="accent1"/>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30%</w:t>
                  </w:r>
                </w:p>
              </w:tc>
              <w:tc>
                <w:tcPr>
                  <w:tcW w:w="311" w:type="pct"/>
                  <w:tcBorders>
                    <w:top w:val="nil"/>
                    <w:left w:val="nil"/>
                    <w:bottom w:val="single" w:sz="4" w:space="0" w:color="002776" w:themeColor="accent1"/>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47%</w:t>
                  </w:r>
                </w:p>
              </w:tc>
              <w:tc>
                <w:tcPr>
                  <w:tcW w:w="404" w:type="pct"/>
                  <w:tcBorders>
                    <w:top w:val="nil"/>
                    <w:left w:val="nil"/>
                    <w:bottom w:val="single" w:sz="4" w:space="0" w:color="002776" w:themeColor="accent1"/>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18%</w:t>
                  </w:r>
                </w:p>
              </w:tc>
              <w:tc>
                <w:tcPr>
                  <w:tcW w:w="343" w:type="pct"/>
                  <w:tcBorders>
                    <w:top w:val="nil"/>
                    <w:left w:val="nil"/>
                    <w:bottom w:val="single" w:sz="4" w:space="0" w:color="002776" w:themeColor="accent1"/>
                    <w:right w:val="nil"/>
                  </w:tcBorders>
                  <w:shd w:val="clear" w:color="auto" w:fill="auto"/>
                  <w:vAlign w:val="center"/>
                  <w:hideMark/>
                </w:tcPr>
                <w:p w:rsidR="005815D8" w:rsidRPr="00AF4C12" w:rsidRDefault="005815D8" w:rsidP="005815D8">
                  <w:pPr>
                    <w:jc w:val="center"/>
                    <w:outlineLvl w:val="0"/>
                    <w:rPr>
                      <w:rFonts w:asciiTheme="minorHAnsi" w:hAnsiTheme="minorHAnsi"/>
                      <w:color w:val="000000"/>
                      <w:sz w:val="18"/>
                    </w:rPr>
                  </w:pPr>
                  <w:r w:rsidRPr="0064325C">
                    <w:rPr>
                      <w:sz w:val="18"/>
                    </w:rPr>
                    <w:t>26%</w:t>
                  </w:r>
                </w:p>
              </w:tc>
              <w:tc>
                <w:tcPr>
                  <w:tcW w:w="331" w:type="pct"/>
                  <w:tcBorders>
                    <w:top w:val="nil"/>
                    <w:left w:val="nil"/>
                    <w:bottom w:val="single" w:sz="4" w:space="0" w:color="002776" w:themeColor="accent1"/>
                    <w:right w:val="nil"/>
                  </w:tcBorders>
                  <w:vAlign w:val="center"/>
                </w:tcPr>
                <w:p w:rsidR="005815D8" w:rsidRPr="006E4888" w:rsidRDefault="005815D8" w:rsidP="005815D8">
                  <w:pPr>
                    <w:jc w:val="center"/>
                    <w:outlineLvl w:val="0"/>
                    <w:rPr>
                      <w:sz w:val="18"/>
                    </w:rPr>
                  </w:pPr>
                  <w:r w:rsidRPr="0064325C">
                    <w:rPr>
                      <w:sz w:val="18"/>
                    </w:rPr>
                    <w:t>32%</w:t>
                  </w:r>
                </w:p>
              </w:tc>
              <w:tc>
                <w:tcPr>
                  <w:tcW w:w="324" w:type="pct"/>
                  <w:tcBorders>
                    <w:top w:val="nil"/>
                    <w:left w:val="nil"/>
                    <w:bottom w:val="single" w:sz="4" w:space="0" w:color="002776" w:themeColor="accent1"/>
                    <w:right w:val="nil"/>
                  </w:tcBorders>
                  <w:shd w:val="clear" w:color="auto" w:fill="auto"/>
                  <w:vAlign w:val="center"/>
                  <w:hideMark/>
                </w:tcPr>
                <w:p w:rsidR="005815D8" w:rsidRPr="00CD18A1" w:rsidRDefault="005815D8" w:rsidP="005815D8">
                  <w:pPr>
                    <w:jc w:val="center"/>
                    <w:outlineLvl w:val="0"/>
                    <w:rPr>
                      <w:rFonts w:asciiTheme="minorHAnsi" w:hAnsiTheme="minorHAnsi"/>
                      <w:b/>
                      <w:color w:val="002776" w:themeColor="accent1"/>
                      <w:sz w:val="18"/>
                    </w:rPr>
                  </w:pPr>
                  <w:r w:rsidRPr="0064325C">
                    <w:rPr>
                      <w:b/>
                      <w:color w:val="002776" w:themeColor="accent1"/>
                      <w:sz w:val="18"/>
                    </w:rPr>
                    <w:t>41%</w:t>
                  </w:r>
                </w:p>
              </w:tc>
            </w:tr>
            <w:tr w:rsidR="00B1646A" w:rsidRPr="00F10F95" w:rsidTr="00DA4CA5">
              <w:trPr>
                <w:trHeight w:val="255"/>
                <w:jc w:val="center"/>
              </w:trPr>
              <w:tc>
                <w:tcPr>
                  <w:tcW w:w="1353" w:type="pct"/>
                  <w:gridSpan w:val="3"/>
                  <w:tcBorders>
                    <w:top w:val="single" w:sz="4" w:space="0" w:color="002776" w:themeColor="accent1"/>
                    <w:left w:val="nil"/>
                    <w:bottom w:val="nil"/>
                    <w:right w:val="nil"/>
                  </w:tcBorders>
                  <w:shd w:val="clear" w:color="auto" w:fill="auto"/>
                  <w:noWrap/>
                  <w:hideMark/>
                </w:tcPr>
                <w:p w:rsidR="005815D8" w:rsidRPr="00CD18A1" w:rsidRDefault="005815D8" w:rsidP="005815D8">
                  <w:pPr>
                    <w:outlineLvl w:val="0"/>
                    <w:rPr>
                      <w:rFonts w:asciiTheme="minorHAnsi" w:hAnsiTheme="minorHAnsi"/>
                      <w:bCs/>
                      <w:i/>
                      <w:color w:val="000000"/>
                      <w:sz w:val="20"/>
                    </w:rPr>
                  </w:pPr>
                  <w:r w:rsidRPr="00CD18A1">
                    <w:rPr>
                      <w:rFonts w:asciiTheme="minorHAnsi" w:hAnsiTheme="minorHAnsi"/>
                      <w:bCs/>
                      <w:i/>
                      <w:color w:val="000000"/>
                      <w:sz w:val="20"/>
                    </w:rPr>
                    <w:t>Dollar premium ($ million)</w:t>
                  </w:r>
                </w:p>
              </w:tc>
              <w:tc>
                <w:tcPr>
                  <w:tcW w:w="404"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404"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354"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368"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404"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311"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404"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343"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331" w:type="pct"/>
                  <w:tcBorders>
                    <w:top w:val="single" w:sz="4" w:space="0" w:color="002776" w:themeColor="accent1"/>
                    <w:left w:val="nil"/>
                    <w:bottom w:val="nil"/>
                    <w:right w:val="nil"/>
                  </w:tcBorders>
                  <w:shd w:val="clear" w:color="auto" w:fill="auto"/>
                </w:tcPr>
                <w:p w:rsidR="005815D8" w:rsidRPr="00CD18A1" w:rsidRDefault="005815D8" w:rsidP="005815D8">
                  <w:pPr>
                    <w:jc w:val="center"/>
                    <w:outlineLvl w:val="0"/>
                    <w:rPr>
                      <w:rFonts w:asciiTheme="minorHAnsi" w:hAnsiTheme="minorHAnsi"/>
                      <w:b/>
                      <w:color w:val="002776" w:themeColor="accent1"/>
                      <w:sz w:val="20"/>
                    </w:rPr>
                  </w:pPr>
                </w:p>
              </w:tc>
              <w:tc>
                <w:tcPr>
                  <w:tcW w:w="324" w:type="pct"/>
                  <w:tcBorders>
                    <w:top w:val="single" w:sz="4" w:space="0" w:color="002776" w:themeColor="accent1"/>
                    <w:left w:val="nil"/>
                    <w:bottom w:val="nil"/>
                    <w:right w:val="nil"/>
                  </w:tcBorders>
                  <w:shd w:val="clear" w:color="auto" w:fill="auto"/>
                  <w:vAlign w:val="center"/>
                  <w:hideMark/>
                </w:tcPr>
                <w:p w:rsidR="005815D8" w:rsidRPr="0083778F" w:rsidRDefault="005815D8" w:rsidP="005815D8">
                  <w:pPr>
                    <w:jc w:val="center"/>
                    <w:outlineLvl w:val="0"/>
                    <w:rPr>
                      <w:rFonts w:asciiTheme="minorHAnsi" w:hAnsiTheme="minorHAnsi"/>
                      <w:b/>
                      <w:color w:val="002776" w:themeColor="accent1"/>
                      <w:sz w:val="20"/>
                    </w:rPr>
                  </w:pPr>
                </w:p>
              </w:tc>
            </w:tr>
            <w:tr w:rsidR="00B1646A" w:rsidRPr="00F10F95" w:rsidTr="00DA4CA5">
              <w:trPr>
                <w:trHeight w:val="255"/>
                <w:jc w:val="center"/>
              </w:trPr>
              <w:tc>
                <w:tcPr>
                  <w:tcW w:w="941" w:type="pct"/>
                  <w:tcBorders>
                    <w:top w:val="nil"/>
                    <w:left w:val="nil"/>
                    <w:bottom w:val="nil"/>
                    <w:right w:val="nil"/>
                  </w:tcBorders>
                  <w:shd w:val="clear" w:color="auto" w:fill="auto"/>
                  <w:vAlign w:val="center"/>
                  <w:hideMark/>
                </w:tcPr>
                <w:p w:rsidR="005815D8" w:rsidRPr="00444981" w:rsidRDefault="005815D8" w:rsidP="005815D8">
                  <w:pPr>
                    <w:ind w:left="108"/>
                    <w:jc w:val="both"/>
                    <w:outlineLvl w:val="0"/>
                    <w:rPr>
                      <w:rFonts w:asciiTheme="minorHAnsi" w:hAnsiTheme="minorHAnsi"/>
                      <w:i/>
                      <w:iCs/>
                      <w:color w:val="000000"/>
                      <w:sz w:val="20"/>
                    </w:rPr>
                  </w:pPr>
                  <w:r w:rsidRPr="00444981">
                    <w:rPr>
                      <w:rFonts w:asciiTheme="minorHAnsi" w:hAnsiTheme="minorHAnsi"/>
                      <w:i/>
                      <w:iCs/>
                      <w:color w:val="000000"/>
                      <w:sz w:val="20"/>
                    </w:rPr>
                    <w:t>Undiscounted</w:t>
                  </w:r>
                </w:p>
              </w:tc>
              <w:tc>
                <w:tcPr>
                  <w:tcW w:w="412" w:type="pct"/>
                  <w:gridSpan w:val="2"/>
                  <w:tcBorders>
                    <w:top w:val="nil"/>
                    <w:left w:val="nil"/>
                    <w:bottom w:val="nil"/>
                    <w:right w:val="nil"/>
                  </w:tcBorders>
                  <w:shd w:val="clear" w:color="auto" w:fill="auto"/>
                  <w:vAlign w:val="center"/>
                  <w:hideMark/>
                </w:tcPr>
                <w:p w:rsidR="005815D8" w:rsidRPr="00D941D5" w:rsidRDefault="005815D8" w:rsidP="005815D8">
                  <w:pPr>
                    <w:jc w:val="center"/>
                    <w:outlineLvl w:val="0"/>
                    <w:rPr>
                      <w:rFonts w:asciiTheme="minorHAnsi" w:hAnsiTheme="minorHAnsi"/>
                      <w:color w:val="000000"/>
                      <w:sz w:val="18"/>
                    </w:rPr>
                  </w:pPr>
                  <w:r w:rsidRPr="0064325C">
                    <w:rPr>
                      <w:sz w:val="18"/>
                      <w:szCs w:val="18"/>
                    </w:rPr>
                    <w:t>$1.07</w:t>
                  </w:r>
                </w:p>
              </w:tc>
              <w:tc>
                <w:tcPr>
                  <w:tcW w:w="404" w:type="pct"/>
                  <w:tcBorders>
                    <w:top w:val="nil"/>
                    <w:left w:val="nil"/>
                    <w:bottom w:val="nil"/>
                    <w:right w:val="nil"/>
                  </w:tcBorders>
                  <w:shd w:val="clear" w:color="auto" w:fill="auto"/>
                  <w:vAlign w:val="center"/>
                  <w:hideMark/>
                </w:tcPr>
                <w:p w:rsidR="005815D8" w:rsidRPr="00D941D5" w:rsidRDefault="005815D8" w:rsidP="005815D8">
                  <w:pPr>
                    <w:jc w:val="center"/>
                    <w:outlineLvl w:val="0"/>
                    <w:rPr>
                      <w:rFonts w:asciiTheme="minorHAnsi" w:hAnsiTheme="minorHAnsi"/>
                      <w:color w:val="000000"/>
                      <w:sz w:val="18"/>
                    </w:rPr>
                  </w:pPr>
                  <w:r w:rsidRPr="0064325C">
                    <w:rPr>
                      <w:sz w:val="18"/>
                      <w:szCs w:val="18"/>
                    </w:rPr>
                    <w:t>$0.94</w:t>
                  </w:r>
                </w:p>
              </w:tc>
              <w:tc>
                <w:tcPr>
                  <w:tcW w:w="404" w:type="pct"/>
                  <w:tcBorders>
                    <w:top w:val="nil"/>
                    <w:left w:val="nil"/>
                    <w:bottom w:val="nil"/>
                    <w:right w:val="nil"/>
                  </w:tcBorders>
                  <w:shd w:val="clear" w:color="auto" w:fill="auto"/>
                  <w:vAlign w:val="center"/>
                  <w:hideMark/>
                </w:tcPr>
                <w:p w:rsidR="005815D8" w:rsidRPr="00D941D5" w:rsidRDefault="005815D8" w:rsidP="005815D8">
                  <w:pPr>
                    <w:jc w:val="center"/>
                    <w:outlineLvl w:val="0"/>
                    <w:rPr>
                      <w:rFonts w:asciiTheme="minorHAnsi" w:hAnsiTheme="minorHAnsi"/>
                      <w:color w:val="000000"/>
                      <w:sz w:val="18"/>
                    </w:rPr>
                  </w:pPr>
                  <w:r w:rsidRPr="0064325C">
                    <w:rPr>
                      <w:sz w:val="18"/>
                      <w:szCs w:val="18"/>
                    </w:rPr>
                    <w:t>$0.91</w:t>
                  </w:r>
                </w:p>
              </w:tc>
              <w:tc>
                <w:tcPr>
                  <w:tcW w:w="354" w:type="pct"/>
                  <w:tcBorders>
                    <w:top w:val="nil"/>
                    <w:left w:val="nil"/>
                    <w:bottom w:val="nil"/>
                    <w:right w:val="nil"/>
                  </w:tcBorders>
                  <w:shd w:val="clear" w:color="auto" w:fill="auto"/>
                  <w:vAlign w:val="center"/>
                  <w:hideMark/>
                </w:tcPr>
                <w:p w:rsidR="005815D8" w:rsidRPr="00D941D5" w:rsidRDefault="005815D8" w:rsidP="005815D8">
                  <w:pPr>
                    <w:jc w:val="center"/>
                    <w:outlineLvl w:val="0"/>
                    <w:rPr>
                      <w:rFonts w:asciiTheme="minorHAnsi" w:hAnsiTheme="minorHAnsi"/>
                      <w:color w:val="000000"/>
                      <w:sz w:val="18"/>
                    </w:rPr>
                  </w:pPr>
                  <w:r w:rsidRPr="0064325C">
                    <w:rPr>
                      <w:sz w:val="18"/>
                      <w:szCs w:val="18"/>
                    </w:rPr>
                    <w:t>$0.47</w:t>
                  </w:r>
                </w:p>
              </w:tc>
              <w:tc>
                <w:tcPr>
                  <w:tcW w:w="368" w:type="pct"/>
                  <w:tcBorders>
                    <w:top w:val="nil"/>
                    <w:left w:val="nil"/>
                    <w:bottom w:val="nil"/>
                    <w:right w:val="nil"/>
                  </w:tcBorders>
                  <w:shd w:val="clear" w:color="auto" w:fill="auto"/>
                  <w:vAlign w:val="center"/>
                  <w:hideMark/>
                </w:tcPr>
                <w:p w:rsidR="005815D8" w:rsidRPr="00D941D5" w:rsidRDefault="005815D8" w:rsidP="005815D8">
                  <w:pPr>
                    <w:jc w:val="center"/>
                    <w:outlineLvl w:val="0"/>
                    <w:rPr>
                      <w:rFonts w:asciiTheme="minorHAnsi" w:hAnsiTheme="minorHAnsi"/>
                      <w:color w:val="000000"/>
                      <w:sz w:val="18"/>
                    </w:rPr>
                  </w:pPr>
                  <w:r w:rsidRPr="0064325C">
                    <w:rPr>
                      <w:sz w:val="18"/>
                      <w:szCs w:val="18"/>
                    </w:rPr>
                    <w:t>$0.51</w:t>
                  </w:r>
                </w:p>
              </w:tc>
              <w:tc>
                <w:tcPr>
                  <w:tcW w:w="404" w:type="pct"/>
                  <w:tcBorders>
                    <w:top w:val="nil"/>
                    <w:left w:val="nil"/>
                    <w:bottom w:val="nil"/>
                    <w:right w:val="nil"/>
                  </w:tcBorders>
                  <w:shd w:val="clear" w:color="auto" w:fill="auto"/>
                  <w:vAlign w:val="center"/>
                  <w:hideMark/>
                </w:tcPr>
                <w:p w:rsidR="005815D8" w:rsidRPr="00D941D5" w:rsidRDefault="005815D8" w:rsidP="005815D8">
                  <w:pPr>
                    <w:jc w:val="center"/>
                    <w:outlineLvl w:val="0"/>
                    <w:rPr>
                      <w:rFonts w:asciiTheme="minorHAnsi" w:hAnsiTheme="minorHAnsi"/>
                      <w:color w:val="000000"/>
                      <w:sz w:val="18"/>
                    </w:rPr>
                  </w:pPr>
                  <w:r w:rsidRPr="0064325C">
                    <w:rPr>
                      <w:sz w:val="18"/>
                      <w:szCs w:val="18"/>
                    </w:rPr>
                    <w:t>$0.37</w:t>
                  </w:r>
                </w:p>
              </w:tc>
              <w:tc>
                <w:tcPr>
                  <w:tcW w:w="311" w:type="pct"/>
                  <w:tcBorders>
                    <w:top w:val="nil"/>
                    <w:left w:val="nil"/>
                    <w:bottom w:val="nil"/>
                    <w:right w:val="nil"/>
                  </w:tcBorders>
                  <w:shd w:val="clear" w:color="auto" w:fill="auto"/>
                  <w:vAlign w:val="center"/>
                  <w:hideMark/>
                </w:tcPr>
                <w:p w:rsidR="005815D8" w:rsidRPr="00D941D5" w:rsidRDefault="005815D8" w:rsidP="005815D8">
                  <w:pPr>
                    <w:jc w:val="center"/>
                    <w:outlineLvl w:val="0"/>
                    <w:rPr>
                      <w:rFonts w:asciiTheme="minorHAnsi" w:hAnsiTheme="minorHAnsi"/>
                      <w:color w:val="000000"/>
                      <w:sz w:val="18"/>
                    </w:rPr>
                  </w:pPr>
                  <w:r w:rsidRPr="0064325C">
                    <w:rPr>
                      <w:sz w:val="18"/>
                      <w:szCs w:val="18"/>
                    </w:rPr>
                    <w:t>$0.57</w:t>
                  </w:r>
                </w:p>
              </w:tc>
              <w:tc>
                <w:tcPr>
                  <w:tcW w:w="404" w:type="pct"/>
                  <w:tcBorders>
                    <w:top w:val="nil"/>
                    <w:left w:val="nil"/>
                    <w:bottom w:val="nil"/>
                    <w:right w:val="nil"/>
                  </w:tcBorders>
                  <w:shd w:val="clear" w:color="auto" w:fill="auto"/>
                  <w:vAlign w:val="center"/>
                  <w:hideMark/>
                </w:tcPr>
                <w:p w:rsidR="005815D8" w:rsidRPr="00D941D5" w:rsidRDefault="005815D8" w:rsidP="005815D8">
                  <w:pPr>
                    <w:jc w:val="center"/>
                    <w:outlineLvl w:val="0"/>
                    <w:rPr>
                      <w:rFonts w:asciiTheme="minorHAnsi" w:hAnsiTheme="minorHAnsi"/>
                      <w:color w:val="000000"/>
                      <w:sz w:val="18"/>
                    </w:rPr>
                  </w:pPr>
                  <w:r w:rsidRPr="0064325C">
                    <w:rPr>
                      <w:sz w:val="18"/>
                      <w:szCs w:val="18"/>
                    </w:rPr>
                    <w:t>$0.20</w:t>
                  </w:r>
                </w:p>
              </w:tc>
              <w:tc>
                <w:tcPr>
                  <w:tcW w:w="343" w:type="pct"/>
                  <w:tcBorders>
                    <w:top w:val="nil"/>
                    <w:left w:val="nil"/>
                    <w:bottom w:val="nil"/>
                    <w:right w:val="nil"/>
                  </w:tcBorders>
                  <w:shd w:val="clear" w:color="auto" w:fill="auto"/>
                  <w:vAlign w:val="center"/>
                  <w:hideMark/>
                </w:tcPr>
                <w:p w:rsidR="005815D8" w:rsidRPr="00D941D5" w:rsidRDefault="005815D8" w:rsidP="005815D8">
                  <w:pPr>
                    <w:jc w:val="center"/>
                    <w:outlineLvl w:val="0"/>
                    <w:rPr>
                      <w:rFonts w:asciiTheme="minorHAnsi" w:hAnsiTheme="minorHAnsi"/>
                      <w:color w:val="000000"/>
                      <w:sz w:val="18"/>
                    </w:rPr>
                  </w:pPr>
                  <w:r w:rsidRPr="0064325C">
                    <w:rPr>
                      <w:sz w:val="18"/>
                      <w:szCs w:val="18"/>
                    </w:rPr>
                    <w:t>$0.35</w:t>
                  </w:r>
                </w:p>
              </w:tc>
              <w:tc>
                <w:tcPr>
                  <w:tcW w:w="331" w:type="pct"/>
                  <w:tcBorders>
                    <w:top w:val="nil"/>
                    <w:left w:val="nil"/>
                    <w:bottom w:val="nil"/>
                    <w:right w:val="nil"/>
                  </w:tcBorders>
                  <w:vAlign w:val="center"/>
                </w:tcPr>
                <w:p w:rsidR="005815D8" w:rsidRPr="006E4888" w:rsidRDefault="005815D8" w:rsidP="005815D8">
                  <w:pPr>
                    <w:jc w:val="center"/>
                    <w:outlineLvl w:val="0"/>
                    <w:rPr>
                      <w:sz w:val="18"/>
                      <w:szCs w:val="18"/>
                    </w:rPr>
                  </w:pPr>
                  <w:r w:rsidRPr="0064325C">
                    <w:rPr>
                      <w:sz w:val="18"/>
                      <w:szCs w:val="18"/>
                    </w:rPr>
                    <w:t>$0.39</w:t>
                  </w:r>
                </w:p>
              </w:tc>
              <w:tc>
                <w:tcPr>
                  <w:tcW w:w="324" w:type="pct"/>
                  <w:tcBorders>
                    <w:top w:val="nil"/>
                    <w:left w:val="nil"/>
                    <w:bottom w:val="nil"/>
                    <w:right w:val="nil"/>
                  </w:tcBorders>
                  <w:shd w:val="clear" w:color="auto" w:fill="auto"/>
                  <w:vAlign w:val="center"/>
                  <w:hideMark/>
                </w:tcPr>
                <w:p w:rsidR="005815D8" w:rsidRPr="00CD18A1" w:rsidRDefault="005815D8" w:rsidP="005815D8">
                  <w:pPr>
                    <w:jc w:val="center"/>
                    <w:outlineLvl w:val="0"/>
                    <w:rPr>
                      <w:rFonts w:asciiTheme="minorHAnsi" w:hAnsiTheme="minorHAnsi"/>
                      <w:b/>
                      <w:color w:val="002776" w:themeColor="accent1"/>
                      <w:sz w:val="18"/>
                    </w:rPr>
                  </w:pPr>
                  <w:r w:rsidRPr="0064325C">
                    <w:rPr>
                      <w:b/>
                      <w:color w:val="002776" w:themeColor="accent1"/>
                      <w:sz w:val="18"/>
                      <w:szCs w:val="18"/>
                    </w:rPr>
                    <w:t>$0.49</w:t>
                  </w:r>
                </w:p>
              </w:tc>
            </w:tr>
            <w:tr w:rsidR="0037117C" w:rsidRPr="00F10F95" w:rsidTr="00DA4CA5">
              <w:trPr>
                <w:trHeight w:val="270"/>
                <w:jc w:val="center"/>
              </w:trPr>
              <w:tc>
                <w:tcPr>
                  <w:tcW w:w="941" w:type="pct"/>
                  <w:tcBorders>
                    <w:top w:val="nil"/>
                    <w:left w:val="nil"/>
                    <w:bottom w:val="single" w:sz="8" w:space="0" w:color="002776" w:themeColor="accent1"/>
                    <w:right w:val="nil"/>
                  </w:tcBorders>
                  <w:shd w:val="clear" w:color="auto" w:fill="auto"/>
                  <w:vAlign w:val="center"/>
                  <w:hideMark/>
                </w:tcPr>
                <w:p w:rsidR="0037117C" w:rsidRPr="00444981" w:rsidRDefault="0037117C" w:rsidP="005815D8">
                  <w:pPr>
                    <w:ind w:left="108"/>
                    <w:jc w:val="both"/>
                    <w:outlineLvl w:val="0"/>
                    <w:rPr>
                      <w:rFonts w:asciiTheme="minorHAnsi" w:hAnsiTheme="minorHAnsi"/>
                      <w:i/>
                      <w:iCs/>
                      <w:color w:val="000000"/>
                      <w:sz w:val="20"/>
                    </w:rPr>
                  </w:pPr>
                  <w:r w:rsidRPr="00444981">
                    <w:rPr>
                      <w:rFonts w:asciiTheme="minorHAnsi" w:hAnsiTheme="minorHAnsi"/>
                      <w:i/>
                      <w:iCs/>
                      <w:color w:val="000000"/>
                      <w:sz w:val="20"/>
                    </w:rPr>
                    <w:t>Discounted NPV</w:t>
                  </w:r>
                </w:p>
              </w:tc>
              <w:tc>
                <w:tcPr>
                  <w:tcW w:w="412" w:type="pct"/>
                  <w:gridSpan w:val="2"/>
                  <w:tcBorders>
                    <w:top w:val="nil"/>
                    <w:left w:val="nil"/>
                    <w:bottom w:val="single" w:sz="8" w:space="0" w:color="002776" w:themeColor="accent1"/>
                    <w:right w:val="nil"/>
                  </w:tcBorders>
                  <w:shd w:val="clear" w:color="auto" w:fill="auto"/>
                  <w:hideMark/>
                </w:tcPr>
                <w:p w:rsidR="0037117C" w:rsidRPr="0037117C" w:rsidRDefault="0037117C" w:rsidP="005815D8">
                  <w:pPr>
                    <w:jc w:val="center"/>
                    <w:outlineLvl w:val="0"/>
                    <w:rPr>
                      <w:rFonts w:asciiTheme="minorHAnsi" w:hAnsiTheme="minorHAnsi"/>
                      <w:color w:val="000000"/>
                      <w:sz w:val="18"/>
                      <w:szCs w:val="18"/>
                    </w:rPr>
                  </w:pPr>
                  <w:r w:rsidRPr="00DA4CA5">
                    <w:rPr>
                      <w:sz w:val="18"/>
                      <w:szCs w:val="18"/>
                    </w:rPr>
                    <w:t>$0.22</w:t>
                  </w:r>
                </w:p>
              </w:tc>
              <w:tc>
                <w:tcPr>
                  <w:tcW w:w="404" w:type="pct"/>
                  <w:tcBorders>
                    <w:top w:val="nil"/>
                    <w:left w:val="nil"/>
                    <w:bottom w:val="single" w:sz="8" w:space="0" w:color="002776" w:themeColor="accent1"/>
                    <w:right w:val="nil"/>
                  </w:tcBorders>
                  <w:shd w:val="clear" w:color="auto" w:fill="auto"/>
                  <w:hideMark/>
                </w:tcPr>
                <w:p w:rsidR="0037117C" w:rsidRPr="0037117C" w:rsidRDefault="0037117C" w:rsidP="005815D8">
                  <w:pPr>
                    <w:jc w:val="center"/>
                    <w:outlineLvl w:val="0"/>
                    <w:rPr>
                      <w:rFonts w:asciiTheme="minorHAnsi" w:hAnsiTheme="minorHAnsi"/>
                      <w:color w:val="000000"/>
                      <w:sz w:val="18"/>
                      <w:szCs w:val="18"/>
                    </w:rPr>
                  </w:pPr>
                  <w:r w:rsidRPr="00DA4CA5">
                    <w:rPr>
                      <w:sz w:val="18"/>
                      <w:szCs w:val="18"/>
                    </w:rPr>
                    <w:t>$0.25</w:t>
                  </w:r>
                </w:p>
              </w:tc>
              <w:tc>
                <w:tcPr>
                  <w:tcW w:w="404" w:type="pct"/>
                  <w:tcBorders>
                    <w:top w:val="nil"/>
                    <w:left w:val="nil"/>
                    <w:bottom w:val="single" w:sz="8" w:space="0" w:color="002776" w:themeColor="accent1"/>
                    <w:right w:val="nil"/>
                  </w:tcBorders>
                  <w:shd w:val="clear" w:color="auto" w:fill="auto"/>
                  <w:hideMark/>
                </w:tcPr>
                <w:p w:rsidR="0037117C" w:rsidRPr="0037117C" w:rsidRDefault="0037117C" w:rsidP="005815D8">
                  <w:pPr>
                    <w:jc w:val="center"/>
                    <w:outlineLvl w:val="0"/>
                    <w:rPr>
                      <w:rFonts w:asciiTheme="minorHAnsi" w:hAnsiTheme="minorHAnsi"/>
                      <w:color w:val="000000"/>
                      <w:sz w:val="18"/>
                      <w:szCs w:val="18"/>
                    </w:rPr>
                  </w:pPr>
                  <w:r w:rsidRPr="00DA4CA5">
                    <w:rPr>
                      <w:sz w:val="18"/>
                      <w:szCs w:val="18"/>
                    </w:rPr>
                    <w:t>$0.19</w:t>
                  </w:r>
                </w:p>
              </w:tc>
              <w:tc>
                <w:tcPr>
                  <w:tcW w:w="354" w:type="pct"/>
                  <w:tcBorders>
                    <w:top w:val="nil"/>
                    <w:left w:val="nil"/>
                    <w:bottom w:val="single" w:sz="8" w:space="0" w:color="002776" w:themeColor="accent1"/>
                    <w:right w:val="nil"/>
                  </w:tcBorders>
                  <w:shd w:val="clear" w:color="auto" w:fill="auto"/>
                  <w:hideMark/>
                </w:tcPr>
                <w:p w:rsidR="0037117C" w:rsidRPr="0037117C" w:rsidRDefault="0037117C" w:rsidP="005815D8">
                  <w:pPr>
                    <w:jc w:val="center"/>
                    <w:outlineLvl w:val="0"/>
                    <w:rPr>
                      <w:rFonts w:asciiTheme="minorHAnsi" w:hAnsiTheme="minorHAnsi"/>
                      <w:color w:val="000000"/>
                      <w:sz w:val="18"/>
                      <w:szCs w:val="18"/>
                    </w:rPr>
                  </w:pPr>
                  <w:r w:rsidRPr="00DA4CA5">
                    <w:rPr>
                      <w:sz w:val="18"/>
                      <w:szCs w:val="18"/>
                    </w:rPr>
                    <w:t>$0.11</w:t>
                  </w:r>
                </w:p>
              </w:tc>
              <w:tc>
                <w:tcPr>
                  <w:tcW w:w="368" w:type="pct"/>
                  <w:tcBorders>
                    <w:top w:val="nil"/>
                    <w:left w:val="nil"/>
                    <w:bottom w:val="single" w:sz="8" w:space="0" w:color="002776" w:themeColor="accent1"/>
                    <w:right w:val="nil"/>
                  </w:tcBorders>
                  <w:shd w:val="clear" w:color="auto" w:fill="auto"/>
                  <w:hideMark/>
                </w:tcPr>
                <w:p w:rsidR="0037117C" w:rsidRPr="0037117C" w:rsidRDefault="0037117C" w:rsidP="005815D8">
                  <w:pPr>
                    <w:jc w:val="center"/>
                    <w:outlineLvl w:val="0"/>
                    <w:rPr>
                      <w:rFonts w:asciiTheme="minorHAnsi" w:hAnsiTheme="minorHAnsi"/>
                      <w:color w:val="000000"/>
                      <w:sz w:val="18"/>
                      <w:szCs w:val="18"/>
                    </w:rPr>
                  </w:pPr>
                  <w:r w:rsidRPr="00DA4CA5">
                    <w:rPr>
                      <w:sz w:val="18"/>
                      <w:szCs w:val="18"/>
                    </w:rPr>
                    <w:t>$0.13</w:t>
                  </w:r>
                </w:p>
              </w:tc>
              <w:tc>
                <w:tcPr>
                  <w:tcW w:w="404" w:type="pct"/>
                  <w:tcBorders>
                    <w:top w:val="nil"/>
                    <w:left w:val="nil"/>
                    <w:bottom w:val="single" w:sz="8" w:space="0" w:color="002776" w:themeColor="accent1"/>
                    <w:right w:val="nil"/>
                  </w:tcBorders>
                  <w:shd w:val="clear" w:color="auto" w:fill="auto"/>
                  <w:hideMark/>
                </w:tcPr>
                <w:p w:rsidR="0037117C" w:rsidRPr="0037117C" w:rsidRDefault="0037117C" w:rsidP="005815D8">
                  <w:pPr>
                    <w:jc w:val="center"/>
                    <w:outlineLvl w:val="0"/>
                    <w:rPr>
                      <w:rFonts w:asciiTheme="minorHAnsi" w:hAnsiTheme="minorHAnsi"/>
                      <w:color w:val="000000"/>
                      <w:sz w:val="18"/>
                      <w:szCs w:val="18"/>
                    </w:rPr>
                  </w:pPr>
                  <w:r w:rsidRPr="00DA4CA5">
                    <w:rPr>
                      <w:sz w:val="18"/>
                      <w:szCs w:val="18"/>
                    </w:rPr>
                    <w:t>$0.09</w:t>
                  </w:r>
                </w:p>
              </w:tc>
              <w:tc>
                <w:tcPr>
                  <w:tcW w:w="311" w:type="pct"/>
                  <w:tcBorders>
                    <w:top w:val="nil"/>
                    <w:left w:val="nil"/>
                    <w:bottom w:val="single" w:sz="8" w:space="0" w:color="002776" w:themeColor="accent1"/>
                    <w:right w:val="nil"/>
                  </w:tcBorders>
                  <w:shd w:val="clear" w:color="auto" w:fill="auto"/>
                  <w:hideMark/>
                </w:tcPr>
                <w:p w:rsidR="0037117C" w:rsidRPr="0037117C" w:rsidRDefault="0037117C" w:rsidP="005815D8">
                  <w:pPr>
                    <w:jc w:val="center"/>
                    <w:outlineLvl w:val="0"/>
                    <w:rPr>
                      <w:rFonts w:asciiTheme="minorHAnsi" w:hAnsiTheme="minorHAnsi"/>
                      <w:color w:val="000000"/>
                      <w:sz w:val="18"/>
                      <w:szCs w:val="18"/>
                    </w:rPr>
                  </w:pPr>
                  <w:r w:rsidRPr="00DA4CA5">
                    <w:rPr>
                      <w:sz w:val="18"/>
                      <w:szCs w:val="18"/>
                    </w:rPr>
                    <w:t>$0.14</w:t>
                  </w:r>
                </w:p>
              </w:tc>
              <w:tc>
                <w:tcPr>
                  <w:tcW w:w="404" w:type="pct"/>
                  <w:tcBorders>
                    <w:top w:val="nil"/>
                    <w:left w:val="nil"/>
                    <w:bottom w:val="single" w:sz="8" w:space="0" w:color="002776" w:themeColor="accent1"/>
                    <w:right w:val="nil"/>
                  </w:tcBorders>
                  <w:shd w:val="clear" w:color="auto" w:fill="auto"/>
                  <w:hideMark/>
                </w:tcPr>
                <w:p w:rsidR="0037117C" w:rsidRPr="0037117C" w:rsidRDefault="0037117C" w:rsidP="005815D8">
                  <w:pPr>
                    <w:jc w:val="center"/>
                    <w:outlineLvl w:val="0"/>
                    <w:rPr>
                      <w:rFonts w:asciiTheme="minorHAnsi" w:hAnsiTheme="minorHAnsi"/>
                      <w:color w:val="000000"/>
                      <w:sz w:val="18"/>
                      <w:szCs w:val="18"/>
                    </w:rPr>
                  </w:pPr>
                  <w:r w:rsidRPr="00DA4CA5">
                    <w:rPr>
                      <w:sz w:val="18"/>
                      <w:szCs w:val="18"/>
                    </w:rPr>
                    <w:t>$0.05</w:t>
                  </w:r>
                </w:p>
              </w:tc>
              <w:tc>
                <w:tcPr>
                  <w:tcW w:w="343" w:type="pct"/>
                  <w:tcBorders>
                    <w:top w:val="nil"/>
                    <w:left w:val="nil"/>
                    <w:bottom w:val="single" w:sz="8" w:space="0" w:color="002776" w:themeColor="accent1"/>
                    <w:right w:val="nil"/>
                  </w:tcBorders>
                  <w:shd w:val="clear" w:color="auto" w:fill="auto"/>
                  <w:hideMark/>
                </w:tcPr>
                <w:p w:rsidR="0037117C" w:rsidRPr="0037117C" w:rsidRDefault="0037117C" w:rsidP="005815D8">
                  <w:pPr>
                    <w:jc w:val="center"/>
                    <w:outlineLvl w:val="0"/>
                    <w:rPr>
                      <w:rFonts w:asciiTheme="minorHAnsi" w:hAnsiTheme="minorHAnsi"/>
                      <w:color w:val="000000"/>
                      <w:sz w:val="18"/>
                      <w:szCs w:val="18"/>
                    </w:rPr>
                  </w:pPr>
                  <w:r w:rsidRPr="00DA4CA5">
                    <w:rPr>
                      <w:sz w:val="18"/>
                      <w:szCs w:val="18"/>
                    </w:rPr>
                    <w:t>$0.08</w:t>
                  </w:r>
                </w:p>
              </w:tc>
              <w:tc>
                <w:tcPr>
                  <w:tcW w:w="331" w:type="pct"/>
                  <w:tcBorders>
                    <w:top w:val="nil"/>
                    <w:left w:val="nil"/>
                    <w:bottom w:val="single" w:sz="8" w:space="0" w:color="002776" w:themeColor="accent1"/>
                    <w:right w:val="nil"/>
                  </w:tcBorders>
                </w:tcPr>
                <w:p w:rsidR="0037117C" w:rsidRPr="0037117C" w:rsidRDefault="0037117C" w:rsidP="005815D8">
                  <w:pPr>
                    <w:jc w:val="center"/>
                    <w:outlineLvl w:val="0"/>
                    <w:rPr>
                      <w:sz w:val="18"/>
                      <w:szCs w:val="18"/>
                    </w:rPr>
                  </w:pPr>
                  <w:r w:rsidRPr="00DA4CA5">
                    <w:rPr>
                      <w:sz w:val="18"/>
                      <w:szCs w:val="18"/>
                    </w:rPr>
                    <w:t>$0.10</w:t>
                  </w:r>
                </w:p>
              </w:tc>
              <w:tc>
                <w:tcPr>
                  <w:tcW w:w="324" w:type="pct"/>
                  <w:tcBorders>
                    <w:top w:val="nil"/>
                    <w:left w:val="nil"/>
                    <w:bottom w:val="single" w:sz="8" w:space="0" w:color="002776" w:themeColor="accent1"/>
                    <w:right w:val="nil"/>
                  </w:tcBorders>
                  <w:shd w:val="clear" w:color="auto" w:fill="auto"/>
                  <w:hideMark/>
                </w:tcPr>
                <w:p w:rsidR="0037117C" w:rsidRPr="0037117C" w:rsidRDefault="0037117C" w:rsidP="005815D8">
                  <w:pPr>
                    <w:jc w:val="center"/>
                    <w:outlineLvl w:val="0"/>
                    <w:rPr>
                      <w:rFonts w:asciiTheme="minorHAnsi" w:hAnsiTheme="minorHAnsi"/>
                      <w:b/>
                      <w:color w:val="002776" w:themeColor="accent1"/>
                      <w:sz w:val="18"/>
                      <w:szCs w:val="18"/>
                    </w:rPr>
                  </w:pPr>
                  <w:r w:rsidRPr="00DA4CA5">
                    <w:rPr>
                      <w:b/>
                      <w:color w:val="002776" w:themeColor="accent1"/>
                      <w:sz w:val="18"/>
                      <w:szCs w:val="18"/>
                    </w:rPr>
                    <w:t>$0.12</w:t>
                  </w:r>
                </w:p>
              </w:tc>
            </w:tr>
            <w:tr w:rsidR="00B1646A" w:rsidRPr="00F10F95" w:rsidTr="00DA4CA5">
              <w:trPr>
                <w:trHeight w:val="270"/>
                <w:jc w:val="center"/>
              </w:trPr>
              <w:tc>
                <w:tcPr>
                  <w:tcW w:w="1353" w:type="pct"/>
                  <w:gridSpan w:val="3"/>
                  <w:tcBorders>
                    <w:top w:val="single" w:sz="8" w:space="0" w:color="002776" w:themeColor="accent1"/>
                    <w:left w:val="nil"/>
                    <w:bottom w:val="nil"/>
                    <w:right w:val="nil"/>
                  </w:tcBorders>
                  <w:shd w:val="clear" w:color="auto" w:fill="auto"/>
                  <w:vAlign w:val="center"/>
                </w:tcPr>
                <w:p w:rsidR="005815D8" w:rsidRPr="00D13CF9" w:rsidRDefault="005815D8" w:rsidP="005815D8">
                  <w:pPr>
                    <w:outlineLvl w:val="0"/>
                    <w:rPr>
                      <w:color w:val="000000"/>
                      <w:sz w:val="18"/>
                    </w:rPr>
                  </w:pPr>
                  <w:r w:rsidRPr="00CD18A1">
                    <w:rPr>
                      <w:rFonts w:asciiTheme="minorHAnsi" w:hAnsiTheme="minorHAnsi"/>
                      <w:b/>
                      <w:iCs/>
                      <w:color w:val="002776" w:themeColor="accent1"/>
                      <w:sz w:val="20"/>
                    </w:rPr>
                    <w:t>Postgraduate level</w:t>
                  </w:r>
                </w:p>
              </w:tc>
              <w:tc>
                <w:tcPr>
                  <w:tcW w:w="404" w:type="pct"/>
                  <w:tcBorders>
                    <w:top w:val="single" w:sz="8" w:space="0" w:color="002776" w:themeColor="accent1"/>
                    <w:left w:val="nil"/>
                    <w:bottom w:val="nil"/>
                    <w:right w:val="nil"/>
                  </w:tcBorders>
                  <w:shd w:val="clear" w:color="auto" w:fill="auto"/>
                  <w:vAlign w:val="center"/>
                </w:tcPr>
                <w:p w:rsidR="005815D8" w:rsidRPr="00D13CF9" w:rsidRDefault="005815D8" w:rsidP="005815D8">
                  <w:pPr>
                    <w:jc w:val="center"/>
                    <w:outlineLvl w:val="0"/>
                    <w:rPr>
                      <w:color w:val="000000"/>
                      <w:sz w:val="18"/>
                    </w:rPr>
                  </w:pPr>
                </w:p>
              </w:tc>
              <w:tc>
                <w:tcPr>
                  <w:tcW w:w="404" w:type="pct"/>
                  <w:tcBorders>
                    <w:top w:val="single" w:sz="8" w:space="0" w:color="002776" w:themeColor="accent1"/>
                    <w:left w:val="nil"/>
                    <w:bottom w:val="nil"/>
                    <w:right w:val="nil"/>
                  </w:tcBorders>
                  <w:shd w:val="clear" w:color="auto" w:fill="auto"/>
                  <w:vAlign w:val="center"/>
                </w:tcPr>
                <w:p w:rsidR="005815D8" w:rsidRPr="00D13CF9" w:rsidRDefault="005815D8" w:rsidP="005815D8">
                  <w:pPr>
                    <w:jc w:val="center"/>
                    <w:outlineLvl w:val="0"/>
                    <w:rPr>
                      <w:color w:val="000000"/>
                      <w:sz w:val="18"/>
                    </w:rPr>
                  </w:pPr>
                </w:p>
              </w:tc>
              <w:tc>
                <w:tcPr>
                  <w:tcW w:w="354" w:type="pct"/>
                  <w:tcBorders>
                    <w:top w:val="single" w:sz="8" w:space="0" w:color="002776" w:themeColor="accent1"/>
                    <w:left w:val="nil"/>
                    <w:bottom w:val="nil"/>
                    <w:right w:val="nil"/>
                  </w:tcBorders>
                  <w:shd w:val="clear" w:color="auto" w:fill="auto"/>
                  <w:vAlign w:val="center"/>
                </w:tcPr>
                <w:p w:rsidR="005815D8" w:rsidRPr="00D13CF9" w:rsidRDefault="005815D8" w:rsidP="005815D8">
                  <w:pPr>
                    <w:jc w:val="center"/>
                    <w:outlineLvl w:val="0"/>
                    <w:rPr>
                      <w:color w:val="000000"/>
                      <w:sz w:val="18"/>
                    </w:rPr>
                  </w:pPr>
                </w:p>
              </w:tc>
              <w:tc>
                <w:tcPr>
                  <w:tcW w:w="368" w:type="pct"/>
                  <w:tcBorders>
                    <w:top w:val="single" w:sz="8" w:space="0" w:color="002776" w:themeColor="accent1"/>
                    <w:left w:val="nil"/>
                    <w:bottom w:val="nil"/>
                    <w:right w:val="nil"/>
                  </w:tcBorders>
                  <w:shd w:val="clear" w:color="auto" w:fill="auto"/>
                  <w:vAlign w:val="center"/>
                </w:tcPr>
                <w:p w:rsidR="005815D8" w:rsidRPr="00D13CF9" w:rsidRDefault="005815D8" w:rsidP="005815D8">
                  <w:pPr>
                    <w:jc w:val="center"/>
                    <w:outlineLvl w:val="0"/>
                    <w:rPr>
                      <w:color w:val="000000"/>
                      <w:sz w:val="18"/>
                    </w:rPr>
                  </w:pPr>
                </w:p>
              </w:tc>
              <w:tc>
                <w:tcPr>
                  <w:tcW w:w="404" w:type="pct"/>
                  <w:tcBorders>
                    <w:top w:val="single" w:sz="8" w:space="0" w:color="002776" w:themeColor="accent1"/>
                    <w:left w:val="nil"/>
                    <w:bottom w:val="nil"/>
                    <w:right w:val="nil"/>
                  </w:tcBorders>
                  <w:shd w:val="clear" w:color="auto" w:fill="auto"/>
                  <w:vAlign w:val="center"/>
                </w:tcPr>
                <w:p w:rsidR="005815D8" w:rsidRPr="00D13CF9" w:rsidRDefault="005815D8" w:rsidP="005815D8">
                  <w:pPr>
                    <w:jc w:val="center"/>
                    <w:outlineLvl w:val="0"/>
                    <w:rPr>
                      <w:color w:val="000000"/>
                      <w:sz w:val="18"/>
                    </w:rPr>
                  </w:pPr>
                </w:p>
              </w:tc>
              <w:tc>
                <w:tcPr>
                  <w:tcW w:w="311" w:type="pct"/>
                  <w:tcBorders>
                    <w:top w:val="single" w:sz="8" w:space="0" w:color="002776" w:themeColor="accent1"/>
                    <w:left w:val="nil"/>
                    <w:bottom w:val="nil"/>
                    <w:right w:val="nil"/>
                  </w:tcBorders>
                  <w:shd w:val="clear" w:color="auto" w:fill="auto"/>
                  <w:vAlign w:val="center"/>
                </w:tcPr>
                <w:p w:rsidR="005815D8" w:rsidRPr="00D13CF9" w:rsidRDefault="005815D8" w:rsidP="005815D8">
                  <w:pPr>
                    <w:jc w:val="center"/>
                    <w:outlineLvl w:val="0"/>
                    <w:rPr>
                      <w:color w:val="000000"/>
                      <w:sz w:val="18"/>
                    </w:rPr>
                  </w:pPr>
                </w:p>
              </w:tc>
              <w:tc>
                <w:tcPr>
                  <w:tcW w:w="404" w:type="pct"/>
                  <w:tcBorders>
                    <w:top w:val="single" w:sz="8" w:space="0" w:color="002776" w:themeColor="accent1"/>
                    <w:left w:val="nil"/>
                    <w:bottom w:val="nil"/>
                    <w:right w:val="nil"/>
                  </w:tcBorders>
                  <w:shd w:val="clear" w:color="auto" w:fill="auto"/>
                  <w:vAlign w:val="center"/>
                </w:tcPr>
                <w:p w:rsidR="005815D8" w:rsidRPr="00D13CF9" w:rsidRDefault="005815D8" w:rsidP="005815D8">
                  <w:pPr>
                    <w:jc w:val="center"/>
                    <w:outlineLvl w:val="0"/>
                    <w:rPr>
                      <w:color w:val="000000"/>
                      <w:sz w:val="18"/>
                    </w:rPr>
                  </w:pPr>
                </w:p>
              </w:tc>
              <w:tc>
                <w:tcPr>
                  <w:tcW w:w="343" w:type="pct"/>
                  <w:tcBorders>
                    <w:top w:val="single" w:sz="8" w:space="0" w:color="002776" w:themeColor="accent1"/>
                    <w:left w:val="nil"/>
                    <w:bottom w:val="nil"/>
                    <w:right w:val="nil"/>
                  </w:tcBorders>
                  <w:shd w:val="clear" w:color="auto" w:fill="auto"/>
                  <w:vAlign w:val="center"/>
                </w:tcPr>
                <w:p w:rsidR="005815D8" w:rsidRPr="00D13CF9" w:rsidRDefault="005815D8" w:rsidP="005815D8">
                  <w:pPr>
                    <w:jc w:val="center"/>
                    <w:outlineLvl w:val="0"/>
                    <w:rPr>
                      <w:color w:val="000000"/>
                      <w:sz w:val="18"/>
                    </w:rPr>
                  </w:pPr>
                </w:p>
              </w:tc>
              <w:tc>
                <w:tcPr>
                  <w:tcW w:w="331" w:type="pct"/>
                  <w:tcBorders>
                    <w:top w:val="single" w:sz="8" w:space="0" w:color="002776" w:themeColor="accent1"/>
                    <w:left w:val="nil"/>
                    <w:bottom w:val="nil"/>
                    <w:right w:val="nil"/>
                  </w:tcBorders>
                  <w:shd w:val="clear" w:color="auto" w:fill="auto"/>
                </w:tcPr>
                <w:p w:rsidR="005815D8" w:rsidRPr="00CD18A1" w:rsidRDefault="005815D8" w:rsidP="005815D8">
                  <w:pPr>
                    <w:jc w:val="center"/>
                    <w:outlineLvl w:val="0"/>
                    <w:rPr>
                      <w:b/>
                      <w:color w:val="002776" w:themeColor="accent1"/>
                      <w:sz w:val="18"/>
                    </w:rPr>
                  </w:pPr>
                </w:p>
              </w:tc>
              <w:tc>
                <w:tcPr>
                  <w:tcW w:w="324" w:type="pct"/>
                  <w:tcBorders>
                    <w:top w:val="single" w:sz="8" w:space="0" w:color="002776" w:themeColor="accent1"/>
                    <w:left w:val="nil"/>
                    <w:bottom w:val="nil"/>
                    <w:right w:val="nil"/>
                  </w:tcBorders>
                  <w:shd w:val="clear" w:color="auto" w:fill="auto"/>
                  <w:vAlign w:val="center"/>
                </w:tcPr>
                <w:p w:rsidR="005815D8" w:rsidRPr="00CD18A1" w:rsidRDefault="005815D8" w:rsidP="005815D8">
                  <w:pPr>
                    <w:jc w:val="center"/>
                    <w:outlineLvl w:val="0"/>
                    <w:rPr>
                      <w:b/>
                      <w:color w:val="002776" w:themeColor="accent1"/>
                      <w:sz w:val="18"/>
                    </w:rPr>
                  </w:pPr>
                </w:p>
              </w:tc>
            </w:tr>
            <w:tr w:rsidR="00B1646A" w:rsidRPr="0064325C" w:rsidTr="00DA4CA5">
              <w:trPr>
                <w:trHeight w:val="270"/>
                <w:jc w:val="center"/>
              </w:trPr>
              <w:tc>
                <w:tcPr>
                  <w:tcW w:w="952" w:type="pct"/>
                  <w:gridSpan w:val="2"/>
                  <w:tcBorders>
                    <w:left w:val="nil"/>
                    <w:bottom w:val="nil"/>
                    <w:right w:val="nil"/>
                  </w:tcBorders>
                  <w:shd w:val="clear" w:color="auto" w:fill="auto"/>
                </w:tcPr>
                <w:p w:rsidR="005815D8" w:rsidRPr="0064325C" w:rsidRDefault="005815D8" w:rsidP="005815D8">
                  <w:pPr>
                    <w:outlineLvl w:val="0"/>
                    <w:rPr>
                      <w:rFonts w:asciiTheme="minorHAnsi" w:hAnsiTheme="minorHAnsi"/>
                      <w:b/>
                      <w:iCs/>
                      <w:color w:val="002776" w:themeColor="accent1"/>
                      <w:sz w:val="18"/>
                    </w:rPr>
                  </w:pPr>
                  <w:r w:rsidRPr="00DA4CA5">
                    <w:rPr>
                      <w:sz w:val="20"/>
                    </w:rPr>
                    <w:t>Sample size (n)</w:t>
                  </w:r>
                </w:p>
              </w:tc>
              <w:tc>
                <w:tcPr>
                  <w:tcW w:w="401" w:type="pct"/>
                  <w:tcBorders>
                    <w:left w:val="nil"/>
                    <w:bottom w:val="nil"/>
                    <w:right w:val="nil"/>
                  </w:tcBorders>
                  <w:shd w:val="clear" w:color="auto" w:fill="auto"/>
                </w:tcPr>
                <w:p w:rsidR="005815D8" w:rsidRPr="0064325C" w:rsidRDefault="005815D8" w:rsidP="005815D8">
                  <w:pPr>
                    <w:jc w:val="center"/>
                    <w:outlineLvl w:val="0"/>
                    <w:rPr>
                      <w:rFonts w:asciiTheme="minorHAnsi" w:hAnsiTheme="minorHAnsi"/>
                      <w:b/>
                      <w:iCs/>
                      <w:color w:val="002776" w:themeColor="accent1"/>
                      <w:sz w:val="18"/>
                    </w:rPr>
                  </w:pPr>
                  <w:r w:rsidRPr="0064325C">
                    <w:rPr>
                      <w:sz w:val="18"/>
                    </w:rPr>
                    <w:t>238</w:t>
                  </w:r>
                </w:p>
              </w:tc>
              <w:tc>
                <w:tcPr>
                  <w:tcW w:w="404" w:type="pct"/>
                  <w:tcBorders>
                    <w:left w:val="nil"/>
                    <w:bottom w:val="nil"/>
                    <w:right w:val="nil"/>
                  </w:tcBorders>
                  <w:shd w:val="clear" w:color="auto" w:fill="auto"/>
                </w:tcPr>
                <w:p w:rsidR="005815D8" w:rsidRPr="00022EA7" w:rsidRDefault="005815D8" w:rsidP="005815D8">
                  <w:pPr>
                    <w:jc w:val="center"/>
                    <w:outlineLvl w:val="0"/>
                    <w:rPr>
                      <w:color w:val="000000"/>
                      <w:sz w:val="18"/>
                    </w:rPr>
                  </w:pPr>
                  <w:r w:rsidRPr="0064325C">
                    <w:rPr>
                      <w:sz w:val="18"/>
                    </w:rPr>
                    <w:t>759</w:t>
                  </w:r>
                </w:p>
              </w:tc>
              <w:tc>
                <w:tcPr>
                  <w:tcW w:w="404" w:type="pct"/>
                  <w:tcBorders>
                    <w:left w:val="nil"/>
                    <w:bottom w:val="nil"/>
                    <w:right w:val="nil"/>
                  </w:tcBorders>
                  <w:shd w:val="clear" w:color="auto" w:fill="auto"/>
                </w:tcPr>
                <w:p w:rsidR="005815D8" w:rsidRPr="00022EA7" w:rsidRDefault="005815D8" w:rsidP="005815D8">
                  <w:pPr>
                    <w:jc w:val="center"/>
                    <w:outlineLvl w:val="0"/>
                    <w:rPr>
                      <w:color w:val="000000"/>
                      <w:sz w:val="18"/>
                    </w:rPr>
                  </w:pPr>
                  <w:r w:rsidRPr="0064325C">
                    <w:rPr>
                      <w:sz w:val="18"/>
                    </w:rPr>
                    <w:t>648</w:t>
                  </w:r>
                </w:p>
              </w:tc>
              <w:tc>
                <w:tcPr>
                  <w:tcW w:w="354" w:type="pct"/>
                  <w:tcBorders>
                    <w:left w:val="nil"/>
                    <w:bottom w:val="nil"/>
                    <w:right w:val="nil"/>
                  </w:tcBorders>
                  <w:shd w:val="clear" w:color="auto" w:fill="auto"/>
                </w:tcPr>
                <w:p w:rsidR="005815D8" w:rsidRPr="00022EA7" w:rsidRDefault="005815D8" w:rsidP="005815D8">
                  <w:pPr>
                    <w:jc w:val="center"/>
                    <w:outlineLvl w:val="0"/>
                    <w:rPr>
                      <w:color w:val="000000"/>
                      <w:sz w:val="18"/>
                    </w:rPr>
                  </w:pPr>
                  <w:r w:rsidRPr="0064325C">
                    <w:rPr>
                      <w:sz w:val="18"/>
                    </w:rPr>
                    <w:t>2375</w:t>
                  </w:r>
                </w:p>
              </w:tc>
              <w:tc>
                <w:tcPr>
                  <w:tcW w:w="368" w:type="pct"/>
                  <w:tcBorders>
                    <w:left w:val="nil"/>
                    <w:bottom w:val="nil"/>
                    <w:right w:val="nil"/>
                  </w:tcBorders>
                  <w:shd w:val="clear" w:color="auto" w:fill="auto"/>
                </w:tcPr>
                <w:p w:rsidR="005815D8" w:rsidRPr="00022EA7" w:rsidRDefault="005815D8" w:rsidP="005815D8">
                  <w:pPr>
                    <w:jc w:val="center"/>
                    <w:outlineLvl w:val="0"/>
                    <w:rPr>
                      <w:color w:val="000000"/>
                      <w:sz w:val="18"/>
                    </w:rPr>
                  </w:pPr>
                  <w:r w:rsidRPr="0064325C">
                    <w:rPr>
                      <w:sz w:val="18"/>
                    </w:rPr>
                    <w:t>478</w:t>
                  </w:r>
                </w:p>
              </w:tc>
              <w:tc>
                <w:tcPr>
                  <w:tcW w:w="404" w:type="pct"/>
                  <w:tcBorders>
                    <w:left w:val="nil"/>
                    <w:bottom w:val="nil"/>
                    <w:right w:val="nil"/>
                  </w:tcBorders>
                  <w:shd w:val="clear" w:color="auto" w:fill="auto"/>
                </w:tcPr>
                <w:p w:rsidR="005815D8" w:rsidRPr="00022EA7" w:rsidRDefault="005815D8" w:rsidP="005815D8">
                  <w:pPr>
                    <w:jc w:val="center"/>
                    <w:outlineLvl w:val="0"/>
                    <w:rPr>
                      <w:color w:val="000000"/>
                      <w:sz w:val="18"/>
                    </w:rPr>
                  </w:pPr>
                  <w:r w:rsidRPr="0064325C">
                    <w:rPr>
                      <w:sz w:val="18"/>
                    </w:rPr>
                    <w:t>2321</w:t>
                  </w:r>
                </w:p>
              </w:tc>
              <w:tc>
                <w:tcPr>
                  <w:tcW w:w="311" w:type="pct"/>
                  <w:tcBorders>
                    <w:left w:val="nil"/>
                    <w:bottom w:val="nil"/>
                    <w:right w:val="nil"/>
                  </w:tcBorders>
                  <w:shd w:val="clear" w:color="auto" w:fill="auto"/>
                </w:tcPr>
                <w:p w:rsidR="005815D8" w:rsidRPr="00022EA7" w:rsidRDefault="005815D8" w:rsidP="005815D8">
                  <w:pPr>
                    <w:jc w:val="center"/>
                    <w:outlineLvl w:val="0"/>
                    <w:rPr>
                      <w:color w:val="000000"/>
                      <w:sz w:val="18"/>
                    </w:rPr>
                  </w:pPr>
                  <w:r w:rsidRPr="0064325C">
                    <w:rPr>
                      <w:sz w:val="18"/>
                    </w:rPr>
                    <w:t>364</w:t>
                  </w:r>
                </w:p>
              </w:tc>
              <w:tc>
                <w:tcPr>
                  <w:tcW w:w="404" w:type="pct"/>
                  <w:tcBorders>
                    <w:left w:val="nil"/>
                    <w:bottom w:val="nil"/>
                    <w:right w:val="nil"/>
                  </w:tcBorders>
                  <w:shd w:val="clear" w:color="auto" w:fill="auto"/>
                </w:tcPr>
                <w:p w:rsidR="005815D8" w:rsidRPr="00022EA7" w:rsidRDefault="005815D8" w:rsidP="005815D8">
                  <w:pPr>
                    <w:jc w:val="center"/>
                    <w:outlineLvl w:val="0"/>
                    <w:rPr>
                      <w:color w:val="000000"/>
                      <w:sz w:val="18"/>
                    </w:rPr>
                  </w:pPr>
                  <w:r w:rsidRPr="0064325C">
                    <w:rPr>
                      <w:sz w:val="18"/>
                    </w:rPr>
                    <w:t>1372</w:t>
                  </w:r>
                </w:p>
              </w:tc>
              <w:tc>
                <w:tcPr>
                  <w:tcW w:w="343" w:type="pct"/>
                  <w:tcBorders>
                    <w:left w:val="nil"/>
                    <w:bottom w:val="nil"/>
                    <w:right w:val="nil"/>
                  </w:tcBorders>
                  <w:shd w:val="clear" w:color="auto" w:fill="auto"/>
                </w:tcPr>
                <w:p w:rsidR="005815D8" w:rsidRPr="00022EA7" w:rsidRDefault="005815D8" w:rsidP="005815D8">
                  <w:pPr>
                    <w:jc w:val="center"/>
                    <w:outlineLvl w:val="0"/>
                    <w:rPr>
                      <w:color w:val="000000"/>
                      <w:sz w:val="18"/>
                    </w:rPr>
                  </w:pPr>
                  <w:r w:rsidRPr="0064325C">
                    <w:rPr>
                      <w:sz w:val="18"/>
                    </w:rPr>
                    <w:t>657</w:t>
                  </w:r>
                </w:p>
              </w:tc>
              <w:tc>
                <w:tcPr>
                  <w:tcW w:w="331" w:type="pct"/>
                  <w:tcBorders>
                    <w:left w:val="nil"/>
                    <w:bottom w:val="nil"/>
                    <w:right w:val="nil"/>
                  </w:tcBorders>
                  <w:shd w:val="clear" w:color="auto" w:fill="auto"/>
                </w:tcPr>
                <w:p w:rsidR="005815D8" w:rsidRPr="00022EA7" w:rsidRDefault="005815D8" w:rsidP="005815D8">
                  <w:pPr>
                    <w:jc w:val="center"/>
                    <w:outlineLvl w:val="0"/>
                    <w:rPr>
                      <w:b/>
                      <w:color w:val="002776" w:themeColor="accent1"/>
                      <w:sz w:val="18"/>
                    </w:rPr>
                  </w:pPr>
                  <w:r w:rsidRPr="0064325C">
                    <w:rPr>
                      <w:sz w:val="18"/>
                    </w:rPr>
                    <w:t>515</w:t>
                  </w:r>
                </w:p>
              </w:tc>
              <w:tc>
                <w:tcPr>
                  <w:tcW w:w="324" w:type="pct"/>
                  <w:tcBorders>
                    <w:left w:val="nil"/>
                    <w:bottom w:val="nil"/>
                    <w:right w:val="nil"/>
                  </w:tcBorders>
                  <w:shd w:val="clear" w:color="auto" w:fill="auto"/>
                </w:tcPr>
                <w:p w:rsidR="005815D8" w:rsidRPr="00022EA7" w:rsidRDefault="005815D8" w:rsidP="005815D8">
                  <w:pPr>
                    <w:jc w:val="center"/>
                    <w:outlineLvl w:val="0"/>
                    <w:rPr>
                      <w:b/>
                      <w:color w:val="002776" w:themeColor="accent1"/>
                      <w:sz w:val="18"/>
                    </w:rPr>
                  </w:pPr>
                  <w:r w:rsidRPr="0064325C">
                    <w:rPr>
                      <w:sz w:val="18"/>
                    </w:rPr>
                    <w:t>9727</w:t>
                  </w:r>
                </w:p>
              </w:tc>
            </w:tr>
            <w:tr w:rsidR="00B1646A" w:rsidRPr="00444981" w:rsidTr="00DA4CA5">
              <w:trPr>
                <w:trHeight w:val="285"/>
                <w:jc w:val="center"/>
              </w:trPr>
              <w:tc>
                <w:tcPr>
                  <w:tcW w:w="1353" w:type="pct"/>
                  <w:gridSpan w:val="3"/>
                  <w:tcBorders>
                    <w:top w:val="nil"/>
                    <w:left w:val="nil"/>
                    <w:bottom w:val="nil"/>
                    <w:right w:val="nil"/>
                  </w:tcBorders>
                  <w:shd w:val="clear" w:color="auto" w:fill="auto"/>
                  <w:noWrap/>
                  <w:hideMark/>
                </w:tcPr>
                <w:p w:rsidR="005815D8" w:rsidRPr="00CD18A1" w:rsidRDefault="005815D8" w:rsidP="005815D8">
                  <w:pPr>
                    <w:outlineLvl w:val="0"/>
                    <w:rPr>
                      <w:rFonts w:asciiTheme="minorHAnsi" w:hAnsiTheme="minorHAnsi"/>
                      <w:bCs/>
                      <w:i/>
                      <w:color w:val="002776"/>
                      <w:sz w:val="20"/>
                    </w:rPr>
                  </w:pPr>
                  <w:r>
                    <w:rPr>
                      <w:rFonts w:asciiTheme="minorHAnsi" w:hAnsiTheme="minorHAnsi"/>
                      <w:bCs/>
                      <w:i/>
                      <w:color w:val="000000"/>
                      <w:sz w:val="20"/>
                    </w:rPr>
                    <w:t>Percentage</w:t>
                  </w:r>
                  <w:r w:rsidRPr="00CD18A1">
                    <w:rPr>
                      <w:rFonts w:asciiTheme="minorHAnsi" w:hAnsiTheme="minorHAnsi"/>
                      <w:bCs/>
                      <w:i/>
                      <w:color w:val="000000"/>
                      <w:sz w:val="20"/>
                    </w:rPr>
                    <w:t xml:space="preserve"> premium</w:t>
                  </w:r>
                </w:p>
              </w:tc>
              <w:tc>
                <w:tcPr>
                  <w:tcW w:w="404"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404"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354"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368"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404"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311"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404"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343" w:type="pct"/>
                  <w:tcBorders>
                    <w:top w:val="nil"/>
                    <w:left w:val="nil"/>
                    <w:bottom w:val="nil"/>
                    <w:right w:val="nil"/>
                  </w:tcBorders>
                  <w:shd w:val="clear" w:color="auto" w:fill="auto"/>
                  <w:vAlign w:val="center"/>
                  <w:hideMark/>
                </w:tcPr>
                <w:p w:rsidR="005815D8" w:rsidRPr="00444981" w:rsidRDefault="005815D8" w:rsidP="005815D8">
                  <w:pPr>
                    <w:outlineLvl w:val="0"/>
                    <w:rPr>
                      <w:rFonts w:asciiTheme="minorHAnsi" w:hAnsiTheme="minorHAnsi"/>
                      <w:b/>
                      <w:bCs/>
                      <w:color w:val="002776"/>
                      <w:sz w:val="20"/>
                    </w:rPr>
                  </w:pPr>
                </w:p>
              </w:tc>
              <w:tc>
                <w:tcPr>
                  <w:tcW w:w="331" w:type="pct"/>
                  <w:tcBorders>
                    <w:top w:val="nil"/>
                    <w:left w:val="nil"/>
                    <w:bottom w:val="nil"/>
                    <w:right w:val="nil"/>
                  </w:tcBorders>
                  <w:shd w:val="clear" w:color="auto" w:fill="auto"/>
                </w:tcPr>
                <w:p w:rsidR="005815D8" w:rsidRPr="00CD18A1" w:rsidRDefault="005815D8" w:rsidP="005815D8">
                  <w:pPr>
                    <w:outlineLvl w:val="0"/>
                    <w:rPr>
                      <w:rFonts w:asciiTheme="minorHAnsi" w:hAnsiTheme="minorHAnsi"/>
                      <w:b/>
                      <w:bCs/>
                      <w:color w:val="002776" w:themeColor="accent1"/>
                      <w:sz w:val="20"/>
                    </w:rPr>
                  </w:pPr>
                </w:p>
              </w:tc>
              <w:tc>
                <w:tcPr>
                  <w:tcW w:w="324" w:type="pct"/>
                  <w:tcBorders>
                    <w:top w:val="nil"/>
                    <w:left w:val="nil"/>
                    <w:bottom w:val="nil"/>
                    <w:right w:val="nil"/>
                  </w:tcBorders>
                  <w:shd w:val="clear" w:color="auto" w:fill="auto"/>
                  <w:vAlign w:val="center"/>
                  <w:hideMark/>
                </w:tcPr>
                <w:p w:rsidR="005815D8" w:rsidRPr="00CD18A1" w:rsidRDefault="005815D8" w:rsidP="005815D8">
                  <w:pPr>
                    <w:outlineLvl w:val="0"/>
                    <w:rPr>
                      <w:rFonts w:asciiTheme="minorHAnsi" w:hAnsiTheme="minorHAnsi"/>
                      <w:b/>
                      <w:bCs/>
                      <w:color w:val="002776" w:themeColor="accent1"/>
                      <w:sz w:val="20"/>
                    </w:rPr>
                  </w:pPr>
                </w:p>
              </w:tc>
            </w:tr>
            <w:tr w:rsidR="00B1646A" w:rsidRPr="00444981" w:rsidTr="00DA4CA5">
              <w:trPr>
                <w:trHeight w:val="255"/>
                <w:jc w:val="center"/>
              </w:trPr>
              <w:tc>
                <w:tcPr>
                  <w:tcW w:w="941" w:type="pct"/>
                  <w:tcBorders>
                    <w:top w:val="nil"/>
                    <w:left w:val="nil"/>
                    <w:bottom w:val="nil"/>
                    <w:right w:val="nil"/>
                  </w:tcBorders>
                  <w:shd w:val="clear" w:color="auto" w:fill="auto"/>
                  <w:vAlign w:val="center"/>
                  <w:hideMark/>
                </w:tcPr>
                <w:p w:rsidR="005815D8" w:rsidRPr="00444981" w:rsidRDefault="005815D8" w:rsidP="005815D8">
                  <w:pPr>
                    <w:ind w:left="108"/>
                    <w:jc w:val="both"/>
                    <w:outlineLvl w:val="0"/>
                    <w:rPr>
                      <w:rFonts w:asciiTheme="minorHAnsi" w:hAnsiTheme="minorHAnsi"/>
                      <w:i/>
                      <w:iCs/>
                      <w:color w:val="000000"/>
                      <w:sz w:val="20"/>
                    </w:rPr>
                  </w:pPr>
                  <w:r w:rsidRPr="00444981">
                    <w:rPr>
                      <w:rFonts w:asciiTheme="minorHAnsi" w:hAnsiTheme="minorHAnsi"/>
                      <w:i/>
                      <w:iCs/>
                      <w:color w:val="000000"/>
                      <w:sz w:val="20"/>
                    </w:rPr>
                    <w:t>Undiscounted</w:t>
                  </w:r>
                </w:p>
              </w:tc>
              <w:tc>
                <w:tcPr>
                  <w:tcW w:w="412" w:type="pct"/>
                  <w:gridSpan w:val="2"/>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102%</w:t>
                  </w:r>
                </w:p>
              </w:tc>
              <w:tc>
                <w:tcPr>
                  <w:tcW w:w="404"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129%</w:t>
                  </w:r>
                </w:p>
              </w:tc>
              <w:tc>
                <w:tcPr>
                  <w:tcW w:w="404"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104%</w:t>
                  </w:r>
                </w:p>
              </w:tc>
              <w:tc>
                <w:tcPr>
                  <w:tcW w:w="354"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56%</w:t>
                  </w:r>
                </w:p>
              </w:tc>
              <w:tc>
                <w:tcPr>
                  <w:tcW w:w="368"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54%</w:t>
                  </w:r>
                </w:p>
              </w:tc>
              <w:tc>
                <w:tcPr>
                  <w:tcW w:w="404"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48%</w:t>
                  </w:r>
                </w:p>
              </w:tc>
              <w:tc>
                <w:tcPr>
                  <w:tcW w:w="311"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77%</w:t>
                  </w:r>
                </w:p>
              </w:tc>
              <w:tc>
                <w:tcPr>
                  <w:tcW w:w="404"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28%</w:t>
                  </w:r>
                </w:p>
              </w:tc>
              <w:tc>
                <w:tcPr>
                  <w:tcW w:w="343"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49%</w:t>
                  </w:r>
                </w:p>
              </w:tc>
              <w:tc>
                <w:tcPr>
                  <w:tcW w:w="331" w:type="pct"/>
                  <w:tcBorders>
                    <w:top w:val="nil"/>
                    <w:left w:val="nil"/>
                    <w:bottom w:val="nil"/>
                    <w:right w:val="nil"/>
                  </w:tcBorders>
                  <w:vAlign w:val="center"/>
                </w:tcPr>
                <w:p w:rsidR="005815D8" w:rsidRPr="006E4888" w:rsidRDefault="005815D8" w:rsidP="005815D8">
                  <w:pPr>
                    <w:jc w:val="center"/>
                    <w:outlineLvl w:val="0"/>
                    <w:rPr>
                      <w:rFonts w:eastAsia="Arial" w:cs="Arial"/>
                      <w:bCs/>
                      <w:color w:val="000000"/>
                      <w:kern w:val="24"/>
                      <w:sz w:val="18"/>
                      <w:szCs w:val="18"/>
                    </w:rPr>
                  </w:pPr>
                  <w:r w:rsidRPr="0064325C">
                    <w:rPr>
                      <w:rFonts w:eastAsia="Arial" w:cs="Arial"/>
                      <w:bCs/>
                      <w:color w:val="000000"/>
                      <w:kern w:val="24"/>
                      <w:sz w:val="18"/>
                      <w:szCs w:val="18"/>
                    </w:rPr>
                    <w:t>51%</w:t>
                  </w:r>
                </w:p>
              </w:tc>
              <w:tc>
                <w:tcPr>
                  <w:tcW w:w="324" w:type="pct"/>
                  <w:tcBorders>
                    <w:top w:val="nil"/>
                    <w:left w:val="nil"/>
                    <w:bottom w:val="nil"/>
                    <w:right w:val="nil"/>
                  </w:tcBorders>
                  <w:shd w:val="clear" w:color="auto" w:fill="auto"/>
                  <w:vAlign w:val="center"/>
                  <w:hideMark/>
                </w:tcPr>
                <w:p w:rsidR="005815D8" w:rsidRPr="00CD18A1" w:rsidRDefault="005815D8" w:rsidP="005815D8">
                  <w:pPr>
                    <w:jc w:val="center"/>
                    <w:outlineLvl w:val="0"/>
                    <w:rPr>
                      <w:rFonts w:asciiTheme="minorHAnsi" w:hAnsiTheme="minorHAnsi"/>
                      <w:b/>
                      <w:color w:val="002776" w:themeColor="accent1"/>
                      <w:sz w:val="18"/>
                    </w:rPr>
                  </w:pPr>
                  <w:r w:rsidRPr="0064325C">
                    <w:rPr>
                      <w:rFonts w:eastAsia="Arial" w:cs="Arial"/>
                      <w:b/>
                      <w:bCs/>
                      <w:color w:val="002776" w:themeColor="accent1"/>
                      <w:kern w:val="24"/>
                      <w:sz w:val="18"/>
                      <w:szCs w:val="18"/>
                    </w:rPr>
                    <w:t>67%</w:t>
                  </w:r>
                </w:p>
              </w:tc>
            </w:tr>
            <w:tr w:rsidR="00B1646A" w:rsidRPr="00444981" w:rsidTr="00DA4CA5">
              <w:trPr>
                <w:trHeight w:val="255"/>
                <w:jc w:val="center"/>
              </w:trPr>
              <w:tc>
                <w:tcPr>
                  <w:tcW w:w="941" w:type="pct"/>
                  <w:tcBorders>
                    <w:top w:val="nil"/>
                    <w:left w:val="nil"/>
                    <w:bottom w:val="single" w:sz="4" w:space="0" w:color="002776" w:themeColor="accent1"/>
                    <w:right w:val="nil"/>
                  </w:tcBorders>
                  <w:shd w:val="clear" w:color="auto" w:fill="auto"/>
                  <w:noWrap/>
                  <w:vAlign w:val="bottom"/>
                  <w:hideMark/>
                </w:tcPr>
                <w:p w:rsidR="005815D8" w:rsidRPr="00444981" w:rsidRDefault="005815D8" w:rsidP="005815D8">
                  <w:pPr>
                    <w:ind w:left="108"/>
                    <w:outlineLvl w:val="0"/>
                    <w:rPr>
                      <w:rFonts w:asciiTheme="minorHAnsi" w:hAnsiTheme="minorHAnsi"/>
                      <w:i/>
                      <w:iCs/>
                      <w:color w:val="000000"/>
                      <w:sz w:val="20"/>
                    </w:rPr>
                  </w:pPr>
                  <w:r w:rsidRPr="00444981">
                    <w:rPr>
                      <w:rFonts w:asciiTheme="minorHAnsi" w:hAnsiTheme="minorHAnsi"/>
                      <w:i/>
                      <w:iCs/>
                      <w:color w:val="000000"/>
                      <w:sz w:val="20"/>
                    </w:rPr>
                    <w:t>Discounted NPV</w:t>
                  </w:r>
                </w:p>
              </w:tc>
              <w:tc>
                <w:tcPr>
                  <w:tcW w:w="412" w:type="pct"/>
                  <w:gridSpan w:val="2"/>
                  <w:tcBorders>
                    <w:top w:val="nil"/>
                    <w:left w:val="nil"/>
                    <w:bottom w:val="single" w:sz="4" w:space="0" w:color="002776" w:themeColor="accent1"/>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59%</w:t>
                  </w:r>
                </w:p>
              </w:tc>
              <w:tc>
                <w:tcPr>
                  <w:tcW w:w="404" w:type="pct"/>
                  <w:tcBorders>
                    <w:top w:val="nil"/>
                    <w:left w:val="nil"/>
                    <w:bottom w:val="single" w:sz="4" w:space="0" w:color="002776" w:themeColor="accent1"/>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color w:val="000000"/>
                      <w:kern w:val="24"/>
                      <w:sz w:val="18"/>
                      <w:szCs w:val="18"/>
                    </w:rPr>
                    <w:t>109%</w:t>
                  </w:r>
                </w:p>
              </w:tc>
              <w:tc>
                <w:tcPr>
                  <w:tcW w:w="404" w:type="pct"/>
                  <w:tcBorders>
                    <w:top w:val="nil"/>
                    <w:left w:val="nil"/>
                    <w:bottom w:val="single" w:sz="4" w:space="0" w:color="002776" w:themeColor="accent1"/>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color w:val="000000"/>
                      <w:kern w:val="24"/>
                      <w:sz w:val="18"/>
                      <w:szCs w:val="18"/>
                    </w:rPr>
                    <w:t>74%</w:t>
                  </w:r>
                </w:p>
              </w:tc>
              <w:tc>
                <w:tcPr>
                  <w:tcW w:w="354" w:type="pct"/>
                  <w:tcBorders>
                    <w:top w:val="nil"/>
                    <w:left w:val="nil"/>
                    <w:bottom w:val="single" w:sz="4" w:space="0" w:color="002776" w:themeColor="accent1"/>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color w:val="000000"/>
                      <w:kern w:val="24"/>
                      <w:sz w:val="18"/>
                      <w:szCs w:val="18"/>
                    </w:rPr>
                    <w:t>37%</w:t>
                  </w:r>
                </w:p>
              </w:tc>
              <w:tc>
                <w:tcPr>
                  <w:tcW w:w="368" w:type="pct"/>
                  <w:tcBorders>
                    <w:top w:val="nil"/>
                    <w:left w:val="nil"/>
                    <w:bottom w:val="single" w:sz="4" w:space="0" w:color="002776" w:themeColor="accent1"/>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color w:val="000000"/>
                      <w:kern w:val="24"/>
                      <w:sz w:val="18"/>
                      <w:szCs w:val="18"/>
                    </w:rPr>
                    <w:t>35%</w:t>
                  </w:r>
                </w:p>
              </w:tc>
              <w:tc>
                <w:tcPr>
                  <w:tcW w:w="404" w:type="pct"/>
                  <w:tcBorders>
                    <w:top w:val="nil"/>
                    <w:left w:val="nil"/>
                    <w:bottom w:val="single" w:sz="4" w:space="0" w:color="002776" w:themeColor="accent1"/>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color w:val="000000"/>
                      <w:kern w:val="24"/>
                      <w:sz w:val="18"/>
                      <w:szCs w:val="18"/>
                    </w:rPr>
                    <w:t>30%</w:t>
                  </w:r>
                </w:p>
              </w:tc>
              <w:tc>
                <w:tcPr>
                  <w:tcW w:w="311" w:type="pct"/>
                  <w:tcBorders>
                    <w:top w:val="nil"/>
                    <w:left w:val="nil"/>
                    <w:bottom w:val="single" w:sz="4" w:space="0" w:color="002776" w:themeColor="accent1"/>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color w:val="000000"/>
                      <w:kern w:val="24"/>
                      <w:sz w:val="18"/>
                      <w:szCs w:val="18"/>
                    </w:rPr>
                    <w:t>61%</w:t>
                  </w:r>
                </w:p>
              </w:tc>
              <w:tc>
                <w:tcPr>
                  <w:tcW w:w="404" w:type="pct"/>
                  <w:tcBorders>
                    <w:top w:val="nil"/>
                    <w:left w:val="nil"/>
                    <w:bottom w:val="single" w:sz="4" w:space="0" w:color="002776" w:themeColor="accent1"/>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color w:val="000000"/>
                      <w:kern w:val="24"/>
                      <w:sz w:val="18"/>
                      <w:szCs w:val="18"/>
                    </w:rPr>
                    <w:t>16%</w:t>
                  </w:r>
                </w:p>
              </w:tc>
              <w:tc>
                <w:tcPr>
                  <w:tcW w:w="343" w:type="pct"/>
                  <w:tcBorders>
                    <w:top w:val="nil"/>
                    <w:left w:val="nil"/>
                    <w:bottom w:val="single" w:sz="4" w:space="0" w:color="002776" w:themeColor="accent1"/>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color w:val="000000"/>
                      <w:kern w:val="24"/>
                      <w:sz w:val="18"/>
                      <w:szCs w:val="18"/>
                    </w:rPr>
                    <w:t>28%</w:t>
                  </w:r>
                </w:p>
              </w:tc>
              <w:tc>
                <w:tcPr>
                  <w:tcW w:w="331" w:type="pct"/>
                  <w:tcBorders>
                    <w:top w:val="nil"/>
                    <w:left w:val="nil"/>
                    <w:bottom w:val="single" w:sz="4" w:space="0" w:color="002776" w:themeColor="accent1"/>
                    <w:right w:val="nil"/>
                  </w:tcBorders>
                  <w:vAlign w:val="center"/>
                </w:tcPr>
                <w:p w:rsidR="005815D8" w:rsidRPr="006E4888" w:rsidRDefault="005815D8" w:rsidP="005815D8">
                  <w:pPr>
                    <w:jc w:val="center"/>
                    <w:outlineLvl w:val="0"/>
                    <w:rPr>
                      <w:rFonts w:eastAsia="Arial" w:cs="Arial"/>
                      <w:color w:val="000000"/>
                      <w:kern w:val="24"/>
                      <w:sz w:val="18"/>
                      <w:szCs w:val="18"/>
                    </w:rPr>
                  </w:pPr>
                  <w:r w:rsidRPr="0064325C">
                    <w:rPr>
                      <w:rFonts w:eastAsia="Arial" w:cs="Arial"/>
                      <w:color w:val="000000"/>
                      <w:kern w:val="24"/>
                      <w:sz w:val="18"/>
                      <w:szCs w:val="18"/>
                    </w:rPr>
                    <w:t>32%</w:t>
                  </w:r>
                </w:p>
              </w:tc>
              <w:tc>
                <w:tcPr>
                  <w:tcW w:w="324" w:type="pct"/>
                  <w:tcBorders>
                    <w:top w:val="nil"/>
                    <w:left w:val="nil"/>
                    <w:bottom w:val="single" w:sz="4" w:space="0" w:color="002776" w:themeColor="accent1"/>
                    <w:right w:val="nil"/>
                  </w:tcBorders>
                  <w:shd w:val="clear" w:color="auto" w:fill="auto"/>
                  <w:vAlign w:val="center"/>
                  <w:hideMark/>
                </w:tcPr>
                <w:p w:rsidR="005815D8" w:rsidRPr="00CD18A1" w:rsidRDefault="005815D8" w:rsidP="005815D8">
                  <w:pPr>
                    <w:jc w:val="center"/>
                    <w:outlineLvl w:val="0"/>
                    <w:rPr>
                      <w:rFonts w:asciiTheme="minorHAnsi" w:hAnsiTheme="minorHAnsi"/>
                      <w:b/>
                      <w:color w:val="002776" w:themeColor="accent1"/>
                      <w:sz w:val="18"/>
                    </w:rPr>
                  </w:pPr>
                  <w:r w:rsidRPr="0064325C">
                    <w:rPr>
                      <w:rFonts w:eastAsia="Arial" w:cs="Arial"/>
                      <w:b/>
                      <w:bCs/>
                      <w:color w:val="002776" w:themeColor="accent1"/>
                      <w:kern w:val="24"/>
                      <w:sz w:val="18"/>
                      <w:szCs w:val="18"/>
                    </w:rPr>
                    <w:t>46%</w:t>
                  </w:r>
                </w:p>
              </w:tc>
            </w:tr>
            <w:tr w:rsidR="00B1646A" w:rsidRPr="00444981" w:rsidTr="00DA4CA5">
              <w:trPr>
                <w:trHeight w:val="255"/>
                <w:jc w:val="center"/>
              </w:trPr>
              <w:tc>
                <w:tcPr>
                  <w:tcW w:w="1353" w:type="pct"/>
                  <w:gridSpan w:val="3"/>
                  <w:tcBorders>
                    <w:top w:val="single" w:sz="4" w:space="0" w:color="002776" w:themeColor="accent1"/>
                    <w:left w:val="nil"/>
                    <w:bottom w:val="nil"/>
                    <w:right w:val="nil"/>
                  </w:tcBorders>
                  <w:shd w:val="clear" w:color="auto" w:fill="auto"/>
                  <w:noWrap/>
                  <w:hideMark/>
                </w:tcPr>
                <w:p w:rsidR="005815D8" w:rsidRPr="00CD18A1" w:rsidRDefault="005815D8" w:rsidP="005815D8">
                  <w:pPr>
                    <w:outlineLvl w:val="0"/>
                    <w:rPr>
                      <w:rFonts w:asciiTheme="minorHAnsi" w:hAnsiTheme="minorHAnsi"/>
                      <w:bCs/>
                      <w:i/>
                      <w:color w:val="000000"/>
                      <w:sz w:val="20"/>
                    </w:rPr>
                  </w:pPr>
                  <w:r w:rsidRPr="00CD18A1">
                    <w:rPr>
                      <w:rFonts w:asciiTheme="minorHAnsi" w:hAnsiTheme="minorHAnsi"/>
                      <w:bCs/>
                      <w:i/>
                      <w:color w:val="000000"/>
                      <w:sz w:val="20"/>
                    </w:rPr>
                    <w:t>Dollar premium ($ million)</w:t>
                  </w:r>
                </w:p>
              </w:tc>
              <w:tc>
                <w:tcPr>
                  <w:tcW w:w="404"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404"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354"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368"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404"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311"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404"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343" w:type="pct"/>
                  <w:tcBorders>
                    <w:top w:val="single" w:sz="4" w:space="0" w:color="002776" w:themeColor="accent1"/>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20"/>
                    </w:rPr>
                  </w:pPr>
                </w:p>
              </w:tc>
              <w:tc>
                <w:tcPr>
                  <w:tcW w:w="331" w:type="pct"/>
                  <w:tcBorders>
                    <w:top w:val="single" w:sz="4" w:space="0" w:color="002776" w:themeColor="accent1"/>
                    <w:left w:val="nil"/>
                    <w:bottom w:val="nil"/>
                    <w:right w:val="nil"/>
                  </w:tcBorders>
                  <w:shd w:val="clear" w:color="auto" w:fill="auto"/>
                </w:tcPr>
                <w:p w:rsidR="005815D8" w:rsidRPr="00CD18A1" w:rsidRDefault="005815D8" w:rsidP="005815D8">
                  <w:pPr>
                    <w:jc w:val="center"/>
                    <w:outlineLvl w:val="0"/>
                    <w:rPr>
                      <w:rFonts w:asciiTheme="minorHAnsi" w:hAnsiTheme="minorHAnsi"/>
                      <w:b/>
                      <w:color w:val="002776" w:themeColor="accent1"/>
                      <w:sz w:val="20"/>
                    </w:rPr>
                  </w:pPr>
                </w:p>
              </w:tc>
              <w:tc>
                <w:tcPr>
                  <w:tcW w:w="324" w:type="pct"/>
                  <w:tcBorders>
                    <w:top w:val="single" w:sz="4" w:space="0" w:color="002776" w:themeColor="accent1"/>
                    <w:left w:val="nil"/>
                    <w:bottom w:val="nil"/>
                    <w:right w:val="nil"/>
                  </w:tcBorders>
                  <w:shd w:val="clear" w:color="auto" w:fill="auto"/>
                  <w:vAlign w:val="center"/>
                  <w:hideMark/>
                </w:tcPr>
                <w:p w:rsidR="005815D8" w:rsidRPr="0083778F" w:rsidRDefault="005815D8" w:rsidP="005815D8">
                  <w:pPr>
                    <w:jc w:val="center"/>
                    <w:outlineLvl w:val="0"/>
                    <w:rPr>
                      <w:rFonts w:asciiTheme="minorHAnsi" w:hAnsiTheme="minorHAnsi"/>
                      <w:b/>
                      <w:color w:val="002776" w:themeColor="accent1"/>
                      <w:sz w:val="20"/>
                    </w:rPr>
                  </w:pPr>
                </w:p>
              </w:tc>
            </w:tr>
            <w:tr w:rsidR="00B1646A" w:rsidRPr="00444981" w:rsidTr="00DA4CA5">
              <w:trPr>
                <w:trHeight w:val="255"/>
                <w:jc w:val="center"/>
              </w:trPr>
              <w:tc>
                <w:tcPr>
                  <w:tcW w:w="941" w:type="pct"/>
                  <w:tcBorders>
                    <w:top w:val="nil"/>
                    <w:left w:val="nil"/>
                    <w:bottom w:val="nil"/>
                    <w:right w:val="nil"/>
                  </w:tcBorders>
                  <w:shd w:val="clear" w:color="auto" w:fill="auto"/>
                  <w:vAlign w:val="center"/>
                  <w:hideMark/>
                </w:tcPr>
                <w:p w:rsidR="005815D8" w:rsidRPr="00444981" w:rsidRDefault="005815D8" w:rsidP="005815D8">
                  <w:pPr>
                    <w:ind w:firstLine="108"/>
                    <w:jc w:val="both"/>
                    <w:outlineLvl w:val="0"/>
                    <w:rPr>
                      <w:rFonts w:asciiTheme="minorHAnsi" w:hAnsiTheme="minorHAnsi"/>
                      <w:i/>
                      <w:iCs/>
                      <w:color w:val="000000"/>
                      <w:sz w:val="20"/>
                    </w:rPr>
                  </w:pPr>
                  <w:r w:rsidRPr="00444981">
                    <w:rPr>
                      <w:rFonts w:asciiTheme="minorHAnsi" w:hAnsiTheme="minorHAnsi"/>
                      <w:i/>
                      <w:iCs/>
                      <w:color w:val="000000"/>
                      <w:sz w:val="20"/>
                    </w:rPr>
                    <w:t>Undiscounted</w:t>
                  </w:r>
                </w:p>
              </w:tc>
              <w:tc>
                <w:tcPr>
                  <w:tcW w:w="412" w:type="pct"/>
                  <w:gridSpan w:val="2"/>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$1.01</w:t>
                  </w:r>
                </w:p>
              </w:tc>
              <w:tc>
                <w:tcPr>
                  <w:tcW w:w="404"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$1.28</w:t>
                  </w:r>
                </w:p>
              </w:tc>
              <w:tc>
                <w:tcPr>
                  <w:tcW w:w="404"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$1.03</w:t>
                  </w:r>
                </w:p>
              </w:tc>
              <w:tc>
                <w:tcPr>
                  <w:tcW w:w="354"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$0.56</w:t>
                  </w:r>
                </w:p>
              </w:tc>
              <w:tc>
                <w:tcPr>
                  <w:tcW w:w="368"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$0.53</w:t>
                  </w:r>
                </w:p>
              </w:tc>
              <w:tc>
                <w:tcPr>
                  <w:tcW w:w="404"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$0.47</w:t>
                  </w:r>
                </w:p>
              </w:tc>
              <w:tc>
                <w:tcPr>
                  <w:tcW w:w="311"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$0.77</w:t>
                  </w:r>
                </w:p>
              </w:tc>
              <w:tc>
                <w:tcPr>
                  <w:tcW w:w="404"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$0.28</w:t>
                  </w:r>
                </w:p>
              </w:tc>
              <w:tc>
                <w:tcPr>
                  <w:tcW w:w="343" w:type="pct"/>
                  <w:tcBorders>
                    <w:top w:val="nil"/>
                    <w:left w:val="nil"/>
                    <w:bottom w:val="nil"/>
                    <w:right w:val="nil"/>
                  </w:tcBorders>
                  <w:shd w:val="clear" w:color="auto" w:fill="auto"/>
                  <w:vAlign w:val="center"/>
                  <w:hideMark/>
                </w:tcPr>
                <w:p w:rsidR="005815D8" w:rsidRPr="00444981" w:rsidRDefault="005815D8" w:rsidP="005815D8">
                  <w:pPr>
                    <w:jc w:val="center"/>
                    <w:outlineLvl w:val="0"/>
                    <w:rPr>
                      <w:rFonts w:asciiTheme="minorHAnsi" w:hAnsiTheme="minorHAnsi"/>
                      <w:color w:val="000000"/>
                      <w:sz w:val="18"/>
                    </w:rPr>
                  </w:pPr>
                  <w:r w:rsidRPr="0064325C">
                    <w:rPr>
                      <w:rFonts w:eastAsia="Arial" w:cs="Arial"/>
                      <w:bCs/>
                      <w:color w:val="000000"/>
                      <w:kern w:val="24"/>
                      <w:sz w:val="18"/>
                      <w:szCs w:val="18"/>
                    </w:rPr>
                    <w:t>$0.49</w:t>
                  </w:r>
                </w:p>
              </w:tc>
              <w:tc>
                <w:tcPr>
                  <w:tcW w:w="331" w:type="pct"/>
                  <w:tcBorders>
                    <w:top w:val="nil"/>
                    <w:left w:val="nil"/>
                    <w:bottom w:val="nil"/>
                    <w:right w:val="nil"/>
                  </w:tcBorders>
                  <w:vAlign w:val="center"/>
                </w:tcPr>
                <w:p w:rsidR="005815D8" w:rsidRPr="006E4888" w:rsidRDefault="005815D8" w:rsidP="005815D8">
                  <w:pPr>
                    <w:jc w:val="center"/>
                    <w:outlineLvl w:val="0"/>
                    <w:rPr>
                      <w:rFonts w:eastAsia="Arial" w:cs="Arial"/>
                      <w:bCs/>
                      <w:color w:val="000000"/>
                      <w:kern w:val="24"/>
                      <w:sz w:val="18"/>
                      <w:szCs w:val="18"/>
                    </w:rPr>
                  </w:pPr>
                  <w:r w:rsidRPr="0064325C">
                    <w:rPr>
                      <w:rFonts w:eastAsia="Arial" w:cs="Arial"/>
                      <w:bCs/>
                      <w:color w:val="000000"/>
                      <w:kern w:val="24"/>
                      <w:sz w:val="18"/>
                      <w:szCs w:val="18"/>
                    </w:rPr>
                    <w:t>$0.51</w:t>
                  </w:r>
                </w:p>
              </w:tc>
              <w:tc>
                <w:tcPr>
                  <w:tcW w:w="324" w:type="pct"/>
                  <w:tcBorders>
                    <w:top w:val="nil"/>
                    <w:left w:val="nil"/>
                    <w:bottom w:val="nil"/>
                    <w:right w:val="nil"/>
                  </w:tcBorders>
                  <w:shd w:val="clear" w:color="auto" w:fill="auto"/>
                  <w:vAlign w:val="center"/>
                  <w:hideMark/>
                </w:tcPr>
                <w:p w:rsidR="005815D8" w:rsidRPr="00CD18A1" w:rsidRDefault="005815D8" w:rsidP="005815D8">
                  <w:pPr>
                    <w:jc w:val="center"/>
                    <w:outlineLvl w:val="0"/>
                    <w:rPr>
                      <w:rFonts w:asciiTheme="minorHAnsi" w:hAnsiTheme="minorHAnsi"/>
                      <w:b/>
                      <w:color w:val="002776" w:themeColor="accent1"/>
                      <w:sz w:val="18"/>
                    </w:rPr>
                  </w:pPr>
                  <w:r w:rsidRPr="0064325C">
                    <w:rPr>
                      <w:rFonts w:eastAsia="Arial" w:cs="Arial"/>
                      <w:b/>
                      <w:bCs/>
                      <w:color w:val="002776" w:themeColor="accent1"/>
                      <w:kern w:val="24"/>
                      <w:sz w:val="18"/>
                      <w:szCs w:val="18"/>
                    </w:rPr>
                    <w:t>$0.67</w:t>
                  </w:r>
                </w:p>
              </w:tc>
            </w:tr>
            <w:tr w:rsidR="005378A6" w:rsidRPr="00444981" w:rsidTr="00DA4CA5">
              <w:trPr>
                <w:trHeight w:val="270"/>
                <w:jc w:val="center"/>
              </w:trPr>
              <w:tc>
                <w:tcPr>
                  <w:tcW w:w="941" w:type="pct"/>
                  <w:tcBorders>
                    <w:top w:val="nil"/>
                    <w:left w:val="nil"/>
                    <w:bottom w:val="single" w:sz="12" w:space="0" w:color="002776"/>
                    <w:right w:val="nil"/>
                  </w:tcBorders>
                  <w:shd w:val="clear" w:color="auto" w:fill="auto"/>
                  <w:vAlign w:val="center"/>
                  <w:hideMark/>
                </w:tcPr>
                <w:p w:rsidR="005378A6" w:rsidRPr="00444981" w:rsidRDefault="005378A6" w:rsidP="005815D8">
                  <w:pPr>
                    <w:ind w:firstLine="108"/>
                    <w:jc w:val="both"/>
                    <w:outlineLvl w:val="0"/>
                    <w:rPr>
                      <w:rFonts w:asciiTheme="minorHAnsi" w:hAnsiTheme="minorHAnsi"/>
                      <w:i/>
                      <w:iCs/>
                      <w:color w:val="000000"/>
                      <w:sz w:val="20"/>
                    </w:rPr>
                  </w:pPr>
                  <w:r w:rsidRPr="00444981">
                    <w:rPr>
                      <w:rFonts w:asciiTheme="minorHAnsi" w:hAnsiTheme="minorHAnsi"/>
                      <w:i/>
                      <w:iCs/>
                      <w:color w:val="000000"/>
                      <w:sz w:val="20"/>
                    </w:rPr>
                    <w:t>Discounted NPV</w:t>
                  </w:r>
                </w:p>
              </w:tc>
              <w:tc>
                <w:tcPr>
                  <w:tcW w:w="412" w:type="pct"/>
                  <w:gridSpan w:val="2"/>
                  <w:tcBorders>
                    <w:top w:val="nil"/>
                    <w:left w:val="nil"/>
                    <w:bottom w:val="single" w:sz="12" w:space="0" w:color="002776"/>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$0.17</w:t>
                  </w:r>
                </w:p>
              </w:tc>
              <w:tc>
                <w:tcPr>
                  <w:tcW w:w="404" w:type="pct"/>
                  <w:tcBorders>
                    <w:top w:val="nil"/>
                    <w:left w:val="nil"/>
                    <w:bottom w:val="single" w:sz="12" w:space="0" w:color="002776"/>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$0.32</w:t>
                  </w:r>
                </w:p>
              </w:tc>
              <w:tc>
                <w:tcPr>
                  <w:tcW w:w="404" w:type="pct"/>
                  <w:tcBorders>
                    <w:top w:val="nil"/>
                    <w:left w:val="nil"/>
                    <w:bottom w:val="single" w:sz="12" w:space="0" w:color="002776"/>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$0.22</w:t>
                  </w:r>
                </w:p>
              </w:tc>
              <w:tc>
                <w:tcPr>
                  <w:tcW w:w="354" w:type="pct"/>
                  <w:tcBorders>
                    <w:top w:val="nil"/>
                    <w:left w:val="nil"/>
                    <w:bottom w:val="single" w:sz="12" w:space="0" w:color="002776"/>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$0.11</w:t>
                  </w:r>
                </w:p>
              </w:tc>
              <w:tc>
                <w:tcPr>
                  <w:tcW w:w="368" w:type="pct"/>
                  <w:tcBorders>
                    <w:top w:val="nil"/>
                    <w:left w:val="nil"/>
                    <w:bottom w:val="single" w:sz="12" w:space="0" w:color="002776"/>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$0.10</w:t>
                  </w:r>
                </w:p>
              </w:tc>
              <w:tc>
                <w:tcPr>
                  <w:tcW w:w="404" w:type="pct"/>
                  <w:tcBorders>
                    <w:top w:val="nil"/>
                    <w:left w:val="nil"/>
                    <w:bottom w:val="single" w:sz="12" w:space="0" w:color="002776"/>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$0.09</w:t>
                  </w:r>
                </w:p>
              </w:tc>
              <w:tc>
                <w:tcPr>
                  <w:tcW w:w="311" w:type="pct"/>
                  <w:tcBorders>
                    <w:top w:val="nil"/>
                    <w:left w:val="nil"/>
                    <w:bottom w:val="single" w:sz="12" w:space="0" w:color="002776"/>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$0.18</w:t>
                  </w:r>
                </w:p>
              </w:tc>
              <w:tc>
                <w:tcPr>
                  <w:tcW w:w="404" w:type="pct"/>
                  <w:tcBorders>
                    <w:top w:val="nil"/>
                    <w:left w:val="nil"/>
                    <w:bottom w:val="single" w:sz="12" w:space="0" w:color="002776"/>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$0.05</w:t>
                  </w:r>
                </w:p>
              </w:tc>
              <w:tc>
                <w:tcPr>
                  <w:tcW w:w="343" w:type="pct"/>
                  <w:tcBorders>
                    <w:top w:val="nil"/>
                    <w:left w:val="nil"/>
                    <w:bottom w:val="single" w:sz="12" w:space="0" w:color="002776"/>
                    <w:right w:val="nil"/>
                  </w:tcBorders>
                  <w:shd w:val="clear" w:color="auto" w:fill="auto"/>
                  <w:vAlign w:val="center"/>
                  <w:hideMark/>
                </w:tcPr>
                <w:p w:rsidR="005378A6" w:rsidRPr="005378A6" w:rsidRDefault="005378A6" w:rsidP="005815D8">
                  <w:pPr>
                    <w:jc w:val="center"/>
                    <w:outlineLvl w:val="0"/>
                    <w:rPr>
                      <w:rFonts w:asciiTheme="minorHAnsi" w:hAnsiTheme="minorHAnsi"/>
                      <w:color w:val="000000"/>
                      <w:sz w:val="18"/>
                      <w:szCs w:val="18"/>
                    </w:rPr>
                  </w:pPr>
                  <w:r w:rsidRPr="00DA4CA5">
                    <w:rPr>
                      <w:color w:val="000000"/>
                      <w:sz w:val="18"/>
                      <w:szCs w:val="18"/>
                    </w:rPr>
                    <w:t>$0.08</w:t>
                  </w:r>
                </w:p>
              </w:tc>
              <w:tc>
                <w:tcPr>
                  <w:tcW w:w="331" w:type="pct"/>
                  <w:tcBorders>
                    <w:top w:val="nil"/>
                    <w:left w:val="nil"/>
                    <w:bottom w:val="single" w:sz="12" w:space="0" w:color="002776"/>
                    <w:right w:val="nil"/>
                  </w:tcBorders>
                  <w:vAlign w:val="center"/>
                </w:tcPr>
                <w:p w:rsidR="005378A6" w:rsidRPr="005378A6" w:rsidRDefault="005378A6" w:rsidP="005815D8">
                  <w:pPr>
                    <w:jc w:val="center"/>
                    <w:outlineLvl w:val="0"/>
                    <w:rPr>
                      <w:rFonts w:eastAsia="Arial" w:cs="Arial"/>
                      <w:color w:val="000000"/>
                      <w:kern w:val="24"/>
                      <w:sz w:val="18"/>
                      <w:szCs w:val="18"/>
                    </w:rPr>
                  </w:pPr>
                  <w:r w:rsidRPr="00DA4CA5">
                    <w:rPr>
                      <w:color w:val="000000"/>
                      <w:sz w:val="18"/>
                      <w:szCs w:val="18"/>
                    </w:rPr>
                    <w:t>$0.10</w:t>
                  </w:r>
                </w:p>
              </w:tc>
              <w:tc>
                <w:tcPr>
                  <w:tcW w:w="324" w:type="pct"/>
                  <w:tcBorders>
                    <w:top w:val="nil"/>
                    <w:left w:val="nil"/>
                    <w:bottom w:val="single" w:sz="12" w:space="0" w:color="002776"/>
                    <w:right w:val="nil"/>
                  </w:tcBorders>
                  <w:shd w:val="clear" w:color="auto" w:fill="auto"/>
                  <w:vAlign w:val="center"/>
                  <w:hideMark/>
                </w:tcPr>
                <w:p w:rsidR="005378A6" w:rsidRPr="005378A6" w:rsidRDefault="005378A6" w:rsidP="005815D8">
                  <w:pPr>
                    <w:jc w:val="center"/>
                    <w:outlineLvl w:val="0"/>
                    <w:rPr>
                      <w:rFonts w:asciiTheme="minorHAnsi" w:hAnsiTheme="minorHAnsi"/>
                      <w:b/>
                      <w:color w:val="002776" w:themeColor="accent1"/>
                      <w:sz w:val="18"/>
                      <w:szCs w:val="18"/>
                    </w:rPr>
                  </w:pPr>
                  <w:r w:rsidRPr="005378A6">
                    <w:rPr>
                      <w:b/>
                      <w:bCs/>
                      <w:color w:val="002776"/>
                      <w:sz w:val="18"/>
                      <w:szCs w:val="18"/>
                    </w:rPr>
                    <w:t>$0.14</w:t>
                  </w:r>
                </w:p>
              </w:tc>
            </w:tr>
          </w:tbl>
          <w:p w:rsidR="009C6C96" w:rsidRPr="00DA4CA5" w:rsidRDefault="009C6C96" w:rsidP="00DA4CA5">
            <w:pPr>
              <w:pStyle w:val="Bullet1"/>
              <w:numPr>
                <w:ilvl w:val="0"/>
                <w:numId w:val="0"/>
              </w:numPr>
              <w:ind w:left="360" w:hanging="360"/>
              <w:rPr>
                <w:sz w:val="20"/>
                <w:highlight w:val="yellow"/>
              </w:rPr>
            </w:pPr>
          </w:p>
          <w:p w:rsidR="009C6C96" w:rsidRPr="001E610C" w:rsidRDefault="009C6C96" w:rsidP="00DA4CA5">
            <w:pPr>
              <w:pStyle w:val="Bullet1"/>
              <w:numPr>
                <w:ilvl w:val="0"/>
                <w:numId w:val="0"/>
              </w:numPr>
              <w:ind w:left="360"/>
            </w:pPr>
          </w:p>
        </w:tc>
      </w:tr>
    </w:tbl>
    <w:p w:rsidR="009C6C96" w:rsidRPr="001E610C" w:rsidRDefault="00511F65" w:rsidP="001E610C">
      <w:pPr>
        <w:pStyle w:val="Heading2"/>
        <w:numPr>
          <w:ilvl w:val="1"/>
          <w:numId w:val="40"/>
        </w:numPr>
        <w:jc w:val="both"/>
        <w:rPr>
          <w:lang w:eastAsia="en-AU"/>
        </w:rPr>
      </w:pPr>
      <w:bookmarkStart w:id="62" w:name="_Ref460357876"/>
      <w:bookmarkStart w:id="63" w:name="_Toc452492906"/>
      <w:bookmarkStart w:id="64" w:name="_Toc457412179"/>
      <w:bookmarkStart w:id="65" w:name="_Toc465961199"/>
      <w:r>
        <w:rPr>
          <w:lang w:eastAsia="en-AU"/>
        </w:rPr>
        <w:t>Descriptive statistics and model</w:t>
      </w:r>
      <w:bookmarkEnd w:id="62"/>
      <w:bookmarkEnd w:id="63"/>
      <w:bookmarkEnd w:id="64"/>
      <w:bookmarkEnd w:id="65"/>
    </w:p>
    <w:p w:rsidR="00511F65" w:rsidRDefault="00511F65" w:rsidP="009C6C96">
      <w:pPr>
        <w:spacing w:before="240"/>
        <w:jc w:val="both"/>
        <w:rPr>
          <w:rStyle w:val="Boldword"/>
        </w:rPr>
      </w:pPr>
      <w:r>
        <w:rPr>
          <w:rStyle w:val="Boldword"/>
        </w:rPr>
        <w:t xml:space="preserve">Descriptive statistics </w:t>
      </w:r>
    </w:p>
    <w:p w:rsidR="005349BF" w:rsidRDefault="009C6C96" w:rsidP="009C6C96">
      <w:pPr>
        <w:spacing w:before="240"/>
        <w:jc w:val="both"/>
        <w:rPr>
          <w:lang w:eastAsia="en-AU"/>
        </w:rPr>
      </w:pPr>
      <w:r w:rsidRPr="001E610C">
        <w:rPr>
          <w:lang w:eastAsia="en-AU"/>
        </w:rPr>
        <w:lastRenderedPageBreak/>
        <w:t xml:space="preserve">This stream of econometric analysis aims to derive </w:t>
      </w:r>
      <w:r w:rsidR="00C47F73">
        <w:rPr>
          <w:lang w:eastAsia="en-AU"/>
        </w:rPr>
        <w:t>new</w:t>
      </w:r>
      <w:r w:rsidR="00C47F73" w:rsidRPr="001E610C">
        <w:rPr>
          <w:lang w:eastAsia="en-AU"/>
        </w:rPr>
        <w:t xml:space="preserve"> </w:t>
      </w:r>
      <w:r w:rsidRPr="001E610C">
        <w:rPr>
          <w:lang w:eastAsia="en-AU"/>
        </w:rPr>
        <w:t xml:space="preserve">estimates of the impact of higher education on wages and employment, </w:t>
      </w:r>
      <w:r w:rsidR="00C47F73">
        <w:rPr>
          <w:lang w:eastAsia="en-AU"/>
        </w:rPr>
        <w:t>building on</w:t>
      </w:r>
      <w:r w:rsidRPr="001E610C">
        <w:rPr>
          <w:lang w:eastAsia="en-AU"/>
        </w:rPr>
        <w:t xml:space="preserve"> the existing Australian literature</w:t>
      </w:r>
      <w:r w:rsidR="005349BF">
        <w:rPr>
          <w:lang w:eastAsia="en-AU"/>
        </w:rPr>
        <w:t xml:space="preserve"> characterised by</w:t>
      </w:r>
      <w:r w:rsidRPr="001E610C">
        <w:rPr>
          <w:lang w:eastAsia="en-AU"/>
        </w:rPr>
        <w:t xml:space="preserve"> Leigh (2008), Wilkins (2015), Sinning (2014) and Norton (2012).</w:t>
      </w:r>
      <w:r w:rsidR="005349BF">
        <w:rPr>
          <w:lang w:eastAsia="en-AU"/>
        </w:rPr>
        <w:t xml:space="preserve">  </w:t>
      </w:r>
      <w:r w:rsidRPr="001E610C">
        <w:rPr>
          <w:lang w:eastAsia="en-AU"/>
        </w:rPr>
        <w:t xml:space="preserve">This literature, as described in </w:t>
      </w:r>
      <w:r w:rsidR="00745596">
        <w:rPr>
          <w:lang w:eastAsia="en-AU"/>
        </w:rPr>
        <w:t>Section</w:t>
      </w:r>
      <w:r>
        <w:rPr>
          <w:lang w:eastAsia="en-AU"/>
        </w:rPr>
        <w:t xml:space="preserve"> 2, predominantly focuses on the returns to education by qualification level and provider type, and the link</w:t>
      </w:r>
      <w:r w:rsidR="005349BF">
        <w:rPr>
          <w:lang w:eastAsia="en-AU"/>
        </w:rPr>
        <w:t>s</w:t>
      </w:r>
      <w:r>
        <w:rPr>
          <w:lang w:eastAsia="en-AU"/>
        </w:rPr>
        <w:t xml:space="preserve"> between the two (when factors that may </w:t>
      </w:r>
      <w:r w:rsidR="005349BF">
        <w:rPr>
          <w:lang w:eastAsia="en-AU"/>
        </w:rPr>
        <w:t xml:space="preserve">also </w:t>
      </w:r>
      <w:r>
        <w:rPr>
          <w:lang w:eastAsia="en-AU"/>
        </w:rPr>
        <w:t>influence the impact of education on wages</w:t>
      </w:r>
      <w:r w:rsidR="005349BF">
        <w:rPr>
          <w:lang w:eastAsia="en-AU"/>
        </w:rPr>
        <w:t>,</w:t>
      </w:r>
      <w:r>
        <w:rPr>
          <w:lang w:eastAsia="en-AU"/>
        </w:rPr>
        <w:t xml:space="preserve"> </w:t>
      </w:r>
      <w:r w:rsidR="005349BF">
        <w:rPr>
          <w:lang w:eastAsia="en-AU"/>
        </w:rPr>
        <w:t xml:space="preserve">such as cognitive ability and demographic characteristics, </w:t>
      </w:r>
      <w:r>
        <w:rPr>
          <w:lang w:eastAsia="en-AU"/>
        </w:rPr>
        <w:t xml:space="preserve">are controlled for in the regression analysis). </w:t>
      </w:r>
    </w:p>
    <w:p w:rsidR="00CB0249" w:rsidRDefault="0080499C" w:rsidP="00DA4CA5">
      <w:pPr>
        <w:pStyle w:val="BodyText"/>
        <w:rPr>
          <w:lang w:eastAsia="en-AU"/>
        </w:rPr>
      </w:pPr>
      <w:r>
        <w:rPr>
          <w:lang w:eastAsia="en-AU"/>
        </w:rPr>
        <w:fldChar w:fldCharType="begin"/>
      </w:r>
      <w:r>
        <w:rPr>
          <w:lang w:eastAsia="en-AU"/>
        </w:rPr>
        <w:instrText xml:space="preserve"> REF _Ref462780486 \r \h </w:instrText>
      </w:r>
      <w:r>
        <w:rPr>
          <w:lang w:eastAsia="en-AU"/>
        </w:rPr>
      </w:r>
      <w:r>
        <w:rPr>
          <w:lang w:eastAsia="en-AU"/>
        </w:rPr>
        <w:fldChar w:fldCharType="separate"/>
      </w:r>
      <w:r w:rsidR="00534F9F">
        <w:rPr>
          <w:lang w:eastAsia="en-AU"/>
        </w:rPr>
        <w:t>Chart 4.2</w:t>
      </w:r>
      <w:r>
        <w:rPr>
          <w:lang w:eastAsia="en-AU"/>
        </w:rPr>
        <w:fldChar w:fldCharType="end"/>
      </w:r>
      <w:r w:rsidR="00C26CC3">
        <w:rPr>
          <w:lang w:eastAsia="en-AU"/>
        </w:rPr>
        <w:t xml:space="preserve"> and </w:t>
      </w:r>
      <w:r w:rsidR="00C26CC3">
        <w:rPr>
          <w:lang w:eastAsia="en-AU"/>
        </w:rPr>
        <w:fldChar w:fldCharType="begin"/>
      </w:r>
      <w:r w:rsidR="00C26CC3">
        <w:rPr>
          <w:lang w:eastAsia="en-AU"/>
        </w:rPr>
        <w:instrText xml:space="preserve"> REF _Ref458965728 \r \h </w:instrText>
      </w:r>
      <w:r w:rsidR="00C26CC3">
        <w:rPr>
          <w:lang w:eastAsia="en-AU"/>
        </w:rPr>
      </w:r>
      <w:r w:rsidR="00C26CC3">
        <w:rPr>
          <w:lang w:eastAsia="en-AU"/>
        </w:rPr>
        <w:fldChar w:fldCharType="separate"/>
      </w:r>
      <w:r w:rsidR="00534F9F">
        <w:rPr>
          <w:lang w:eastAsia="en-AU"/>
        </w:rPr>
        <w:t>Chart 4.2</w:t>
      </w:r>
      <w:r w:rsidR="00C26CC3">
        <w:rPr>
          <w:lang w:eastAsia="en-AU"/>
        </w:rPr>
        <w:fldChar w:fldCharType="end"/>
      </w:r>
      <w:r w:rsidR="00C26CC3">
        <w:rPr>
          <w:lang w:eastAsia="en-AU"/>
        </w:rPr>
        <w:t xml:space="preserve"> below use HILDA data to illustrate the differences in a</w:t>
      </w:r>
      <w:r w:rsidR="009C6C96">
        <w:rPr>
          <w:lang w:eastAsia="en-AU"/>
        </w:rPr>
        <w:t>verage wages</w:t>
      </w:r>
      <w:r w:rsidR="00C26CC3">
        <w:rPr>
          <w:lang w:eastAsia="en-AU"/>
        </w:rPr>
        <w:t xml:space="preserve"> across q</w:t>
      </w:r>
      <w:r w:rsidR="009C6C96">
        <w:rPr>
          <w:lang w:eastAsia="en-AU"/>
        </w:rPr>
        <w:t>ualification levels</w:t>
      </w:r>
      <w:r w:rsidR="00C26CC3">
        <w:rPr>
          <w:lang w:eastAsia="en-AU"/>
        </w:rPr>
        <w:t xml:space="preserve"> and study disciplines.</w:t>
      </w:r>
      <w:r w:rsidR="007C0EEC">
        <w:t xml:space="preserve"> </w:t>
      </w:r>
      <w:r w:rsidR="00C26CC3">
        <w:t>These raw differences, however, also</w:t>
      </w:r>
      <w:r w:rsidR="007C0EEC">
        <w:t xml:space="preserve"> reflect</w:t>
      </w:r>
      <w:r w:rsidR="00C26CC3">
        <w:t xml:space="preserve"> differences in the characteristics of the people in the HILDA dataset, </w:t>
      </w:r>
      <w:r w:rsidR="007C0EEC">
        <w:t xml:space="preserve">such as demographics and cognitive ability. These </w:t>
      </w:r>
      <w:r w:rsidR="00C26CC3">
        <w:t>characteristics should</w:t>
      </w:r>
      <w:r w:rsidR="007C0EEC">
        <w:t xml:space="preserve"> be </w:t>
      </w:r>
      <w:r w:rsidR="00C26CC3">
        <w:t>taken into ac</w:t>
      </w:r>
      <w:r w:rsidR="007C0EEC">
        <w:t>count</w:t>
      </w:r>
      <w:r w:rsidR="00C26CC3">
        <w:t xml:space="preserve"> </w:t>
      </w:r>
      <w:r w:rsidR="007C0EEC">
        <w:t>to estimate the benefits of the qualification</w:t>
      </w:r>
      <w:r w:rsidR="00C26CC3">
        <w:t>s</w:t>
      </w:r>
      <w:r w:rsidR="007C0EEC">
        <w:t xml:space="preserve"> </w:t>
      </w:r>
      <w:r w:rsidR="00C26CC3">
        <w:t>themselves.</w:t>
      </w:r>
    </w:p>
    <w:p w:rsidR="009C6C96" w:rsidRDefault="009C6C96" w:rsidP="007E622B">
      <w:pPr>
        <w:pStyle w:val="CaptionChart"/>
        <w:numPr>
          <w:ilvl w:val="7"/>
          <w:numId w:val="8"/>
        </w:numPr>
        <w:ind w:left="0"/>
        <w:rPr>
          <w:lang w:eastAsia="en-AU"/>
        </w:rPr>
      </w:pPr>
      <w:bookmarkStart w:id="66" w:name="_Ref457337676"/>
      <w:bookmarkStart w:id="67" w:name="_Toc457375692"/>
      <w:bookmarkStart w:id="68" w:name="_Ref458965725"/>
      <w:bookmarkStart w:id="69" w:name="_Ref462780486"/>
      <w:bookmarkStart w:id="70" w:name="_Toc465961151"/>
      <w:r>
        <w:rPr>
          <w:lang w:eastAsia="en-AU"/>
        </w:rPr>
        <w:t xml:space="preserve">: Average </w:t>
      </w:r>
      <w:r w:rsidR="00F55D66">
        <w:rPr>
          <w:lang w:eastAsia="en-AU"/>
        </w:rPr>
        <w:t xml:space="preserve">weekly </w:t>
      </w:r>
      <w:r w:rsidR="00511F65">
        <w:rPr>
          <w:lang w:eastAsia="en-AU"/>
        </w:rPr>
        <w:t xml:space="preserve">real </w:t>
      </w:r>
      <w:r>
        <w:rPr>
          <w:lang w:eastAsia="en-AU"/>
        </w:rPr>
        <w:t>wages by qualification level</w:t>
      </w:r>
      <w:bookmarkEnd w:id="66"/>
      <w:r>
        <w:rPr>
          <w:lang w:eastAsia="en-AU"/>
        </w:rPr>
        <w:t xml:space="preserve"> (full-time employees</w:t>
      </w:r>
      <w:r w:rsidR="00511F65">
        <w:rPr>
          <w:lang w:eastAsia="en-AU"/>
        </w:rPr>
        <w:t xml:space="preserve"> only</w:t>
      </w:r>
      <w:r>
        <w:rPr>
          <w:lang w:eastAsia="en-AU"/>
        </w:rPr>
        <w:t>)</w:t>
      </w:r>
      <w:bookmarkEnd w:id="67"/>
      <w:bookmarkEnd w:id="68"/>
      <w:bookmarkEnd w:id="69"/>
      <w:bookmarkEnd w:id="70"/>
      <w:r>
        <w:rPr>
          <w:lang w:eastAsia="en-AU"/>
        </w:rPr>
        <w:t xml:space="preserve"> </w:t>
      </w:r>
    </w:p>
    <w:p w:rsidR="0003480A" w:rsidRDefault="0003480A" w:rsidP="0003480A">
      <w:pPr>
        <w:pStyle w:val="BodyText"/>
      </w:pPr>
      <w:r>
        <w:rPr>
          <w:noProof/>
          <w:lang w:eastAsia="en-AU"/>
        </w:rPr>
        <w:drawing>
          <wp:inline distT="0" distB="0" distL="0" distR="0" wp14:anchorId="0F28067F" wp14:editId="0D8DF1EF">
            <wp:extent cx="5220335" cy="2909426"/>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0335" cy="2909426"/>
                    </a:xfrm>
                    <a:prstGeom prst="rect">
                      <a:avLst/>
                    </a:prstGeom>
                    <a:noFill/>
                  </pic:spPr>
                </pic:pic>
              </a:graphicData>
            </a:graphic>
          </wp:inline>
        </w:drawing>
      </w:r>
    </w:p>
    <w:p w:rsidR="009C6C96" w:rsidRDefault="009C6C96" w:rsidP="009C6C96">
      <w:pPr>
        <w:pStyle w:val="Source"/>
        <w:rPr>
          <w:lang w:eastAsia="en-AU"/>
        </w:rPr>
      </w:pPr>
      <w:r>
        <w:rPr>
          <w:lang w:eastAsia="en-AU"/>
        </w:rPr>
        <w:t>Source: HILDA, Deloitte Access Economics calculations</w:t>
      </w:r>
      <w:r w:rsidR="004D27AE">
        <w:t>. Observations of wages from 2001-2014 are scaled to 2011-12 real dollars</w:t>
      </w:r>
      <w:r w:rsidR="00C16F98">
        <w:t>, for equivalence with ABS Census data</w:t>
      </w:r>
    </w:p>
    <w:p w:rsidR="009C6C96" w:rsidRDefault="00511F65" w:rsidP="009C6C96">
      <w:pPr>
        <w:spacing w:before="240"/>
        <w:jc w:val="both"/>
        <w:rPr>
          <w:lang w:eastAsia="en-AU"/>
        </w:rPr>
      </w:pPr>
      <w:r>
        <w:rPr>
          <w:lang w:eastAsia="en-AU"/>
        </w:rPr>
        <w:fldChar w:fldCharType="begin"/>
      </w:r>
      <w:r>
        <w:rPr>
          <w:lang w:eastAsia="en-AU"/>
        </w:rPr>
        <w:instrText xml:space="preserve"> REF _Ref457337607 \r \h </w:instrText>
      </w:r>
      <w:r>
        <w:rPr>
          <w:lang w:eastAsia="en-AU"/>
        </w:rPr>
      </w:r>
      <w:r>
        <w:rPr>
          <w:lang w:eastAsia="en-AU"/>
        </w:rPr>
        <w:fldChar w:fldCharType="separate"/>
      </w:r>
      <w:r w:rsidR="00534F9F">
        <w:rPr>
          <w:lang w:eastAsia="en-AU"/>
        </w:rPr>
        <w:t>Chart 4.2</w:t>
      </w:r>
      <w:r>
        <w:rPr>
          <w:lang w:eastAsia="en-AU"/>
        </w:rPr>
        <w:fldChar w:fldCharType="end"/>
      </w:r>
      <w:r>
        <w:rPr>
          <w:lang w:eastAsia="en-AU"/>
        </w:rPr>
        <w:t xml:space="preserve"> illustrates observed weekly real wages for full-time employees, by field of education and gender. </w:t>
      </w:r>
      <w:r w:rsidR="009C6C96">
        <w:rPr>
          <w:lang w:eastAsia="en-AU"/>
        </w:rPr>
        <w:t>This analysis extends the existing literature by examining whether the</w:t>
      </w:r>
      <w:r>
        <w:rPr>
          <w:lang w:eastAsia="en-AU"/>
        </w:rPr>
        <w:t>se</w:t>
      </w:r>
      <w:r w:rsidR="009C6C96">
        <w:rPr>
          <w:lang w:eastAsia="en-AU"/>
        </w:rPr>
        <w:t xml:space="preserve"> returns to education systematically differ by field of education</w:t>
      </w:r>
      <w:r w:rsidR="00C26CC3">
        <w:rPr>
          <w:lang w:eastAsia="en-AU"/>
        </w:rPr>
        <w:t xml:space="preserve"> – </w:t>
      </w:r>
      <w:r w:rsidR="009C6C96">
        <w:rPr>
          <w:lang w:eastAsia="en-AU"/>
        </w:rPr>
        <w:t>in the Australian context</w:t>
      </w:r>
      <w:r w:rsidR="004837F2">
        <w:rPr>
          <w:lang w:eastAsia="en-AU"/>
        </w:rPr>
        <w:t xml:space="preserve"> </w:t>
      </w:r>
      <w:r w:rsidR="009C6C96">
        <w:rPr>
          <w:lang w:eastAsia="en-AU"/>
        </w:rPr>
        <w:t>using HILDA data</w:t>
      </w:r>
      <w:r w:rsidR="004837F2">
        <w:rPr>
          <w:lang w:eastAsia="en-AU"/>
        </w:rPr>
        <w:t xml:space="preserve">, </w:t>
      </w:r>
      <w:r w:rsidR="00C26CC3">
        <w:rPr>
          <w:lang w:eastAsia="en-AU"/>
        </w:rPr>
        <w:t>and</w:t>
      </w:r>
      <w:r w:rsidR="004837F2">
        <w:rPr>
          <w:lang w:eastAsia="en-AU"/>
        </w:rPr>
        <w:t xml:space="preserve"> </w:t>
      </w:r>
      <w:r w:rsidR="009C6C96">
        <w:rPr>
          <w:lang w:eastAsia="en-AU"/>
        </w:rPr>
        <w:t>after controlling for individual level characteristics</w:t>
      </w:r>
      <w:r>
        <w:rPr>
          <w:lang w:eastAsia="en-AU"/>
        </w:rPr>
        <w:t xml:space="preserve"> – the results of which are presented in Section </w:t>
      </w:r>
      <w:r>
        <w:rPr>
          <w:lang w:eastAsia="en-AU"/>
        </w:rPr>
        <w:fldChar w:fldCharType="begin"/>
      </w:r>
      <w:r>
        <w:rPr>
          <w:lang w:eastAsia="en-AU"/>
        </w:rPr>
        <w:instrText xml:space="preserve"> REF _Ref460352304 \r \h </w:instrText>
      </w:r>
      <w:r>
        <w:rPr>
          <w:lang w:eastAsia="en-AU"/>
        </w:rPr>
      </w:r>
      <w:r>
        <w:rPr>
          <w:lang w:eastAsia="en-AU"/>
        </w:rPr>
        <w:fldChar w:fldCharType="separate"/>
      </w:r>
      <w:r w:rsidR="00534F9F">
        <w:rPr>
          <w:lang w:eastAsia="en-AU"/>
        </w:rPr>
        <w:t>4.2</w:t>
      </w:r>
      <w:r>
        <w:rPr>
          <w:lang w:eastAsia="en-AU"/>
        </w:rPr>
        <w:fldChar w:fldCharType="end"/>
      </w:r>
      <w:r>
        <w:rPr>
          <w:lang w:eastAsia="en-AU"/>
        </w:rPr>
        <w:t xml:space="preserve">. </w:t>
      </w:r>
      <w:r w:rsidR="009C6C96">
        <w:rPr>
          <w:lang w:eastAsia="en-AU"/>
        </w:rPr>
        <w:t xml:space="preserve"> </w:t>
      </w:r>
    </w:p>
    <w:p w:rsidR="009C6C96" w:rsidRDefault="009C6C96" w:rsidP="007E622B">
      <w:pPr>
        <w:pStyle w:val="CaptionChart"/>
        <w:numPr>
          <w:ilvl w:val="7"/>
          <w:numId w:val="8"/>
        </w:numPr>
        <w:ind w:left="0"/>
        <w:rPr>
          <w:lang w:eastAsia="en-AU"/>
        </w:rPr>
      </w:pPr>
      <w:bookmarkStart w:id="71" w:name="_Toc461018733"/>
      <w:bookmarkStart w:id="72" w:name="_Toc461083971"/>
      <w:bookmarkStart w:id="73" w:name="_Toc461103955"/>
      <w:bookmarkStart w:id="74" w:name="_Ref457337607"/>
      <w:bookmarkStart w:id="75" w:name="_Toc457375693"/>
      <w:bookmarkStart w:id="76" w:name="_Ref458965728"/>
      <w:bookmarkStart w:id="77" w:name="_Toc465961152"/>
      <w:bookmarkEnd w:id="71"/>
      <w:bookmarkEnd w:id="72"/>
      <w:bookmarkEnd w:id="73"/>
      <w:r>
        <w:rPr>
          <w:lang w:eastAsia="en-AU"/>
        </w:rPr>
        <w:lastRenderedPageBreak/>
        <w:t xml:space="preserve">: Average weekly </w:t>
      </w:r>
      <w:r w:rsidR="00511F65">
        <w:rPr>
          <w:lang w:eastAsia="en-AU"/>
        </w:rPr>
        <w:t>real</w:t>
      </w:r>
      <w:r>
        <w:rPr>
          <w:lang w:eastAsia="en-AU"/>
        </w:rPr>
        <w:t xml:space="preserve"> wages by field of education</w:t>
      </w:r>
      <w:bookmarkEnd w:id="74"/>
      <w:r>
        <w:rPr>
          <w:lang w:eastAsia="en-AU"/>
        </w:rPr>
        <w:t xml:space="preserve"> (full-time employees</w:t>
      </w:r>
      <w:r w:rsidR="00511F65">
        <w:rPr>
          <w:lang w:eastAsia="en-AU"/>
        </w:rPr>
        <w:t xml:space="preserve"> only</w:t>
      </w:r>
      <w:r>
        <w:rPr>
          <w:lang w:eastAsia="en-AU"/>
        </w:rPr>
        <w:t>)</w:t>
      </w:r>
      <w:bookmarkEnd w:id="75"/>
      <w:bookmarkEnd w:id="76"/>
      <w:bookmarkEnd w:id="77"/>
    </w:p>
    <w:p w:rsidR="009C6C96" w:rsidRDefault="0003480A" w:rsidP="009C6C96">
      <w:pPr>
        <w:spacing w:before="240"/>
        <w:jc w:val="center"/>
        <w:rPr>
          <w:lang w:eastAsia="en-AU"/>
        </w:rPr>
      </w:pPr>
      <w:r>
        <w:rPr>
          <w:noProof/>
          <w:lang w:eastAsia="en-AU"/>
        </w:rPr>
        <w:drawing>
          <wp:inline distT="0" distB="0" distL="0" distR="0" wp14:anchorId="19870F5B" wp14:editId="6D64CC01">
            <wp:extent cx="5220335" cy="2981342"/>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0335" cy="2981342"/>
                    </a:xfrm>
                    <a:prstGeom prst="rect">
                      <a:avLst/>
                    </a:prstGeom>
                    <a:noFill/>
                  </pic:spPr>
                </pic:pic>
              </a:graphicData>
            </a:graphic>
          </wp:inline>
        </w:drawing>
      </w:r>
    </w:p>
    <w:p w:rsidR="009C6C96" w:rsidRDefault="009C6C96" w:rsidP="009C6C96">
      <w:pPr>
        <w:pStyle w:val="Source"/>
        <w:rPr>
          <w:lang w:eastAsia="en-AU"/>
        </w:rPr>
      </w:pPr>
      <w:r>
        <w:rPr>
          <w:lang w:eastAsia="en-AU"/>
        </w:rPr>
        <w:t>Source: HILDA, Deloitte Access Economics calculations</w:t>
      </w:r>
      <w:r w:rsidR="004D27AE">
        <w:t>. Observations of wages from 2001-2014 are scaled to 2011-12 real dollars</w:t>
      </w:r>
      <w:r w:rsidR="00C16F98">
        <w:t>, for equivalence with ABS</w:t>
      </w:r>
      <w:r w:rsidR="00C16F98" w:rsidRPr="00C16F98">
        <w:t xml:space="preserve"> </w:t>
      </w:r>
      <w:r w:rsidR="00C16F98">
        <w:t>Census data</w:t>
      </w:r>
    </w:p>
    <w:p w:rsidR="005C424F" w:rsidRDefault="005C424F" w:rsidP="00DA4CA5">
      <w:pPr>
        <w:pStyle w:val="BodyText"/>
        <w:rPr>
          <w:lang w:eastAsia="en-AU"/>
        </w:rPr>
      </w:pPr>
      <w:r>
        <w:rPr>
          <w:lang w:eastAsia="en-AU"/>
        </w:rPr>
        <w:t>Note that the fields of education available in the HILDA dataset are a somewhat more disaggregated version of the broad ASCED fields of education – such that there are 14 fields of education in HILDA, rather than the 12 ASCED fields. In the remainder of this analysis, some of these HILDA fields are aggregated together – namely:</w:t>
      </w:r>
    </w:p>
    <w:p w:rsidR="005C424F" w:rsidRDefault="005C424F" w:rsidP="00DA4CA5">
      <w:pPr>
        <w:pStyle w:val="Bullet1"/>
      </w:pPr>
      <w:r>
        <w:t xml:space="preserve">Creative Arts and Society and Culture (excluding Law) into Arts; </w:t>
      </w:r>
    </w:p>
    <w:p w:rsidR="005C424F" w:rsidRDefault="005C424F" w:rsidP="00DA4CA5">
      <w:pPr>
        <w:pStyle w:val="Bullet1"/>
      </w:pPr>
      <w:r>
        <w:t xml:space="preserve">Natural Science and Agriculture into Science; </w:t>
      </w:r>
    </w:p>
    <w:p w:rsidR="005C424F" w:rsidRDefault="005C424F" w:rsidP="00DA4CA5">
      <w:pPr>
        <w:pStyle w:val="Bullet1"/>
      </w:pPr>
      <w:r>
        <w:t xml:space="preserve">Engineering and Architecture into Engineering; and </w:t>
      </w:r>
    </w:p>
    <w:p w:rsidR="005C424F" w:rsidRDefault="005C424F" w:rsidP="00DA4CA5">
      <w:pPr>
        <w:pStyle w:val="Bullet1"/>
      </w:pPr>
      <w:r>
        <w:t>Food and Hospitality and Other into</w:t>
      </w:r>
      <w:r w:rsidR="00032AF2">
        <w:t xml:space="preserve"> Food and Hospitality</w:t>
      </w:r>
      <w:r>
        <w:t xml:space="preserve">. </w:t>
      </w:r>
    </w:p>
    <w:p w:rsidR="00511F65" w:rsidRPr="00DA4CA5" w:rsidRDefault="00511F65" w:rsidP="009C6C96">
      <w:pPr>
        <w:spacing w:before="240"/>
        <w:jc w:val="both"/>
        <w:rPr>
          <w:rStyle w:val="Boldword"/>
        </w:rPr>
      </w:pPr>
      <w:r w:rsidRPr="00DA4CA5">
        <w:rPr>
          <w:rStyle w:val="Boldword"/>
        </w:rPr>
        <w:t>Empirical model</w:t>
      </w:r>
    </w:p>
    <w:p w:rsidR="009C6C96" w:rsidRDefault="009C6C96" w:rsidP="009C6C96">
      <w:pPr>
        <w:spacing w:before="240"/>
        <w:jc w:val="both"/>
        <w:rPr>
          <w:lang w:eastAsia="en-AU"/>
        </w:rPr>
      </w:pPr>
      <w:r>
        <w:rPr>
          <w:lang w:eastAsia="en-AU"/>
        </w:rPr>
        <w:t xml:space="preserve">The </w:t>
      </w:r>
      <w:r w:rsidR="00C26CC3">
        <w:rPr>
          <w:lang w:eastAsia="en-AU"/>
        </w:rPr>
        <w:t xml:space="preserve">specification </w:t>
      </w:r>
      <w:r>
        <w:rPr>
          <w:lang w:eastAsia="en-AU"/>
        </w:rPr>
        <w:t xml:space="preserve">chosen for the earnings model (conditional on employment) is estimated as an ‘augmented Mincer equation’, </w:t>
      </w:r>
      <w:r w:rsidR="00511F65">
        <w:rPr>
          <w:lang w:eastAsia="en-AU"/>
        </w:rPr>
        <w:t>based on Mincer’s (1974) seminal work on the relationsh</w:t>
      </w:r>
      <w:r w:rsidR="005C424F">
        <w:rPr>
          <w:lang w:eastAsia="en-AU"/>
        </w:rPr>
        <w:t>ip between education and wages, and is augmented by key demographic and cognitive ability variables</w:t>
      </w:r>
      <w:r>
        <w:rPr>
          <w:lang w:eastAsia="en-AU"/>
        </w:rPr>
        <w:t xml:space="preserve">. The method used to estimate the effect of education on wages is a pooled OLS regression that utilises data from all waves of the HILDA survey. Standard errors are clustered at the individual level, to account for the likelihood that an individual’s wage in </w:t>
      </w:r>
      <w:r w:rsidR="00C26CC3">
        <w:rPr>
          <w:lang w:eastAsia="en-AU"/>
        </w:rPr>
        <w:t xml:space="preserve">each </w:t>
      </w:r>
      <w:r>
        <w:rPr>
          <w:lang w:eastAsia="en-AU"/>
        </w:rPr>
        <w:t xml:space="preserve">period is correlated with their wage in the </w:t>
      </w:r>
      <w:r w:rsidR="00C26CC3">
        <w:rPr>
          <w:lang w:eastAsia="en-AU"/>
        </w:rPr>
        <w:t xml:space="preserve">other </w:t>
      </w:r>
      <w:r>
        <w:rPr>
          <w:lang w:eastAsia="en-AU"/>
        </w:rPr>
        <w:t>period</w:t>
      </w:r>
      <w:r w:rsidR="00C26CC3">
        <w:rPr>
          <w:lang w:eastAsia="en-AU"/>
        </w:rPr>
        <w:t>s</w:t>
      </w:r>
      <w:r>
        <w:rPr>
          <w:lang w:eastAsia="en-AU"/>
        </w:rPr>
        <w:t xml:space="preserve">.  </w:t>
      </w:r>
    </w:p>
    <w:p w:rsidR="0078394D" w:rsidRDefault="009C6C96" w:rsidP="009C6C96">
      <w:pPr>
        <w:spacing w:before="240"/>
        <w:jc w:val="both"/>
        <w:rPr>
          <w:lang w:eastAsia="en-AU"/>
        </w:rPr>
      </w:pPr>
      <w:r>
        <w:rPr>
          <w:lang w:eastAsia="en-AU"/>
        </w:rPr>
        <w:t xml:space="preserve">The </w:t>
      </w:r>
      <w:r w:rsidR="0078394D">
        <w:rPr>
          <w:lang w:eastAsia="en-AU"/>
        </w:rPr>
        <w:t xml:space="preserve">employment and participation models estimate the effect of higher education (including qualification level and field of education) on the likelihood of an individual to be employed, or participate in the labour force. These models are estimated using a </w:t>
      </w:r>
      <w:r w:rsidR="00F372EE">
        <w:rPr>
          <w:lang w:eastAsia="en-AU"/>
        </w:rPr>
        <w:t>linear probability model</w:t>
      </w:r>
      <w:r w:rsidR="0078394D">
        <w:rPr>
          <w:lang w:eastAsia="en-AU"/>
        </w:rPr>
        <w:t xml:space="preserve">, which isolates the effect of higher education and controls for demographic and cognitive ability characteristics. Standard errors are similarly clustered at the individual level. </w:t>
      </w:r>
    </w:p>
    <w:p w:rsidR="009C6C96" w:rsidRDefault="005C424F" w:rsidP="009C6C96">
      <w:pPr>
        <w:spacing w:before="240"/>
        <w:jc w:val="both"/>
        <w:rPr>
          <w:lang w:eastAsia="en-AU"/>
        </w:rPr>
      </w:pPr>
      <w:r>
        <w:rPr>
          <w:lang w:eastAsia="en-AU"/>
        </w:rPr>
        <w:t>A full description of the variables included in the model</w:t>
      </w:r>
      <w:r w:rsidR="00A973D0">
        <w:rPr>
          <w:lang w:eastAsia="en-AU"/>
        </w:rPr>
        <w:t>s</w:t>
      </w:r>
      <w:r>
        <w:rPr>
          <w:lang w:eastAsia="en-AU"/>
        </w:rPr>
        <w:t xml:space="preserve">, the </w:t>
      </w:r>
      <w:r w:rsidR="009C6C96">
        <w:rPr>
          <w:lang w:eastAsia="en-AU"/>
        </w:rPr>
        <w:t xml:space="preserve">full specification of the </w:t>
      </w:r>
      <w:r w:rsidR="00A973D0">
        <w:rPr>
          <w:lang w:eastAsia="en-AU"/>
        </w:rPr>
        <w:t xml:space="preserve">wage, </w:t>
      </w:r>
      <w:r w:rsidR="009C6C96">
        <w:rPr>
          <w:lang w:eastAsia="en-AU"/>
        </w:rPr>
        <w:t xml:space="preserve">employment </w:t>
      </w:r>
      <w:r w:rsidR="00A973D0">
        <w:rPr>
          <w:lang w:eastAsia="en-AU"/>
        </w:rPr>
        <w:t xml:space="preserve">and labour force participation </w:t>
      </w:r>
      <w:r w:rsidR="009C6C96">
        <w:rPr>
          <w:lang w:eastAsia="en-AU"/>
        </w:rPr>
        <w:t>model</w:t>
      </w:r>
      <w:r w:rsidR="00A973D0">
        <w:rPr>
          <w:lang w:eastAsia="en-AU"/>
        </w:rPr>
        <w:t>s</w:t>
      </w:r>
      <w:r w:rsidR="009C6C96">
        <w:rPr>
          <w:lang w:eastAsia="en-AU"/>
        </w:rPr>
        <w:t xml:space="preserve"> used </w:t>
      </w:r>
      <w:r w:rsidR="00A973D0">
        <w:rPr>
          <w:lang w:eastAsia="en-AU"/>
        </w:rPr>
        <w:t>are</w:t>
      </w:r>
      <w:r w:rsidR="0016248B">
        <w:rPr>
          <w:lang w:eastAsia="en-AU"/>
        </w:rPr>
        <w:t xml:space="preserve"> </w:t>
      </w:r>
      <w:r w:rsidR="009C6C96">
        <w:rPr>
          <w:lang w:eastAsia="en-AU"/>
        </w:rPr>
        <w:t xml:space="preserve">reported in </w:t>
      </w:r>
      <w:r w:rsidR="00E5330A">
        <w:rPr>
          <w:lang w:eastAsia="en-AU"/>
        </w:rPr>
        <w:t>Appendix B</w:t>
      </w:r>
      <w:r w:rsidR="009C6C96">
        <w:rPr>
          <w:lang w:eastAsia="en-AU"/>
        </w:rPr>
        <w:t xml:space="preserve">. Various </w:t>
      </w:r>
      <w:r w:rsidR="009C6C96">
        <w:rPr>
          <w:lang w:eastAsia="en-AU"/>
        </w:rPr>
        <w:lastRenderedPageBreak/>
        <w:t xml:space="preserve">specifications of </w:t>
      </w:r>
      <w:r w:rsidR="00A973D0">
        <w:rPr>
          <w:lang w:eastAsia="en-AU"/>
        </w:rPr>
        <w:t>each</w:t>
      </w:r>
      <w:r w:rsidR="009C6C96">
        <w:rPr>
          <w:lang w:eastAsia="en-AU"/>
        </w:rPr>
        <w:t xml:space="preserve"> model were tested, and the rationale for the final specification</w:t>
      </w:r>
      <w:r w:rsidR="00A973D0">
        <w:rPr>
          <w:lang w:eastAsia="en-AU"/>
        </w:rPr>
        <w:t>s</w:t>
      </w:r>
      <w:r w:rsidR="009C6C96">
        <w:rPr>
          <w:lang w:eastAsia="en-AU"/>
        </w:rPr>
        <w:t xml:space="preserve"> chosen </w:t>
      </w:r>
      <w:r w:rsidR="00A973D0">
        <w:rPr>
          <w:lang w:eastAsia="en-AU"/>
        </w:rPr>
        <w:t xml:space="preserve">are </w:t>
      </w:r>
      <w:r w:rsidR="009C6C96">
        <w:rPr>
          <w:lang w:eastAsia="en-AU"/>
        </w:rPr>
        <w:t>also included in</w:t>
      </w:r>
      <w:r w:rsidR="00E5330A">
        <w:rPr>
          <w:lang w:eastAsia="en-AU"/>
        </w:rPr>
        <w:t xml:space="preserve"> Appendix B</w:t>
      </w:r>
      <w:r w:rsidR="009C6C96">
        <w:rPr>
          <w:lang w:eastAsia="en-AU"/>
        </w:rPr>
        <w:t xml:space="preserve">. </w:t>
      </w:r>
    </w:p>
    <w:p w:rsidR="009C6C96" w:rsidRDefault="009C6C96" w:rsidP="009C6C96">
      <w:pPr>
        <w:pStyle w:val="Heading2"/>
        <w:numPr>
          <w:ilvl w:val="1"/>
          <w:numId w:val="8"/>
        </w:numPr>
        <w:jc w:val="both"/>
        <w:rPr>
          <w:lang w:eastAsia="en-AU"/>
        </w:rPr>
      </w:pPr>
      <w:bookmarkStart w:id="78" w:name="_Toc452492907"/>
      <w:bookmarkStart w:id="79" w:name="_Toc457412180"/>
      <w:bookmarkStart w:id="80" w:name="_Ref460352304"/>
      <w:bookmarkStart w:id="81" w:name="_Toc465961200"/>
      <w:r>
        <w:rPr>
          <w:lang w:eastAsia="en-AU"/>
        </w:rPr>
        <w:t>Results</w:t>
      </w:r>
      <w:bookmarkEnd w:id="78"/>
      <w:r>
        <w:rPr>
          <w:lang w:eastAsia="en-AU"/>
        </w:rPr>
        <w:t xml:space="preserve"> and discussion</w:t>
      </w:r>
      <w:bookmarkEnd w:id="79"/>
      <w:bookmarkEnd w:id="80"/>
      <w:bookmarkEnd w:id="81"/>
    </w:p>
    <w:p w:rsidR="009C6C96" w:rsidRDefault="009C6C96" w:rsidP="009C6C96">
      <w:pPr>
        <w:pStyle w:val="BodyText"/>
        <w:rPr>
          <w:lang w:eastAsia="en-AU"/>
        </w:rPr>
      </w:pPr>
      <w:r>
        <w:rPr>
          <w:lang w:eastAsia="en-AU"/>
        </w:rPr>
        <w:t>This section presents the results of the econometric analysis of the private returns to higher education</w:t>
      </w:r>
      <w:r w:rsidR="00C26CC3">
        <w:rPr>
          <w:lang w:eastAsia="en-AU"/>
        </w:rPr>
        <w:t>, focussing on</w:t>
      </w:r>
      <w:r>
        <w:rPr>
          <w:lang w:eastAsia="en-AU"/>
        </w:rPr>
        <w:t xml:space="preserve">: </w:t>
      </w:r>
    </w:p>
    <w:p w:rsidR="009C6C96" w:rsidRDefault="009C6C96" w:rsidP="009C6C96">
      <w:pPr>
        <w:pStyle w:val="Bullet1"/>
      </w:pPr>
      <w:r w:rsidRPr="00DA4CA5">
        <w:rPr>
          <w:i/>
        </w:rPr>
        <w:t>wage premiums</w:t>
      </w:r>
      <w:r>
        <w:t xml:space="preserve"> from higher education, </w:t>
      </w:r>
      <w:r w:rsidR="00215376">
        <w:t xml:space="preserve">and impact of higher education qualifications on the likelihood of </w:t>
      </w:r>
      <w:r w:rsidR="00215376" w:rsidRPr="00DA4CA5">
        <w:rPr>
          <w:i/>
        </w:rPr>
        <w:t>employment</w:t>
      </w:r>
      <w:r w:rsidR="00215376">
        <w:t xml:space="preserve"> and </w:t>
      </w:r>
      <w:r w:rsidR="00215376" w:rsidRPr="00DA4CA5">
        <w:rPr>
          <w:i/>
        </w:rPr>
        <w:t>labour force participation</w:t>
      </w:r>
      <w:r>
        <w:t>, by qualification level and field of education</w:t>
      </w:r>
      <w:r w:rsidR="00A973D0">
        <w:t xml:space="preserve"> (Section </w:t>
      </w:r>
      <w:r w:rsidR="00A973D0">
        <w:fldChar w:fldCharType="begin"/>
      </w:r>
      <w:r w:rsidR="00A973D0">
        <w:instrText xml:space="preserve"> REF _Ref460353934 \r \h </w:instrText>
      </w:r>
      <w:r w:rsidR="00A973D0">
        <w:fldChar w:fldCharType="separate"/>
      </w:r>
      <w:r w:rsidR="00534F9F">
        <w:t>4.2.1</w:t>
      </w:r>
      <w:r w:rsidR="00A973D0">
        <w:fldChar w:fldCharType="end"/>
      </w:r>
      <w:r w:rsidR="00A973D0">
        <w:t>)</w:t>
      </w:r>
      <w:r>
        <w:t>;</w:t>
      </w:r>
    </w:p>
    <w:p w:rsidR="009C6C96" w:rsidRDefault="009C6C96" w:rsidP="009C6C96">
      <w:pPr>
        <w:pStyle w:val="Bullet1"/>
      </w:pPr>
      <w:r>
        <w:t xml:space="preserve">the share of observed </w:t>
      </w:r>
      <w:r w:rsidRPr="00DA4CA5">
        <w:rPr>
          <w:i/>
        </w:rPr>
        <w:t>wage premiums attributable to the qualification</w:t>
      </w:r>
      <w:r>
        <w:t xml:space="preserve"> (</w:t>
      </w:r>
      <w:r w:rsidR="001F2B1F">
        <w:t xml:space="preserve">taking into consideration the likelihood of employment and labour force participation, </w:t>
      </w:r>
      <w:r>
        <w:t>as opposed to other factors such as demographics)</w:t>
      </w:r>
      <w:r w:rsidR="00A973D0">
        <w:t xml:space="preserve"> (Section </w:t>
      </w:r>
      <w:r w:rsidR="00A973D0">
        <w:fldChar w:fldCharType="begin"/>
      </w:r>
      <w:r w:rsidR="00A973D0">
        <w:instrText xml:space="preserve"> REF _Ref460353955 \r \h </w:instrText>
      </w:r>
      <w:r w:rsidR="00A973D0">
        <w:fldChar w:fldCharType="separate"/>
      </w:r>
      <w:r w:rsidR="00534F9F">
        <w:t>4.2.2</w:t>
      </w:r>
      <w:r w:rsidR="00A973D0">
        <w:fldChar w:fldCharType="end"/>
      </w:r>
      <w:r w:rsidR="00A973D0">
        <w:t>)</w:t>
      </w:r>
      <w:r>
        <w:t xml:space="preserve">; and </w:t>
      </w:r>
    </w:p>
    <w:p w:rsidR="009C6C96" w:rsidRDefault="009C6C96" w:rsidP="009C6C96">
      <w:pPr>
        <w:pStyle w:val="Bullet1"/>
      </w:pPr>
      <w:proofErr w:type="gramStart"/>
      <w:r>
        <w:t>the</w:t>
      </w:r>
      <w:proofErr w:type="gramEnd"/>
      <w:r>
        <w:t xml:space="preserve"> </w:t>
      </w:r>
      <w:r w:rsidRPr="00DA4CA5">
        <w:rPr>
          <w:i/>
        </w:rPr>
        <w:t>net present value of the wage premium</w:t>
      </w:r>
      <w:r w:rsidR="00C26CC3">
        <w:t xml:space="preserve"> associated with </w:t>
      </w:r>
      <w:r>
        <w:t xml:space="preserve">the qualification, </w:t>
      </w:r>
      <w:r w:rsidR="001C39E3">
        <w:t xml:space="preserve">at the individual level and </w:t>
      </w:r>
      <w:r>
        <w:t>post-tax</w:t>
      </w:r>
      <w:r w:rsidR="001F2B1F">
        <w:t>, taking into consideration the likelihood of employment and labour force participation</w:t>
      </w:r>
      <w:r w:rsidR="00A973D0">
        <w:t xml:space="preserve"> (Section </w:t>
      </w:r>
      <w:r w:rsidR="00A973D0">
        <w:fldChar w:fldCharType="begin"/>
      </w:r>
      <w:r w:rsidR="00A973D0">
        <w:instrText xml:space="preserve"> REF _Ref460353967 \r \h </w:instrText>
      </w:r>
      <w:r w:rsidR="00A973D0">
        <w:fldChar w:fldCharType="separate"/>
      </w:r>
      <w:r w:rsidR="00534F9F">
        <w:t>4.2.3</w:t>
      </w:r>
      <w:r w:rsidR="00A973D0">
        <w:fldChar w:fldCharType="end"/>
      </w:r>
      <w:r w:rsidR="00A973D0">
        <w:t>)</w:t>
      </w:r>
      <w:r>
        <w:t xml:space="preserve">. </w:t>
      </w:r>
    </w:p>
    <w:p w:rsidR="009C6C96" w:rsidRPr="00882C3F" w:rsidRDefault="009C6C96" w:rsidP="00AD48BC">
      <w:pPr>
        <w:pStyle w:val="Bullet1"/>
        <w:numPr>
          <w:ilvl w:val="0"/>
          <w:numId w:val="0"/>
        </w:numPr>
        <w:spacing w:before="240"/>
      </w:pPr>
      <w:r>
        <w:t>Broadly, the results demonstrate that there is a link between qualification levels and field of education and wages</w:t>
      </w:r>
      <w:r w:rsidR="001F2B1F">
        <w:t>, employment and labour force participation</w:t>
      </w:r>
      <w:r>
        <w:t xml:space="preserve">. </w:t>
      </w:r>
    </w:p>
    <w:p w:rsidR="009C6C96" w:rsidRPr="003C230D" w:rsidRDefault="009C6C96" w:rsidP="00DA4CA5">
      <w:pPr>
        <w:pStyle w:val="Heading3"/>
        <w:rPr>
          <w:lang w:eastAsia="en-AU"/>
        </w:rPr>
      </w:pPr>
      <w:bookmarkStart w:id="82" w:name="_Ref460353934"/>
      <w:bookmarkStart w:id="83" w:name="_Ref460358003"/>
      <w:r>
        <w:rPr>
          <w:lang w:eastAsia="en-AU"/>
        </w:rPr>
        <w:t>Wage premiums</w:t>
      </w:r>
      <w:bookmarkEnd w:id="82"/>
      <w:r w:rsidR="00F95E54">
        <w:rPr>
          <w:lang w:eastAsia="en-AU"/>
        </w:rPr>
        <w:t>,</w:t>
      </w:r>
      <w:r w:rsidR="00A973D0">
        <w:rPr>
          <w:lang w:eastAsia="en-AU"/>
        </w:rPr>
        <w:t xml:space="preserve"> </w:t>
      </w:r>
      <w:r w:rsidR="008A3940" w:rsidRPr="008A3940">
        <w:rPr>
          <w:lang w:eastAsia="en-AU"/>
        </w:rPr>
        <w:t>likelihood of employment and participatio</w:t>
      </w:r>
      <w:r w:rsidR="008A3940">
        <w:rPr>
          <w:lang w:eastAsia="en-AU"/>
        </w:rPr>
        <w:t>n</w:t>
      </w:r>
    </w:p>
    <w:bookmarkEnd w:id="83"/>
    <w:p w:rsidR="009C6C96" w:rsidRPr="00DA4CA5" w:rsidRDefault="009C6C96" w:rsidP="00DA4CA5">
      <w:pPr>
        <w:spacing w:before="240"/>
        <w:jc w:val="both"/>
        <w:rPr>
          <w:rStyle w:val="Boldword"/>
        </w:rPr>
      </w:pPr>
      <w:r w:rsidRPr="00DA4CA5">
        <w:rPr>
          <w:rStyle w:val="Boldword"/>
        </w:rPr>
        <w:t>Wage premiums</w:t>
      </w:r>
    </w:p>
    <w:p w:rsidR="009C6C96" w:rsidRDefault="008A3940" w:rsidP="009C6C96">
      <w:pPr>
        <w:spacing w:before="240"/>
        <w:jc w:val="both"/>
        <w:rPr>
          <w:lang w:eastAsia="en-AU"/>
        </w:rPr>
      </w:pPr>
      <w:r w:rsidRPr="008A3940">
        <w:rPr>
          <w:lang w:eastAsia="en-AU"/>
        </w:rPr>
        <w:t xml:space="preserve">Two forms of the model are considered – with </w:t>
      </w:r>
      <w:r w:rsidR="004837F2">
        <w:rPr>
          <w:lang w:eastAsia="en-AU"/>
        </w:rPr>
        <w:t xml:space="preserve">and </w:t>
      </w:r>
      <w:r w:rsidR="001C39E3">
        <w:rPr>
          <w:lang w:eastAsia="en-AU"/>
        </w:rPr>
        <w:t xml:space="preserve">without age </w:t>
      </w:r>
      <w:r w:rsidR="004837F2">
        <w:rPr>
          <w:lang w:eastAsia="en-AU"/>
        </w:rPr>
        <w:t>by</w:t>
      </w:r>
      <w:r w:rsidR="001C39E3">
        <w:rPr>
          <w:lang w:eastAsia="en-AU"/>
        </w:rPr>
        <w:t xml:space="preserve"> qualification interactions. </w:t>
      </w:r>
      <w:r w:rsidR="009C6C96">
        <w:rPr>
          <w:lang w:eastAsia="en-AU"/>
        </w:rPr>
        <w:fldChar w:fldCharType="begin"/>
      </w:r>
      <w:r w:rsidR="009C6C96">
        <w:rPr>
          <w:lang w:eastAsia="en-AU"/>
        </w:rPr>
        <w:instrText xml:space="preserve"> REF _Ref457326773 \r \h </w:instrText>
      </w:r>
      <w:r w:rsidR="009C6C96">
        <w:rPr>
          <w:lang w:eastAsia="en-AU"/>
        </w:rPr>
      </w:r>
      <w:r w:rsidR="009C6C96">
        <w:rPr>
          <w:lang w:eastAsia="en-AU"/>
        </w:rPr>
        <w:fldChar w:fldCharType="separate"/>
      </w:r>
      <w:r w:rsidR="00534F9F">
        <w:rPr>
          <w:lang w:eastAsia="en-AU"/>
        </w:rPr>
        <w:t>Table 4.1</w:t>
      </w:r>
      <w:r w:rsidR="009C6C96">
        <w:rPr>
          <w:lang w:eastAsia="en-AU"/>
        </w:rPr>
        <w:fldChar w:fldCharType="end"/>
      </w:r>
      <w:r w:rsidR="009C6C96">
        <w:rPr>
          <w:lang w:eastAsia="en-AU"/>
        </w:rPr>
        <w:t xml:space="preserve"> </w:t>
      </w:r>
      <w:r w:rsidR="00A973D0">
        <w:rPr>
          <w:lang w:eastAsia="en-AU"/>
        </w:rPr>
        <w:t xml:space="preserve">presents </w:t>
      </w:r>
      <w:r w:rsidR="009C6C96">
        <w:rPr>
          <w:lang w:eastAsia="en-AU"/>
        </w:rPr>
        <w:t xml:space="preserve">the results </w:t>
      </w:r>
      <w:r w:rsidR="001C39E3">
        <w:rPr>
          <w:lang w:eastAsia="en-AU"/>
        </w:rPr>
        <w:t>from the model without age x qualification interactions. That is, the model includes age effects (real wage varies with age) and qualification effects (real wage varies with qualification), but assumes that the qualification effects do not vary with age.</w:t>
      </w:r>
      <w:r w:rsidR="00A973D0">
        <w:rPr>
          <w:lang w:eastAsia="en-AU"/>
        </w:rPr>
        <w:t xml:space="preserve"> </w:t>
      </w:r>
      <w:r w:rsidR="004837F2">
        <w:rPr>
          <w:lang w:eastAsia="en-AU"/>
        </w:rPr>
        <w:t>The table only includes the estimates of the coefficients on the variables of interest (that is, the education variables)</w:t>
      </w:r>
      <w:r w:rsidR="00A973D0">
        <w:rPr>
          <w:lang w:eastAsia="en-AU"/>
        </w:rPr>
        <w:t>. Note that the qualification level results are relative to an average individual with no post-school qualification, and field of education results are relative to an average individual with an Arts qualification</w:t>
      </w:r>
      <w:r w:rsidR="009C6C96">
        <w:rPr>
          <w:lang w:eastAsia="en-AU"/>
        </w:rPr>
        <w:t>.</w:t>
      </w:r>
      <w:r w:rsidR="00A973D0">
        <w:rPr>
          <w:lang w:eastAsia="en-AU"/>
        </w:rPr>
        <w:t xml:space="preserve"> </w:t>
      </w:r>
      <w:r w:rsidR="001C39E3">
        <w:rPr>
          <w:lang w:eastAsia="en-AU"/>
        </w:rPr>
        <w:t xml:space="preserve">Complete estimation results are </w:t>
      </w:r>
      <w:r w:rsidR="009C6C96">
        <w:rPr>
          <w:lang w:eastAsia="en-AU"/>
        </w:rPr>
        <w:t xml:space="preserve">reported in </w:t>
      </w:r>
      <w:r w:rsidR="00B64BE3">
        <w:rPr>
          <w:lang w:eastAsia="en-AU"/>
        </w:rPr>
        <w:t>Appendix B</w:t>
      </w:r>
      <w:r w:rsidR="004837F2">
        <w:rPr>
          <w:lang w:eastAsia="en-AU"/>
        </w:rPr>
        <w:t>, including age by qualification interactions</w:t>
      </w:r>
      <w:r w:rsidR="009C6C96">
        <w:rPr>
          <w:lang w:eastAsia="en-AU"/>
        </w:rPr>
        <w:t>.</w:t>
      </w:r>
    </w:p>
    <w:p w:rsidR="009C6C96" w:rsidRDefault="009C6C96" w:rsidP="009C6C96">
      <w:pPr>
        <w:pStyle w:val="CaptionTable"/>
        <w:numPr>
          <w:ilvl w:val="6"/>
          <w:numId w:val="8"/>
        </w:numPr>
        <w:ind w:left="0"/>
        <w:rPr>
          <w:lang w:eastAsia="en-AU"/>
        </w:rPr>
      </w:pPr>
      <w:bookmarkStart w:id="84" w:name="_Ref457326773"/>
      <w:bookmarkStart w:id="85" w:name="_Ref457334817"/>
      <w:bookmarkStart w:id="86" w:name="_Toc457375696"/>
      <w:bookmarkStart w:id="87" w:name="_Toc465961124"/>
      <w:r w:rsidRPr="00BD5E20">
        <w:rPr>
          <w:lang w:eastAsia="en-AU"/>
        </w:rPr>
        <w:t xml:space="preserve">: </w:t>
      </w:r>
      <w:r w:rsidR="00FF3DEC" w:rsidRPr="000578DF">
        <w:rPr>
          <w:lang w:eastAsia="en-AU"/>
        </w:rPr>
        <w:t xml:space="preserve">Wage premium of employed graduates, </w:t>
      </w:r>
      <w:bookmarkEnd w:id="84"/>
      <w:bookmarkEnd w:id="85"/>
      <w:bookmarkEnd w:id="86"/>
      <w:r w:rsidR="00AA6A61">
        <w:rPr>
          <w:lang w:eastAsia="en-AU"/>
        </w:rPr>
        <w:t>key regression results</w:t>
      </w:r>
      <w:bookmarkEnd w:id="87"/>
    </w:p>
    <w:tbl>
      <w:tblPr>
        <w:tblStyle w:val="TableAE"/>
        <w:tblW w:w="0" w:type="auto"/>
        <w:tblLayout w:type="fixed"/>
        <w:tblLook w:val="04A0" w:firstRow="1" w:lastRow="0" w:firstColumn="1" w:lastColumn="0" w:noHBand="0" w:noVBand="1"/>
      </w:tblPr>
      <w:tblGrid>
        <w:gridCol w:w="2812"/>
        <w:gridCol w:w="2812"/>
      </w:tblGrid>
      <w:tr w:rsidR="009C6C96" w:rsidRPr="003D0C90" w:rsidTr="00180687">
        <w:trPr>
          <w:cnfStyle w:val="100000000000" w:firstRow="1" w:lastRow="0" w:firstColumn="0" w:lastColumn="0" w:oddVBand="0" w:evenVBand="0" w:oddHBand="0" w:evenHBand="0" w:firstRowFirstColumn="0" w:firstRowLastColumn="0" w:lastRowFirstColumn="0" w:lastRowLastColumn="0"/>
          <w:tblHeader/>
        </w:trPr>
        <w:tc>
          <w:tcPr>
            <w:tcW w:w="2812" w:type="dxa"/>
          </w:tcPr>
          <w:p w:rsidR="009C6C96" w:rsidRPr="00AD48BC" w:rsidRDefault="009C6C96" w:rsidP="00180687">
            <w:pPr>
              <w:pStyle w:val="TableHeadingCentre"/>
              <w:rPr>
                <w:sz w:val="20"/>
                <w:szCs w:val="20"/>
                <w:lang w:eastAsia="en-AU"/>
              </w:rPr>
            </w:pPr>
          </w:p>
        </w:tc>
        <w:tc>
          <w:tcPr>
            <w:tcW w:w="2812" w:type="dxa"/>
          </w:tcPr>
          <w:p w:rsidR="009C6C96" w:rsidRPr="00AD48BC" w:rsidRDefault="009C6C96" w:rsidP="00180687">
            <w:pPr>
              <w:pStyle w:val="TableHeadingCentre"/>
              <w:rPr>
                <w:sz w:val="20"/>
                <w:szCs w:val="20"/>
                <w:lang w:eastAsia="en-AU"/>
              </w:rPr>
            </w:pPr>
            <w:r w:rsidRPr="00AD48BC">
              <w:rPr>
                <w:sz w:val="20"/>
                <w:szCs w:val="20"/>
                <w:lang w:eastAsia="en-AU"/>
              </w:rPr>
              <w:t xml:space="preserve">Log </w:t>
            </w:r>
            <w:r w:rsidR="001C39E3">
              <w:rPr>
                <w:sz w:val="20"/>
                <w:szCs w:val="20"/>
                <w:lang w:eastAsia="en-AU"/>
              </w:rPr>
              <w:t xml:space="preserve">real </w:t>
            </w:r>
            <w:r w:rsidRPr="00AD48BC">
              <w:rPr>
                <w:sz w:val="20"/>
                <w:szCs w:val="20"/>
                <w:lang w:eastAsia="en-AU"/>
              </w:rPr>
              <w:t>weekly wages</w:t>
            </w:r>
          </w:p>
        </w:tc>
      </w:tr>
      <w:tr w:rsidR="009C6C96" w:rsidRPr="003D0C90" w:rsidTr="00180687">
        <w:trPr>
          <w:trHeight w:val="192"/>
        </w:trPr>
        <w:tc>
          <w:tcPr>
            <w:tcW w:w="2812" w:type="dxa"/>
            <w:shd w:val="clear" w:color="auto" w:fill="D9D9D9" w:themeFill="background1" w:themeFillShade="D9"/>
          </w:tcPr>
          <w:p w:rsidR="009C6C96" w:rsidRPr="00AD48BC" w:rsidRDefault="009C6C96" w:rsidP="00180687">
            <w:pPr>
              <w:pStyle w:val="TabletextLeft"/>
              <w:rPr>
                <w:b/>
                <w:lang w:eastAsia="en-AU"/>
              </w:rPr>
            </w:pPr>
            <w:r w:rsidRPr="00AD48BC">
              <w:rPr>
                <w:b/>
                <w:lang w:eastAsia="en-AU"/>
              </w:rPr>
              <w:t>Qualification level</w:t>
            </w:r>
          </w:p>
        </w:tc>
        <w:tc>
          <w:tcPr>
            <w:tcW w:w="2812" w:type="dxa"/>
            <w:shd w:val="clear" w:color="auto" w:fill="D9D9D9" w:themeFill="background1" w:themeFillShade="D9"/>
          </w:tcPr>
          <w:p w:rsidR="009C6C96" w:rsidRPr="00AD48BC" w:rsidRDefault="009C6C96" w:rsidP="00180687">
            <w:pPr>
              <w:pStyle w:val="TabletextLeft"/>
              <w:rPr>
                <w:b/>
                <w:lang w:eastAsia="en-AU"/>
              </w:rPr>
            </w:pPr>
          </w:p>
        </w:tc>
      </w:tr>
      <w:tr w:rsidR="009C6C96" w:rsidRPr="003D0C90" w:rsidTr="00180687">
        <w:tc>
          <w:tcPr>
            <w:tcW w:w="2812" w:type="dxa"/>
            <w:vAlign w:val="bottom"/>
          </w:tcPr>
          <w:p w:rsidR="009C6C96" w:rsidRPr="00AD48BC" w:rsidRDefault="009C6C96" w:rsidP="00180687">
            <w:pPr>
              <w:rPr>
                <w:color w:val="000000"/>
                <w:sz w:val="20"/>
              </w:rPr>
            </w:pPr>
            <w:r w:rsidRPr="00AD48BC">
              <w:rPr>
                <w:color w:val="000000"/>
                <w:sz w:val="20"/>
              </w:rPr>
              <w:t>Postgraduate</w:t>
            </w:r>
          </w:p>
        </w:tc>
        <w:tc>
          <w:tcPr>
            <w:tcW w:w="2812" w:type="dxa"/>
            <w:vAlign w:val="bottom"/>
          </w:tcPr>
          <w:p w:rsidR="009C6C96" w:rsidRPr="00AD48BC" w:rsidRDefault="00032AF2" w:rsidP="00DA4CA5">
            <w:pPr>
              <w:ind w:left="885"/>
              <w:rPr>
                <w:color w:val="000000"/>
                <w:sz w:val="20"/>
              </w:rPr>
            </w:pPr>
            <w:r w:rsidRPr="00DA4CA5">
              <w:rPr>
                <w:color w:val="000000"/>
                <w:sz w:val="20"/>
                <w:szCs w:val="22"/>
              </w:rPr>
              <w:t>0.248***</w:t>
            </w:r>
          </w:p>
        </w:tc>
      </w:tr>
      <w:tr w:rsidR="009C6C96" w:rsidRPr="003D0C90" w:rsidTr="00180687">
        <w:tc>
          <w:tcPr>
            <w:tcW w:w="2812" w:type="dxa"/>
            <w:vAlign w:val="bottom"/>
          </w:tcPr>
          <w:p w:rsidR="009C6C96" w:rsidRPr="00AD48BC" w:rsidRDefault="009C6C96" w:rsidP="00180687">
            <w:pPr>
              <w:rPr>
                <w:color w:val="000000"/>
                <w:sz w:val="20"/>
              </w:rPr>
            </w:pPr>
            <w:r w:rsidRPr="00AD48BC">
              <w:rPr>
                <w:color w:val="000000"/>
                <w:sz w:val="20"/>
              </w:rPr>
              <w:t>Bachelor</w:t>
            </w:r>
          </w:p>
        </w:tc>
        <w:tc>
          <w:tcPr>
            <w:tcW w:w="2812" w:type="dxa"/>
            <w:vAlign w:val="bottom"/>
          </w:tcPr>
          <w:p w:rsidR="009C6C96" w:rsidRPr="00AD48BC" w:rsidRDefault="00032AF2" w:rsidP="00DA4CA5">
            <w:pPr>
              <w:ind w:left="885"/>
              <w:rPr>
                <w:color w:val="000000"/>
                <w:sz w:val="20"/>
              </w:rPr>
            </w:pPr>
            <w:r w:rsidRPr="00DA4CA5">
              <w:rPr>
                <w:color w:val="000000"/>
                <w:sz w:val="20"/>
                <w:szCs w:val="22"/>
              </w:rPr>
              <w:t>0.170***</w:t>
            </w:r>
          </w:p>
        </w:tc>
      </w:tr>
      <w:tr w:rsidR="009C6C96" w:rsidRPr="003D0C90" w:rsidTr="00180687">
        <w:tc>
          <w:tcPr>
            <w:tcW w:w="2812" w:type="dxa"/>
            <w:vAlign w:val="bottom"/>
          </w:tcPr>
          <w:p w:rsidR="009C6C96" w:rsidRPr="00AD48BC" w:rsidRDefault="009C6C96" w:rsidP="00180687">
            <w:pPr>
              <w:rPr>
                <w:color w:val="000000"/>
                <w:sz w:val="20"/>
              </w:rPr>
            </w:pPr>
            <w:r w:rsidRPr="00AD48BC">
              <w:rPr>
                <w:color w:val="000000"/>
                <w:sz w:val="20"/>
              </w:rPr>
              <w:t>Sub-bachelor</w:t>
            </w:r>
          </w:p>
        </w:tc>
        <w:tc>
          <w:tcPr>
            <w:tcW w:w="2812" w:type="dxa"/>
            <w:vAlign w:val="bottom"/>
          </w:tcPr>
          <w:p w:rsidR="009C6C96" w:rsidRPr="00AD48BC" w:rsidRDefault="00032AF2" w:rsidP="00DA4CA5">
            <w:pPr>
              <w:ind w:left="885"/>
              <w:rPr>
                <w:color w:val="000000"/>
                <w:sz w:val="20"/>
              </w:rPr>
            </w:pPr>
            <w:r w:rsidRPr="00DA4CA5">
              <w:rPr>
                <w:color w:val="000000"/>
                <w:sz w:val="20"/>
                <w:szCs w:val="22"/>
              </w:rPr>
              <w:t>0.067</w:t>
            </w:r>
          </w:p>
        </w:tc>
      </w:tr>
      <w:tr w:rsidR="009C6C96" w:rsidRPr="003D0C90" w:rsidTr="00180687">
        <w:tc>
          <w:tcPr>
            <w:tcW w:w="2812" w:type="dxa"/>
            <w:vAlign w:val="bottom"/>
          </w:tcPr>
          <w:p w:rsidR="009C6C96" w:rsidRPr="00AD48BC" w:rsidRDefault="009C6C96" w:rsidP="00180687">
            <w:pPr>
              <w:rPr>
                <w:color w:val="000000"/>
                <w:sz w:val="20"/>
              </w:rPr>
            </w:pPr>
            <w:r w:rsidRPr="00AD48BC">
              <w:rPr>
                <w:color w:val="000000"/>
                <w:sz w:val="20"/>
              </w:rPr>
              <w:t xml:space="preserve">Certificate III/IV </w:t>
            </w:r>
          </w:p>
        </w:tc>
        <w:tc>
          <w:tcPr>
            <w:tcW w:w="2812" w:type="dxa"/>
            <w:vAlign w:val="bottom"/>
          </w:tcPr>
          <w:p w:rsidR="009C6C96" w:rsidRPr="00AD48BC" w:rsidRDefault="00032AF2" w:rsidP="00DA4CA5">
            <w:pPr>
              <w:ind w:left="744"/>
              <w:rPr>
                <w:color w:val="000000"/>
                <w:sz w:val="20"/>
              </w:rPr>
            </w:pPr>
            <w:r>
              <w:rPr>
                <w:color w:val="000000"/>
                <w:sz w:val="20"/>
                <w:szCs w:val="22"/>
              </w:rPr>
              <w:t xml:space="preserve">  </w:t>
            </w:r>
            <w:r w:rsidRPr="00DA4CA5">
              <w:rPr>
                <w:color w:val="000000"/>
                <w:sz w:val="20"/>
                <w:szCs w:val="22"/>
              </w:rPr>
              <w:t>-0.048</w:t>
            </w:r>
          </w:p>
        </w:tc>
      </w:tr>
      <w:tr w:rsidR="009C6C96" w:rsidRPr="003D0C90" w:rsidTr="00180687">
        <w:tc>
          <w:tcPr>
            <w:tcW w:w="2812" w:type="dxa"/>
            <w:shd w:val="clear" w:color="auto" w:fill="D9D9D9" w:themeFill="background1" w:themeFillShade="D9"/>
            <w:vAlign w:val="bottom"/>
          </w:tcPr>
          <w:p w:rsidR="009C6C96" w:rsidRPr="00AD48BC" w:rsidRDefault="009C6C96" w:rsidP="00180687">
            <w:pPr>
              <w:rPr>
                <w:b/>
                <w:color w:val="000000"/>
                <w:sz w:val="20"/>
              </w:rPr>
            </w:pPr>
            <w:r w:rsidRPr="00AD48BC">
              <w:rPr>
                <w:b/>
                <w:color w:val="000000"/>
                <w:sz w:val="20"/>
              </w:rPr>
              <w:t>Field of Education</w:t>
            </w:r>
          </w:p>
        </w:tc>
        <w:tc>
          <w:tcPr>
            <w:tcW w:w="2812" w:type="dxa"/>
            <w:shd w:val="clear" w:color="auto" w:fill="D9D9D9" w:themeFill="background1" w:themeFillShade="D9"/>
            <w:vAlign w:val="bottom"/>
          </w:tcPr>
          <w:p w:rsidR="009C6C96" w:rsidRPr="00AD48BC" w:rsidRDefault="009C6C96" w:rsidP="00180687">
            <w:pPr>
              <w:jc w:val="center"/>
              <w:rPr>
                <w:b/>
                <w:color w:val="000000"/>
                <w:sz w:val="20"/>
              </w:rPr>
            </w:pPr>
          </w:p>
        </w:tc>
      </w:tr>
      <w:tr w:rsidR="009C6C96" w:rsidRPr="003D0C90" w:rsidTr="00180687">
        <w:tc>
          <w:tcPr>
            <w:tcW w:w="2812" w:type="dxa"/>
            <w:vAlign w:val="bottom"/>
          </w:tcPr>
          <w:p w:rsidR="009C6C96" w:rsidRPr="00AD48BC" w:rsidRDefault="009C6C96" w:rsidP="00180687">
            <w:pPr>
              <w:rPr>
                <w:color w:val="000000"/>
                <w:sz w:val="20"/>
              </w:rPr>
            </w:pPr>
            <w:r w:rsidRPr="00AD48BC">
              <w:rPr>
                <w:color w:val="000000"/>
                <w:sz w:val="20"/>
              </w:rPr>
              <w:t xml:space="preserve">Science </w:t>
            </w:r>
          </w:p>
        </w:tc>
        <w:tc>
          <w:tcPr>
            <w:tcW w:w="2812" w:type="dxa"/>
            <w:vAlign w:val="bottom"/>
          </w:tcPr>
          <w:p w:rsidR="009C6C96" w:rsidRPr="00AD48BC" w:rsidRDefault="00032AF2" w:rsidP="00DA4CA5">
            <w:pPr>
              <w:ind w:left="885"/>
              <w:rPr>
                <w:color w:val="000000"/>
                <w:sz w:val="20"/>
              </w:rPr>
            </w:pPr>
            <w:r w:rsidRPr="00DA4CA5">
              <w:rPr>
                <w:color w:val="000000"/>
                <w:sz w:val="20"/>
                <w:szCs w:val="22"/>
              </w:rPr>
              <w:t>0.010</w:t>
            </w:r>
          </w:p>
        </w:tc>
      </w:tr>
      <w:tr w:rsidR="009C6C96" w:rsidRPr="003D0C90" w:rsidTr="00180687">
        <w:tc>
          <w:tcPr>
            <w:tcW w:w="2812" w:type="dxa"/>
            <w:vAlign w:val="bottom"/>
          </w:tcPr>
          <w:p w:rsidR="009C6C96" w:rsidRPr="00AD48BC" w:rsidRDefault="009C6C96" w:rsidP="00180687">
            <w:pPr>
              <w:rPr>
                <w:color w:val="000000"/>
                <w:sz w:val="20"/>
              </w:rPr>
            </w:pPr>
            <w:r w:rsidRPr="00AD48BC">
              <w:rPr>
                <w:color w:val="000000"/>
                <w:sz w:val="20"/>
              </w:rPr>
              <w:t xml:space="preserve">IT </w:t>
            </w:r>
          </w:p>
        </w:tc>
        <w:tc>
          <w:tcPr>
            <w:tcW w:w="2812" w:type="dxa"/>
            <w:vAlign w:val="bottom"/>
          </w:tcPr>
          <w:p w:rsidR="009C6C96" w:rsidRPr="00AD48BC" w:rsidRDefault="00032AF2" w:rsidP="00DA4CA5">
            <w:pPr>
              <w:ind w:left="885"/>
              <w:rPr>
                <w:color w:val="000000"/>
                <w:sz w:val="20"/>
              </w:rPr>
            </w:pPr>
            <w:r w:rsidRPr="00DA4CA5">
              <w:rPr>
                <w:color w:val="000000"/>
                <w:sz w:val="20"/>
                <w:szCs w:val="22"/>
              </w:rPr>
              <w:t>0.076</w:t>
            </w:r>
          </w:p>
        </w:tc>
      </w:tr>
      <w:tr w:rsidR="009C6C96" w:rsidRPr="003D0C90" w:rsidTr="00180687">
        <w:tc>
          <w:tcPr>
            <w:tcW w:w="2812" w:type="dxa"/>
            <w:vAlign w:val="bottom"/>
          </w:tcPr>
          <w:p w:rsidR="009C6C96" w:rsidRPr="00AD48BC" w:rsidRDefault="009C6C96" w:rsidP="00180687">
            <w:pPr>
              <w:rPr>
                <w:color w:val="000000"/>
                <w:sz w:val="20"/>
              </w:rPr>
            </w:pPr>
            <w:r w:rsidRPr="00AD48BC">
              <w:rPr>
                <w:color w:val="000000"/>
                <w:sz w:val="20"/>
              </w:rPr>
              <w:t xml:space="preserve">Engineering </w:t>
            </w:r>
          </w:p>
        </w:tc>
        <w:tc>
          <w:tcPr>
            <w:tcW w:w="2812" w:type="dxa"/>
            <w:vAlign w:val="bottom"/>
          </w:tcPr>
          <w:p w:rsidR="009C6C96" w:rsidRPr="00AD48BC" w:rsidRDefault="00032AF2" w:rsidP="00DA4CA5">
            <w:pPr>
              <w:ind w:left="885"/>
              <w:rPr>
                <w:color w:val="000000"/>
                <w:sz w:val="20"/>
              </w:rPr>
            </w:pPr>
            <w:r w:rsidRPr="00DA4CA5">
              <w:rPr>
                <w:color w:val="000000"/>
                <w:sz w:val="20"/>
                <w:szCs w:val="22"/>
              </w:rPr>
              <w:t>0.085*</w:t>
            </w:r>
          </w:p>
        </w:tc>
      </w:tr>
      <w:tr w:rsidR="009C6C96" w:rsidRPr="003D0C90" w:rsidTr="00180687">
        <w:tc>
          <w:tcPr>
            <w:tcW w:w="2812" w:type="dxa"/>
            <w:vAlign w:val="bottom"/>
          </w:tcPr>
          <w:p w:rsidR="009C6C96" w:rsidRPr="00AD48BC" w:rsidRDefault="009C6C96" w:rsidP="00180687">
            <w:pPr>
              <w:rPr>
                <w:color w:val="000000"/>
                <w:sz w:val="20"/>
              </w:rPr>
            </w:pPr>
            <w:r w:rsidRPr="00AD48BC">
              <w:rPr>
                <w:color w:val="000000"/>
                <w:sz w:val="20"/>
              </w:rPr>
              <w:t>Medicine</w:t>
            </w:r>
          </w:p>
        </w:tc>
        <w:tc>
          <w:tcPr>
            <w:tcW w:w="2812" w:type="dxa"/>
            <w:vAlign w:val="bottom"/>
          </w:tcPr>
          <w:p w:rsidR="009C6C96" w:rsidRPr="00AD48BC" w:rsidRDefault="00032AF2" w:rsidP="00DA4CA5">
            <w:pPr>
              <w:ind w:left="885"/>
              <w:rPr>
                <w:color w:val="000000"/>
                <w:sz w:val="20"/>
              </w:rPr>
            </w:pPr>
            <w:r w:rsidRPr="00DA4CA5">
              <w:rPr>
                <w:color w:val="000000"/>
                <w:sz w:val="20"/>
                <w:szCs w:val="22"/>
              </w:rPr>
              <w:t>0.118</w:t>
            </w:r>
          </w:p>
        </w:tc>
      </w:tr>
      <w:tr w:rsidR="00032AF2" w:rsidRPr="003D0C90" w:rsidTr="00180687">
        <w:tc>
          <w:tcPr>
            <w:tcW w:w="2812" w:type="dxa"/>
            <w:vAlign w:val="bottom"/>
          </w:tcPr>
          <w:p w:rsidR="00032AF2" w:rsidRPr="00AD48BC" w:rsidRDefault="00032AF2" w:rsidP="00180687">
            <w:pPr>
              <w:rPr>
                <w:color w:val="000000"/>
                <w:sz w:val="20"/>
              </w:rPr>
            </w:pPr>
            <w:r>
              <w:rPr>
                <w:color w:val="000000"/>
                <w:sz w:val="20"/>
              </w:rPr>
              <w:lastRenderedPageBreak/>
              <w:t>Nursing</w:t>
            </w:r>
          </w:p>
        </w:tc>
        <w:tc>
          <w:tcPr>
            <w:tcW w:w="2812" w:type="dxa"/>
            <w:vAlign w:val="bottom"/>
          </w:tcPr>
          <w:p w:rsidR="00032AF2" w:rsidRPr="00BD5E20" w:rsidRDefault="00032AF2" w:rsidP="00DA4CA5">
            <w:pPr>
              <w:ind w:left="885"/>
              <w:rPr>
                <w:color w:val="000000"/>
                <w:sz w:val="20"/>
              </w:rPr>
            </w:pPr>
            <w:r w:rsidRPr="00DA4CA5">
              <w:rPr>
                <w:color w:val="000000"/>
                <w:sz w:val="20"/>
                <w:szCs w:val="22"/>
              </w:rPr>
              <w:t>0.309***</w:t>
            </w:r>
          </w:p>
        </w:tc>
      </w:tr>
      <w:tr w:rsidR="009C6C96" w:rsidRPr="003D0C90" w:rsidTr="00180687">
        <w:tc>
          <w:tcPr>
            <w:tcW w:w="2812" w:type="dxa"/>
            <w:vAlign w:val="bottom"/>
          </w:tcPr>
          <w:p w:rsidR="009C6C96" w:rsidRPr="00AD48BC" w:rsidRDefault="00032AF2" w:rsidP="00180687">
            <w:pPr>
              <w:rPr>
                <w:color w:val="000000"/>
                <w:sz w:val="20"/>
              </w:rPr>
            </w:pPr>
            <w:r>
              <w:rPr>
                <w:color w:val="000000"/>
                <w:sz w:val="20"/>
              </w:rPr>
              <w:t>Other Health</w:t>
            </w:r>
          </w:p>
        </w:tc>
        <w:tc>
          <w:tcPr>
            <w:tcW w:w="2812" w:type="dxa"/>
            <w:vAlign w:val="bottom"/>
          </w:tcPr>
          <w:p w:rsidR="009C6C96" w:rsidRPr="00AD48BC" w:rsidRDefault="00032AF2" w:rsidP="00DA4CA5">
            <w:pPr>
              <w:ind w:left="885"/>
              <w:rPr>
                <w:color w:val="000000"/>
                <w:sz w:val="20"/>
              </w:rPr>
            </w:pPr>
            <w:r w:rsidRPr="00DA4CA5">
              <w:rPr>
                <w:color w:val="000000"/>
                <w:sz w:val="20"/>
                <w:szCs w:val="22"/>
              </w:rPr>
              <w:t>0.082</w:t>
            </w:r>
          </w:p>
        </w:tc>
      </w:tr>
      <w:tr w:rsidR="009C6C96" w:rsidRPr="003D0C90" w:rsidTr="00180687">
        <w:tc>
          <w:tcPr>
            <w:tcW w:w="2812" w:type="dxa"/>
            <w:vAlign w:val="bottom"/>
          </w:tcPr>
          <w:p w:rsidR="009C6C96" w:rsidRPr="00AD48BC" w:rsidRDefault="009C6C96" w:rsidP="00180687">
            <w:pPr>
              <w:rPr>
                <w:color w:val="000000"/>
                <w:sz w:val="20"/>
              </w:rPr>
            </w:pPr>
            <w:r w:rsidRPr="00AD48BC">
              <w:rPr>
                <w:color w:val="000000"/>
                <w:sz w:val="20"/>
              </w:rPr>
              <w:t xml:space="preserve">Education </w:t>
            </w:r>
          </w:p>
        </w:tc>
        <w:tc>
          <w:tcPr>
            <w:tcW w:w="2812" w:type="dxa"/>
            <w:vAlign w:val="bottom"/>
          </w:tcPr>
          <w:p w:rsidR="009C6C96" w:rsidRPr="00AD48BC" w:rsidRDefault="00032AF2" w:rsidP="00DA4CA5">
            <w:pPr>
              <w:ind w:left="885"/>
              <w:rPr>
                <w:color w:val="000000"/>
                <w:sz w:val="20"/>
              </w:rPr>
            </w:pPr>
            <w:r w:rsidRPr="00DA4CA5">
              <w:rPr>
                <w:color w:val="000000"/>
                <w:sz w:val="20"/>
                <w:szCs w:val="22"/>
              </w:rPr>
              <w:t>0.119***</w:t>
            </w:r>
          </w:p>
        </w:tc>
      </w:tr>
      <w:tr w:rsidR="009C6C96" w:rsidRPr="003D0C90" w:rsidTr="00180687">
        <w:tc>
          <w:tcPr>
            <w:tcW w:w="2812" w:type="dxa"/>
            <w:vAlign w:val="bottom"/>
          </w:tcPr>
          <w:p w:rsidR="009C6C96" w:rsidRPr="00AD48BC" w:rsidRDefault="00032AF2" w:rsidP="00180687">
            <w:pPr>
              <w:rPr>
                <w:color w:val="000000"/>
                <w:sz w:val="20"/>
              </w:rPr>
            </w:pPr>
            <w:r>
              <w:rPr>
                <w:color w:val="000000"/>
                <w:sz w:val="20"/>
              </w:rPr>
              <w:t>Management and Commerce</w:t>
            </w:r>
          </w:p>
        </w:tc>
        <w:tc>
          <w:tcPr>
            <w:tcW w:w="2812" w:type="dxa"/>
            <w:vAlign w:val="bottom"/>
          </w:tcPr>
          <w:p w:rsidR="009C6C96" w:rsidRPr="00AD48BC" w:rsidRDefault="00032AF2" w:rsidP="00DA4CA5">
            <w:pPr>
              <w:ind w:left="885"/>
              <w:rPr>
                <w:color w:val="000000"/>
                <w:sz w:val="20"/>
              </w:rPr>
            </w:pPr>
            <w:r w:rsidRPr="00DA4CA5">
              <w:rPr>
                <w:color w:val="000000"/>
                <w:sz w:val="20"/>
                <w:szCs w:val="22"/>
              </w:rPr>
              <w:t>0.080**</w:t>
            </w:r>
          </w:p>
        </w:tc>
      </w:tr>
      <w:tr w:rsidR="00032AF2" w:rsidRPr="003D0C90" w:rsidTr="00180687">
        <w:tc>
          <w:tcPr>
            <w:tcW w:w="2812" w:type="dxa"/>
            <w:vAlign w:val="bottom"/>
          </w:tcPr>
          <w:p w:rsidR="00032AF2" w:rsidRPr="00AD48BC" w:rsidDel="00032AF2" w:rsidRDefault="00032AF2" w:rsidP="00032AF2">
            <w:pPr>
              <w:rPr>
                <w:color w:val="000000"/>
                <w:sz w:val="20"/>
              </w:rPr>
            </w:pPr>
            <w:r>
              <w:rPr>
                <w:color w:val="000000"/>
                <w:sz w:val="20"/>
              </w:rPr>
              <w:t>Law</w:t>
            </w:r>
          </w:p>
        </w:tc>
        <w:tc>
          <w:tcPr>
            <w:tcW w:w="2812" w:type="dxa"/>
            <w:vAlign w:val="bottom"/>
          </w:tcPr>
          <w:p w:rsidR="00032AF2" w:rsidRPr="00BD5E20" w:rsidRDefault="00032AF2" w:rsidP="00DA4CA5">
            <w:pPr>
              <w:ind w:left="885"/>
              <w:rPr>
                <w:color w:val="000000"/>
                <w:sz w:val="20"/>
              </w:rPr>
            </w:pPr>
            <w:r w:rsidRPr="00DA4CA5">
              <w:rPr>
                <w:color w:val="000000"/>
                <w:sz w:val="20"/>
                <w:szCs w:val="22"/>
              </w:rPr>
              <w:t>0.215***</w:t>
            </w:r>
          </w:p>
        </w:tc>
      </w:tr>
      <w:tr w:rsidR="009C6C96" w:rsidRPr="003D0C90" w:rsidTr="00180687">
        <w:tc>
          <w:tcPr>
            <w:tcW w:w="2812" w:type="dxa"/>
            <w:vAlign w:val="bottom"/>
          </w:tcPr>
          <w:p w:rsidR="009C6C96" w:rsidRPr="00AD48BC" w:rsidRDefault="00AD48BC" w:rsidP="00180687">
            <w:pPr>
              <w:rPr>
                <w:color w:val="000000"/>
                <w:sz w:val="20"/>
              </w:rPr>
            </w:pPr>
            <w:r w:rsidRPr="00AD48BC">
              <w:rPr>
                <w:color w:val="000000"/>
                <w:sz w:val="20"/>
              </w:rPr>
              <w:t xml:space="preserve">Food </w:t>
            </w:r>
            <w:r w:rsidR="00032AF2">
              <w:rPr>
                <w:color w:val="000000"/>
                <w:sz w:val="20"/>
              </w:rPr>
              <w:t>and</w:t>
            </w:r>
            <w:r w:rsidRPr="00AD48BC">
              <w:rPr>
                <w:color w:val="000000"/>
                <w:sz w:val="20"/>
              </w:rPr>
              <w:t xml:space="preserve"> Hospitality</w:t>
            </w:r>
          </w:p>
        </w:tc>
        <w:tc>
          <w:tcPr>
            <w:tcW w:w="2812" w:type="dxa"/>
            <w:vAlign w:val="bottom"/>
          </w:tcPr>
          <w:p w:rsidR="009C6C96" w:rsidRPr="00AD48BC" w:rsidRDefault="00032AF2" w:rsidP="00DA4CA5">
            <w:pPr>
              <w:ind w:left="744"/>
              <w:rPr>
                <w:color w:val="000000"/>
                <w:sz w:val="20"/>
              </w:rPr>
            </w:pPr>
            <w:r>
              <w:rPr>
                <w:color w:val="000000"/>
                <w:sz w:val="20"/>
                <w:szCs w:val="22"/>
              </w:rPr>
              <w:t xml:space="preserve">  </w:t>
            </w:r>
            <w:r w:rsidR="009C6C96" w:rsidRPr="00AD48BC">
              <w:rPr>
                <w:color w:val="000000"/>
                <w:sz w:val="20"/>
              </w:rPr>
              <w:t>-0.</w:t>
            </w:r>
            <w:r w:rsidRPr="00DA4CA5">
              <w:rPr>
                <w:color w:val="000000"/>
                <w:sz w:val="20"/>
                <w:szCs w:val="22"/>
              </w:rPr>
              <w:t>133*</w:t>
            </w:r>
          </w:p>
        </w:tc>
      </w:tr>
    </w:tbl>
    <w:p w:rsidR="009C6C96" w:rsidRDefault="009C6C96" w:rsidP="009C6C96">
      <w:pPr>
        <w:pStyle w:val="Source"/>
        <w:rPr>
          <w:lang w:eastAsia="en-AU"/>
        </w:rPr>
      </w:pPr>
      <w:r>
        <w:rPr>
          <w:lang w:eastAsia="en-AU"/>
        </w:rPr>
        <w:t>Source: Deloitte Access Economics. Note: *** represents significance at the 1% level; ** at the 5% level; and * at the 10% level. Base categories are: no post-school qualification, and FoE Arts</w:t>
      </w:r>
    </w:p>
    <w:p w:rsidR="009C6C96" w:rsidRDefault="009C6C96" w:rsidP="009C6C96">
      <w:pPr>
        <w:pStyle w:val="BodyText"/>
        <w:tabs>
          <w:tab w:val="left" w:pos="6195"/>
        </w:tabs>
        <w:rPr>
          <w:lang w:eastAsia="en-AU"/>
        </w:rPr>
      </w:pPr>
      <w:r>
        <w:rPr>
          <w:lang w:eastAsia="en-AU"/>
        </w:rPr>
        <w:t xml:space="preserve">The findings, consistent with </w:t>
      </w:r>
      <w:r w:rsidR="003D0C90">
        <w:rPr>
          <w:lang w:eastAsia="en-AU"/>
        </w:rPr>
        <w:t>previous research</w:t>
      </w:r>
      <w:r>
        <w:rPr>
          <w:lang w:eastAsia="en-AU"/>
        </w:rPr>
        <w:t xml:space="preserve">, suggest that holding a postgraduate degree or bachelor degree </w:t>
      </w:r>
      <w:r w:rsidR="001C39E3">
        <w:rPr>
          <w:lang w:eastAsia="en-AU"/>
        </w:rPr>
        <w:t xml:space="preserve">is associated with </w:t>
      </w:r>
      <w:r>
        <w:rPr>
          <w:lang w:eastAsia="en-AU"/>
        </w:rPr>
        <w:t>a wage premium (</w:t>
      </w:r>
      <w:r w:rsidR="003009D8">
        <w:rPr>
          <w:lang w:eastAsia="en-AU"/>
        </w:rPr>
        <w:t xml:space="preserve">approximately </w:t>
      </w:r>
      <w:r>
        <w:rPr>
          <w:lang w:eastAsia="en-AU"/>
        </w:rPr>
        <w:t>25% and 1</w:t>
      </w:r>
      <w:r w:rsidR="0037651A">
        <w:rPr>
          <w:lang w:eastAsia="en-AU"/>
        </w:rPr>
        <w:t>7</w:t>
      </w:r>
      <w:r>
        <w:rPr>
          <w:lang w:eastAsia="en-AU"/>
        </w:rPr>
        <w:t>%, respectively) over holding no post-school qualification, after controlling for various demographic characteristics and cognitive ability.</w:t>
      </w:r>
      <w:r w:rsidR="003009D8">
        <w:rPr>
          <w:rStyle w:val="FootnoteReference"/>
          <w:lang w:eastAsia="en-AU"/>
        </w:rPr>
        <w:footnoteReference w:id="35"/>
      </w:r>
      <w:r>
        <w:rPr>
          <w:lang w:eastAsia="en-AU"/>
        </w:rPr>
        <w:t xml:space="preserve"> There is no statistically significant wage premium for those holding a </w:t>
      </w:r>
      <w:r w:rsidR="0075680D">
        <w:rPr>
          <w:lang w:eastAsia="en-AU"/>
        </w:rPr>
        <w:t>s</w:t>
      </w:r>
      <w:r>
        <w:rPr>
          <w:lang w:eastAsia="en-AU"/>
        </w:rPr>
        <w:t xml:space="preserve">ub-bachelor or Certificate III/IV qualification. </w:t>
      </w:r>
      <w:r w:rsidR="0037651A">
        <w:rPr>
          <w:lang w:eastAsia="en-AU"/>
        </w:rPr>
        <w:t xml:space="preserve">Relative to those with a qualification in Arts, each of the fields of education (except for Food and Hospitality) have a larger wage premium – with the greatest significant wage premiums in Nursing (31%), Law (22%) and Education (12%). </w:t>
      </w:r>
      <w:r w:rsidR="00AA6A61">
        <w:rPr>
          <w:lang w:eastAsia="en-AU"/>
        </w:rPr>
        <w:t>It is important to note that the final premium of lifetime earnings is dependent on likelihood of employment and participation effects.</w:t>
      </w:r>
    </w:p>
    <w:p w:rsidR="0037651A" w:rsidRDefault="001F2B1F" w:rsidP="00DA4CA5">
      <w:pPr>
        <w:spacing w:before="240"/>
        <w:jc w:val="both"/>
        <w:rPr>
          <w:b/>
          <w:color w:val="002776"/>
          <w:lang w:eastAsia="en-AU"/>
        </w:rPr>
      </w:pPr>
      <w:r>
        <w:rPr>
          <w:b/>
          <w:color w:val="002776"/>
          <w:lang w:eastAsia="en-AU"/>
        </w:rPr>
        <w:t>Likelihood of employment and labour force participation</w:t>
      </w:r>
    </w:p>
    <w:p w:rsidR="008F1F99" w:rsidRDefault="008F1F99" w:rsidP="008F1F99">
      <w:pPr>
        <w:spacing w:before="240"/>
        <w:jc w:val="both"/>
        <w:rPr>
          <w:lang w:eastAsia="en-AU"/>
        </w:rPr>
      </w:pPr>
      <w:r w:rsidRPr="000826D4">
        <w:rPr>
          <w:lang w:eastAsia="en-AU"/>
        </w:rPr>
        <w:fldChar w:fldCharType="begin"/>
      </w:r>
      <w:r w:rsidRPr="00022EA7">
        <w:rPr>
          <w:lang w:eastAsia="en-AU"/>
        </w:rPr>
        <w:instrText xml:space="preserve"> REF _Ref460360794 \r \h </w:instrText>
      </w:r>
      <w:r w:rsidR="00180E6D" w:rsidRPr="00DA4CA5">
        <w:rPr>
          <w:lang w:eastAsia="en-AU"/>
        </w:rPr>
        <w:instrText xml:space="preserve"> \* MERGEFORMAT </w:instrText>
      </w:r>
      <w:r w:rsidRPr="000826D4">
        <w:rPr>
          <w:lang w:eastAsia="en-AU"/>
        </w:rPr>
      </w:r>
      <w:r w:rsidRPr="000826D4">
        <w:rPr>
          <w:lang w:eastAsia="en-AU"/>
        </w:rPr>
        <w:fldChar w:fldCharType="separate"/>
      </w:r>
      <w:r w:rsidR="00534F9F">
        <w:rPr>
          <w:lang w:eastAsia="en-AU"/>
        </w:rPr>
        <w:t>Table 4.2</w:t>
      </w:r>
      <w:r w:rsidRPr="000826D4">
        <w:rPr>
          <w:lang w:eastAsia="en-AU"/>
        </w:rPr>
        <w:fldChar w:fldCharType="end"/>
      </w:r>
      <w:r w:rsidRPr="000826D4">
        <w:rPr>
          <w:lang w:eastAsia="en-AU"/>
        </w:rPr>
        <w:t xml:space="preserve"> </w:t>
      </w:r>
      <w:r w:rsidRPr="005E3967">
        <w:rPr>
          <w:lang w:eastAsia="en-AU"/>
        </w:rPr>
        <w:t xml:space="preserve">presents the results from the modelling for the effect of education on </w:t>
      </w:r>
      <w:r w:rsidRPr="00022EA7">
        <w:rPr>
          <w:lang w:eastAsia="en-AU"/>
        </w:rPr>
        <w:t>employment and</w:t>
      </w:r>
      <w:r>
        <w:rPr>
          <w:lang w:eastAsia="en-AU"/>
        </w:rPr>
        <w:t xml:space="preserve"> labour force participation for the qualification level and field of education variables. Note that the qualification level results are relative to an average individual with no post-school qualification, and field of education results are relative to an average individual with an Arts qualification. The full results of the model are reported in Appendix B.</w:t>
      </w:r>
    </w:p>
    <w:p w:rsidR="0037651A" w:rsidRPr="00536B22" w:rsidRDefault="0037651A" w:rsidP="0037651A">
      <w:pPr>
        <w:pStyle w:val="CaptionTable"/>
        <w:numPr>
          <w:ilvl w:val="6"/>
          <w:numId w:val="8"/>
        </w:numPr>
        <w:ind w:left="0"/>
        <w:rPr>
          <w:lang w:eastAsia="en-AU"/>
        </w:rPr>
      </w:pPr>
      <w:bookmarkStart w:id="88" w:name="_Toc461018551"/>
      <w:bookmarkStart w:id="89" w:name="_Toc461084014"/>
      <w:bookmarkStart w:id="90" w:name="_Toc461103998"/>
      <w:bookmarkStart w:id="91" w:name="_Toc461018552"/>
      <w:bookmarkStart w:id="92" w:name="_Toc461084015"/>
      <w:bookmarkStart w:id="93" w:name="_Toc461103999"/>
      <w:bookmarkStart w:id="94" w:name="_Toc461018553"/>
      <w:bookmarkStart w:id="95" w:name="_Toc461084016"/>
      <w:bookmarkStart w:id="96" w:name="_Toc461104000"/>
      <w:bookmarkStart w:id="97" w:name="_Toc461018554"/>
      <w:bookmarkStart w:id="98" w:name="_Toc461084017"/>
      <w:bookmarkStart w:id="99" w:name="_Toc461104001"/>
      <w:bookmarkStart w:id="100" w:name="_Toc461018555"/>
      <w:bookmarkStart w:id="101" w:name="_Toc461084018"/>
      <w:bookmarkStart w:id="102" w:name="_Toc461104002"/>
      <w:bookmarkStart w:id="103" w:name="_Toc461018556"/>
      <w:bookmarkStart w:id="104" w:name="_Toc461084019"/>
      <w:bookmarkStart w:id="105" w:name="_Toc461104003"/>
      <w:bookmarkStart w:id="106" w:name="_Toc461018646"/>
      <w:bookmarkStart w:id="107" w:name="_Toc461084109"/>
      <w:bookmarkStart w:id="108" w:name="_Toc461104093"/>
      <w:bookmarkStart w:id="109" w:name="_Toc461018647"/>
      <w:bookmarkStart w:id="110" w:name="_Toc461084110"/>
      <w:bookmarkStart w:id="111" w:name="_Toc461104094"/>
      <w:bookmarkStart w:id="112" w:name="_Toc461018675"/>
      <w:bookmarkStart w:id="113" w:name="_Toc461084138"/>
      <w:bookmarkStart w:id="114" w:name="_Toc461104122"/>
      <w:bookmarkStart w:id="115" w:name="_Toc461018676"/>
      <w:bookmarkStart w:id="116" w:name="_Toc461084139"/>
      <w:bookmarkStart w:id="117" w:name="_Toc461104123"/>
      <w:bookmarkStart w:id="118" w:name="_Toc461018677"/>
      <w:bookmarkStart w:id="119" w:name="_Toc461084140"/>
      <w:bookmarkStart w:id="120" w:name="_Toc461104124"/>
      <w:bookmarkStart w:id="121" w:name="_Ref460360794"/>
      <w:bookmarkStart w:id="122" w:name="_Toc465961125"/>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lang w:eastAsia="en-AU"/>
        </w:rPr>
        <w:t>: Likelihood of employment</w:t>
      </w:r>
      <w:r w:rsidR="00AA6A61">
        <w:rPr>
          <w:lang w:eastAsia="en-AU"/>
        </w:rPr>
        <w:t>,</w:t>
      </w:r>
      <w:r>
        <w:rPr>
          <w:lang w:eastAsia="en-AU"/>
        </w:rPr>
        <w:t xml:space="preserve"> and labour force participation of</w:t>
      </w:r>
      <w:r w:rsidRPr="00536B22">
        <w:rPr>
          <w:lang w:eastAsia="en-AU"/>
        </w:rPr>
        <w:t xml:space="preserve"> graduates, </w:t>
      </w:r>
      <w:bookmarkEnd w:id="121"/>
      <w:r w:rsidR="00AA6A61">
        <w:rPr>
          <w:lang w:eastAsia="en-AU"/>
        </w:rPr>
        <w:t>key regression results</w:t>
      </w:r>
      <w:bookmarkEnd w:id="122"/>
    </w:p>
    <w:tbl>
      <w:tblPr>
        <w:tblStyle w:val="TableAE"/>
        <w:tblW w:w="0" w:type="auto"/>
        <w:tblLayout w:type="fixed"/>
        <w:tblLook w:val="04A0" w:firstRow="1" w:lastRow="0" w:firstColumn="1" w:lastColumn="0" w:noHBand="0" w:noVBand="1"/>
      </w:tblPr>
      <w:tblGrid>
        <w:gridCol w:w="2812"/>
        <w:gridCol w:w="2812"/>
        <w:gridCol w:w="2812"/>
      </w:tblGrid>
      <w:tr w:rsidR="0037651A" w:rsidRPr="003D0C90" w:rsidTr="0097714B">
        <w:trPr>
          <w:cnfStyle w:val="100000000000" w:firstRow="1" w:lastRow="0" w:firstColumn="0" w:lastColumn="0" w:oddVBand="0" w:evenVBand="0" w:oddHBand="0" w:evenHBand="0" w:firstRowFirstColumn="0" w:firstRowLastColumn="0" w:lastRowFirstColumn="0" w:lastRowLastColumn="0"/>
          <w:tblHeader/>
        </w:trPr>
        <w:tc>
          <w:tcPr>
            <w:tcW w:w="2812" w:type="dxa"/>
          </w:tcPr>
          <w:p w:rsidR="0037651A" w:rsidRPr="00AD48BC" w:rsidRDefault="0037651A" w:rsidP="0097714B">
            <w:pPr>
              <w:pStyle w:val="TableHeadingCentre"/>
              <w:rPr>
                <w:sz w:val="20"/>
                <w:szCs w:val="20"/>
                <w:lang w:eastAsia="en-AU"/>
              </w:rPr>
            </w:pPr>
          </w:p>
        </w:tc>
        <w:tc>
          <w:tcPr>
            <w:tcW w:w="2812" w:type="dxa"/>
          </w:tcPr>
          <w:p w:rsidR="0037651A" w:rsidRPr="00AD48BC" w:rsidRDefault="0037651A" w:rsidP="0097714B">
            <w:pPr>
              <w:pStyle w:val="TableHeadingCentre"/>
              <w:rPr>
                <w:sz w:val="20"/>
                <w:szCs w:val="20"/>
                <w:lang w:eastAsia="en-AU"/>
              </w:rPr>
            </w:pPr>
            <w:r>
              <w:rPr>
                <w:sz w:val="20"/>
                <w:szCs w:val="20"/>
                <w:lang w:eastAsia="en-AU"/>
              </w:rPr>
              <w:t>Employment</w:t>
            </w:r>
          </w:p>
        </w:tc>
        <w:tc>
          <w:tcPr>
            <w:tcW w:w="2812" w:type="dxa"/>
          </w:tcPr>
          <w:p w:rsidR="0037651A" w:rsidRPr="00AD48BC" w:rsidRDefault="0037651A" w:rsidP="0097714B">
            <w:pPr>
              <w:pStyle w:val="TableHeadingCentre"/>
              <w:rPr>
                <w:sz w:val="20"/>
                <w:szCs w:val="20"/>
                <w:lang w:eastAsia="en-AU"/>
              </w:rPr>
            </w:pPr>
            <w:r>
              <w:rPr>
                <w:sz w:val="20"/>
                <w:szCs w:val="20"/>
                <w:lang w:eastAsia="en-AU"/>
              </w:rPr>
              <w:t>Labour force participation</w:t>
            </w:r>
          </w:p>
        </w:tc>
      </w:tr>
      <w:tr w:rsidR="0037651A" w:rsidRPr="003D0C90" w:rsidTr="0097714B">
        <w:trPr>
          <w:trHeight w:val="192"/>
        </w:trPr>
        <w:tc>
          <w:tcPr>
            <w:tcW w:w="2812" w:type="dxa"/>
            <w:shd w:val="clear" w:color="auto" w:fill="D9D9D9" w:themeFill="background1" w:themeFillShade="D9"/>
          </w:tcPr>
          <w:p w:rsidR="0037651A" w:rsidRPr="00AD48BC" w:rsidRDefault="0037651A" w:rsidP="0097714B">
            <w:pPr>
              <w:pStyle w:val="TabletextLeft"/>
              <w:rPr>
                <w:b/>
                <w:lang w:eastAsia="en-AU"/>
              </w:rPr>
            </w:pPr>
            <w:r w:rsidRPr="00AD48BC">
              <w:rPr>
                <w:b/>
                <w:lang w:eastAsia="en-AU"/>
              </w:rPr>
              <w:t>Qualification level</w:t>
            </w:r>
          </w:p>
        </w:tc>
        <w:tc>
          <w:tcPr>
            <w:tcW w:w="2812" w:type="dxa"/>
            <w:shd w:val="clear" w:color="auto" w:fill="D9D9D9" w:themeFill="background1" w:themeFillShade="D9"/>
          </w:tcPr>
          <w:p w:rsidR="0037651A" w:rsidRPr="00AD48BC" w:rsidRDefault="0037651A" w:rsidP="0097714B">
            <w:pPr>
              <w:pStyle w:val="TabletextLeft"/>
              <w:rPr>
                <w:b/>
                <w:lang w:eastAsia="en-AU"/>
              </w:rPr>
            </w:pPr>
          </w:p>
        </w:tc>
        <w:tc>
          <w:tcPr>
            <w:tcW w:w="2812" w:type="dxa"/>
            <w:shd w:val="clear" w:color="auto" w:fill="D9D9D9" w:themeFill="background1" w:themeFillShade="D9"/>
          </w:tcPr>
          <w:p w:rsidR="0037651A" w:rsidRPr="00AD48BC" w:rsidRDefault="0037651A" w:rsidP="0097714B">
            <w:pPr>
              <w:pStyle w:val="TabletextLeft"/>
              <w:rPr>
                <w:b/>
                <w:lang w:eastAsia="en-AU"/>
              </w:rPr>
            </w:pPr>
          </w:p>
        </w:tc>
      </w:tr>
      <w:tr w:rsidR="005D2D56" w:rsidRPr="003D0C90" w:rsidTr="00DA4CA5">
        <w:tc>
          <w:tcPr>
            <w:tcW w:w="2812" w:type="dxa"/>
            <w:vAlign w:val="bottom"/>
          </w:tcPr>
          <w:p w:rsidR="005D2D56" w:rsidRPr="00AD48BC" w:rsidRDefault="005D2D56" w:rsidP="0097714B">
            <w:pPr>
              <w:rPr>
                <w:color w:val="000000"/>
                <w:sz w:val="20"/>
              </w:rPr>
            </w:pPr>
            <w:r w:rsidRPr="00AD48BC">
              <w:rPr>
                <w:color w:val="000000"/>
                <w:sz w:val="20"/>
              </w:rPr>
              <w:t>Postgraduate</w:t>
            </w:r>
          </w:p>
        </w:tc>
        <w:tc>
          <w:tcPr>
            <w:tcW w:w="2812" w:type="dxa"/>
            <w:vAlign w:val="bottom"/>
          </w:tcPr>
          <w:p w:rsidR="005D2D56" w:rsidRPr="00AF6E19" w:rsidRDefault="005D2D56" w:rsidP="0097714B">
            <w:pPr>
              <w:ind w:left="885"/>
              <w:rPr>
                <w:color w:val="000000"/>
                <w:sz w:val="20"/>
              </w:rPr>
            </w:pPr>
            <w:r w:rsidRPr="00DA4CA5">
              <w:rPr>
                <w:color w:val="000000"/>
                <w:sz w:val="20"/>
                <w:szCs w:val="22"/>
              </w:rPr>
              <w:t>0.000</w:t>
            </w:r>
          </w:p>
        </w:tc>
        <w:tc>
          <w:tcPr>
            <w:tcW w:w="2812" w:type="dxa"/>
            <w:vAlign w:val="bottom"/>
          </w:tcPr>
          <w:p w:rsidR="005D2D56" w:rsidRPr="00AF6E19" w:rsidRDefault="005D2D56" w:rsidP="0097714B">
            <w:pPr>
              <w:ind w:left="885"/>
              <w:rPr>
                <w:color w:val="000000"/>
                <w:sz w:val="20"/>
                <w:szCs w:val="22"/>
              </w:rPr>
            </w:pPr>
            <w:r w:rsidRPr="00DA4CA5">
              <w:rPr>
                <w:color w:val="000000"/>
                <w:sz w:val="20"/>
                <w:szCs w:val="22"/>
              </w:rPr>
              <w:t>0.057***</w:t>
            </w:r>
          </w:p>
        </w:tc>
      </w:tr>
      <w:tr w:rsidR="005D2D56" w:rsidRPr="003D0C90" w:rsidTr="00DA4CA5">
        <w:tc>
          <w:tcPr>
            <w:tcW w:w="2812" w:type="dxa"/>
            <w:vAlign w:val="bottom"/>
          </w:tcPr>
          <w:p w:rsidR="005D2D56" w:rsidRPr="00AD48BC" w:rsidRDefault="005D2D56" w:rsidP="0097714B">
            <w:pPr>
              <w:rPr>
                <w:color w:val="000000"/>
                <w:sz w:val="20"/>
              </w:rPr>
            </w:pPr>
            <w:r w:rsidRPr="00AD48BC">
              <w:rPr>
                <w:color w:val="000000"/>
                <w:sz w:val="20"/>
              </w:rPr>
              <w:t>Bachelor</w:t>
            </w:r>
          </w:p>
        </w:tc>
        <w:tc>
          <w:tcPr>
            <w:tcW w:w="2812" w:type="dxa"/>
            <w:vAlign w:val="bottom"/>
          </w:tcPr>
          <w:p w:rsidR="005D2D56" w:rsidRPr="00AF6E19" w:rsidRDefault="005D2D56" w:rsidP="0097714B">
            <w:pPr>
              <w:ind w:left="885"/>
              <w:rPr>
                <w:color w:val="000000"/>
                <w:sz w:val="20"/>
              </w:rPr>
            </w:pPr>
            <w:r w:rsidRPr="00DA4CA5">
              <w:rPr>
                <w:color w:val="000000"/>
                <w:sz w:val="20"/>
                <w:szCs w:val="22"/>
              </w:rPr>
              <w:t>0.002</w:t>
            </w:r>
          </w:p>
        </w:tc>
        <w:tc>
          <w:tcPr>
            <w:tcW w:w="2812" w:type="dxa"/>
            <w:vAlign w:val="bottom"/>
          </w:tcPr>
          <w:p w:rsidR="005D2D56" w:rsidRPr="00AF6E19" w:rsidRDefault="005D2D56" w:rsidP="0097714B">
            <w:pPr>
              <w:ind w:left="885"/>
              <w:rPr>
                <w:color w:val="000000"/>
                <w:sz w:val="20"/>
                <w:szCs w:val="22"/>
              </w:rPr>
            </w:pPr>
            <w:r w:rsidRPr="00DA4CA5">
              <w:rPr>
                <w:color w:val="000000"/>
                <w:sz w:val="20"/>
                <w:szCs w:val="22"/>
              </w:rPr>
              <w:t>0.038***</w:t>
            </w:r>
          </w:p>
        </w:tc>
      </w:tr>
      <w:tr w:rsidR="005D2D56" w:rsidRPr="003D0C90" w:rsidTr="00DA4CA5">
        <w:tc>
          <w:tcPr>
            <w:tcW w:w="2812" w:type="dxa"/>
            <w:vAlign w:val="bottom"/>
          </w:tcPr>
          <w:p w:rsidR="005D2D56" w:rsidRPr="00AD48BC" w:rsidRDefault="005D2D56" w:rsidP="0097714B">
            <w:pPr>
              <w:rPr>
                <w:color w:val="000000"/>
                <w:sz w:val="20"/>
              </w:rPr>
            </w:pPr>
            <w:r w:rsidRPr="00AD48BC">
              <w:rPr>
                <w:color w:val="000000"/>
                <w:sz w:val="20"/>
              </w:rPr>
              <w:t>Sub-bachelor</w:t>
            </w:r>
          </w:p>
        </w:tc>
        <w:tc>
          <w:tcPr>
            <w:tcW w:w="2812" w:type="dxa"/>
            <w:vAlign w:val="bottom"/>
          </w:tcPr>
          <w:p w:rsidR="005D2D56" w:rsidRPr="00AF6E19" w:rsidRDefault="005D2D56" w:rsidP="00DA4CA5">
            <w:pPr>
              <w:ind w:left="732"/>
              <w:rPr>
                <w:color w:val="000000"/>
                <w:sz w:val="20"/>
              </w:rPr>
            </w:pPr>
            <w:r w:rsidRPr="00DA4CA5">
              <w:rPr>
                <w:color w:val="000000"/>
                <w:sz w:val="20"/>
                <w:szCs w:val="22"/>
              </w:rPr>
              <w:t xml:space="preserve"> -0.001</w:t>
            </w:r>
          </w:p>
        </w:tc>
        <w:tc>
          <w:tcPr>
            <w:tcW w:w="2812" w:type="dxa"/>
            <w:vAlign w:val="bottom"/>
          </w:tcPr>
          <w:p w:rsidR="005D2D56" w:rsidRPr="00AF6E19" w:rsidRDefault="005D2D56" w:rsidP="0097714B">
            <w:pPr>
              <w:ind w:left="885"/>
              <w:rPr>
                <w:color w:val="000000"/>
                <w:sz w:val="20"/>
                <w:szCs w:val="22"/>
              </w:rPr>
            </w:pPr>
            <w:r w:rsidRPr="00DA4CA5">
              <w:rPr>
                <w:color w:val="000000"/>
                <w:sz w:val="20"/>
                <w:szCs w:val="22"/>
              </w:rPr>
              <w:t>0.016</w:t>
            </w:r>
          </w:p>
        </w:tc>
      </w:tr>
      <w:tr w:rsidR="005D2D56" w:rsidRPr="003D0C90" w:rsidTr="00DA4CA5">
        <w:tc>
          <w:tcPr>
            <w:tcW w:w="2812" w:type="dxa"/>
            <w:vAlign w:val="bottom"/>
          </w:tcPr>
          <w:p w:rsidR="005D2D56" w:rsidRPr="00AD48BC" w:rsidRDefault="005D2D56" w:rsidP="0097714B">
            <w:pPr>
              <w:rPr>
                <w:color w:val="000000"/>
                <w:sz w:val="20"/>
              </w:rPr>
            </w:pPr>
            <w:r w:rsidRPr="00AD48BC">
              <w:rPr>
                <w:color w:val="000000"/>
                <w:sz w:val="20"/>
              </w:rPr>
              <w:t xml:space="preserve">Certificate III/IV </w:t>
            </w:r>
          </w:p>
        </w:tc>
        <w:tc>
          <w:tcPr>
            <w:tcW w:w="2812" w:type="dxa"/>
            <w:vAlign w:val="bottom"/>
          </w:tcPr>
          <w:p w:rsidR="005D2D56" w:rsidRPr="00AF6E19" w:rsidRDefault="005D2D56" w:rsidP="0097714B">
            <w:pPr>
              <w:ind w:left="744"/>
              <w:rPr>
                <w:color w:val="000000"/>
                <w:sz w:val="20"/>
              </w:rPr>
            </w:pPr>
            <w:r w:rsidRPr="00DA4CA5">
              <w:rPr>
                <w:color w:val="000000"/>
                <w:sz w:val="20"/>
                <w:szCs w:val="22"/>
              </w:rPr>
              <w:t xml:space="preserve"> -0.003</w:t>
            </w:r>
          </w:p>
        </w:tc>
        <w:tc>
          <w:tcPr>
            <w:tcW w:w="2812" w:type="dxa"/>
            <w:vAlign w:val="bottom"/>
          </w:tcPr>
          <w:p w:rsidR="005D2D56" w:rsidRPr="00AF6E19" w:rsidRDefault="005D2D56" w:rsidP="00DA4CA5">
            <w:pPr>
              <w:ind w:left="897"/>
              <w:rPr>
                <w:color w:val="000000"/>
                <w:sz w:val="20"/>
                <w:szCs w:val="22"/>
              </w:rPr>
            </w:pPr>
            <w:r w:rsidRPr="00DA4CA5">
              <w:rPr>
                <w:color w:val="000000"/>
                <w:sz w:val="20"/>
                <w:szCs w:val="22"/>
              </w:rPr>
              <w:t>0.038***</w:t>
            </w:r>
          </w:p>
        </w:tc>
      </w:tr>
      <w:tr w:rsidR="0037651A" w:rsidRPr="003D0C90" w:rsidTr="0097714B">
        <w:tc>
          <w:tcPr>
            <w:tcW w:w="2812" w:type="dxa"/>
            <w:shd w:val="clear" w:color="auto" w:fill="D9D9D9" w:themeFill="background1" w:themeFillShade="D9"/>
            <w:vAlign w:val="bottom"/>
          </w:tcPr>
          <w:p w:rsidR="0037651A" w:rsidRPr="00AD48BC" w:rsidRDefault="0037651A" w:rsidP="0097714B">
            <w:pPr>
              <w:rPr>
                <w:b/>
                <w:color w:val="000000"/>
                <w:sz w:val="20"/>
              </w:rPr>
            </w:pPr>
            <w:r w:rsidRPr="00AD48BC">
              <w:rPr>
                <w:b/>
                <w:color w:val="000000"/>
                <w:sz w:val="20"/>
              </w:rPr>
              <w:t>Field of Education</w:t>
            </w:r>
          </w:p>
        </w:tc>
        <w:tc>
          <w:tcPr>
            <w:tcW w:w="2812" w:type="dxa"/>
            <w:shd w:val="clear" w:color="auto" w:fill="D9D9D9" w:themeFill="background1" w:themeFillShade="D9"/>
            <w:vAlign w:val="bottom"/>
          </w:tcPr>
          <w:p w:rsidR="0037651A" w:rsidRPr="00AF6E19" w:rsidRDefault="0037651A" w:rsidP="0097714B">
            <w:pPr>
              <w:jc w:val="center"/>
              <w:rPr>
                <w:b/>
                <w:color w:val="000000"/>
                <w:sz w:val="20"/>
              </w:rPr>
            </w:pPr>
          </w:p>
        </w:tc>
        <w:tc>
          <w:tcPr>
            <w:tcW w:w="2812" w:type="dxa"/>
            <w:shd w:val="clear" w:color="auto" w:fill="D9D9D9" w:themeFill="background1" w:themeFillShade="D9"/>
          </w:tcPr>
          <w:p w:rsidR="0037651A" w:rsidRPr="00AF6E19" w:rsidRDefault="0037651A" w:rsidP="0097714B">
            <w:pPr>
              <w:jc w:val="center"/>
              <w:rPr>
                <w:b/>
                <w:color w:val="000000"/>
                <w:sz w:val="20"/>
              </w:rPr>
            </w:pPr>
          </w:p>
        </w:tc>
      </w:tr>
      <w:tr w:rsidR="005D2D56" w:rsidRPr="003D0C90" w:rsidTr="00DA4CA5">
        <w:tc>
          <w:tcPr>
            <w:tcW w:w="2812" w:type="dxa"/>
            <w:vAlign w:val="bottom"/>
          </w:tcPr>
          <w:p w:rsidR="005D2D56" w:rsidRPr="00AD48BC" w:rsidRDefault="005D2D56" w:rsidP="0097714B">
            <w:pPr>
              <w:rPr>
                <w:color w:val="000000"/>
                <w:sz w:val="20"/>
              </w:rPr>
            </w:pPr>
            <w:r w:rsidRPr="00AD48BC">
              <w:rPr>
                <w:color w:val="000000"/>
                <w:sz w:val="20"/>
              </w:rPr>
              <w:t xml:space="preserve">Science </w:t>
            </w:r>
          </w:p>
        </w:tc>
        <w:tc>
          <w:tcPr>
            <w:tcW w:w="2812" w:type="dxa"/>
            <w:vAlign w:val="bottom"/>
          </w:tcPr>
          <w:p w:rsidR="005D2D56" w:rsidRPr="00AF6E19" w:rsidRDefault="005D2D56" w:rsidP="0097714B">
            <w:pPr>
              <w:ind w:left="885"/>
              <w:rPr>
                <w:color w:val="000000"/>
                <w:sz w:val="20"/>
              </w:rPr>
            </w:pPr>
            <w:r w:rsidRPr="00DA4CA5">
              <w:rPr>
                <w:color w:val="000000"/>
                <w:sz w:val="20"/>
                <w:szCs w:val="22"/>
              </w:rPr>
              <w:t>0.011*</w:t>
            </w:r>
          </w:p>
        </w:tc>
        <w:tc>
          <w:tcPr>
            <w:tcW w:w="2812" w:type="dxa"/>
            <w:vAlign w:val="bottom"/>
          </w:tcPr>
          <w:p w:rsidR="005D2D56" w:rsidRPr="00AF6E19" w:rsidRDefault="005D2D56" w:rsidP="0097714B">
            <w:pPr>
              <w:ind w:left="885"/>
              <w:rPr>
                <w:color w:val="000000"/>
                <w:sz w:val="20"/>
                <w:szCs w:val="22"/>
              </w:rPr>
            </w:pPr>
            <w:r w:rsidRPr="00DA4CA5">
              <w:rPr>
                <w:color w:val="000000"/>
                <w:sz w:val="20"/>
                <w:szCs w:val="22"/>
              </w:rPr>
              <w:t>0.036**</w:t>
            </w:r>
          </w:p>
        </w:tc>
      </w:tr>
      <w:tr w:rsidR="005D2D56" w:rsidRPr="003D0C90" w:rsidTr="00DA4CA5">
        <w:tc>
          <w:tcPr>
            <w:tcW w:w="2812" w:type="dxa"/>
            <w:vAlign w:val="bottom"/>
          </w:tcPr>
          <w:p w:rsidR="005D2D56" w:rsidRPr="00AD48BC" w:rsidRDefault="005D2D56" w:rsidP="0097714B">
            <w:pPr>
              <w:rPr>
                <w:color w:val="000000"/>
                <w:sz w:val="20"/>
              </w:rPr>
            </w:pPr>
            <w:r w:rsidRPr="00AD48BC">
              <w:rPr>
                <w:color w:val="000000"/>
                <w:sz w:val="20"/>
              </w:rPr>
              <w:t xml:space="preserve">IT </w:t>
            </w:r>
          </w:p>
        </w:tc>
        <w:tc>
          <w:tcPr>
            <w:tcW w:w="2812" w:type="dxa"/>
            <w:vAlign w:val="bottom"/>
          </w:tcPr>
          <w:p w:rsidR="005D2D56" w:rsidRPr="00AF6E19" w:rsidRDefault="005D2D56" w:rsidP="0097714B">
            <w:pPr>
              <w:ind w:left="885"/>
              <w:rPr>
                <w:color w:val="000000"/>
                <w:sz w:val="20"/>
              </w:rPr>
            </w:pPr>
            <w:r w:rsidRPr="00DA4CA5">
              <w:rPr>
                <w:color w:val="000000"/>
                <w:sz w:val="20"/>
                <w:szCs w:val="22"/>
              </w:rPr>
              <w:t>0.003</w:t>
            </w:r>
          </w:p>
        </w:tc>
        <w:tc>
          <w:tcPr>
            <w:tcW w:w="2812" w:type="dxa"/>
            <w:vAlign w:val="bottom"/>
          </w:tcPr>
          <w:p w:rsidR="005D2D56" w:rsidRPr="00AF6E19" w:rsidRDefault="005D2D56" w:rsidP="0097714B">
            <w:pPr>
              <w:ind w:left="885"/>
              <w:rPr>
                <w:color w:val="000000"/>
                <w:sz w:val="20"/>
                <w:szCs w:val="22"/>
              </w:rPr>
            </w:pPr>
            <w:r w:rsidRPr="00DA4CA5">
              <w:rPr>
                <w:color w:val="000000"/>
                <w:sz w:val="20"/>
                <w:szCs w:val="22"/>
              </w:rPr>
              <w:t>0.035**</w:t>
            </w:r>
          </w:p>
        </w:tc>
      </w:tr>
      <w:tr w:rsidR="005D2D56" w:rsidRPr="003D0C90" w:rsidTr="00DA4CA5">
        <w:tc>
          <w:tcPr>
            <w:tcW w:w="2812" w:type="dxa"/>
            <w:vAlign w:val="bottom"/>
          </w:tcPr>
          <w:p w:rsidR="005D2D56" w:rsidRPr="00AD48BC" w:rsidRDefault="005D2D56" w:rsidP="0097714B">
            <w:pPr>
              <w:rPr>
                <w:color w:val="000000"/>
                <w:sz w:val="20"/>
              </w:rPr>
            </w:pPr>
            <w:r w:rsidRPr="00AD48BC">
              <w:rPr>
                <w:color w:val="000000"/>
                <w:sz w:val="20"/>
              </w:rPr>
              <w:t xml:space="preserve">Engineering </w:t>
            </w:r>
          </w:p>
        </w:tc>
        <w:tc>
          <w:tcPr>
            <w:tcW w:w="2812" w:type="dxa"/>
            <w:vAlign w:val="bottom"/>
          </w:tcPr>
          <w:p w:rsidR="005D2D56" w:rsidRPr="00AF6E19" w:rsidRDefault="005D2D56" w:rsidP="0097714B">
            <w:pPr>
              <w:ind w:left="885"/>
              <w:rPr>
                <w:color w:val="000000"/>
                <w:sz w:val="20"/>
              </w:rPr>
            </w:pPr>
            <w:r w:rsidRPr="00DA4CA5">
              <w:rPr>
                <w:color w:val="000000"/>
                <w:sz w:val="20"/>
                <w:szCs w:val="22"/>
              </w:rPr>
              <w:t>0.022***</w:t>
            </w:r>
          </w:p>
        </w:tc>
        <w:tc>
          <w:tcPr>
            <w:tcW w:w="2812" w:type="dxa"/>
            <w:vAlign w:val="bottom"/>
          </w:tcPr>
          <w:p w:rsidR="005D2D56" w:rsidRPr="00AF6E19" w:rsidRDefault="005D2D56" w:rsidP="0097714B">
            <w:pPr>
              <w:ind w:left="885"/>
              <w:rPr>
                <w:color w:val="000000"/>
                <w:sz w:val="20"/>
                <w:szCs w:val="22"/>
              </w:rPr>
            </w:pPr>
            <w:r w:rsidRPr="00DA4CA5">
              <w:rPr>
                <w:color w:val="000000"/>
                <w:sz w:val="20"/>
                <w:szCs w:val="22"/>
              </w:rPr>
              <w:t>0.037***</w:t>
            </w:r>
          </w:p>
        </w:tc>
      </w:tr>
      <w:tr w:rsidR="005D2D56" w:rsidRPr="003D0C90" w:rsidTr="00DA4CA5">
        <w:tc>
          <w:tcPr>
            <w:tcW w:w="2812" w:type="dxa"/>
            <w:vAlign w:val="bottom"/>
          </w:tcPr>
          <w:p w:rsidR="005D2D56" w:rsidRPr="00AD48BC" w:rsidRDefault="005D2D56" w:rsidP="0097714B">
            <w:pPr>
              <w:rPr>
                <w:color w:val="000000"/>
                <w:sz w:val="20"/>
              </w:rPr>
            </w:pPr>
            <w:r w:rsidRPr="00AD48BC">
              <w:rPr>
                <w:color w:val="000000"/>
                <w:sz w:val="20"/>
              </w:rPr>
              <w:t>Medicine</w:t>
            </w:r>
          </w:p>
        </w:tc>
        <w:tc>
          <w:tcPr>
            <w:tcW w:w="2812" w:type="dxa"/>
            <w:vAlign w:val="bottom"/>
          </w:tcPr>
          <w:p w:rsidR="005D2D56" w:rsidRPr="00AF6E19" w:rsidRDefault="005D2D56" w:rsidP="0097714B">
            <w:pPr>
              <w:ind w:left="885"/>
              <w:rPr>
                <w:color w:val="000000"/>
                <w:sz w:val="20"/>
              </w:rPr>
            </w:pPr>
            <w:r w:rsidRPr="00DA4CA5">
              <w:rPr>
                <w:color w:val="000000"/>
                <w:sz w:val="20"/>
                <w:szCs w:val="22"/>
              </w:rPr>
              <w:t>-0.002</w:t>
            </w:r>
          </w:p>
        </w:tc>
        <w:tc>
          <w:tcPr>
            <w:tcW w:w="2812" w:type="dxa"/>
            <w:vAlign w:val="bottom"/>
          </w:tcPr>
          <w:p w:rsidR="005D2D56" w:rsidRPr="00AF6E19" w:rsidRDefault="005D2D56" w:rsidP="0097714B">
            <w:pPr>
              <w:ind w:left="885"/>
              <w:rPr>
                <w:color w:val="000000"/>
                <w:sz w:val="20"/>
                <w:szCs w:val="22"/>
              </w:rPr>
            </w:pPr>
            <w:r w:rsidRPr="00DA4CA5">
              <w:rPr>
                <w:color w:val="000000"/>
                <w:sz w:val="20"/>
                <w:szCs w:val="22"/>
              </w:rPr>
              <w:t>0.053*</w:t>
            </w:r>
          </w:p>
        </w:tc>
      </w:tr>
      <w:tr w:rsidR="005D2D56" w:rsidRPr="003D0C90" w:rsidTr="00DA4CA5">
        <w:tc>
          <w:tcPr>
            <w:tcW w:w="2812" w:type="dxa"/>
            <w:vAlign w:val="bottom"/>
          </w:tcPr>
          <w:p w:rsidR="005D2D56" w:rsidRPr="00AD48BC" w:rsidRDefault="005D2D56" w:rsidP="0097714B">
            <w:pPr>
              <w:rPr>
                <w:color w:val="000000"/>
                <w:sz w:val="20"/>
              </w:rPr>
            </w:pPr>
            <w:r>
              <w:rPr>
                <w:color w:val="000000"/>
                <w:sz w:val="20"/>
              </w:rPr>
              <w:t>Nursing</w:t>
            </w:r>
          </w:p>
        </w:tc>
        <w:tc>
          <w:tcPr>
            <w:tcW w:w="2812" w:type="dxa"/>
            <w:vAlign w:val="bottom"/>
          </w:tcPr>
          <w:p w:rsidR="005D2D56" w:rsidRPr="00AF6E19" w:rsidRDefault="005D2D56" w:rsidP="0097714B">
            <w:pPr>
              <w:ind w:left="885"/>
              <w:rPr>
                <w:color w:val="000000"/>
                <w:sz w:val="20"/>
              </w:rPr>
            </w:pPr>
            <w:r w:rsidRPr="00DA4CA5">
              <w:rPr>
                <w:color w:val="000000"/>
                <w:sz w:val="20"/>
                <w:szCs w:val="22"/>
              </w:rPr>
              <w:t>0.027***</w:t>
            </w:r>
          </w:p>
        </w:tc>
        <w:tc>
          <w:tcPr>
            <w:tcW w:w="2812" w:type="dxa"/>
            <w:vAlign w:val="bottom"/>
          </w:tcPr>
          <w:p w:rsidR="005D2D56" w:rsidRPr="00AF6E19" w:rsidRDefault="005D2D56" w:rsidP="0097714B">
            <w:pPr>
              <w:ind w:left="885"/>
              <w:rPr>
                <w:color w:val="000000"/>
                <w:sz w:val="20"/>
                <w:szCs w:val="22"/>
              </w:rPr>
            </w:pPr>
            <w:r w:rsidRPr="00DA4CA5">
              <w:rPr>
                <w:color w:val="000000"/>
                <w:sz w:val="20"/>
                <w:szCs w:val="22"/>
              </w:rPr>
              <w:t>0.105***</w:t>
            </w:r>
          </w:p>
        </w:tc>
      </w:tr>
      <w:tr w:rsidR="005D2D56" w:rsidRPr="003D0C90" w:rsidTr="00DA4CA5">
        <w:tc>
          <w:tcPr>
            <w:tcW w:w="2812" w:type="dxa"/>
            <w:vAlign w:val="bottom"/>
          </w:tcPr>
          <w:p w:rsidR="005D2D56" w:rsidRPr="00AD48BC" w:rsidRDefault="005D2D56" w:rsidP="0097714B">
            <w:pPr>
              <w:rPr>
                <w:color w:val="000000"/>
                <w:sz w:val="20"/>
              </w:rPr>
            </w:pPr>
            <w:r>
              <w:rPr>
                <w:color w:val="000000"/>
                <w:sz w:val="20"/>
              </w:rPr>
              <w:t>Other Health</w:t>
            </w:r>
          </w:p>
        </w:tc>
        <w:tc>
          <w:tcPr>
            <w:tcW w:w="2812" w:type="dxa"/>
            <w:vAlign w:val="bottom"/>
          </w:tcPr>
          <w:p w:rsidR="005D2D56" w:rsidRPr="00AF6E19" w:rsidRDefault="005D2D56" w:rsidP="0097714B">
            <w:pPr>
              <w:ind w:left="885"/>
              <w:rPr>
                <w:color w:val="000000"/>
                <w:sz w:val="20"/>
              </w:rPr>
            </w:pPr>
            <w:r w:rsidRPr="00DA4CA5">
              <w:rPr>
                <w:color w:val="000000"/>
                <w:sz w:val="20"/>
                <w:szCs w:val="22"/>
              </w:rPr>
              <w:t>0.020***</w:t>
            </w:r>
          </w:p>
        </w:tc>
        <w:tc>
          <w:tcPr>
            <w:tcW w:w="2812" w:type="dxa"/>
            <w:vAlign w:val="bottom"/>
          </w:tcPr>
          <w:p w:rsidR="005D2D56" w:rsidRPr="00AF6E19" w:rsidRDefault="005D2D56" w:rsidP="0097714B">
            <w:pPr>
              <w:ind w:left="885"/>
              <w:rPr>
                <w:color w:val="000000"/>
                <w:sz w:val="20"/>
                <w:szCs w:val="22"/>
              </w:rPr>
            </w:pPr>
            <w:r w:rsidRPr="00DA4CA5">
              <w:rPr>
                <w:color w:val="000000"/>
                <w:sz w:val="20"/>
                <w:szCs w:val="22"/>
              </w:rPr>
              <w:t>0.108***</w:t>
            </w:r>
          </w:p>
        </w:tc>
      </w:tr>
      <w:tr w:rsidR="005D2D56" w:rsidRPr="003D0C90" w:rsidTr="00DA4CA5">
        <w:tc>
          <w:tcPr>
            <w:tcW w:w="2812" w:type="dxa"/>
            <w:vAlign w:val="bottom"/>
          </w:tcPr>
          <w:p w:rsidR="005D2D56" w:rsidRPr="00AD48BC" w:rsidRDefault="005D2D56" w:rsidP="0097714B">
            <w:pPr>
              <w:rPr>
                <w:color w:val="000000"/>
                <w:sz w:val="20"/>
              </w:rPr>
            </w:pPr>
            <w:r w:rsidRPr="00AD48BC">
              <w:rPr>
                <w:color w:val="000000"/>
                <w:sz w:val="20"/>
              </w:rPr>
              <w:t xml:space="preserve">Education </w:t>
            </w:r>
          </w:p>
        </w:tc>
        <w:tc>
          <w:tcPr>
            <w:tcW w:w="2812" w:type="dxa"/>
            <w:vAlign w:val="bottom"/>
          </w:tcPr>
          <w:p w:rsidR="005D2D56" w:rsidRPr="00AF6E19" w:rsidRDefault="005D2D56" w:rsidP="0097714B">
            <w:pPr>
              <w:ind w:left="885"/>
              <w:rPr>
                <w:color w:val="000000"/>
                <w:sz w:val="20"/>
              </w:rPr>
            </w:pPr>
            <w:r w:rsidRPr="00DA4CA5">
              <w:rPr>
                <w:color w:val="000000"/>
                <w:sz w:val="20"/>
                <w:szCs w:val="22"/>
              </w:rPr>
              <w:t>0.022***</w:t>
            </w:r>
          </w:p>
        </w:tc>
        <w:tc>
          <w:tcPr>
            <w:tcW w:w="2812" w:type="dxa"/>
            <w:vAlign w:val="bottom"/>
          </w:tcPr>
          <w:p w:rsidR="005D2D56" w:rsidRPr="00AF6E19" w:rsidRDefault="005D2D56" w:rsidP="0097714B">
            <w:pPr>
              <w:ind w:left="885"/>
              <w:rPr>
                <w:color w:val="000000"/>
                <w:sz w:val="20"/>
                <w:szCs w:val="22"/>
              </w:rPr>
            </w:pPr>
            <w:r w:rsidRPr="00DA4CA5">
              <w:rPr>
                <w:color w:val="000000"/>
                <w:sz w:val="20"/>
                <w:szCs w:val="22"/>
              </w:rPr>
              <w:t>0.063***</w:t>
            </w:r>
          </w:p>
        </w:tc>
      </w:tr>
      <w:tr w:rsidR="005D2D56" w:rsidRPr="003D0C90" w:rsidTr="00DA4CA5">
        <w:tc>
          <w:tcPr>
            <w:tcW w:w="2812" w:type="dxa"/>
            <w:vAlign w:val="bottom"/>
          </w:tcPr>
          <w:p w:rsidR="005D2D56" w:rsidRPr="00AD48BC" w:rsidRDefault="005D2D56" w:rsidP="0097714B">
            <w:pPr>
              <w:rPr>
                <w:color w:val="000000"/>
                <w:sz w:val="20"/>
              </w:rPr>
            </w:pPr>
            <w:r>
              <w:rPr>
                <w:color w:val="000000"/>
                <w:sz w:val="20"/>
              </w:rPr>
              <w:t>Management and Commerce</w:t>
            </w:r>
          </w:p>
        </w:tc>
        <w:tc>
          <w:tcPr>
            <w:tcW w:w="2812" w:type="dxa"/>
            <w:vAlign w:val="bottom"/>
          </w:tcPr>
          <w:p w:rsidR="005D2D56" w:rsidRPr="00AF6E19" w:rsidRDefault="005D2D56" w:rsidP="0097714B">
            <w:pPr>
              <w:ind w:left="885"/>
              <w:rPr>
                <w:color w:val="000000"/>
                <w:sz w:val="20"/>
              </w:rPr>
            </w:pPr>
            <w:r w:rsidRPr="00DA4CA5">
              <w:rPr>
                <w:color w:val="000000"/>
                <w:sz w:val="20"/>
                <w:szCs w:val="22"/>
              </w:rPr>
              <w:t>0.011**</w:t>
            </w:r>
          </w:p>
        </w:tc>
        <w:tc>
          <w:tcPr>
            <w:tcW w:w="2812" w:type="dxa"/>
            <w:vAlign w:val="bottom"/>
          </w:tcPr>
          <w:p w:rsidR="005D2D56" w:rsidRPr="00AF6E19" w:rsidRDefault="005D2D56" w:rsidP="0097714B">
            <w:pPr>
              <w:ind w:left="885"/>
              <w:rPr>
                <w:color w:val="000000"/>
                <w:sz w:val="20"/>
                <w:szCs w:val="22"/>
              </w:rPr>
            </w:pPr>
            <w:r w:rsidRPr="00DA4CA5">
              <w:rPr>
                <w:color w:val="000000"/>
                <w:sz w:val="20"/>
                <w:szCs w:val="22"/>
              </w:rPr>
              <w:t>0.047***</w:t>
            </w:r>
          </w:p>
        </w:tc>
      </w:tr>
      <w:tr w:rsidR="005D2D56" w:rsidRPr="003D0C90" w:rsidTr="00DA4CA5">
        <w:tc>
          <w:tcPr>
            <w:tcW w:w="2812" w:type="dxa"/>
            <w:vAlign w:val="bottom"/>
          </w:tcPr>
          <w:p w:rsidR="005D2D56" w:rsidRPr="00AD48BC" w:rsidDel="00032AF2" w:rsidRDefault="005D2D56" w:rsidP="0097714B">
            <w:pPr>
              <w:rPr>
                <w:color w:val="000000"/>
                <w:sz w:val="20"/>
              </w:rPr>
            </w:pPr>
            <w:r>
              <w:rPr>
                <w:color w:val="000000"/>
                <w:sz w:val="20"/>
              </w:rPr>
              <w:t>Law</w:t>
            </w:r>
          </w:p>
        </w:tc>
        <w:tc>
          <w:tcPr>
            <w:tcW w:w="2812" w:type="dxa"/>
            <w:vAlign w:val="bottom"/>
          </w:tcPr>
          <w:p w:rsidR="005D2D56" w:rsidRPr="00AF6E19" w:rsidRDefault="005D2D56" w:rsidP="0097714B">
            <w:pPr>
              <w:ind w:left="885"/>
              <w:rPr>
                <w:color w:val="000000"/>
                <w:sz w:val="20"/>
              </w:rPr>
            </w:pPr>
            <w:r w:rsidRPr="00DA4CA5">
              <w:rPr>
                <w:color w:val="000000"/>
                <w:sz w:val="20"/>
                <w:szCs w:val="22"/>
              </w:rPr>
              <w:t>0.012</w:t>
            </w:r>
          </w:p>
        </w:tc>
        <w:tc>
          <w:tcPr>
            <w:tcW w:w="2812" w:type="dxa"/>
            <w:vAlign w:val="bottom"/>
          </w:tcPr>
          <w:p w:rsidR="005D2D56" w:rsidRPr="00AF6E19" w:rsidRDefault="005D2D56" w:rsidP="0097714B">
            <w:pPr>
              <w:ind w:left="885"/>
              <w:rPr>
                <w:color w:val="000000"/>
                <w:sz w:val="20"/>
                <w:szCs w:val="22"/>
              </w:rPr>
            </w:pPr>
            <w:r w:rsidRPr="00DA4CA5">
              <w:rPr>
                <w:color w:val="000000"/>
                <w:sz w:val="20"/>
                <w:szCs w:val="22"/>
              </w:rPr>
              <w:t>0.034</w:t>
            </w:r>
          </w:p>
        </w:tc>
      </w:tr>
      <w:tr w:rsidR="005D2D56" w:rsidRPr="003D0C90" w:rsidTr="00DA4CA5">
        <w:tc>
          <w:tcPr>
            <w:tcW w:w="2812" w:type="dxa"/>
            <w:vAlign w:val="bottom"/>
          </w:tcPr>
          <w:p w:rsidR="005D2D56" w:rsidRDefault="005D2D56" w:rsidP="0097714B">
            <w:pPr>
              <w:rPr>
                <w:color w:val="000000"/>
                <w:sz w:val="20"/>
              </w:rPr>
            </w:pPr>
            <w:r>
              <w:rPr>
                <w:color w:val="000000"/>
                <w:sz w:val="20"/>
              </w:rPr>
              <w:t>Food and Hospitality</w:t>
            </w:r>
          </w:p>
        </w:tc>
        <w:tc>
          <w:tcPr>
            <w:tcW w:w="2812" w:type="dxa"/>
            <w:vAlign w:val="bottom"/>
          </w:tcPr>
          <w:p w:rsidR="005D2D56" w:rsidRPr="00AF6E19" w:rsidRDefault="005D2D56" w:rsidP="00DA4CA5">
            <w:pPr>
              <w:ind w:left="874"/>
              <w:rPr>
                <w:color w:val="000000"/>
                <w:sz w:val="20"/>
              </w:rPr>
            </w:pPr>
            <w:r w:rsidRPr="00DA4CA5">
              <w:rPr>
                <w:color w:val="000000"/>
                <w:sz w:val="20"/>
                <w:szCs w:val="22"/>
              </w:rPr>
              <w:t>0.008</w:t>
            </w:r>
          </w:p>
        </w:tc>
        <w:tc>
          <w:tcPr>
            <w:tcW w:w="2812" w:type="dxa"/>
            <w:vAlign w:val="bottom"/>
          </w:tcPr>
          <w:p w:rsidR="005D2D56" w:rsidRPr="00AF6E19" w:rsidRDefault="005D2D56" w:rsidP="00DA4CA5">
            <w:pPr>
              <w:ind w:left="874"/>
              <w:rPr>
                <w:color w:val="000000"/>
                <w:sz w:val="20"/>
                <w:szCs w:val="22"/>
              </w:rPr>
            </w:pPr>
            <w:r w:rsidRPr="00DA4CA5">
              <w:rPr>
                <w:color w:val="000000"/>
                <w:sz w:val="20"/>
                <w:szCs w:val="22"/>
              </w:rPr>
              <w:t>0.033</w:t>
            </w:r>
          </w:p>
        </w:tc>
      </w:tr>
    </w:tbl>
    <w:p w:rsidR="0037651A" w:rsidRDefault="0037651A" w:rsidP="0037651A">
      <w:pPr>
        <w:pStyle w:val="Source"/>
        <w:rPr>
          <w:lang w:eastAsia="en-AU"/>
        </w:rPr>
      </w:pPr>
      <w:r>
        <w:rPr>
          <w:lang w:eastAsia="en-AU"/>
        </w:rPr>
        <w:lastRenderedPageBreak/>
        <w:t>Source: Deloitte Access Economics. Note: *** represents significance at the 1% level; ** at the 5% level; and * at the 10% level. Base categories are: no post-school qualification, and FoE Arts</w:t>
      </w:r>
    </w:p>
    <w:p w:rsidR="00AF6E19" w:rsidRPr="00DA4CA5" w:rsidRDefault="00AF6E19">
      <w:pPr>
        <w:tabs>
          <w:tab w:val="left" w:pos="4873"/>
        </w:tabs>
        <w:spacing w:before="240"/>
        <w:jc w:val="both"/>
        <w:rPr>
          <w:lang w:eastAsia="en-AU"/>
        </w:rPr>
      </w:pPr>
      <w:r w:rsidRPr="00DA4CA5">
        <w:rPr>
          <w:lang w:eastAsia="en-AU"/>
        </w:rPr>
        <w:t>Comparing across the employment and participation results clearly shows that having a post-school qualification improves the likelihood of participating in the workforce (significantly, for all qualification levels, except sub-bachelor), but has a negligible and insignificant effect on the likelihood of employment. For example, an average individual that holds a bachelor degree 3.8% more likely to participate in the workforce than someone without a post-school qualification</w:t>
      </w:r>
      <w:r w:rsidR="0034750F">
        <w:rPr>
          <w:lang w:eastAsia="en-AU"/>
        </w:rPr>
        <w:t xml:space="preserve"> (after controlling for demographic characteristics and cognitive ability)</w:t>
      </w:r>
      <w:r w:rsidRPr="00DA4CA5">
        <w:rPr>
          <w:lang w:eastAsia="en-AU"/>
        </w:rPr>
        <w:t xml:space="preserve">, but the same bachelor degree has an insignificant impact on the likelihood of employment. </w:t>
      </w:r>
    </w:p>
    <w:p w:rsidR="0034750F" w:rsidRPr="00DA4CA5" w:rsidRDefault="00AF6E19">
      <w:pPr>
        <w:tabs>
          <w:tab w:val="left" w:pos="4873"/>
        </w:tabs>
        <w:spacing w:before="240"/>
        <w:jc w:val="both"/>
        <w:rPr>
          <w:lang w:eastAsia="en-AU"/>
        </w:rPr>
      </w:pPr>
      <w:r w:rsidRPr="00DA4CA5">
        <w:rPr>
          <w:lang w:eastAsia="en-AU"/>
        </w:rPr>
        <w:t xml:space="preserve">Similarly, the fields of education results suggest that most fields (bar Law, Medicine and Food and Hospitality) have a significant impact on the likelihood of participating in the labour force, relative to Arts. This does not necessarily imply that those in Law or Medicine do not participate in the labour force, rather that the impact of the field of study on the likelihood of participation is not significantly different from the impact of Arts on the likelihood of participation. </w:t>
      </w:r>
    </w:p>
    <w:p w:rsidR="0087366B" w:rsidRDefault="00AF6E19" w:rsidP="0087366B">
      <w:pPr>
        <w:tabs>
          <w:tab w:val="left" w:pos="4873"/>
        </w:tabs>
        <w:spacing w:before="240"/>
        <w:jc w:val="both"/>
        <w:rPr>
          <w:lang w:eastAsia="en-AU"/>
        </w:rPr>
      </w:pPr>
      <w:r w:rsidRPr="00DA4CA5">
        <w:rPr>
          <w:lang w:eastAsia="en-AU"/>
        </w:rPr>
        <w:t xml:space="preserve">The likelihood of employment across fields of education is </w:t>
      </w:r>
      <w:r w:rsidR="0034750F" w:rsidRPr="00DA4CA5">
        <w:rPr>
          <w:lang w:eastAsia="en-AU"/>
        </w:rPr>
        <w:t>driven, to an extent, by the strength of the linkages between a field of study and a vocation. This effect is clearly seen in the Nursing, Other Health and Education fields, which all have a strong likelihood of employment, relative to Arts (2.7%, 2.0% and 2.2%, respectively, more likely to be employed, after controlling for demographic characteristics and cognitive ability).</w:t>
      </w:r>
      <w:r w:rsidR="0080499C">
        <w:rPr>
          <w:lang w:eastAsia="en-AU"/>
        </w:rPr>
        <w:t xml:space="preserve"> Similarly to labour force participation, fields of education where a statistically significant impact is not found implies that the likelihood of employment for those in IT, Medicine, Law, and Food and Hospitality is not significantly different from the impact of Arts on the likelihood of employment. </w:t>
      </w:r>
    </w:p>
    <w:p w:rsidR="009C6C96" w:rsidRDefault="009C6C96" w:rsidP="009C6C96">
      <w:pPr>
        <w:pStyle w:val="Heading3"/>
        <w:numPr>
          <w:ilvl w:val="2"/>
          <w:numId w:val="8"/>
        </w:numPr>
        <w:rPr>
          <w:lang w:eastAsia="en-AU"/>
        </w:rPr>
      </w:pPr>
      <w:bookmarkStart w:id="123" w:name="_Ref460353955"/>
      <w:bookmarkStart w:id="124" w:name="_Ref460360110"/>
      <w:r>
        <w:rPr>
          <w:lang w:eastAsia="en-AU"/>
        </w:rPr>
        <w:t>Share of observed wage premiums attributable to qualification effects</w:t>
      </w:r>
      <w:bookmarkEnd w:id="123"/>
      <w:r w:rsidR="00A973D0">
        <w:rPr>
          <w:lang w:eastAsia="en-AU"/>
        </w:rPr>
        <w:t xml:space="preserve"> and confidence intervals</w:t>
      </w:r>
      <w:bookmarkEnd w:id="124"/>
    </w:p>
    <w:p w:rsidR="00D24D9F" w:rsidRDefault="00D24D9F" w:rsidP="00D24D9F">
      <w:pPr>
        <w:pStyle w:val="BodyText"/>
        <w:rPr>
          <w:lang w:eastAsia="en-AU"/>
        </w:rPr>
      </w:pPr>
      <w:r>
        <w:rPr>
          <w:lang w:eastAsia="en-AU"/>
        </w:rPr>
        <w:t xml:space="preserve">The presentation of results thus far has focussed on the private market benefits to higher education, represented by the wage premiums that can be attributed to qualifications relative to no post-school qualification. </w:t>
      </w:r>
    </w:p>
    <w:p w:rsidR="00D24D9F" w:rsidRDefault="00D24D9F" w:rsidP="00D24D9F">
      <w:pPr>
        <w:pStyle w:val="BodyText"/>
        <w:rPr>
          <w:lang w:eastAsia="en-AU"/>
        </w:rPr>
      </w:pPr>
      <w:r>
        <w:rPr>
          <w:lang w:eastAsia="en-AU"/>
        </w:rPr>
        <w:t xml:space="preserve">This section examines the share of observed total wage premiums (over those with no post-school qualification) that can be attributed to the qualification, relative to individual level characteristics (including demographics and cognitive ability). That share is used in the calculation of lifetime wage premiums in </w:t>
      </w:r>
      <w:r w:rsidR="00745596">
        <w:rPr>
          <w:lang w:eastAsia="en-AU"/>
        </w:rPr>
        <w:t>S</w:t>
      </w:r>
      <w:r>
        <w:rPr>
          <w:lang w:eastAsia="en-AU"/>
        </w:rPr>
        <w:t xml:space="preserve">ection </w:t>
      </w:r>
      <w:r>
        <w:rPr>
          <w:lang w:eastAsia="en-AU"/>
        </w:rPr>
        <w:fldChar w:fldCharType="begin"/>
      </w:r>
      <w:r>
        <w:rPr>
          <w:lang w:eastAsia="en-AU"/>
        </w:rPr>
        <w:instrText xml:space="preserve"> REF _Ref458970366 \r \h </w:instrText>
      </w:r>
      <w:r>
        <w:rPr>
          <w:lang w:eastAsia="en-AU"/>
        </w:rPr>
      </w:r>
      <w:r>
        <w:rPr>
          <w:lang w:eastAsia="en-AU"/>
        </w:rPr>
        <w:fldChar w:fldCharType="separate"/>
      </w:r>
      <w:r w:rsidR="00534F9F">
        <w:rPr>
          <w:lang w:eastAsia="en-AU"/>
        </w:rPr>
        <w:t>4.2.3</w:t>
      </w:r>
      <w:r>
        <w:rPr>
          <w:lang w:eastAsia="en-AU"/>
        </w:rPr>
        <w:fldChar w:fldCharType="end"/>
      </w:r>
      <w:r>
        <w:rPr>
          <w:lang w:eastAsia="en-AU"/>
        </w:rPr>
        <w:t xml:space="preserve"> and the specification of the shocks in the CGE modelling described in </w:t>
      </w:r>
      <w:r w:rsidR="00745596">
        <w:rPr>
          <w:lang w:eastAsia="en-AU"/>
        </w:rPr>
        <w:t>S</w:t>
      </w:r>
      <w:r>
        <w:rPr>
          <w:lang w:eastAsia="en-AU"/>
        </w:rPr>
        <w:t xml:space="preserve">ection </w:t>
      </w:r>
      <w:r>
        <w:rPr>
          <w:lang w:eastAsia="en-AU"/>
        </w:rPr>
        <w:fldChar w:fldCharType="begin"/>
      </w:r>
      <w:r>
        <w:rPr>
          <w:lang w:eastAsia="en-AU"/>
        </w:rPr>
        <w:instrText xml:space="preserve"> REF _Ref458438595 \r \h </w:instrText>
      </w:r>
      <w:r>
        <w:rPr>
          <w:lang w:eastAsia="en-AU"/>
        </w:rPr>
      </w:r>
      <w:r>
        <w:rPr>
          <w:lang w:eastAsia="en-AU"/>
        </w:rPr>
        <w:fldChar w:fldCharType="separate"/>
      </w:r>
      <w:r w:rsidR="00534F9F">
        <w:rPr>
          <w:lang w:eastAsia="en-AU"/>
        </w:rPr>
        <w:t>5</w:t>
      </w:r>
      <w:r>
        <w:rPr>
          <w:lang w:eastAsia="en-AU"/>
        </w:rPr>
        <w:fldChar w:fldCharType="end"/>
      </w:r>
      <w:r>
        <w:rPr>
          <w:lang w:eastAsia="en-AU"/>
        </w:rPr>
        <w:t xml:space="preserve"> below.  Briefly, the estimated premiums hold the other factors fixed</w:t>
      </w:r>
      <w:r w:rsidRPr="00F21A70">
        <w:rPr>
          <w:lang w:eastAsia="en-AU"/>
        </w:rPr>
        <w:t xml:space="preserve"> </w:t>
      </w:r>
      <w:r>
        <w:rPr>
          <w:lang w:eastAsia="en-AU"/>
        </w:rPr>
        <w:t xml:space="preserve">– making use of the richness of the HILDA data – whereas the data behind the lifetime premiums and the CGE modelling cannot allow such detailed demographic and other factors.  It is therefore necessary to average out the demographic and other factors.  </w:t>
      </w:r>
    </w:p>
    <w:p w:rsidR="00D24D9F" w:rsidRDefault="00D24D9F" w:rsidP="00D24D9F">
      <w:pPr>
        <w:pStyle w:val="BodyText"/>
        <w:rPr>
          <w:lang w:eastAsia="en-AU"/>
        </w:rPr>
      </w:pPr>
      <w:r>
        <w:rPr>
          <w:lang w:eastAsia="en-AU"/>
        </w:rPr>
        <w:t>Consider, for example, a typical individual with a bachelor qualification in Medicine and a typical individual with no post-school qualification. What share of the total observed wage premium of the former over the latter can be attributed to the qualification as opposed to differences in the</w:t>
      </w:r>
      <w:r w:rsidRPr="00F21A70">
        <w:rPr>
          <w:lang w:eastAsia="en-AU"/>
        </w:rPr>
        <w:t xml:space="preserve"> </w:t>
      </w:r>
      <w:r>
        <w:rPr>
          <w:lang w:eastAsia="en-AU"/>
        </w:rPr>
        <w:t>demographic</w:t>
      </w:r>
      <w:r w:rsidR="0021071D">
        <w:rPr>
          <w:lang w:eastAsia="en-AU"/>
        </w:rPr>
        <w:t xml:space="preserve"> and other factors?</w:t>
      </w:r>
    </w:p>
    <w:p w:rsidR="009C6C96" w:rsidRDefault="00B55C06" w:rsidP="009C6C96">
      <w:pPr>
        <w:pStyle w:val="BodyText"/>
        <w:rPr>
          <w:lang w:eastAsia="en-AU"/>
        </w:rPr>
      </w:pPr>
      <w:r>
        <w:rPr>
          <w:b/>
          <w:bCs/>
          <w:lang w:val="en-US" w:eastAsia="en-AU"/>
        </w:rPr>
        <w:lastRenderedPageBreak/>
        <w:fldChar w:fldCharType="begin"/>
      </w:r>
      <w:r>
        <w:rPr>
          <w:lang w:eastAsia="en-AU"/>
        </w:rPr>
        <w:instrText xml:space="preserve"> REF _Ref462780895 \r \h </w:instrText>
      </w:r>
      <w:r>
        <w:rPr>
          <w:b/>
          <w:bCs/>
          <w:lang w:val="en-US" w:eastAsia="en-AU"/>
        </w:rPr>
      </w:r>
      <w:r>
        <w:rPr>
          <w:b/>
          <w:bCs/>
          <w:lang w:val="en-US" w:eastAsia="en-AU"/>
        </w:rPr>
        <w:fldChar w:fldCharType="separate"/>
      </w:r>
      <w:r w:rsidR="00534F9F">
        <w:rPr>
          <w:lang w:eastAsia="en-AU"/>
        </w:rPr>
        <w:t>Chart 4.3</w:t>
      </w:r>
      <w:r>
        <w:rPr>
          <w:b/>
          <w:bCs/>
          <w:lang w:val="en-US" w:eastAsia="en-AU"/>
        </w:rPr>
        <w:fldChar w:fldCharType="end"/>
      </w:r>
      <w:r w:rsidR="00D24D9F">
        <w:rPr>
          <w:lang w:eastAsia="en-AU"/>
        </w:rPr>
        <w:t xml:space="preserve"> </w:t>
      </w:r>
      <w:r w:rsidR="0021071D">
        <w:rPr>
          <w:lang w:eastAsia="en-AU"/>
        </w:rPr>
        <w:t>and</w:t>
      </w:r>
      <w:r w:rsidR="00D24D9F">
        <w:rPr>
          <w:lang w:eastAsia="en-AU"/>
        </w:rPr>
        <w:t xml:space="preserve"> </w:t>
      </w:r>
      <w:r w:rsidR="0021071D">
        <w:rPr>
          <w:lang w:eastAsia="en-AU"/>
        </w:rPr>
        <w:fldChar w:fldCharType="begin"/>
      </w:r>
      <w:r w:rsidR="0021071D">
        <w:rPr>
          <w:lang w:eastAsia="en-AU"/>
        </w:rPr>
        <w:instrText xml:space="preserve"> REF _Ref460444508 \r \h </w:instrText>
      </w:r>
      <w:r w:rsidR="0021071D">
        <w:rPr>
          <w:lang w:eastAsia="en-AU"/>
        </w:rPr>
      </w:r>
      <w:r w:rsidR="0021071D">
        <w:rPr>
          <w:lang w:eastAsia="en-AU"/>
        </w:rPr>
        <w:fldChar w:fldCharType="separate"/>
      </w:r>
      <w:r w:rsidR="00534F9F">
        <w:rPr>
          <w:lang w:eastAsia="en-AU"/>
        </w:rPr>
        <w:t>Chart 4.4</w:t>
      </w:r>
      <w:r w:rsidR="0021071D">
        <w:rPr>
          <w:lang w:eastAsia="en-AU"/>
        </w:rPr>
        <w:fldChar w:fldCharType="end"/>
      </w:r>
      <w:r w:rsidR="00D24D9F">
        <w:rPr>
          <w:lang w:eastAsia="en-AU"/>
        </w:rPr>
        <w:t xml:space="preserve"> provide point estimates of the shares together with</w:t>
      </w:r>
      <w:r w:rsidR="00D24D9F" w:rsidRPr="00F21A70">
        <w:rPr>
          <w:lang w:eastAsia="en-AU"/>
        </w:rPr>
        <w:t xml:space="preserve"> </w:t>
      </w:r>
      <w:r w:rsidR="00D24D9F">
        <w:rPr>
          <w:lang w:eastAsia="en-AU"/>
        </w:rPr>
        <w:t>approximate 95% confidence bounds. At the bachelor level (</w:t>
      </w:r>
      <w:r w:rsidR="006B6332">
        <w:rPr>
          <w:b/>
          <w:bCs/>
          <w:lang w:val="en-US" w:eastAsia="en-AU"/>
        </w:rPr>
        <w:fldChar w:fldCharType="begin"/>
      </w:r>
      <w:r w:rsidR="006B6332">
        <w:rPr>
          <w:lang w:eastAsia="en-AU"/>
        </w:rPr>
        <w:instrText xml:space="preserve"> REF _Ref462780895 \r \h </w:instrText>
      </w:r>
      <w:r w:rsidR="006B6332">
        <w:rPr>
          <w:b/>
          <w:bCs/>
          <w:lang w:val="en-US" w:eastAsia="en-AU"/>
        </w:rPr>
      </w:r>
      <w:r w:rsidR="006B6332">
        <w:rPr>
          <w:b/>
          <w:bCs/>
          <w:lang w:val="en-US" w:eastAsia="en-AU"/>
        </w:rPr>
        <w:fldChar w:fldCharType="separate"/>
      </w:r>
      <w:r w:rsidR="00534F9F">
        <w:rPr>
          <w:lang w:eastAsia="en-AU"/>
        </w:rPr>
        <w:t>Chart 4.3</w:t>
      </w:r>
      <w:r w:rsidR="006B6332">
        <w:rPr>
          <w:b/>
          <w:bCs/>
          <w:lang w:val="en-US" w:eastAsia="en-AU"/>
        </w:rPr>
        <w:fldChar w:fldCharType="end"/>
      </w:r>
      <w:r w:rsidR="00D24D9F">
        <w:rPr>
          <w:lang w:eastAsia="en-AU"/>
        </w:rPr>
        <w:t xml:space="preserve">), the proportion of the observed wage premium attributed to the qualification (rather than the effect of other factors) is greatest for those in Nursing (160% of the observed wage premium), Other Health (87%) and Medicine (84%), and smallest for IT (50%).  </w:t>
      </w:r>
    </w:p>
    <w:p w:rsidR="009C6C96" w:rsidRDefault="009C6C96" w:rsidP="007E622B">
      <w:pPr>
        <w:pStyle w:val="CaptionChart"/>
        <w:numPr>
          <w:ilvl w:val="7"/>
          <w:numId w:val="8"/>
        </w:numPr>
        <w:ind w:left="0"/>
        <w:rPr>
          <w:lang w:eastAsia="en-AU"/>
        </w:rPr>
      </w:pPr>
      <w:bookmarkStart w:id="125" w:name="_Toc461018735"/>
      <w:bookmarkStart w:id="126" w:name="_Toc461083973"/>
      <w:bookmarkStart w:id="127" w:name="_Toc461103957"/>
      <w:bookmarkStart w:id="128" w:name="_Ref462780895"/>
      <w:bookmarkStart w:id="129" w:name="_Toc465961153"/>
      <w:bookmarkEnd w:id="125"/>
      <w:bookmarkEnd w:id="126"/>
      <w:bookmarkEnd w:id="127"/>
      <w:r>
        <w:rPr>
          <w:lang w:eastAsia="en-AU"/>
        </w:rPr>
        <w:t xml:space="preserve">: </w:t>
      </w:r>
      <w:r w:rsidR="00735CEA">
        <w:rPr>
          <w:lang w:eastAsia="en-AU"/>
        </w:rPr>
        <w:t xml:space="preserve">Proportion of observed bachelor </w:t>
      </w:r>
      <w:r w:rsidRPr="00E14393">
        <w:rPr>
          <w:lang w:eastAsia="en-AU"/>
        </w:rPr>
        <w:t>wage premium</w:t>
      </w:r>
      <w:r w:rsidR="00735CEA">
        <w:rPr>
          <w:lang w:eastAsia="en-AU"/>
        </w:rPr>
        <w:t xml:space="preserve"> attributable to qualification effect</w:t>
      </w:r>
      <w:bookmarkEnd w:id="128"/>
      <w:bookmarkEnd w:id="129"/>
    </w:p>
    <w:p w:rsidR="00735CEA" w:rsidRPr="00C13A68" w:rsidRDefault="009F2F0B" w:rsidP="00DA4CA5">
      <w:pPr>
        <w:pStyle w:val="BodyText"/>
        <w:jc w:val="center"/>
        <w:rPr>
          <w:lang w:eastAsia="en-AU"/>
        </w:rPr>
      </w:pPr>
      <w:r w:rsidRPr="009F2F0B">
        <w:rPr>
          <w:noProof/>
          <w:lang w:eastAsia="en-AU"/>
        </w:rPr>
        <w:drawing>
          <wp:inline distT="0" distB="0" distL="0" distR="0" wp14:anchorId="4EF33A2C" wp14:editId="640B94E8">
            <wp:extent cx="4482192" cy="26687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82702" cy="2669076"/>
                    </a:xfrm>
                    <a:prstGeom prst="rect">
                      <a:avLst/>
                    </a:prstGeom>
                    <a:noFill/>
                    <a:ln>
                      <a:noFill/>
                    </a:ln>
                  </pic:spPr>
                </pic:pic>
              </a:graphicData>
            </a:graphic>
          </wp:inline>
        </w:drawing>
      </w:r>
    </w:p>
    <w:p w:rsidR="0021071D" w:rsidRDefault="0021071D" w:rsidP="0021071D">
      <w:pPr>
        <w:pStyle w:val="Source"/>
        <w:rPr>
          <w:lang w:eastAsia="en-AU"/>
        </w:rPr>
      </w:pPr>
      <w:r>
        <w:rPr>
          <w:lang w:eastAsia="en-AU"/>
        </w:rPr>
        <w:t>Source: HILDA, Deloitte Access Economics. Note: The impact of other factors on observed bachelor wage premiums for Nursing is less than zero, hence the qualification effect exceed</w:t>
      </w:r>
      <w:r w:rsidR="0081661D">
        <w:rPr>
          <w:lang w:eastAsia="en-AU"/>
        </w:rPr>
        <w:t>s</w:t>
      </w:r>
      <w:r>
        <w:rPr>
          <w:lang w:eastAsia="en-AU"/>
        </w:rPr>
        <w:t xml:space="preserve"> </w:t>
      </w:r>
      <w:r w:rsidR="0081661D">
        <w:rPr>
          <w:lang w:eastAsia="en-AU"/>
        </w:rPr>
        <w:t>100%</w:t>
      </w:r>
      <w:r>
        <w:rPr>
          <w:lang w:eastAsia="en-AU"/>
        </w:rPr>
        <w:t>. Sample observations are reported in parentheses.</w:t>
      </w:r>
      <w:r w:rsidRPr="005360D8">
        <w:t xml:space="preserve"> </w:t>
      </w:r>
      <w:r>
        <w:t>Food and hospitality is omitted given the small sample sizes in this field of education, resulting in statistically insignificant results</w:t>
      </w:r>
      <w:r>
        <w:rPr>
          <w:lang w:eastAsia="en-AU"/>
        </w:rPr>
        <w:t>.</w:t>
      </w:r>
    </w:p>
    <w:p w:rsidR="00145365" w:rsidRDefault="00145365" w:rsidP="009C6C96">
      <w:pPr>
        <w:pStyle w:val="BodyText"/>
        <w:rPr>
          <w:lang w:eastAsia="en-AU"/>
        </w:rPr>
      </w:pPr>
      <w:r>
        <w:rPr>
          <w:lang w:eastAsia="en-AU"/>
        </w:rPr>
        <w:t xml:space="preserve">Of note is the result for Nursing – which suggests that the entire observed wage premium is attributable to the qualification effect. In fact, the results of the estimation suggest that, on average, demographic and cognitive ability has a negative impact on wage premiums. Practically, this implies that if the average individual with a Nursing bachelor qualification did not hold any post-school qualification, they would earn less than the average individual with no-post school qualification – because of the average demographic profile of </w:t>
      </w:r>
      <w:r w:rsidR="0088607A">
        <w:rPr>
          <w:lang w:eastAsia="en-AU"/>
        </w:rPr>
        <w:t xml:space="preserve">individuals with </w:t>
      </w:r>
      <w:r>
        <w:rPr>
          <w:lang w:eastAsia="en-AU"/>
        </w:rPr>
        <w:t>Nursing</w:t>
      </w:r>
      <w:r w:rsidR="0088607A">
        <w:rPr>
          <w:lang w:eastAsia="en-AU"/>
        </w:rPr>
        <w:t xml:space="preserve"> degrees</w:t>
      </w:r>
      <w:r>
        <w:rPr>
          <w:lang w:eastAsia="en-AU"/>
        </w:rPr>
        <w:t xml:space="preserve">. </w:t>
      </w:r>
    </w:p>
    <w:p w:rsidR="009C6C96" w:rsidRDefault="009C6C96" w:rsidP="009C6C96">
      <w:pPr>
        <w:pStyle w:val="BodyText"/>
        <w:rPr>
          <w:lang w:eastAsia="en-AU"/>
        </w:rPr>
      </w:pPr>
      <w:r>
        <w:rPr>
          <w:lang w:eastAsia="en-AU"/>
        </w:rPr>
        <w:t>At the postgraduate level (</w:t>
      </w:r>
      <w:r w:rsidR="0088607A">
        <w:rPr>
          <w:lang w:eastAsia="en-AU"/>
        </w:rPr>
        <w:fldChar w:fldCharType="begin"/>
      </w:r>
      <w:r w:rsidR="0088607A">
        <w:rPr>
          <w:lang w:eastAsia="en-AU"/>
        </w:rPr>
        <w:instrText xml:space="preserve"> REF _Ref460444508 \r \h </w:instrText>
      </w:r>
      <w:r w:rsidR="0088607A">
        <w:rPr>
          <w:lang w:eastAsia="en-AU"/>
        </w:rPr>
      </w:r>
      <w:r w:rsidR="0088607A">
        <w:rPr>
          <w:lang w:eastAsia="en-AU"/>
        </w:rPr>
        <w:fldChar w:fldCharType="separate"/>
      </w:r>
      <w:r w:rsidR="00534F9F">
        <w:rPr>
          <w:lang w:eastAsia="en-AU"/>
        </w:rPr>
        <w:t>Chart 4.4</w:t>
      </w:r>
      <w:r w:rsidR="0088607A">
        <w:rPr>
          <w:lang w:eastAsia="en-AU"/>
        </w:rPr>
        <w:fldChar w:fldCharType="end"/>
      </w:r>
      <w:r>
        <w:rPr>
          <w:lang w:eastAsia="en-AU"/>
        </w:rPr>
        <w:t xml:space="preserve">), different proportions of the wage premium can be attributed to the qualification effect. </w:t>
      </w:r>
      <w:r w:rsidR="004E7160">
        <w:rPr>
          <w:lang w:eastAsia="en-AU"/>
        </w:rPr>
        <w:t>65</w:t>
      </w:r>
      <w:r>
        <w:rPr>
          <w:lang w:eastAsia="en-AU"/>
        </w:rPr>
        <w:t xml:space="preserve">% of the observed wage premium for </w:t>
      </w:r>
      <w:r w:rsidR="004E7160">
        <w:rPr>
          <w:lang w:eastAsia="en-AU"/>
        </w:rPr>
        <w:t xml:space="preserve">Law </w:t>
      </w:r>
      <w:r>
        <w:rPr>
          <w:lang w:eastAsia="en-AU"/>
        </w:rPr>
        <w:t xml:space="preserve">is attributed to the postgraduate qualification (compared to </w:t>
      </w:r>
      <w:r w:rsidR="004E7160">
        <w:rPr>
          <w:lang w:eastAsia="en-AU"/>
        </w:rPr>
        <w:t>56</w:t>
      </w:r>
      <w:r>
        <w:rPr>
          <w:lang w:eastAsia="en-AU"/>
        </w:rPr>
        <w:t xml:space="preserve">% for bachelor </w:t>
      </w:r>
      <w:r w:rsidR="004E7160">
        <w:rPr>
          <w:lang w:eastAsia="en-AU"/>
        </w:rPr>
        <w:t>Law</w:t>
      </w:r>
      <w:r>
        <w:rPr>
          <w:lang w:eastAsia="en-AU"/>
        </w:rPr>
        <w:t xml:space="preserve">) and </w:t>
      </w:r>
      <w:r w:rsidR="004E7160">
        <w:rPr>
          <w:lang w:eastAsia="en-AU"/>
        </w:rPr>
        <w:t>72</w:t>
      </w:r>
      <w:r>
        <w:rPr>
          <w:lang w:eastAsia="en-AU"/>
        </w:rPr>
        <w:t xml:space="preserve">% for </w:t>
      </w:r>
      <w:r w:rsidR="004E7160">
        <w:rPr>
          <w:lang w:eastAsia="en-AU"/>
        </w:rPr>
        <w:t xml:space="preserve">Medicine </w:t>
      </w:r>
      <w:r>
        <w:rPr>
          <w:lang w:eastAsia="en-AU"/>
        </w:rPr>
        <w:t xml:space="preserve">postgraduate qualifications (compared to </w:t>
      </w:r>
      <w:r w:rsidR="004E7160">
        <w:rPr>
          <w:lang w:eastAsia="en-AU"/>
        </w:rPr>
        <w:t>83</w:t>
      </w:r>
      <w:r>
        <w:rPr>
          <w:lang w:eastAsia="en-AU"/>
        </w:rPr>
        <w:t xml:space="preserve">% for bachelor). Wage premiums attributable to qualification effects remain broadly similar for </w:t>
      </w:r>
      <w:r w:rsidR="004E7160">
        <w:rPr>
          <w:lang w:eastAsia="en-AU"/>
        </w:rPr>
        <w:t xml:space="preserve">Management and </w:t>
      </w:r>
      <w:r>
        <w:rPr>
          <w:lang w:eastAsia="en-AU"/>
        </w:rPr>
        <w:t>Commerce</w:t>
      </w:r>
      <w:r w:rsidR="004E7160">
        <w:rPr>
          <w:lang w:eastAsia="en-AU"/>
        </w:rPr>
        <w:t>, Science</w:t>
      </w:r>
      <w:r>
        <w:rPr>
          <w:lang w:eastAsia="en-AU"/>
        </w:rPr>
        <w:t xml:space="preserve"> and Engineering).  </w:t>
      </w:r>
      <w:r w:rsidR="00735CEA">
        <w:rPr>
          <w:lang w:eastAsia="en-AU"/>
        </w:rPr>
        <w:t xml:space="preserve">  </w:t>
      </w:r>
    </w:p>
    <w:p w:rsidR="009C6C96" w:rsidRDefault="009C6C96" w:rsidP="007E622B">
      <w:pPr>
        <w:pStyle w:val="CaptionChart"/>
        <w:numPr>
          <w:ilvl w:val="7"/>
          <w:numId w:val="8"/>
        </w:numPr>
        <w:ind w:left="0"/>
        <w:rPr>
          <w:lang w:eastAsia="en-AU"/>
        </w:rPr>
      </w:pPr>
      <w:bookmarkStart w:id="130" w:name="_Ref460444508"/>
      <w:bookmarkStart w:id="131" w:name="_Toc465961154"/>
      <w:r>
        <w:rPr>
          <w:lang w:eastAsia="en-AU"/>
        </w:rPr>
        <w:lastRenderedPageBreak/>
        <w:t xml:space="preserve">: </w:t>
      </w:r>
      <w:r w:rsidR="00735CEA">
        <w:rPr>
          <w:lang w:eastAsia="en-AU"/>
        </w:rPr>
        <w:t>Proportion of observed postgraduate wage premium attributable to qualification effect</w:t>
      </w:r>
      <w:bookmarkEnd w:id="130"/>
      <w:bookmarkEnd w:id="131"/>
    </w:p>
    <w:p w:rsidR="009C6C96" w:rsidRDefault="009F2F0B" w:rsidP="00DA4CA5">
      <w:pPr>
        <w:spacing w:before="240"/>
        <w:jc w:val="center"/>
        <w:rPr>
          <w:lang w:eastAsia="en-AU"/>
        </w:rPr>
      </w:pPr>
      <w:r w:rsidRPr="009F2F0B">
        <w:rPr>
          <w:noProof/>
          <w:lang w:eastAsia="en-AU"/>
        </w:rPr>
        <w:drawing>
          <wp:inline distT="0" distB="0" distL="0" distR="0" wp14:anchorId="2B5C69D7" wp14:editId="1355239E">
            <wp:extent cx="4572000" cy="2711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0" cy="2711450"/>
                    </a:xfrm>
                    <a:prstGeom prst="rect">
                      <a:avLst/>
                    </a:prstGeom>
                    <a:noFill/>
                    <a:ln>
                      <a:noFill/>
                    </a:ln>
                  </pic:spPr>
                </pic:pic>
              </a:graphicData>
            </a:graphic>
          </wp:inline>
        </w:drawing>
      </w:r>
    </w:p>
    <w:p w:rsidR="0081661D" w:rsidRDefault="0081661D" w:rsidP="0081661D">
      <w:pPr>
        <w:pStyle w:val="Source"/>
        <w:rPr>
          <w:lang w:eastAsia="en-AU"/>
        </w:rPr>
      </w:pPr>
      <w:r>
        <w:rPr>
          <w:lang w:eastAsia="en-AU"/>
        </w:rPr>
        <w:t>Source: HILDA, Deloitte Access Economics. Note: The impact of other factors on observed bachelor wage premiums for Nursing is less than zero, hence the qualification effect exceeds 100%. Sample observations are reported in parentheses.</w:t>
      </w:r>
      <w:r w:rsidRPr="005360D8">
        <w:t xml:space="preserve"> </w:t>
      </w:r>
      <w:r>
        <w:t>Food and hospitality is omitted given the small sample sizes in this field of education, resulting in statistically insignificant results</w:t>
      </w:r>
      <w:r>
        <w:rPr>
          <w:lang w:eastAsia="en-AU"/>
        </w:rPr>
        <w:t>.</w:t>
      </w:r>
    </w:p>
    <w:p w:rsidR="0021071D" w:rsidRDefault="0081661D" w:rsidP="00DA4CA5">
      <w:pPr>
        <w:pStyle w:val="BodyText"/>
        <w:rPr>
          <w:lang w:eastAsia="en-AU"/>
        </w:rPr>
      </w:pPr>
      <w:r>
        <w:rPr>
          <w:lang w:eastAsia="en-AU"/>
        </w:rPr>
        <w:t>The charts above</w:t>
      </w:r>
      <w:r w:rsidR="0021071D">
        <w:rPr>
          <w:lang w:eastAsia="en-AU"/>
        </w:rPr>
        <w:t xml:space="preserve"> also provide confidence interval bounds for the empirical estimates. These are derived from the reported standard errors in the regression analysis. Food and hospitality (not shown) have particularly large standard errors</w:t>
      </w:r>
      <w:r>
        <w:rPr>
          <w:lang w:eastAsia="en-AU"/>
        </w:rPr>
        <w:t>, due to small sample size</w:t>
      </w:r>
      <w:r w:rsidR="0021071D">
        <w:rPr>
          <w:lang w:eastAsia="en-AU"/>
        </w:rPr>
        <w:t>. One consequence of the functional form of the model used is that the errors are a function of the sample size of the disciplines and the qualification levels overall</w:t>
      </w:r>
      <w:r>
        <w:rPr>
          <w:lang w:eastAsia="en-AU"/>
        </w:rPr>
        <w:t xml:space="preserve">, rather than the sample size of those in that discipline </w:t>
      </w:r>
      <w:r w:rsidRPr="00DA4CA5">
        <w:rPr>
          <w:i/>
          <w:lang w:eastAsia="en-AU"/>
        </w:rPr>
        <w:t>and</w:t>
      </w:r>
      <w:r>
        <w:rPr>
          <w:lang w:eastAsia="en-AU"/>
        </w:rPr>
        <w:t xml:space="preserve"> at that qualification level</w:t>
      </w:r>
      <w:r w:rsidR="0021071D">
        <w:rPr>
          <w:lang w:eastAsia="en-AU"/>
        </w:rPr>
        <w:t>.  The most relevant reflection of uncertainty is the variability in and the sample size in the specific discipline and sample size combination, hence sample sizes are included in parentheses. In assessing the overall confidence of the point estimates, consideration should be given to both the error bounds and the sample sizes.</w:t>
      </w:r>
    </w:p>
    <w:p w:rsidR="0021071D" w:rsidRDefault="0021071D" w:rsidP="0021071D">
      <w:pPr>
        <w:pStyle w:val="BodyText"/>
        <w:rPr>
          <w:lang w:eastAsia="en-AU"/>
        </w:rPr>
      </w:pPr>
      <w:r>
        <w:rPr>
          <w:lang w:eastAsia="en-AU"/>
        </w:rPr>
        <w:t>Results for sub-bachelor qualifications (Advanced Diploma/Diploma qualifications obtained at a VET or higher education provider</w:t>
      </w:r>
      <w:r>
        <w:rPr>
          <w:rStyle w:val="FootnoteReference"/>
          <w:lang w:eastAsia="en-AU"/>
        </w:rPr>
        <w:footnoteReference w:id="36"/>
      </w:r>
      <w:r>
        <w:rPr>
          <w:lang w:eastAsia="en-AU"/>
        </w:rPr>
        <w:t>) are presented in Appendix</w:t>
      </w:r>
      <w:r>
        <w:rPr>
          <w:b/>
          <w:lang w:eastAsia="en-AU"/>
        </w:rPr>
        <w:t xml:space="preserve"> </w:t>
      </w:r>
      <w:r w:rsidRPr="005620FC">
        <w:rPr>
          <w:lang w:eastAsia="en-AU"/>
        </w:rPr>
        <w:t>B</w:t>
      </w:r>
      <w:r>
        <w:rPr>
          <w:lang w:eastAsia="en-AU"/>
        </w:rPr>
        <w:t xml:space="preserve">. They have not been presented here due to: </w:t>
      </w:r>
    </w:p>
    <w:p w:rsidR="0021071D" w:rsidRDefault="0021071D" w:rsidP="0021071D">
      <w:pPr>
        <w:pStyle w:val="Bullet1"/>
      </w:pPr>
      <w:r>
        <w:t xml:space="preserve">the relatively small sample number of individuals in the HILDA dataset with sub-bachelor degrees; </w:t>
      </w:r>
    </w:p>
    <w:p w:rsidR="006B6332" w:rsidRDefault="006B6332" w:rsidP="0021071D">
      <w:pPr>
        <w:pStyle w:val="Bullet1"/>
      </w:pPr>
      <w:r>
        <w:t>the likelihood that many of those with sub-bachelor degrees obtained them at VET providers, rather than higher education providers, given the nature of the HILDA sample;</w:t>
      </w:r>
    </w:p>
    <w:p w:rsidR="0021071D" w:rsidRDefault="0021071D" w:rsidP="0021071D">
      <w:pPr>
        <w:pStyle w:val="Bullet1"/>
      </w:pPr>
      <w:r>
        <w:t xml:space="preserve">the nature of the qualifications offered at the sub-bachelor levels for certain fields of education (particularly relevant to Medicine and Food and Hospitality – where some of </w:t>
      </w:r>
      <w:r>
        <w:lastRenderedPageBreak/>
        <w:t xml:space="preserve">the greatest differences in the qualification effect across qualification levels are observed); and </w:t>
      </w:r>
    </w:p>
    <w:p w:rsidR="0021071D" w:rsidRDefault="0021071D" w:rsidP="0021071D">
      <w:pPr>
        <w:pStyle w:val="Bullet1"/>
      </w:pPr>
      <w:proofErr w:type="gramStart"/>
      <w:r>
        <w:t>the</w:t>
      </w:r>
      <w:proofErr w:type="gramEnd"/>
      <w:r>
        <w:t xml:space="preserve"> pathway nature of sub-bachelor degrees, meaning that in an estimation framework that only considers the highest qualification attained, the benefits of that earlier, sub-bachelor degree are captured as part of the bachelor degree results. </w:t>
      </w:r>
    </w:p>
    <w:p w:rsidR="009C6C96" w:rsidRDefault="009C6C96" w:rsidP="009C6C96">
      <w:pPr>
        <w:pStyle w:val="Heading3"/>
        <w:numPr>
          <w:ilvl w:val="2"/>
          <w:numId w:val="8"/>
        </w:numPr>
        <w:rPr>
          <w:lang w:eastAsia="en-AU"/>
        </w:rPr>
      </w:pPr>
      <w:bookmarkStart w:id="132" w:name="_Ref458970366"/>
      <w:bookmarkStart w:id="133" w:name="_Ref460353967"/>
      <w:r>
        <w:rPr>
          <w:lang w:eastAsia="en-AU"/>
        </w:rPr>
        <w:t xml:space="preserve">Net present value of </w:t>
      </w:r>
      <w:r w:rsidR="0083778F">
        <w:rPr>
          <w:lang w:eastAsia="en-AU"/>
        </w:rPr>
        <w:t>lifetime</w:t>
      </w:r>
      <w:r>
        <w:rPr>
          <w:lang w:eastAsia="en-AU"/>
        </w:rPr>
        <w:t xml:space="preserve"> wage premiums</w:t>
      </w:r>
      <w:bookmarkEnd w:id="132"/>
      <w:bookmarkEnd w:id="133"/>
      <w:r>
        <w:rPr>
          <w:lang w:eastAsia="en-AU"/>
        </w:rPr>
        <w:t xml:space="preserve"> </w:t>
      </w:r>
    </w:p>
    <w:p w:rsidR="000E3DD8" w:rsidRDefault="00533831" w:rsidP="00533831">
      <w:pPr>
        <w:pStyle w:val="BodyText"/>
        <w:tabs>
          <w:tab w:val="left" w:pos="4755"/>
        </w:tabs>
        <w:rPr>
          <w:lang w:eastAsia="en-AU"/>
        </w:rPr>
      </w:pPr>
      <w:r>
        <w:rPr>
          <w:lang w:eastAsia="en-AU"/>
        </w:rPr>
        <w:t xml:space="preserve">The wage premium for a given qualification is the difference in expected lifetime earnings above those of an individual with </w:t>
      </w:r>
      <w:r w:rsidRPr="0003725B">
        <w:rPr>
          <w:lang w:eastAsia="en-AU"/>
        </w:rPr>
        <w:t>no post-school qualification</w:t>
      </w:r>
      <w:r w:rsidR="000E3DD8">
        <w:rPr>
          <w:lang w:eastAsia="en-AU"/>
        </w:rPr>
        <w:t xml:space="preserve"> that can be attributed to the qualification.  The earning profiles are obtained from the ABS Census (2011) profiles, with the raw differences in the lifetime earnings factored down by the shares attributed to the qualifications, as estimated in the previous section.</w:t>
      </w:r>
    </w:p>
    <w:p w:rsidR="00CB0249" w:rsidRDefault="000E3DD8" w:rsidP="009873BB">
      <w:pPr>
        <w:pStyle w:val="BodyText"/>
        <w:tabs>
          <w:tab w:val="left" w:pos="4755"/>
        </w:tabs>
        <w:rPr>
          <w:lang w:eastAsia="en-AU"/>
        </w:rPr>
      </w:pPr>
      <w:r>
        <w:rPr>
          <w:lang w:eastAsia="en-AU"/>
        </w:rPr>
        <w:fldChar w:fldCharType="begin"/>
      </w:r>
      <w:r>
        <w:rPr>
          <w:lang w:eastAsia="en-AU"/>
        </w:rPr>
        <w:instrText xml:space="preserve"> REF _Ref458970865 \r \h </w:instrText>
      </w:r>
      <w:r>
        <w:rPr>
          <w:lang w:eastAsia="en-AU"/>
        </w:rPr>
      </w:r>
      <w:r>
        <w:rPr>
          <w:lang w:eastAsia="en-AU"/>
        </w:rPr>
        <w:fldChar w:fldCharType="separate"/>
      </w:r>
      <w:r w:rsidR="00534F9F">
        <w:rPr>
          <w:lang w:eastAsia="en-AU"/>
        </w:rPr>
        <w:t>Table 4.3</w:t>
      </w:r>
      <w:r>
        <w:rPr>
          <w:lang w:eastAsia="en-AU"/>
        </w:rPr>
        <w:fldChar w:fldCharType="end"/>
      </w:r>
      <w:r>
        <w:rPr>
          <w:lang w:eastAsia="en-AU"/>
        </w:rPr>
        <w:t xml:space="preserve"> shows the earnings premiums for bachelor and postgraduate degrees, by field of education.  </w:t>
      </w:r>
      <w:r w:rsidR="00533831">
        <w:rPr>
          <w:lang w:eastAsia="en-AU"/>
        </w:rPr>
        <w:t>The</w:t>
      </w:r>
      <w:r>
        <w:rPr>
          <w:lang w:eastAsia="en-AU"/>
        </w:rPr>
        <w:t xml:space="preserve"> premiums </w:t>
      </w:r>
      <w:r w:rsidR="00533831">
        <w:rPr>
          <w:lang w:eastAsia="en-AU"/>
        </w:rPr>
        <w:t xml:space="preserve">are expressed as </w:t>
      </w:r>
      <w:r>
        <w:rPr>
          <w:lang w:eastAsia="en-AU"/>
        </w:rPr>
        <w:t xml:space="preserve">2016 post tax dollar figures and </w:t>
      </w:r>
      <w:r w:rsidR="00C16F98">
        <w:rPr>
          <w:lang w:eastAsia="en-AU"/>
        </w:rPr>
        <w:t>percentage</w:t>
      </w:r>
      <w:r w:rsidR="00533831">
        <w:rPr>
          <w:lang w:eastAsia="en-AU"/>
        </w:rPr>
        <w:t xml:space="preserve"> premium</w:t>
      </w:r>
      <w:r>
        <w:rPr>
          <w:lang w:eastAsia="en-AU"/>
        </w:rPr>
        <w:t>s</w:t>
      </w:r>
      <w:r w:rsidR="00533831">
        <w:rPr>
          <w:lang w:eastAsia="en-AU"/>
        </w:rPr>
        <w:t>,</w:t>
      </w:r>
      <w:r>
        <w:rPr>
          <w:lang w:eastAsia="en-AU"/>
        </w:rPr>
        <w:t xml:space="preserve"> undiscounted and in net present value terms with a discount rate of 7%.  For example, </w:t>
      </w:r>
      <w:r w:rsidR="00533831">
        <w:rPr>
          <w:lang w:eastAsia="en-AU"/>
        </w:rPr>
        <w:t xml:space="preserve">an average </w:t>
      </w:r>
      <w:r w:rsidR="006B6332">
        <w:rPr>
          <w:lang w:eastAsia="en-AU"/>
        </w:rPr>
        <w:t xml:space="preserve">individual with a </w:t>
      </w:r>
      <w:r w:rsidR="00533831">
        <w:rPr>
          <w:lang w:eastAsia="en-AU"/>
        </w:rPr>
        <w:t xml:space="preserve">bachelor level engineering and related construction qualification contributes </w:t>
      </w:r>
      <w:r>
        <w:rPr>
          <w:lang w:eastAsia="en-AU"/>
        </w:rPr>
        <w:t>$5</w:t>
      </w:r>
      <w:r w:rsidR="0088607A">
        <w:rPr>
          <w:lang w:eastAsia="en-AU"/>
        </w:rPr>
        <w:t>1</w:t>
      </w:r>
      <w:r>
        <w:rPr>
          <w:lang w:eastAsia="en-AU"/>
        </w:rPr>
        <w:t xml:space="preserve">0,000 </w:t>
      </w:r>
      <w:r w:rsidR="00533831">
        <w:rPr>
          <w:lang w:eastAsia="en-AU"/>
        </w:rPr>
        <w:t xml:space="preserve">more after tax than the typical </w:t>
      </w:r>
      <w:r w:rsidR="006B6332">
        <w:rPr>
          <w:lang w:eastAsia="en-AU"/>
        </w:rPr>
        <w:t xml:space="preserve">individual with </w:t>
      </w:r>
      <w:r w:rsidR="00533831">
        <w:rPr>
          <w:lang w:eastAsia="en-AU"/>
        </w:rPr>
        <w:t xml:space="preserve">no post-school qualification. </w:t>
      </w:r>
      <w:r>
        <w:rPr>
          <w:lang w:eastAsia="en-AU"/>
        </w:rPr>
        <w:t xml:space="preserve">That corresponds to a </w:t>
      </w:r>
      <w:r w:rsidR="0088607A">
        <w:rPr>
          <w:lang w:eastAsia="en-AU"/>
        </w:rPr>
        <w:t>51</w:t>
      </w:r>
      <w:r>
        <w:rPr>
          <w:lang w:eastAsia="en-AU"/>
        </w:rPr>
        <w:t>% premium</w:t>
      </w:r>
      <w:r w:rsidR="0088607A">
        <w:rPr>
          <w:lang w:eastAsia="en-AU"/>
        </w:rPr>
        <w:t>,</w:t>
      </w:r>
      <w:r>
        <w:rPr>
          <w:lang w:eastAsia="en-AU"/>
        </w:rPr>
        <w:t xml:space="preserve"> </w:t>
      </w:r>
      <w:r w:rsidR="009C6C96">
        <w:rPr>
          <w:lang w:eastAsia="en-AU"/>
        </w:rPr>
        <w:t>accounting for the likelihood of whet</w:t>
      </w:r>
      <w:r w:rsidR="009873BB">
        <w:rPr>
          <w:lang w:eastAsia="en-AU"/>
        </w:rPr>
        <w:t>her they are employed or not</w:t>
      </w:r>
      <w:r w:rsidR="0083778F">
        <w:rPr>
          <w:lang w:eastAsia="en-AU"/>
        </w:rPr>
        <w:t xml:space="preserve"> and participating in the labour force</w:t>
      </w:r>
      <w:r w:rsidR="009873BB">
        <w:rPr>
          <w:lang w:eastAsia="en-AU"/>
        </w:rPr>
        <w:t xml:space="preserve">. </w:t>
      </w:r>
    </w:p>
    <w:p w:rsidR="009C6C96" w:rsidRDefault="009C6C96" w:rsidP="00E5330A">
      <w:pPr>
        <w:pStyle w:val="CaptionTable"/>
        <w:numPr>
          <w:ilvl w:val="6"/>
          <w:numId w:val="8"/>
        </w:numPr>
        <w:ind w:left="0"/>
      </w:pPr>
      <w:bookmarkStart w:id="134" w:name="_Ref458970865"/>
      <w:bookmarkStart w:id="135" w:name="_Toc465961126"/>
      <w:bookmarkStart w:id="136" w:name="_Toc452492908"/>
      <w:bookmarkStart w:id="137" w:name="_Ref457330847"/>
      <w:bookmarkStart w:id="138" w:name="_Toc457412181"/>
      <w:r>
        <w:t>: Attributable e</w:t>
      </w:r>
      <w:r w:rsidRPr="00AF4C12">
        <w:t xml:space="preserve">arnings </w:t>
      </w:r>
      <w:r w:rsidR="0083778F">
        <w:t xml:space="preserve">lifetime </w:t>
      </w:r>
      <w:r w:rsidRPr="00AF4C12">
        <w:t>premium</w:t>
      </w:r>
      <w:r>
        <w:t>s for bachelor and postgraduate qualifications</w:t>
      </w:r>
      <w:bookmarkEnd w:id="134"/>
      <w:bookmarkEnd w:id="135"/>
      <w:r w:rsidRPr="00AF4C12">
        <w:t xml:space="preserve"> </w:t>
      </w:r>
    </w:p>
    <w:tbl>
      <w:tblPr>
        <w:tblW w:w="5000" w:type="pct"/>
        <w:tblLayout w:type="fixed"/>
        <w:tblCellMar>
          <w:left w:w="0" w:type="dxa"/>
          <w:right w:w="0" w:type="dxa"/>
        </w:tblCellMar>
        <w:tblLook w:val="04A0" w:firstRow="1" w:lastRow="0" w:firstColumn="1" w:lastColumn="0" w:noHBand="0" w:noVBand="1"/>
      </w:tblPr>
      <w:tblGrid>
        <w:gridCol w:w="1952"/>
        <w:gridCol w:w="18"/>
        <w:gridCol w:w="686"/>
        <w:gridCol w:w="556"/>
        <w:gridCol w:w="557"/>
        <w:gridCol w:w="556"/>
        <w:gridCol w:w="557"/>
        <w:gridCol w:w="556"/>
        <w:gridCol w:w="557"/>
        <w:gridCol w:w="556"/>
        <w:gridCol w:w="557"/>
        <w:gridCol w:w="556"/>
        <w:gridCol w:w="557"/>
      </w:tblGrid>
      <w:tr w:rsidR="00022EA7" w:rsidRPr="00574710" w:rsidTr="00022EA7">
        <w:trPr>
          <w:trHeight w:val="270"/>
        </w:trPr>
        <w:tc>
          <w:tcPr>
            <w:tcW w:w="1187" w:type="pct"/>
            <w:tcBorders>
              <w:top w:val="single" w:sz="12" w:space="0" w:color="002776" w:themeColor="accent1"/>
              <w:left w:val="nil"/>
              <w:bottom w:val="single" w:sz="12" w:space="0" w:color="002776"/>
              <w:right w:val="nil"/>
            </w:tcBorders>
            <w:shd w:val="clear" w:color="auto" w:fill="auto"/>
            <w:vAlign w:val="center"/>
          </w:tcPr>
          <w:p w:rsidR="00022EA7" w:rsidRPr="00022EA7" w:rsidRDefault="00022EA7" w:rsidP="005815D8">
            <w:pPr>
              <w:outlineLvl w:val="0"/>
              <w:rPr>
                <w:rFonts w:asciiTheme="minorHAnsi" w:hAnsiTheme="minorHAnsi"/>
                <w:i/>
                <w:iCs/>
                <w:color w:val="000000"/>
                <w:sz w:val="20"/>
              </w:rPr>
            </w:pPr>
            <w:r w:rsidRPr="00022EA7">
              <w:rPr>
                <w:rFonts w:asciiTheme="minorHAnsi" w:hAnsiTheme="minorHAnsi"/>
                <w:i/>
                <w:iCs/>
                <w:color w:val="000000"/>
                <w:sz w:val="20"/>
              </w:rPr>
              <w:t> </w:t>
            </w:r>
          </w:p>
        </w:tc>
        <w:tc>
          <w:tcPr>
            <w:tcW w:w="428" w:type="pct"/>
            <w:gridSpan w:val="2"/>
            <w:tcBorders>
              <w:top w:val="single" w:sz="12" w:space="0" w:color="002776" w:themeColor="accent1"/>
              <w:left w:val="nil"/>
              <w:bottom w:val="single" w:sz="12" w:space="0" w:color="002776"/>
              <w:right w:val="nil"/>
            </w:tcBorders>
            <w:shd w:val="clear" w:color="auto" w:fill="auto"/>
            <w:vAlign w:val="center"/>
          </w:tcPr>
          <w:p w:rsidR="00022EA7" w:rsidRPr="00DA4CA5" w:rsidRDefault="00022EA7" w:rsidP="00DA4CA5">
            <w:pPr>
              <w:jc w:val="center"/>
              <w:outlineLvl w:val="0"/>
              <w:rPr>
                <w:rFonts w:eastAsia="Arial" w:cs="Arial"/>
                <w:b/>
                <w:bCs/>
                <w:color w:val="002776" w:themeColor="accent1"/>
                <w:kern w:val="24"/>
                <w:sz w:val="18"/>
                <w:szCs w:val="18"/>
              </w:rPr>
            </w:pPr>
            <w:r w:rsidRPr="00DA4CA5">
              <w:rPr>
                <w:rFonts w:eastAsia="Arial" w:cs="Arial"/>
                <w:b/>
                <w:bCs/>
                <w:color w:val="002776" w:themeColor="accent1"/>
                <w:kern w:val="24"/>
                <w:sz w:val="18"/>
                <w:szCs w:val="18"/>
              </w:rPr>
              <w:t>Med.</w:t>
            </w:r>
          </w:p>
        </w:tc>
        <w:tc>
          <w:tcPr>
            <w:tcW w:w="338" w:type="pct"/>
            <w:tcBorders>
              <w:top w:val="single" w:sz="12" w:space="0" w:color="002776" w:themeColor="accent1"/>
              <w:left w:val="nil"/>
              <w:bottom w:val="single" w:sz="12" w:space="0" w:color="002776"/>
              <w:right w:val="nil"/>
            </w:tcBorders>
            <w:shd w:val="clear" w:color="auto" w:fill="auto"/>
            <w:vAlign w:val="center"/>
          </w:tcPr>
          <w:p w:rsidR="00022EA7" w:rsidRPr="00DA4CA5" w:rsidRDefault="00022EA7" w:rsidP="00DA4CA5">
            <w:pPr>
              <w:jc w:val="center"/>
              <w:outlineLvl w:val="0"/>
              <w:rPr>
                <w:rFonts w:eastAsia="Arial" w:cs="Arial"/>
                <w:b/>
                <w:color w:val="002776" w:themeColor="accent1"/>
                <w:kern w:val="24"/>
                <w:sz w:val="18"/>
                <w:szCs w:val="18"/>
              </w:rPr>
            </w:pPr>
            <w:r w:rsidRPr="00DA4CA5">
              <w:rPr>
                <w:rFonts w:eastAsia="Arial" w:cs="Arial"/>
                <w:b/>
                <w:color w:val="002776" w:themeColor="accent1"/>
                <w:kern w:val="24"/>
                <w:sz w:val="18"/>
                <w:szCs w:val="18"/>
              </w:rPr>
              <w:t>Nurs.</w:t>
            </w:r>
          </w:p>
        </w:tc>
        <w:tc>
          <w:tcPr>
            <w:tcW w:w="339" w:type="pct"/>
            <w:tcBorders>
              <w:top w:val="single" w:sz="12" w:space="0" w:color="002776" w:themeColor="accent1"/>
              <w:left w:val="nil"/>
              <w:bottom w:val="single" w:sz="12" w:space="0" w:color="002776"/>
              <w:right w:val="nil"/>
            </w:tcBorders>
            <w:shd w:val="clear" w:color="auto" w:fill="auto"/>
            <w:vAlign w:val="center"/>
          </w:tcPr>
          <w:p w:rsidR="00022EA7" w:rsidRPr="00DA4CA5" w:rsidRDefault="00022EA7" w:rsidP="00DA4CA5">
            <w:pPr>
              <w:jc w:val="center"/>
              <w:outlineLvl w:val="0"/>
              <w:rPr>
                <w:rFonts w:eastAsia="Arial" w:cs="Arial"/>
                <w:b/>
                <w:color w:val="002776" w:themeColor="accent1"/>
                <w:kern w:val="24"/>
                <w:sz w:val="18"/>
                <w:szCs w:val="18"/>
              </w:rPr>
            </w:pPr>
            <w:r w:rsidRPr="00DA4CA5">
              <w:rPr>
                <w:rFonts w:eastAsia="Arial" w:cs="Arial"/>
                <w:b/>
                <w:color w:val="002776" w:themeColor="accent1"/>
                <w:kern w:val="24"/>
                <w:sz w:val="18"/>
                <w:szCs w:val="18"/>
              </w:rPr>
              <w:t>Other Health</w:t>
            </w:r>
          </w:p>
        </w:tc>
        <w:tc>
          <w:tcPr>
            <w:tcW w:w="338" w:type="pct"/>
            <w:tcBorders>
              <w:top w:val="single" w:sz="12" w:space="0" w:color="002776" w:themeColor="accent1"/>
              <w:left w:val="nil"/>
              <w:bottom w:val="single" w:sz="12" w:space="0" w:color="002776"/>
              <w:right w:val="nil"/>
            </w:tcBorders>
            <w:shd w:val="clear" w:color="auto" w:fill="auto"/>
            <w:vAlign w:val="center"/>
          </w:tcPr>
          <w:p w:rsidR="00022EA7" w:rsidRPr="00DA4CA5" w:rsidRDefault="00022EA7" w:rsidP="00DA4CA5">
            <w:pPr>
              <w:jc w:val="center"/>
              <w:outlineLvl w:val="0"/>
              <w:rPr>
                <w:rFonts w:eastAsia="Arial" w:cs="Arial"/>
                <w:b/>
                <w:color w:val="002776" w:themeColor="accent1"/>
                <w:kern w:val="24"/>
                <w:sz w:val="18"/>
                <w:szCs w:val="18"/>
              </w:rPr>
            </w:pPr>
            <w:r w:rsidRPr="00DA4CA5">
              <w:rPr>
                <w:rFonts w:eastAsia="Arial" w:cs="Arial"/>
                <w:b/>
                <w:color w:val="002776" w:themeColor="accent1"/>
                <w:kern w:val="24"/>
                <w:sz w:val="18"/>
                <w:szCs w:val="18"/>
              </w:rPr>
              <w:t>Educ.</w:t>
            </w:r>
          </w:p>
        </w:tc>
        <w:tc>
          <w:tcPr>
            <w:tcW w:w="339" w:type="pct"/>
            <w:tcBorders>
              <w:top w:val="single" w:sz="12" w:space="0" w:color="002776" w:themeColor="accent1"/>
              <w:left w:val="nil"/>
              <w:bottom w:val="single" w:sz="12" w:space="0" w:color="002776"/>
              <w:right w:val="nil"/>
            </w:tcBorders>
            <w:shd w:val="clear" w:color="auto" w:fill="auto"/>
            <w:vAlign w:val="center"/>
          </w:tcPr>
          <w:p w:rsidR="00022EA7" w:rsidRPr="00DA4CA5" w:rsidRDefault="00022EA7" w:rsidP="00DA4CA5">
            <w:pPr>
              <w:jc w:val="center"/>
              <w:outlineLvl w:val="0"/>
              <w:rPr>
                <w:rFonts w:eastAsia="Arial" w:cs="Arial"/>
                <w:b/>
                <w:color w:val="002776" w:themeColor="accent1"/>
                <w:kern w:val="24"/>
                <w:sz w:val="18"/>
                <w:szCs w:val="18"/>
              </w:rPr>
            </w:pPr>
            <w:r w:rsidRPr="00DA4CA5">
              <w:rPr>
                <w:rFonts w:eastAsia="Arial" w:cs="Arial"/>
                <w:b/>
                <w:color w:val="002776" w:themeColor="accent1"/>
                <w:kern w:val="24"/>
                <w:sz w:val="18"/>
                <w:szCs w:val="18"/>
              </w:rPr>
              <w:t>Eng.</w:t>
            </w:r>
          </w:p>
        </w:tc>
        <w:tc>
          <w:tcPr>
            <w:tcW w:w="338" w:type="pct"/>
            <w:tcBorders>
              <w:top w:val="single" w:sz="12" w:space="0" w:color="002776" w:themeColor="accent1"/>
              <w:left w:val="nil"/>
              <w:bottom w:val="single" w:sz="12" w:space="0" w:color="002776"/>
              <w:right w:val="nil"/>
            </w:tcBorders>
            <w:shd w:val="clear" w:color="auto" w:fill="auto"/>
            <w:vAlign w:val="center"/>
          </w:tcPr>
          <w:p w:rsidR="00022EA7" w:rsidRPr="00DA4CA5" w:rsidRDefault="00022EA7" w:rsidP="00DA4CA5">
            <w:pPr>
              <w:jc w:val="center"/>
              <w:outlineLvl w:val="0"/>
              <w:rPr>
                <w:rFonts w:eastAsia="Arial" w:cs="Arial"/>
                <w:b/>
                <w:color w:val="002776" w:themeColor="accent1"/>
                <w:kern w:val="24"/>
                <w:sz w:val="18"/>
                <w:szCs w:val="18"/>
              </w:rPr>
            </w:pPr>
            <w:r w:rsidRPr="00DA4CA5">
              <w:rPr>
                <w:rFonts w:eastAsia="Arial" w:cs="Arial"/>
                <w:b/>
                <w:color w:val="002776" w:themeColor="accent1"/>
                <w:kern w:val="24"/>
                <w:sz w:val="18"/>
                <w:szCs w:val="18"/>
              </w:rPr>
              <w:t>Mgmt</w:t>
            </w:r>
          </w:p>
        </w:tc>
        <w:tc>
          <w:tcPr>
            <w:tcW w:w="339" w:type="pct"/>
            <w:tcBorders>
              <w:top w:val="single" w:sz="12" w:space="0" w:color="002776" w:themeColor="accent1"/>
              <w:left w:val="nil"/>
              <w:bottom w:val="single" w:sz="12" w:space="0" w:color="002776"/>
              <w:right w:val="nil"/>
            </w:tcBorders>
            <w:shd w:val="clear" w:color="auto" w:fill="auto"/>
            <w:vAlign w:val="center"/>
          </w:tcPr>
          <w:p w:rsidR="00022EA7" w:rsidRPr="00DA4CA5" w:rsidRDefault="00022EA7" w:rsidP="00DA4CA5">
            <w:pPr>
              <w:jc w:val="center"/>
              <w:outlineLvl w:val="0"/>
              <w:rPr>
                <w:rFonts w:eastAsia="Arial" w:cs="Arial"/>
                <w:b/>
                <w:color w:val="002776" w:themeColor="accent1"/>
                <w:kern w:val="24"/>
                <w:sz w:val="18"/>
                <w:szCs w:val="18"/>
              </w:rPr>
            </w:pPr>
            <w:r w:rsidRPr="00DA4CA5">
              <w:rPr>
                <w:rFonts w:eastAsia="Arial" w:cs="Arial"/>
                <w:b/>
                <w:color w:val="002776" w:themeColor="accent1"/>
                <w:kern w:val="24"/>
                <w:sz w:val="18"/>
                <w:szCs w:val="18"/>
              </w:rPr>
              <w:t>Law</w:t>
            </w:r>
          </w:p>
        </w:tc>
        <w:tc>
          <w:tcPr>
            <w:tcW w:w="338" w:type="pct"/>
            <w:tcBorders>
              <w:top w:val="single" w:sz="12" w:space="0" w:color="002776" w:themeColor="accent1"/>
              <w:left w:val="nil"/>
              <w:bottom w:val="single" w:sz="12" w:space="0" w:color="002776"/>
              <w:right w:val="nil"/>
            </w:tcBorders>
            <w:shd w:val="clear" w:color="auto" w:fill="auto"/>
            <w:vAlign w:val="center"/>
          </w:tcPr>
          <w:p w:rsidR="00022EA7" w:rsidRPr="00DA4CA5" w:rsidRDefault="00022EA7" w:rsidP="00DA4CA5">
            <w:pPr>
              <w:jc w:val="center"/>
              <w:outlineLvl w:val="0"/>
              <w:rPr>
                <w:rFonts w:eastAsia="Arial" w:cs="Arial"/>
                <w:b/>
                <w:color w:val="002776" w:themeColor="accent1"/>
                <w:kern w:val="24"/>
                <w:sz w:val="18"/>
                <w:szCs w:val="18"/>
              </w:rPr>
            </w:pPr>
            <w:r w:rsidRPr="00DA4CA5">
              <w:rPr>
                <w:rFonts w:eastAsia="Arial" w:cs="Arial"/>
                <w:b/>
                <w:color w:val="002776" w:themeColor="accent1"/>
                <w:kern w:val="24"/>
                <w:sz w:val="18"/>
                <w:szCs w:val="18"/>
              </w:rPr>
              <w:t>Arts</w:t>
            </w:r>
          </w:p>
        </w:tc>
        <w:tc>
          <w:tcPr>
            <w:tcW w:w="339" w:type="pct"/>
            <w:tcBorders>
              <w:top w:val="single" w:sz="12" w:space="0" w:color="002776" w:themeColor="accent1"/>
              <w:left w:val="nil"/>
              <w:bottom w:val="single" w:sz="12" w:space="0" w:color="002776"/>
              <w:right w:val="nil"/>
            </w:tcBorders>
            <w:shd w:val="clear" w:color="auto" w:fill="auto"/>
            <w:vAlign w:val="center"/>
          </w:tcPr>
          <w:p w:rsidR="00022EA7" w:rsidRPr="00DA4CA5" w:rsidRDefault="00022EA7" w:rsidP="00DA4CA5">
            <w:pPr>
              <w:jc w:val="center"/>
              <w:outlineLvl w:val="0"/>
              <w:rPr>
                <w:rFonts w:eastAsia="Arial" w:cs="Arial"/>
                <w:b/>
                <w:color w:val="002776" w:themeColor="accent1"/>
                <w:kern w:val="24"/>
                <w:sz w:val="18"/>
                <w:szCs w:val="18"/>
              </w:rPr>
            </w:pPr>
            <w:r w:rsidRPr="00DA4CA5">
              <w:rPr>
                <w:rFonts w:eastAsia="Arial" w:cs="Arial"/>
                <w:b/>
                <w:color w:val="002776" w:themeColor="accent1"/>
                <w:kern w:val="24"/>
                <w:sz w:val="18"/>
                <w:szCs w:val="18"/>
              </w:rPr>
              <w:t>Sci.</w:t>
            </w:r>
          </w:p>
        </w:tc>
        <w:tc>
          <w:tcPr>
            <w:tcW w:w="338" w:type="pct"/>
            <w:tcBorders>
              <w:top w:val="single" w:sz="12" w:space="0" w:color="002776" w:themeColor="accent1"/>
              <w:left w:val="nil"/>
              <w:bottom w:val="single" w:sz="12" w:space="0" w:color="002776"/>
              <w:right w:val="nil"/>
            </w:tcBorders>
            <w:vAlign w:val="center"/>
          </w:tcPr>
          <w:p w:rsidR="00022EA7" w:rsidRPr="00DA4CA5" w:rsidRDefault="00022EA7" w:rsidP="00DA4CA5">
            <w:pPr>
              <w:jc w:val="center"/>
              <w:outlineLvl w:val="0"/>
              <w:rPr>
                <w:rFonts w:eastAsia="Arial" w:cs="Arial"/>
                <w:b/>
                <w:color w:val="002776" w:themeColor="accent1"/>
                <w:kern w:val="24"/>
                <w:sz w:val="18"/>
                <w:szCs w:val="18"/>
              </w:rPr>
            </w:pPr>
            <w:r w:rsidRPr="00DA4CA5">
              <w:rPr>
                <w:rFonts w:eastAsia="Arial" w:cs="Arial"/>
                <w:b/>
                <w:color w:val="002776" w:themeColor="accent1"/>
                <w:kern w:val="24"/>
                <w:sz w:val="18"/>
                <w:szCs w:val="18"/>
              </w:rPr>
              <w:t>IT</w:t>
            </w:r>
          </w:p>
        </w:tc>
        <w:tc>
          <w:tcPr>
            <w:tcW w:w="339" w:type="pct"/>
            <w:tcBorders>
              <w:top w:val="single" w:sz="12" w:space="0" w:color="002776" w:themeColor="accent1"/>
              <w:left w:val="nil"/>
              <w:bottom w:val="single" w:sz="12" w:space="0" w:color="002776"/>
              <w:right w:val="nil"/>
            </w:tcBorders>
            <w:shd w:val="clear" w:color="auto" w:fill="auto"/>
            <w:vAlign w:val="center"/>
          </w:tcPr>
          <w:p w:rsidR="00022EA7" w:rsidRPr="00022EA7" w:rsidRDefault="00022EA7" w:rsidP="00DA4CA5">
            <w:pPr>
              <w:jc w:val="center"/>
              <w:outlineLvl w:val="0"/>
              <w:rPr>
                <w:rFonts w:eastAsia="Arial" w:cs="Arial"/>
                <w:b/>
                <w:bCs/>
                <w:color w:val="002776" w:themeColor="accent1"/>
                <w:kern w:val="24"/>
                <w:sz w:val="18"/>
                <w:szCs w:val="18"/>
              </w:rPr>
            </w:pPr>
            <w:r w:rsidRPr="00022EA7">
              <w:rPr>
                <w:rFonts w:eastAsia="Arial" w:cs="Arial"/>
                <w:b/>
                <w:bCs/>
                <w:color w:val="002776" w:themeColor="accent1"/>
                <w:kern w:val="24"/>
                <w:sz w:val="18"/>
                <w:szCs w:val="18"/>
              </w:rPr>
              <w:t>Ave.</w:t>
            </w:r>
          </w:p>
        </w:tc>
      </w:tr>
      <w:tr w:rsidR="00022EA7" w:rsidRPr="00574710" w:rsidTr="00022EA7">
        <w:trPr>
          <w:trHeight w:val="270"/>
        </w:trPr>
        <w:tc>
          <w:tcPr>
            <w:tcW w:w="1187" w:type="pct"/>
            <w:tcBorders>
              <w:top w:val="nil"/>
              <w:left w:val="nil"/>
              <w:right w:val="nil"/>
            </w:tcBorders>
            <w:shd w:val="clear" w:color="auto" w:fill="auto"/>
            <w:vAlign w:val="center"/>
          </w:tcPr>
          <w:p w:rsidR="00022EA7" w:rsidRPr="00DA4CA5" w:rsidRDefault="00022EA7" w:rsidP="005815D8">
            <w:pPr>
              <w:outlineLvl w:val="0"/>
              <w:rPr>
                <w:rFonts w:asciiTheme="minorHAnsi" w:hAnsiTheme="minorHAnsi"/>
                <w:b/>
                <w:iCs/>
                <w:color w:val="000000"/>
                <w:sz w:val="20"/>
              </w:rPr>
            </w:pPr>
            <w:r w:rsidRPr="00DA4CA5">
              <w:rPr>
                <w:rFonts w:asciiTheme="minorHAnsi" w:hAnsiTheme="minorHAnsi"/>
                <w:b/>
                <w:iCs/>
                <w:color w:val="002776" w:themeColor="accent1"/>
                <w:sz w:val="20"/>
              </w:rPr>
              <w:t>Bachelor level</w:t>
            </w:r>
          </w:p>
        </w:tc>
        <w:tc>
          <w:tcPr>
            <w:tcW w:w="428" w:type="pct"/>
            <w:gridSpan w:val="2"/>
            <w:tcBorders>
              <w:top w:val="nil"/>
              <w:left w:val="nil"/>
              <w:right w:val="nil"/>
            </w:tcBorders>
            <w:shd w:val="clear" w:color="auto" w:fill="auto"/>
            <w:vAlign w:val="center"/>
          </w:tcPr>
          <w:p w:rsidR="00022EA7" w:rsidRPr="00022EA7" w:rsidRDefault="00022EA7" w:rsidP="00022EA7">
            <w:pPr>
              <w:outlineLvl w:val="0"/>
              <w:rPr>
                <w:rFonts w:eastAsia="Arial" w:cs="Arial"/>
                <w:bCs/>
                <w:color w:val="000000"/>
                <w:kern w:val="24"/>
                <w:sz w:val="18"/>
                <w:szCs w:val="18"/>
              </w:rPr>
            </w:pPr>
          </w:p>
        </w:tc>
        <w:tc>
          <w:tcPr>
            <w:tcW w:w="338"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p>
        </w:tc>
        <w:tc>
          <w:tcPr>
            <w:tcW w:w="339"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p>
        </w:tc>
        <w:tc>
          <w:tcPr>
            <w:tcW w:w="338"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p>
        </w:tc>
        <w:tc>
          <w:tcPr>
            <w:tcW w:w="339"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p>
        </w:tc>
        <w:tc>
          <w:tcPr>
            <w:tcW w:w="338"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p>
        </w:tc>
        <w:tc>
          <w:tcPr>
            <w:tcW w:w="339"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p>
        </w:tc>
        <w:tc>
          <w:tcPr>
            <w:tcW w:w="338"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p>
        </w:tc>
        <w:tc>
          <w:tcPr>
            <w:tcW w:w="339"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p>
        </w:tc>
        <w:tc>
          <w:tcPr>
            <w:tcW w:w="338"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p>
        </w:tc>
        <w:tc>
          <w:tcPr>
            <w:tcW w:w="339" w:type="pct"/>
            <w:tcBorders>
              <w:top w:val="nil"/>
              <w:left w:val="nil"/>
              <w:right w:val="nil"/>
            </w:tcBorders>
            <w:shd w:val="clear" w:color="auto" w:fill="auto"/>
            <w:vAlign w:val="center"/>
          </w:tcPr>
          <w:p w:rsidR="00022EA7" w:rsidRPr="00022EA7" w:rsidRDefault="00022EA7" w:rsidP="00022EA7">
            <w:pPr>
              <w:outlineLvl w:val="0"/>
              <w:rPr>
                <w:rFonts w:eastAsia="Arial" w:cs="Arial"/>
                <w:b/>
                <w:bCs/>
                <w:color w:val="002776" w:themeColor="accent1"/>
                <w:kern w:val="24"/>
                <w:sz w:val="18"/>
                <w:szCs w:val="18"/>
              </w:rPr>
            </w:pPr>
          </w:p>
        </w:tc>
      </w:tr>
      <w:tr w:rsidR="00022EA7" w:rsidRPr="00574710" w:rsidTr="00022EA7">
        <w:trPr>
          <w:trHeight w:val="270"/>
        </w:trPr>
        <w:tc>
          <w:tcPr>
            <w:tcW w:w="1187" w:type="pct"/>
            <w:tcBorders>
              <w:top w:val="nil"/>
              <w:left w:val="nil"/>
              <w:right w:val="nil"/>
            </w:tcBorders>
            <w:shd w:val="clear" w:color="auto" w:fill="auto"/>
            <w:vAlign w:val="center"/>
          </w:tcPr>
          <w:p w:rsidR="00022EA7" w:rsidRPr="00022EA7" w:rsidRDefault="00022EA7" w:rsidP="005815D8">
            <w:pPr>
              <w:outlineLvl w:val="0"/>
              <w:rPr>
                <w:rFonts w:asciiTheme="minorHAnsi" w:hAnsiTheme="minorHAnsi"/>
                <w:i/>
                <w:iCs/>
                <w:color w:val="000000"/>
                <w:sz w:val="20"/>
              </w:rPr>
            </w:pPr>
            <w:r w:rsidRPr="00022EA7">
              <w:rPr>
                <w:rFonts w:asciiTheme="minorHAnsi" w:hAnsiTheme="minorHAnsi"/>
                <w:i/>
                <w:iCs/>
                <w:color w:val="000000"/>
                <w:sz w:val="20"/>
              </w:rPr>
              <w:t>Sample size (n)</w:t>
            </w:r>
          </w:p>
        </w:tc>
        <w:tc>
          <w:tcPr>
            <w:tcW w:w="428" w:type="pct"/>
            <w:gridSpan w:val="2"/>
            <w:tcBorders>
              <w:top w:val="nil"/>
              <w:left w:val="nil"/>
              <w:right w:val="nil"/>
            </w:tcBorders>
            <w:shd w:val="clear" w:color="auto" w:fill="auto"/>
            <w:vAlign w:val="center"/>
          </w:tcPr>
          <w:p w:rsidR="00022EA7" w:rsidRPr="00022EA7" w:rsidRDefault="00022EA7" w:rsidP="00022EA7">
            <w:pPr>
              <w:outlineLvl w:val="0"/>
              <w:rPr>
                <w:rFonts w:eastAsia="Arial" w:cs="Arial"/>
                <w:bCs/>
                <w:color w:val="000000"/>
                <w:kern w:val="24"/>
                <w:sz w:val="18"/>
                <w:szCs w:val="18"/>
              </w:rPr>
            </w:pPr>
            <w:r w:rsidRPr="00022EA7">
              <w:rPr>
                <w:rFonts w:eastAsia="Arial" w:cs="Arial"/>
                <w:bCs/>
                <w:color w:val="000000"/>
                <w:kern w:val="24"/>
                <w:sz w:val="18"/>
                <w:szCs w:val="18"/>
              </w:rPr>
              <w:t>262</w:t>
            </w:r>
          </w:p>
        </w:tc>
        <w:tc>
          <w:tcPr>
            <w:tcW w:w="338"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r w:rsidRPr="00022EA7">
              <w:rPr>
                <w:rFonts w:eastAsia="Arial" w:cs="Arial"/>
                <w:color w:val="000000"/>
                <w:kern w:val="24"/>
                <w:sz w:val="18"/>
                <w:szCs w:val="18"/>
              </w:rPr>
              <w:t>1261</w:t>
            </w:r>
          </w:p>
        </w:tc>
        <w:tc>
          <w:tcPr>
            <w:tcW w:w="339"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r w:rsidRPr="00022EA7">
              <w:rPr>
                <w:rFonts w:eastAsia="Arial" w:cs="Arial"/>
                <w:color w:val="000000"/>
                <w:kern w:val="24"/>
                <w:sz w:val="18"/>
                <w:szCs w:val="18"/>
              </w:rPr>
              <w:t>790</w:t>
            </w:r>
          </w:p>
        </w:tc>
        <w:tc>
          <w:tcPr>
            <w:tcW w:w="338"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r w:rsidRPr="00022EA7">
              <w:rPr>
                <w:rFonts w:eastAsia="Arial" w:cs="Arial"/>
                <w:color w:val="000000"/>
                <w:kern w:val="24"/>
                <w:sz w:val="18"/>
                <w:szCs w:val="18"/>
              </w:rPr>
              <w:t>2404</w:t>
            </w:r>
          </w:p>
        </w:tc>
        <w:tc>
          <w:tcPr>
            <w:tcW w:w="339"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r w:rsidRPr="00022EA7">
              <w:rPr>
                <w:rFonts w:eastAsia="Arial" w:cs="Arial"/>
                <w:color w:val="000000"/>
                <w:kern w:val="24"/>
                <w:sz w:val="18"/>
                <w:szCs w:val="18"/>
              </w:rPr>
              <w:t>1518</w:t>
            </w:r>
          </w:p>
        </w:tc>
        <w:tc>
          <w:tcPr>
            <w:tcW w:w="338"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r w:rsidRPr="00022EA7">
              <w:rPr>
                <w:rFonts w:eastAsia="Arial" w:cs="Arial"/>
                <w:color w:val="000000"/>
                <w:kern w:val="24"/>
                <w:sz w:val="18"/>
                <w:szCs w:val="18"/>
              </w:rPr>
              <w:t>2694</w:t>
            </w:r>
          </w:p>
        </w:tc>
        <w:tc>
          <w:tcPr>
            <w:tcW w:w="339"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r w:rsidRPr="00022EA7">
              <w:rPr>
                <w:rFonts w:eastAsia="Arial" w:cs="Arial"/>
                <w:color w:val="000000"/>
                <w:kern w:val="24"/>
                <w:sz w:val="18"/>
                <w:szCs w:val="18"/>
              </w:rPr>
              <w:t>463</w:t>
            </w:r>
          </w:p>
        </w:tc>
        <w:tc>
          <w:tcPr>
            <w:tcW w:w="338"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r w:rsidRPr="00022EA7">
              <w:rPr>
                <w:rFonts w:eastAsia="Arial" w:cs="Arial"/>
                <w:color w:val="000000"/>
                <w:kern w:val="24"/>
                <w:sz w:val="18"/>
                <w:szCs w:val="18"/>
              </w:rPr>
              <w:t>2309</w:t>
            </w:r>
          </w:p>
        </w:tc>
        <w:tc>
          <w:tcPr>
            <w:tcW w:w="339"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r w:rsidRPr="00022EA7">
              <w:rPr>
                <w:rFonts w:eastAsia="Arial" w:cs="Arial"/>
                <w:color w:val="000000"/>
                <w:kern w:val="24"/>
                <w:sz w:val="18"/>
                <w:szCs w:val="18"/>
              </w:rPr>
              <w:t>1145</w:t>
            </w:r>
          </w:p>
        </w:tc>
        <w:tc>
          <w:tcPr>
            <w:tcW w:w="338" w:type="pct"/>
            <w:tcBorders>
              <w:top w:val="nil"/>
              <w:left w:val="nil"/>
              <w:right w:val="nil"/>
            </w:tcBorders>
            <w:shd w:val="clear" w:color="auto" w:fill="auto"/>
            <w:vAlign w:val="center"/>
          </w:tcPr>
          <w:p w:rsidR="00022EA7" w:rsidRPr="00022EA7" w:rsidRDefault="00022EA7" w:rsidP="00022EA7">
            <w:pPr>
              <w:outlineLvl w:val="0"/>
              <w:rPr>
                <w:rFonts w:eastAsia="Arial" w:cs="Arial"/>
                <w:color w:val="000000"/>
                <w:kern w:val="24"/>
                <w:sz w:val="18"/>
                <w:szCs w:val="18"/>
              </w:rPr>
            </w:pPr>
            <w:r w:rsidRPr="00022EA7">
              <w:rPr>
                <w:rFonts w:eastAsia="Arial" w:cs="Arial"/>
                <w:color w:val="000000"/>
                <w:kern w:val="24"/>
                <w:sz w:val="18"/>
                <w:szCs w:val="18"/>
              </w:rPr>
              <w:t>670</w:t>
            </w:r>
          </w:p>
        </w:tc>
        <w:tc>
          <w:tcPr>
            <w:tcW w:w="339" w:type="pct"/>
            <w:tcBorders>
              <w:top w:val="nil"/>
              <w:left w:val="nil"/>
              <w:right w:val="nil"/>
            </w:tcBorders>
            <w:shd w:val="clear" w:color="auto" w:fill="auto"/>
            <w:vAlign w:val="center"/>
          </w:tcPr>
          <w:p w:rsidR="00022EA7" w:rsidRPr="00022EA7" w:rsidRDefault="00022EA7" w:rsidP="00022EA7">
            <w:pPr>
              <w:outlineLvl w:val="0"/>
              <w:rPr>
                <w:rFonts w:eastAsia="Arial" w:cs="Arial"/>
                <w:b/>
                <w:bCs/>
                <w:color w:val="002776" w:themeColor="accent1"/>
                <w:kern w:val="24"/>
                <w:sz w:val="18"/>
                <w:szCs w:val="18"/>
              </w:rPr>
            </w:pPr>
            <w:r w:rsidRPr="00022EA7">
              <w:rPr>
                <w:rFonts w:eastAsia="Arial" w:cs="Arial"/>
                <w:b/>
                <w:bCs/>
                <w:color w:val="002776" w:themeColor="accent1"/>
                <w:kern w:val="24"/>
                <w:sz w:val="18"/>
                <w:szCs w:val="18"/>
              </w:rPr>
              <w:t>13,516</w:t>
            </w:r>
          </w:p>
        </w:tc>
      </w:tr>
      <w:tr w:rsidR="005815D8" w:rsidRPr="005815D8" w:rsidTr="00022EA7">
        <w:trPr>
          <w:trHeight w:val="285"/>
        </w:trPr>
        <w:tc>
          <w:tcPr>
            <w:tcW w:w="1615" w:type="pct"/>
            <w:gridSpan w:val="3"/>
            <w:tcBorders>
              <w:top w:val="nil"/>
              <w:left w:val="nil"/>
              <w:bottom w:val="nil"/>
              <w:right w:val="nil"/>
            </w:tcBorders>
            <w:shd w:val="clear" w:color="auto" w:fill="auto"/>
            <w:noWrap/>
            <w:hideMark/>
          </w:tcPr>
          <w:p w:rsidR="00022EA7" w:rsidRPr="00DA4CA5" w:rsidRDefault="00022EA7" w:rsidP="005815D8">
            <w:pPr>
              <w:outlineLvl w:val="0"/>
              <w:rPr>
                <w:rFonts w:asciiTheme="minorHAnsi" w:hAnsiTheme="minorHAnsi"/>
                <w:bCs/>
                <w:i/>
                <w:sz w:val="20"/>
              </w:rPr>
            </w:pPr>
            <w:r w:rsidRPr="00DA4CA5">
              <w:rPr>
                <w:rFonts w:asciiTheme="minorHAnsi" w:hAnsiTheme="minorHAnsi"/>
                <w:bCs/>
                <w:i/>
                <w:sz w:val="20"/>
              </w:rPr>
              <w:t>Percentage premium</w:t>
            </w:r>
          </w:p>
        </w:tc>
        <w:tc>
          <w:tcPr>
            <w:tcW w:w="338"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9"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8"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9"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8"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9"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8"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9"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8" w:type="pct"/>
            <w:tcBorders>
              <w:top w:val="nil"/>
              <w:left w:val="nil"/>
              <w:bottom w:val="nil"/>
              <w:right w:val="nil"/>
            </w:tcBorders>
            <w:shd w:val="clear" w:color="auto" w:fill="auto"/>
          </w:tcPr>
          <w:p w:rsidR="00022EA7" w:rsidRPr="00DA4CA5" w:rsidRDefault="00022EA7" w:rsidP="005815D8">
            <w:pPr>
              <w:outlineLvl w:val="0"/>
              <w:rPr>
                <w:rFonts w:asciiTheme="minorHAnsi" w:hAnsiTheme="minorHAnsi"/>
                <w:bCs/>
                <w:sz w:val="20"/>
              </w:rPr>
            </w:pPr>
          </w:p>
        </w:tc>
        <w:tc>
          <w:tcPr>
            <w:tcW w:w="339"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r>
      <w:tr w:rsidR="00022EA7" w:rsidRPr="00F10F95" w:rsidTr="00DA4CA5">
        <w:trPr>
          <w:trHeight w:val="255"/>
        </w:trPr>
        <w:tc>
          <w:tcPr>
            <w:tcW w:w="1187" w:type="pct"/>
            <w:tcBorders>
              <w:top w:val="nil"/>
              <w:left w:val="nil"/>
              <w:bottom w:val="nil"/>
              <w:right w:val="nil"/>
            </w:tcBorders>
            <w:shd w:val="clear" w:color="auto" w:fill="auto"/>
            <w:vAlign w:val="center"/>
            <w:hideMark/>
          </w:tcPr>
          <w:p w:rsidR="00022EA7" w:rsidRPr="00444981" w:rsidRDefault="00022EA7" w:rsidP="005815D8">
            <w:pPr>
              <w:ind w:left="108"/>
              <w:jc w:val="both"/>
              <w:outlineLvl w:val="0"/>
              <w:rPr>
                <w:rFonts w:asciiTheme="minorHAnsi" w:hAnsiTheme="minorHAnsi"/>
                <w:i/>
                <w:iCs/>
                <w:color w:val="000000"/>
                <w:sz w:val="20"/>
              </w:rPr>
            </w:pPr>
            <w:r w:rsidRPr="00444981">
              <w:rPr>
                <w:rFonts w:asciiTheme="minorHAnsi" w:hAnsiTheme="minorHAnsi"/>
                <w:i/>
                <w:iCs/>
                <w:color w:val="000000"/>
                <w:sz w:val="20"/>
              </w:rPr>
              <w:t>Undiscounted</w:t>
            </w:r>
          </w:p>
        </w:tc>
        <w:tc>
          <w:tcPr>
            <w:tcW w:w="428" w:type="pct"/>
            <w:gridSpan w:val="2"/>
            <w:tcBorders>
              <w:top w:val="nil"/>
              <w:left w:val="nil"/>
              <w:bottom w:val="nil"/>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107%</w:t>
            </w:r>
          </w:p>
        </w:tc>
        <w:tc>
          <w:tcPr>
            <w:tcW w:w="338" w:type="pct"/>
            <w:tcBorders>
              <w:top w:val="nil"/>
              <w:left w:val="nil"/>
              <w:bottom w:val="nil"/>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94%</w:t>
            </w:r>
          </w:p>
        </w:tc>
        <w:tc>
          <w:tcPr>
            <w:tcW w:w="339" w:type="pct"/>
            <w:tcBorders>
              <w:top w:val="nil"/>
              <w:left w:val="nil"/>
              <w:bottom w:val="nil"/>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92%</w:t>
            </w:r>
          </w:p>
        </w:tc>
        <w:tc>
          <w:tcPr>
            <w:tcW w:w="338" w:type="pct"/>
            <w:tcBorders>
              <w:top w:val="nil"/>
              <w:left w:val="nil"/>
              <w:bottom w:val="nil"/>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47%</w:t>
            </w:r>
          </w:p>
        </w:tc>
        <w:tc>
          <w:tcPr>
            <w:tcW w:w="339" w:type="pct"/>
            <w:tcBorders>
              <w:top w:val="nil"/>
              <w:left w:val="nil"/>
              <w:bottom w:val="nil"/>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51%</w:t>
            </w:r>
          </w:p>
        </w:tc>
        <w:tc>
          <w:tcPr>
            <w:tcW w:w="338" w:type="pct"/>
            <w:tcBorders>
              <w:top w:val="nil"/>
              <w:left w:val="nil"/>
              <w:bottom w:val="nil"/>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37%</w:t>
            </w:r>
          </w:p>
        </w:tc>
        <w:tc>
          <w:tcPr>
            <w:tcW w:w="339" w:type="pct"/>
            <w:tcBorders>
              <w:top w:val="nil"/>
              <w:left w:val="nil"/>
              <w:bottom w:val="nil"/>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58%</w:t>
            </w:r>
          </w:p>
        </w:tc>
        <w:tc>
          <w:tcPr>
            <w:tcW w:w="338" w:type="pct"/>
            <w:tcBorders>
              <w:top w:val="nil"/>
              <w:left w:val="nil"/>
              <w:bottom w:val="nil"/>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20%</w:t>
            </w:r>
          </w:p>
        </w:tc>
        <w:tc>
          <w:tcPr>
            <w:tcW w:w="339" w:type="pct"/>
            <w:tcBorders>
              <w:top w:val="nil"/>
              <w:left w:val="nil"/>
              <w:bottom w:val="nil"/>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35%</w:t>
            </w:r>
          </w:p>
        </w:tc>
        <w:tc>
          <w:tcPr>
            <w:tcW w:w="338" w:type="pct"/>
            <w:tcBorders>
              <w:top w:val="nil"/>
              <w:left w:val="nil"/>
              <w:bottom w:val="nil"/>
              <w:right w:val="nil"/>
            </w:tcBorders>
            <w:vAlign w:val="center"/>
          </w:tcPr>
          <w:p w:rsidR="00022EA7" w:rsidRPr="006E4888" w:rsidRDefault="00022EA7" w:rsidP="005815D8">
            <w:pPr>
              <w:jc w:val="center"/>
              <w:outlineLvl w:val="0"/>
              <w:rPr>
                <w:sz w:val="18"/>
              </w:rPr>
            </w:pPr>
            <w:r w:rsidRPr="0064325C">
              <w:rPr>
                <w:sz w:val="18"/>
              </w:rPr>
              <w:t>39%</w:t>
            </w:r>
          </w:p>
        </w:tc>
        <w:tc>
          <w:tcPr>
            <w:tcW w:w="339" w:type="pct"/>
            <w:tcBorders>
              <w:top w:val="nil"/>
              <w:left w:val="nil"/>
              <w:bottom w:val="nil"/>
              <w:right w:val="nil"/>
            </w:tcBorders>
            <w:shd w:val="clear" w:color="auto" w:fill="auto"/>
            <w:vAlign w:val="center"/>
            <w:hideMark/>
          </w:tcPr>
          <w:p w:rsidR="00022EA7" w:rsidRPr="00CD18A1" w:rsidRDefault="00022EA7" w:rsidP="005815D8">
            <w:pPr>
              <w:jc w:val="center"/>
              <w:outlineLvl w:val="0"/>
              <w:rPr>
                <w:rFonts w:asciiTheme="minorHAnsi" w:hAnsiTheme="minorHAnsi"/>
                <w:b/>
                <w:color w:val="002776" w:themeColor="accent1"/>
                <w:sz w:val="18"/>
              </w:rPr>
            </w:pPr>
            <w:r w:rsidRPr="0064325C">
              <w:rPr>
                <w:b/>
                <w:color w:val="002776" w:themeColor="accent1"/>
                <w:sz w:val="18"/>
              </w:rPr>
              <w:t>49%</w:t>
            </w:r>
          </w:p>
        </w:tc>
      </w:tr>
      <w:tr w:rsidR="00022EA7" w:rsidRPr="00F10F95" w:rsidTr="00DA4CA5">
        <w:trPr>
          <w:trHeight w:val="255"/>
        </w:trPr>
        <w:tc>
          <w:tcPr>
            <w:tcW w:w="1187" w:type="pct"/>
            <w:tcBorders>
              <w:top w:val="nil"/>
              <w:left w:val="nil"/>
              <w:bottom w:val="single" w:sz="4" w:space="0" w:color="002776" w:themeColor="accent1"/>
              <w:right w:val="nil"/>
            </w:tcBorders>
            <w:shd w:val="clear" w:color="auto" w:fill="auto"/>
            <w:noWrap/>
            <w:vAlign w:val="bottom"/>
            <w:hideMark/>
          </w:tcPr>
          <w:p w:rsidR="00022EA7" w:rsidRPr="00444981" w:rsidRDefault="00022EA7" w:rsidP="005815D8">
            <w:pPr>
              <w:ind w:left="108"/>
              <w:outlineLvl w:val="0"/>
              <w:rPr>
                <w:rFonts w:asciiTheme="minorHAnsi" w:hAnsiTheme="minorHAnsi"/>
                <w:i/>
                <w:iCs/>
                <w:color w:val="000000"/>
                <w:sz w:val="20"/>
              </w:rPr>
            </w:pPr>
            <w:r w:rsidRPr="00444981">
              <w:rPr>
                <w:rFonts w:asciiTheme="minorHAnsi" w:hAnsiTheme="minorHAnsi"/>
                <w:i/>
                <w:iCs/>
                <w:color w:val="000000"/>
                <w:sz w:val="20"/>
              </w:rPr>
              <w:t>Discounted NPV</w:t>
            </w:r>
          </w:p>
        </w:tc>
        <w:tc>
          <w:tcPr>
            <w:tcW w:w="428" w:type="pct"/>
            <w:gridSpan w:val="2"/>
            <w:tcBorders>
              <w:top w:val="nil"/>
              <w:left w:val="nil"/>
              <w:bottom w:val="single" w:sz="4" w:space="0" w:color="002776" w:themeColor="accent1"/>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75%</w:t>
            </w:r>
          </w:p>
        </w:tc>
        <w:tc>
          <w:tcPr>
            <w:tcW w:w="338" w:type="pct"/>
            <w:tcBorders>
              <w:top w:val="nil"/>
              <w:left w:val="nil"/>
              <w:bottom w:val="single" w:sz="4" w:space="0" w:color="002776" w:themeColor="accent1"/>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84%</w:t>
            </w:r>
          </w:p>
        </w:tc>
        <w:tc>
          <w:tcPr>
            <w:tcW w:w="339" w:type="pct"/>
            <w:tcBorders>
              <w:top w:val="nil"/>
              <w:left w:val="nil"/>
              <w:bottom w:val="single" w:sz="4" w:space="0" w:color="002776" w:themeColor="accent1"/>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82%</w:t>
            </w:r>
          </w:p>
        </w:tc>
        <w:tc>
          <w:tcPr>
            <w:tcW w:w="338" w:type="pct"/>
            <w:tcBorders>
              <w:top w:val="nil"/>
              <w:left w:val="nil"/>
              <w:bottom w:val="single" w:sz="4" w:space="0" w:color="002776" w:themeColor="accent1"/>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38%</w:t>
            </w:r>
          </w:p>
        </w:tc>
        <w:tc>
          <w:tcPr>
            <w:tcW w:w="339" w:type="pct"/>
            <w:tcBorders>
              <w:top w:val="nil"/>
              <w:left w:val="nil"/>
              <w:bottom w:val="single" w:sz="4" w:space="0" w:color="002776" w:themeColor="accent1"/>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43%</w:t>
            </w:r>
          </w:p>
        </w:tc>
        <w:tc>
          <w:tcPr>
            <w:tcW w:w="338" w:type="pct"/>
            <w:tcBorders>
              <w:top w:val="nil"/>
              <w:left w:val="nil"/>
              <w:bottom w:val="single" w:sz="4" w:space="0" w:color="002776" w:themeColor="accent1"/>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30%</w:t>
            </w:r>
          </w:p>
        </w:tc>
        <w:tc>
          <w:tcPr>
            <w:tcW w:w="339" w:type="pct"/>
            <w:tcBorders>
              <w:top w:val="nil"/>
              <w:left w:val="nil"/>
              <w:bottom w:val="single" w:sz="4" w:space="0" w:color="002776" w:themeColor="accent1"/>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47%</w:t>
            </w:r>
          </w:p>
        </w:tc>
        <w:tc>
          <w:tcPr>
            <w:tcW w:w="338" w:type="pct"/>
            <w:tcBorders>
              <w:top w:val="nil"/>
              <w:left w:val="nil"/>
              <w:bottom w:val="single" w:sz="4" w:space="0" w:color="002776" w:themeColor="accent1"/>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18%</w:t>
            </w:r>
          </w:p>
        </w:tc>
        <w:tc>
          <w:tcPr>
            <w:tcW w:w="339" w:type="pct"/>
            <w:tcBorders>
              <w:top w:val="nil"/>
              <w:left w:val="nil"/>
              <w:bottom w:val="single" w:sz="4" w:space="0" w:color="002776" w:themeColor="accent1"/>
              <w:right w:val="nil"/>
            </w:tcBorders>
            <w:shd w:val="clear" w:color="auto" w:fill="auto"/>
            <w:vAlign w:val="center"/>
            <w:hideMark/>
          </w:tcPr>
          <w:p w:rsidR="00022EA7" w:rsidRPr="00AF4C12" w:rsidRDefault="00022EA7" w:rsidP="005815D8">
            <w:pPr>
              <w:jc w:val="center"/>
              <w:outlineLvl w:val="0"/>
              <w:rPr>
                <w:rFonts w:asciiTheme="minorHAnsi" w:hAnsiTheme="minorHAnsi"/>
                <w:color w:val="000000"/>
                <w:sz w:val="18"/>
              </w:rPr>
            </w:pPr>
            <w:r w:rsidRPr="0064325C">
              <w:rPr>
                <w:sz w:val="18"/>
              </w:rPr>
              <w:t>26%</w:t>
            </w:r>
          </w:p>
        </w:tc>
        <w:tc>
          <w:tcPr>
            <w:tcW w:w="338" w:type="pct"/>
            <w:tcBorders>
              <w:top w:val="nil"/>
              <w:left w:val="nil"/>
              <w:bottom w:val="single" w:sz="4" w:space="0" w:color="002776" w:themeColor="accent1"/>
              <w:right w:val="nil"/>
            </w:tcBorders>
            <w:vAlign w:val="center"/>
          </w:tcPr>
          <w:p w:rsidR="00022EA7" w:rsidRPr="006E4888" w:rsidRDefault="00022EA7" w:rsidP="005815D8">
            <w:pPr>
              <w:jc w:val="center"/>
              <w:outlineLvl w:val="0"/>
              <w:rPr>
                <w:sz w:val="18"/>
              </w:rPr>
            </w:pPr>
            <w:r w:rsidRPr="0064325C">
              <w:rPr>
                <w:sz w:val="18"/>
              </w:rPr>
              <w:t>32%</w:t>
            </w:r>
          </w:p>
        </w:tc>
        <w:tc>
          <w:tcPr>
            <w:tcW w:w="339" w:type="pct"/>
            <w:tcBorders>
              <w:top w:val="nil"/>
              <w:left w:val="nil"/>
              <w:bottom w:val="single" w:sz="4" w:space="0" w:color="002776" w:themeColor="accent1"/>
              <w:right w:val="nil"/>
            </w:tcBorders>
            <w:shd w:val="clear" w:color="auto" w:fill="auto"/>
            <w:vAlign w:val="center"/>
            <w:hideMark/>
          </w:tcPr>
          <w:p w:rsidR="00022EA7" w:rsidRPr="00CD18A1" w:rsidRDefault="00022EA7" w:rsidP="005815D8">
            <w:pPr>
              <w:jc w:val="center"/>
              <w:outlineLvl w:val="0"/>
              <w:rPr>
                <w:rFonts w:asciiTheme="minorHAnsi" w:hAnsiTheme="minorHAnsi"/>
                <w:b/>
                <w:color w:val="002776" w:themeColor="accent1"/>
                <w:sz w:val="18"/>
              </w:rPr>
            </w:pPr>
            <w:r w:rsidRPr="0064325C">
              <w:rPr>
                <w:b/>
                <w:color w:val="002776" w:themeColor="accent1"/>
                <w:sz w:val="18"/>
              </w:rPr>
              <w:t>41%</w:t>
            </w:r>
          </w:p>
        </w:tc>
      </w:tr>
      <w:tr w:rsidR="00022EA7" w:rsidRPr="00F10F95" w:rsidTr="00DA4CA5">
        <w:trPr>
          <w:trHeight w:val="255"/>
        </w:trPr>
        <w:tc>
          <w:tcPr>
            <w:tcW w:w="1615" w:type="pct"/>
            <w:gridSpan w:val="3"/>
            <w:tcBorders>
              <w:top w:val="single" w:sz="4" w:space="0" w:color="002776" w:themeColor="accent1"/>
              <w:left w:val="nil"/>
              <w:bottom w:val="nil"/>
              <w:right w:val="nil"/>
            </w:tcBorders>
            <w:shd w:val="clear" w:color="auto" w:fill="auto"/>
            <w:noWrap/>
            <w:hideMark/>
          </w:tcPr>
          <w:p w:rsidR="00022EA7" w:rsidRPr="00CD18A1" w:rsidRDefault="00022EA7" w:rsidP="005815D8">
            <w:pPr>
              <w:outlineLvl w:val="0"/>
              <w:rPr>
                <w:rFonts w:asciiTheme="minorHAnsi" w:hAnsiTheme="minorHAnsi"/>
                <w:bCs/>
                <w:i/>
                <w:color w:val="000000"/>
                <w:sz w:val="20"/>
              </w:rPr>
            </w:pPr>
            <w:r w:rsidRPr="00CD18A1">
              <w:rPr>
                <w:rFonts w:asciiTheme="minorHAnsi" w:hAnsiTheme="minorHAnsi"/>
                <w:bCs/>
                <w:i/>
                <w:color w:val="000000"/>
                <w:sz w:val="20"/>
              </w:rPr>
              <w:t>Dollar premium ($ million)</w:t>
            </w:r>
          </w:p>
        </w:tc>
        <w:tc>
          <w:tcPr>
            <w:tcW w:w="338"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9"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8"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9"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8"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9"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8"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9"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8" w:type="pct"/>
            <w:tcBorders>
              <w:top w:val="single" w:sz="4" w:space="0" w:color="002776" w:themeColor="accent1"/>
              <w:left w:val="nil"/>
              <w:bottom w:val="nil"/>
              <w:right w:val="nil"/>
            </w:tcBorders>
            <w:shd w:val="clear" w:color="auto" w:fill="auto"/>
          </w:tcPr>
          <w:p w:rsidR="00022EA7" w:rsidRPr="00CD18A1" w:rsidRDefault="00022EA7" w:rsidP="005815D8">
            <w:pPr>
              <w:jc w:val="center"/>
              <w:outlineLvl w:val="0"/>
              <w:rPr>
                <w:rFonts w:asciiTheme="minorHAnsi" w:hAnsiTheme="minorHAnsi"/>
                <w:b/>
                <w:color w:val="002776" w:themeColor="accent1"/>
                <w:sz w:val="20"/>
              </w:rPr>
            </w:pPr>
          </w:p>
        </w:tc>
        <w:tc>
          <w:tcPr>
            <w:tcW w:w="339" w:type="pct"/>
            <w:tcBorders>
              <w:top w:val="single" w:sz="4" w:space="0" w:color="002776" w:themeColor="accent1"/>
              <w:left w:val="nil"/>
              <w:bottom w:val="nil"/>
              <w:right w:val="nil"/>
            </w:tcBorders>
            <w:shd w:val="clear" w:color="auto" w:fill="auto"/>
            <w:vAlign w:val="center"/>
            <w:hideMark/>
          </w:tcPr>
          <w:p w:rsidR="00022EA7" w:rsidRPr="0083778F" w:rsidRDefault="00022EA7" w:rsidP="005815D8">
            <w:pPr>
              <w:jc w:val="center"/>
              <w:outlineLvl w:val="0"/>
              <w:rPr>
                <w:rFonts w:asciiTheme="minorHAnsi" w:hAnsiTheme="minorHAnsi"/>
                <w:b/>
                <w:color w:val="002776" w:themeColor="accent1"/>
                <w:sz w:val="20"/>
              </w:rPr>
            </w:pPr>
          </w:p>
        </w:tc>
      </w:tr>
      <w:tr w:rsidR="00022EA7" w:rsidRPr="00F10F95" w:rsidTr="00DA4CA5">
        <w:trPr>
          <w:trHeight w:val="255"/>
        </w:trPr>
        <w:tc>
          <w:tcPr>
            <w:tcW w:w="1187" w:type="pct"/>
            <w:tcBorders>
              <w:top w:val="nil"/>
              <w:left w:val="nil"/>
              <w:bottom w:val="nil"/>
              <w:right w:val="nil"/>
            </w:tcBorders>
            <w:shd w:val="clear" w:color="auto" w:fill="auto"/>
            <w:vAlign w:val="center"/>
            <w:hideMark/>
          </w:tcPr>
          <w:p w:rsidR="00022EA7" w:rsidRPr="00444981" w:rsidRDefault="00022EA7" w:rsidP="005815D8">
            <w:pPr>
              <w:ind w:left="108"/>
              <w:jc w:val="both"/>
              <w:outlineLvl w:val="0"/>
              <w:rPr>
                <w:rFonts w:asciiTheme="minorHAnsi" w:hAnsiTheme="minorHAnsi"/>
                <w:i/>
                <w:iCs/>
                <w:color w:val="000000"/>
                <w:sz w:val="20"/>
              </w:rPr>
            </w:pPr>
            <w:r w:rsidRPr="00444981">
              <w:rPr>
                <w:rFonts w:asciiTheme="minorHAnsi" w:hAnsiTheme="minorHAnsi"/>
                <w:i/>
                <w:iCs/>
                <w:color w:val="000000"/>
                <w:sz w:val="20"/>
              </w:rPr>
              <w:t>Undiscounted</w:t>
            </w:r>
          </w:p>
        </w:tc>
        <w:tc>
          <w:tcPr>
            <w:tcW w:w="428" w:type="pct"/>
            <w:gridSpan w:val="2"/>
            <w:tcBorders>
              <w:top w:val="nil"/>
              <w:left w:val="nil"/>
              <w:bottom w:val="nil"/>
              <w:right w:val="nil"/>
            </w:tcBorders>
            <w:shd w:val="clear" w:color="auto" w:fill="auto"/>
            <w:vAlign w:val="center"/>
            <w:hideMark/>
          </w:tcPr>
          <w:p w:rsidR="00022EA7" w:rsidRPr="00D941D5" w:rsidRDefault="00022EA7" w:rsidP="005815D8">
            <w:pPr>
              <w:jc w:val="center"/>
              <w:outlineLvl w:val="0"/>
              <w:rPr>
                <w:rFonts w:asciiTheme="minorHAnsi" w:hAnsiTheme="minorHAnsi"/>
                <w:color w:val="000000"/>
                <w:sz w:val="18"/>
              </w:rPr>
            </w:pPr>
            <w:r w:rsidRPr="0064325C">
              <w:rPr>
                <w:sz w:val="18"/>
                <w:szCs w:val="18"/>
              </w:rPr>
              <w:t>$1.07</w:t>
            </w:r>
          </w:p>
        </w:tc>
        <w:tc>
          <w:tcPr>
            <w:tcW w:w="338" w:type="pct"/>
            <w:tcBorders>
              <w:top w:val="nil"/>
              <w:left w:val="nil"/>
              <w:bottom w:val="nil"/>
              <w:right w:val="nil"/>
            </w:tcBorders>
            <w:shd w:val="clear" w:color="auto" w:fill="auto"/>
            <w:vAlign w:val="center"/>
            <w:hideMark/>
          </w:tcPr>
          <w:p w:rsidR="00022EA7" w:rsidRPr="00D941D5" w:rsidRDefault="00022EA7" w:rsidP="005815D8">
            <w:pPr>
              <w:jc w:val="center"/>
              <w:outlineLvl w:val="0"/>
              <w:rPr>
                <w:rFonts w:asciiTheme="minorHAnsi" w:hAnsiTheme="minorHAnsi"/>
                <w:color w:val="000000"/>
                <w:sz w:val="18"/>
              </w:rPr>
            </w:pPr>
            <w:r w:rsidRPr="0064325C">
              <w:rPr>
                <w:sz w:val="18"/>
                <w:szCs w:val="18"/>
              </w:rPr>
              <w:t>$0.94</w:t>
            </w:r>
          </w:p>
        </w:tc>
        <w:tc>
          <w:tcPr>
            <w:tcW w:w="339" w:type="pct"/>
            <w:tcBorders>
              <w:top w:val="nil"/>
              <w:left w:val="nil"/>
              <w:bottom w:val="nil"/>
              <w:right w:val="nil"/>
            </w:tcBorders>
            <w:shd w:val="clear" w:color="auto" w:fill="auto"/>
            <w:vAlign w:val="center"/>
            <w:hideMark/>
          </w:tcPr>
          <w:p w:rsidR="00022EA7" w:rsidRPr="00D941D5" w:rsidRDefault="00022EA7" w:rsidP="005815D8">
            <w:pPr>
              <w:jc w:val="center"/>
              <w:outlineLvl w:val="0"/>
              <w:rPr>
                <w:rFonts w:asciiTheme="minorHAnsi" w:hAnsiTheme="minorHAnsi"/>
                <w:color w:val="000000"/>
                <w:sz w:val="18"/>
              </w:rPr>
            </w:pPr>
            <w:r w:rsidRPr="0064325C">
              <w:rPr>
                <w:sz w:val="18"/>
                <w:szCs w:val="18"/>
              </w:rPr>
              <w:t>$0.91</w:t>
            </w:r>
          </w:p>
        </w:tc>
        <w:tc>
          <w:tcPr>
            <w:tcW w:w="338" w:type="pct"/>
            <w:tcBorders>
              <w:top w:val="nil"/>
              <w:left w:val="nil"/>
              <w:bottom w:val="nil"/>
              <w:right w:val="nil"/>
            </w:tcBorders>
            <w:shd w:val="clear" w:color="auto" w:fill="auto"/>
            <w:vAlign w:val="center"/>
            <w:hideMark/>
          </w:tcPr>
          <w:p w:rsidR="00022EA7" w:rsidRPr="00D941D5" w:rsidRDefault="00022EA7" w:rsidP="005815D8">
            <w:pPr>
              <w:jc w:val="center"/>
              <w:outlineLvl w:val="0"/>
              <w:rPr>
                <w:rFonts w:asciiTheme="minorHAnsi" w:hAnsiTheme="minorHAnsi"/>
                <w:color w:val="000000"/>
                <w:sz w:val="18"/>
              </w:rPr>
            </w:pPr>
            <w:r w:rsidRPr="0064325C">
              <w:rPr>
                <w:sz w:val="18"/>
                <w:szCs w:val="18"/>
              </w:rPr>
              <w:t>$0.47</w:t>
            </w:r>
          </w:p>
        </w:tc>
        <w:tc>
          <w:tcPr>
            <w:tcW w:w="339" w:type="pct"/>
            <w:tcBorders>
              <w:top w:val="nil"/>
              <w:left w:val="nil"/>
              <w:bottom w:val="nil"/>
              <w:right w:val="nil"/>
            </w:tcBorders>
            <w:shd w:val="clear" w:color="auto" w:fill="auto"/>
            <w:vAlign w:val="center"/>
            <w:hideMark/>
          </w:tcPr>
          <w:p w:rsidR="00022EA7" w:rsidRPr="00D941D5" w:rsidRDefault="00022EA7" w:rsidP="005815D8">
            <w:pPr>
              <w:jc w:val="center"/>
              <w:outlineLvl w:val="0"/>
              <w:rPr>
                <w:rFonts w:asciiTheme="minorHAnsi" w:hAnsiTheme="minorHAnsi"/>
                <w:color w:val="000000"/>
                <w:sz w:val="18"/>
              </w:rPr>
            </w:pPr>
            <w:r w:rsidRPr="0064325C">
              <w:rPr>
                <w:sz w:val="18"/>
                <w:szCs w:val="18"/>
              </w:rPr>
              <w:t>$0.51</w:t>
            </w:r>
          </w:p>
        </w:tc>
        <w:tc>
          <w:tcPr>
            <w:tcW w:w="338" w:type="pct"/>
            <w:tcBorders>
              <w:top w:val="nil"/>
              <w:left w:val="nil"/>
              <w:bottom w:val="nil"/>
              <w:right w:val="nil"/>
            </w:tcBorders>
            <w:shd w:val="clear" w:color="auto" w:fill="auto"/>
            <w:vAlign w:val="center"/>
            <w:hideMark/>
          </w:tcPr>
          <w:p w:rsidR="00022EA7" w:rsidRPr="00D941D5" w:rsidRDefault="00022EA7" w:rsidP="005815D8">
            <w:pPr>
              <w:jc w:val="center"/>
              <w:outlineLvl w:val="0"/>
              <w:rPr>
                <w:rFonts w:asciiTheme="minorHAnsi" w:hAnsiTheme="minorHAnsi"/>
                <w:color w:val="000000"/>
                <w:sz w:val="18"/>
              </w:rPr>
            </w:pPr>
            <w:r w:rsidRPr="0064325C">
              <w:rPr>
                <w:sz w:val="18"/>
                <w:szCs w:val="18"/>
              </w:rPr>
              <w:t>$0.37</w:t>
            </w:r>
          </w:p>
        </w:tc>
        <w:tc>
          <w:tcPr>
            <w:tcW w:w="339" w:type="pct"/>
            <w:tcBorders>
              <w:top w:val="nil"/>
              <w:left w:val="nil"/>
              <w:bottom w:val="nil"/>
              <w:right w:val="nil"/>
            </w:tcBorders>
            <w:shd w:val="clear" w:color="auto" w:fill="auto"/>
            <w:vAlign w:val="center"/>
            <w:hideMark/>
          </w:tcPr>
          <w:p w:rsidR="00022EA7" w:rsidRPr="00D941D5" w:rsidRDefault="00022EA7" w:rsidP="005815D8">
            <w:pPr>
              <w:jc w:val="center"/>
              <w:outlineLvl w:val="0"/>
              <w:rPr>
                <w:rFonts w:asciiTheme="minorHAnsi" w:hAnsiTheme="minorHAnsi"/>
                <w:color w:val="000000"/>
                <w:sz w:val="18"/>
              </w:rPr>
            </w:pPr>
            <w:r w:rsidRPr="0064325C">
              <w:rPr>
                <w:sz w:val="18"/>
                <w:szCs w:val="18"/>
              </w:rPr>
              <w:t>$0.57</w:t>
            </w:r>
          </w:p>
        </w:tc>
        <w:tc>
          <w:tcPr>
            <w:tcW w:w="338" w:type="pct"/>
            <w:tcBorders>
              <w:top w:val="nil"/>
              <w:left w:val="nil"/>
              <w:bottom w:val="nil"/>
              <w:right w:val="nil"/>
            </w:tcBorders>
            <w:shd w:val="clear" w:color="auto" w:fill="auto"/>
            <w:vAlign w:val="center"/>
            <w:hideMark/>
          </w:tcPr>
          <w:p w:rsidR="00022EA7" w:rsidRPr="00D941D5" w:rsidRDefault="00022EA7" w:rsidP="005815D8">
            <w:pPr>
              <w:jc w:val="center"/>
              <w:outlineLvl w:val="0"/>
              <w:rPr>
                <w:rFonts w:asciiTheme="minorHAnsi" w:hAnsiTheme="minorHAnsi"/>
                <w:color w:val="000000"/>
                <w:sz w:val="18"/>
              </w:rPr>
            </w:pPr>
            <w:r w:rsidRPr="0064325C">
              <w:rPr>
                <w:sz w:val="18"/>
                <w:szCs w:val="18"/>
              </w:rPr>
              <w:t>$0.20</w:t>
            </w:r>
          </w:p>
        </w:tc>
        <w:tc>
          <w:tcPr>
            <w:tcW w:w="339" w:type="pct"/>
            <w:tcBorders>
              <w:top w:val="nil"/>
              <w:left w:val="nil"/>
              <w:bottom w:val="nil"/>
              <w:right w:val="nil"/>
            </w:tcBorders>
            <w:shd w:val="clear" w:color="auto" w:fill="auto"/>
            <w:vAlign w:val="center"/>
            <w:hideMark/>
          </w:tcPr>
          <w:p w:rsidR="00022EA7" w:rsidRPr="00D941D5" w:rsidRDefault="00022EA7" w:rsidP="005815D8">
            <w:pPr>
              <w:jc w:val="center"/>
              <w:outlineLvl w:val="0"/>
              <w:rPr>
                <w:rFonts w:asciiTheme="minorHAnsi" w:hAnsiTheme="minorHAnsi"/>
                <w:color w:val="000000"/>
                <w:sz w:val="18"/>
              </w:rPr>
            </w:pPr>
            <w:r w:rsidRPr="0064325C">
              <w:rPr>
                <w:sz w:val="18"/>
                <w:szCs w:val="18"/>
              </w:rPr>
              <w:t>$0.35</w:t>
            </w:r>
          </w:p>
        </w:tc>
        <w:tc>
          <w:tcPr>
            <w:tcW w:w="338" w:type="pct"/>
            <w:tcBorders>
              <w:top w:val="nil"/>
              <w:left w:val="nil"/>
              <w:bottom w:val="nil"/>
              <w:right w:val="nil"/>
            </w:tcBorders>
            <w:vAlign w:val="center"/>
          </w:tcPr>
          <w:p w:rsidR="00022EA7" w:rsidRPr="006E4888" w:rsidRDefault="00022EA7" w:rsidP="005815D8">
            <w:pPr>
              <w:jc w:val="center"/>
              <w:outlineLvl w:val="0"/>
              <w:rPr>
                <w:sz w:val="18"/>
                <w:szCs w:val="18"/>
              </w:rPr>
            </w:pPr>
            <w:r w:rsidRPr="0064325C">
              <w:rPr>
                <w:sz w:val="18"/>
                <w:szCs w:val="18"/>
              </w:rPr>
              <w:t>$0.39</w:t>
            </w:r>
          </w:p>
        </w:tc>
        <w:tc>
          <w:tcPr>
            <w:tcW w:w="339" w:type="pct"/>
            <w:tcBorders>
              <w:top w:val="nil"/>
              <w:left w:val="nil"/>
              <w:bottom w:val="nil"/>
              <w:right w:val="nil"/>
            </w:tcBorders>
            <w:shd w:val="clear" w:color="auto" w:fill="auto"/>
            <w:vAlign w:val="center"/>
            <w:hideMark/>
          </w:tcPr>
          <w:p w:rsidR="00022EA7" w:rsidRPr="00CD18A1" w:rsidRDefault="00022EA7" w:rsidP="005815D8">
            <w:pPr>
              <w:jc w:val="center"/>
              <w:outlineLvl w:val="0"/>
              <w:rPr>
                <w:rFonts w:asciiTheme="minorHAnsi" w:hAnsiTheme="minorHAnsi"/>
                <w:b/>
                <w:color w:val="002776" w:themeColor="accent1"/>
                <w:sz w:val="18"/>
              </w:rPr>
            </w:pPr>
            <w:r w:rsidRPr="0064325C">
              <w:rPr>
                <w:b/>
                <w:color w:val="002776" w:themeColor="accent1"/>
                <w:sz w:val="18"/>
                <w:szCs w:val="18"/>
              </w:rPr>
              <w:t>$0.49</w:t>
            </w:r>
          </w:p>
        </w:tc>
      </w:tr>
      <w:tr w:rsidR="0037117C" w:rsidRPr="00F10F95" w:rsidTr="00DA4CA5">
        <w:trPr>
          <w:trHeight w:val="270"/>
        </w:trPr>
        <w:tc>
          <w:tcPr>
            <w:tcW w:w="1187" w:type="pct"/>
            <w:tcBorders>
              <w:top w:val="nil"/>
              <w:left w:val="nil"/>
              <w:bottom w:val="single" w:sz="8" w:space="0" w:color="002776" w:themeColor="accent1"/>
              <w:right w:val="nil"/>
            </w:tcBorders>
            <w:shd w:val="clear" w:color="auto" w:fill="auto"/>
            <w:vAlign w:val="center"/>
            <w:hideMark/>
          </w:tcPr>
          <w:p w:rsidR="0037117C" w:rsidRPr="00444981" w:rsidRDefault="0037117C" w:rsidP="005815D8">
            <w:pPr>
              <w:ind w:left="108"/>
              <w:jc w:val="both"/>
              <w:outlineLvl w:val="0"/>
              <w:rPr>
                <w:rFonts w:asciiTheme="minorHAnsi" w:hAnsiTheme="minorHAnsi"/>
                <w:i/>
                <w:iCs/>
                <w:color w:val="000000"/>
                <w:sz w:val="20"/>
              </w:rPr>
            </w:pPr>
            <w:r w:rsidRPr="00444981">
              <w:rPr>
                <w:rFonts w:asciiTheme="minorHAnsi" w:hAnsiTheme="minorHAnsi"/>
                <w:i/>
                <w:iCs/>
                <w:color w:val="000000"/>
                <w:sz w:val="20"/>
              </w:rPr>
              <w:t>Discounted NPV</w:t>
            </w:r>
          </w:p>
        </w:tc>
        <w:tc>
          <w:tcPr>
            <w:tcW w:w="428" w:type="pct"/>
            <w:gridSpan w:val="2"/>
            <w:tcBorders>
              <w:top w:val="nil"/>
              <w:left w:val="nil"/>
              <w:bottom w:val="single" w:sz="8" w:space="0" w:color="002776" w:themeColor="accent1"/>
              <w:right w:val="nil"/>
            </w:tcBorders>
            <w:shd w:val="clear" w:color="auto" w:fill="auto"/>
            <w:hideMark/>
          </w:tcPr>
          <w:p w:rsidR="0037117C" w:rsidRPr="00D941D5" w:rsidRDefault="0037117C" w:rsidP="005815D8">
            <w:pPr>
              <w:jc w:val="center"/>
              <w:outlineLvl w:val="0"/>
              <w:rPr>
                <w:rFonts w:asciiTheme="minorHAnsi" w:hAnsiTheme="minorHAnsi"/>
                <w:color w:val="000000"/>
                <w:sz w:val="18"/>
              </w:rPr>
            </w:pPr>
            <w:r w:rsidRPr="0064325C">
              <w:rPr>
                <w:sz w:val="18"/>
                <w:szCs w:val="18"/>
              </w:rPr>
              <w:t>$0.22</w:t>
            </w:r>
          </w:p>
        </w:tc>
        <w:tc>
          <w:tcPr>
            <w:tcW w:w="338" w:type="pct"/>
            <w:tcBorders>
              <w:top w:val="nil"/>
              <w:left w:val="nil"/>
              <w:bottom w:val="single" w:sz="8" w:space="0" w:color="002776" w:themeColor="accent1"/>
              <w:right w:val="nil"/>
            </w:tcBorders>
            <w:shd w:val="clear" w:color="auto" w:fill="auto"/>
            <w:hideMark/>
          </w:tcPr>
          <w:p w:rsidR="0037117C" w:rsidRPr="00D941D5" w:rsidRDefault="0037117C" w:rsidP="005815D8">
            <w:pPr>
              <w:jc w:val="center"/>
              <w:outlineLvl w:val="0"/>
              <w:rPr>
                <w:rFonts w:asciiTheme="minorHAnsi" w:hAnsiTheme="minorHAnsi"/>
                <w:color w:val="000000"/>
                <w:sz w:val="18"/>
              </w:rPr>
            </w:pPr>
            <w:r w:rsidRPr="0064325C">
              <w:rPr>
                <w:sz w:val="18"/>
                <w:szCs w:val="18"/>
              </w:rPr>
              <w:t>$0.25</w:t>
            </w:r>
          </w:p>
        </w:tc>
        <w:tc>
          <w:tcPr>
            <w:tcW w:w="339" w:type="pct"/>
            <w:tcBorders>
              <w:top w:val="nil"/>
              <w:left w:val="nil"/>
              <w:bottom w:val="single" w:sz="8" w:space="0" w:color="002776" w:themeColor="accent1"/>
              <w:right w:val="nil"/>
            </w:tcBorders>
            <w:shd w:val="clear" w:color="auto" w:fill="auto"/>
            <w:hideMark/>
          </w:tcPr>
          <w:p w:rsidR="0037117C" w:rsidRPr="00D941D5" w:rsidRDefault="0037117C" w:rsidP="005815D8">
            <w:pPr>
              <w:jc w:val="center"/>
              <w:outlineLvl w:val="0"/>
              <w:rPr>
                <w:rFonts w:asciiTheme="minorHAnsi" w:hAnsiTheme="minorHAnsi"/>
                <w:color w:val="000000"/>
                <w:sz w:val="18"/>
              </w:rPr>
            </w:pPr>
            <w:r w:rsidRPr="0064325C">
              <w:rPr>
                <w:sz w:val="18"/>
                <w:szCs w:val="18"/>
              </w:rPr>
              <w:t>$0.19</w:t>
            </w:r>
          </w:p>
        </w:tc>
        <w:tc>
          <w:tcPr>
            <w:tcW w:w="338" w:type="pct"/>
            <w:tcBorders>
              <w:top w:val="nil"/>
              <w:left w:val="nil"/>
              <w:bottom w:val="single" w:sz="8" w:space="0" w:color="002776" w:themeColor="accent1"/>
              <w:right w:val="nil"/>
            </w:tcBorders>
            <w:shd w:val="clear" w:color="auto" w:fill="auto"/>
            <w:hideMark/>
          </w:tcPr>
          <w:p w:rsidR="0037117C" w:rsidRPr="00D941D5" w:rsidRDefault="0037117C" w:rsidP="005815D8">
            <w:pPr>
              <w:jc w:val="center"/>
              <w:outlineLvl w:val="0"/>
              <w:rPr>
                <w:rFonts w:asciiTheme="minorHAnsi" w:hAnsiTheme="minorHAnsi"/>
                <w:color w:val="000000"/>
                <w:sz w:val="18"/>
              </w:rPr>
            </w:pPr>
            <w:r w:rsidRPr="0064325C">
              <w:rPr>
                <w:sz w:val="18"/>
                <w:szCs w:val="18"/>
              </w:rPr>
              <w:t>$0.11</w:t>
            </w:r>
          </w:p>
        </w:tc>
        <w:tc>
          <w:tcPr>
            <w:tcW w:w="339" w:type="pct"/>
            <w:tcBorders>
              <w:top w:val="nil"/>
              <w:left w:val="nil"/>
              <w:bottom w:val="single" w:sz="8" w:space="0" w:color="002776" w:themeColor="accent1"/>
              <w:right w:val="nil"/>
            </w:tcBorders>
            <w:shd w:val="clear" w:color="auto" w:fill="auto"/>
            <w:hideMark/>
          </w:tcPr>
          <w:p w:rsidR="0037117C" w:rsidRPr="00D941D5" w:rsidRDefault="0037117C" w:rsidP="005815D8">
            <w:pPr>
              <w:jc w:val="center"/>
              <w:outlineLvl w:val="0"/>
              <w:rPr>
                <w:rFonts w:asciiTheme="minorHAnsi" w:hAnsiTheme="minorHAnsi"/>
                <w:color w:val="000000"/>
                <w:sz w:val="18"/>
              </w:rPr>
            </w:pPr>
            <w:r w:rsidRPr="0064325C">
              <w:rPr>
                <w:sz w:val="18"/>
                <w:szCs w:val="18"/>
              </w:rPr>
              <w:t>$0.13</w:t>
            </w:r>
          </w:p>
        </w:tc>
        <w:tc>
          <w:tcPr>
            <w:tcW w:w="338" w:type="pct"/>
            <w:tcBorders>
              <w:top w:val="nil"/>
              <w:left w:val="nil"/>
              <w:bottom w:val="single" w:sz="8" w:space="0" w:color="002776" w:themeColor="accent1"/>
              <w:right w:val="nil"/>
            </w:tcBorders>
            <w:shd w:val="clear" w:color="auto" w:fill="auto"/>
            <w:hideMark/>
          </w:tcPr>
          <w:p w:rsidR="0037117C" w:rsidRPr="00D941D5" w:rsidRDefault="0037117C" w:rsidP="005815D8">
            <w:pPr>
              <w:jc w:val="center"/>
              <w:outlineLvl w:val="0"/>
              <w:rPr>
                <w:rFonts w:asciiTheme="minorHAnsi" w:hAnsiTheme="minorHAnsi"/>
                <w:color w:val="000000"/>
                <w:sz w:val="18"/>
              </w:rPr>
            </w:pPr>
            <w:r w:rsidRPr="0064325C">
              <w:rPr>
                <w:sz w:val="18"/>
                <w:szCs w:val="18"/>
              </w:rPr>
              <w:t>$0.09</w:t>
            </w:r>
          </w:p>
        </w:tc>
        <w:tc>
          <w:tcPr>
            <w:tcW w:w="339" w:type="pct"/>
            <w:tcBorders>
              <w:top w:val="nil"/>
              <w:left w:val="nil"/>
              <w:bottom w:val="single" w:sz="8" w:space="0" w:color="002776" w:themeColor="accent1"/>
              <w:right w:val="nil"/>
            </w:tcBorders>
            <w:shd w:val="clear" w:color="auto" w:fill="auto"/>
            <w:hideMark/>
          </w:tcPr>
          <w:p w:rsidR="0037117C" w:rsidRPr="00D941D5" w:rsidRDefault="0037117C" w:rsidP="005815D8">
            <w:pPr>
              <w:jc w:val="center"/>
              <w:outlineLvl w:val="0"/>
              <w:rPr>
                <w:rFonts w:asciiTheme="minorHAnsi" w:hAnsiTheme="minorHAnsi"/>
                <w:color w:val="000000"/>
                <w:sz w:val="18"/>
              </w:rPr>
            </w:pPr>
            <w:r w:rsidRPr="0064325C">
              <w:rPr>
                <w:sz w:val="18"/>
                <w:szCs w:val="18"/>
              </w:rPr>
              <w:t>$0.14</w:t>
            </w:r>
          </w:p>
        </w:tc>
        <w:tc>
          <w:tcPr>
            <w:tcW w:w="338" w:type="pct"/>
            <w:tcBorders>
              <w:top w:val="nil"/>
              <w:left w:val="nil"/>
              <w:bottom w:val="single" w:sz="8" w:space="0" w:color="002776" w:themeColor="accent1"/>
              <w:right w:val="nil"/>
            </w:tcBorders>
            <w:shd w:val="clear" w:color="auto" w:fill="auto"/>
            <w:hideMark/>
          </w:tcPr>
          <w:p w:rsidR="0037117C" w:rsidRPr="00D941D5" w:rsidRDefault="0037117C" w:rsidP="005815D8">
            <w:pPr>
              <w:jc w:val="center"/>
              <w:outlineLvl w:val="0"/>
              <w:rPr>
                <w:rFonts w:asciiTheme="minorHAnsi" w:hAnsiTheme="minorHAnsi"/>
                <w:color w:val="000000"/>
                <w:sz w:val="18"/>
              </w:rPr>
            </w:pPr>
            <w:r w:rsidRPr="0064325C">
              <w:rPr>
                <w:sz w:val="18"/>
                <w:szCs w:val="18"/>
              </w:rPr>
              <w:t>$0.05</w:t>
            </w:r>
          </w:p>
        </w:tc>
        <w:tc>
          <w:tcPr>
            <w:tcW w:w="339" w:type="pct"/>
            <w:tcBorders>
              <w:top w:val="nil"/>
              <w:left w:val="nil"/>
              <w:bottom w:val="single" w:sz="8" w:space="0" w:color="002776" w:themeColor="accent1"/>
              <w:right w:val="nil"/>
            </w:tcBorders>
            <w:shd w:val="clear" w:color="auto" w:fill="auto"/>
            <w:hideMark/>
          </w:tcPr>
          <w:p w:rsidR="0037117C" w:rsidRPr="00D941D5" w:rsidRDefault="0037117C" w:rsidP="005815D8">
            <w:pPr>
              <w:jc w:val="center"/>
              <w:outlineLvl w:val="0"/>
              <w:rPr>
                <w:rFonts w:asciiTheme="minorHAnsi" w:hAnsiTheme="minorHAnsi"/>
                <w:color w:val="000000"/>
                <w:sz w:val="18"/>
              </w:rPr>
            </w:pPr>
            <w:r w:rsidRPr="0064325C">
              <w:rPr>
                <w:sz w:val="18"/>
                <w:szCs w:val="18"/>
              </w:rPr>
              <w:t>$0.08</w:t>
            </w:r>
          </w:p>
        </w:tc>
        <w:tc>
          <w:tcPr>
            <w:tcW w:w="338" w:type="pct"/>
            <w:tcBorders>
              <w:top w:val="nil"/>
              <w:left w:val="nil"/>
              <w:bottom w:val="single" w:sz="8" w:space="0" w:color="002776" w:themeColor="accent1"/>
              <w:right w:val="nil"/>
            </w:tcBorders>
          </w:tcPr>
          <w:p w:rsidR="0037117C" w:rsidRPr="006E4888" w:rsidRDefault="0037117C" w:rsidP="005815D8">
            <w:pPr>
              <w:jc w:val="center"/>
              <w:outlineLvl w:val="0"/>
              <w:rPr>
                <w:sz w:val="18"/>
                <w:szCs w:val="18"/>
              </w:rPr>
            </w:pPr>
            <w:r w:rsidRPr="0064325C">
              <w:rPr>
                <w:sz w:val="18"/>
                <w:szCs w:val="18"/>
              </w:rPr>
              <w:t>$0.10</w:t>
            </w:r>
          </w:p>
        </w:tc>
        <w:tc>
          <w:tcPr>
            <w:tcW w:w="339" w:type="pct"/>
            <w:tcBorders>
              <w:top w:val="nil"/>
              <w:left w:val="nil"/>
              <w:bottom w:val="single" w:sz="8" w:space="0" w:color="002776" w:themeColor="accent1"/>
              <w:right w:val="nil"/>
            </w:tcBorders>
            <w:shd w:val="clear" w:color="auto" w:fill="auto"/>
            <w:hideMark/>
          </w:tcPr>
          <w:p w:rsidR="0037117C" w:rsidRPr="00CD18A1" w:rsidRDefault="0037117C" w:rsidP="005815D8">
            <w:pPr>
              <w:jc w:val="center"/>
              <w:outlineLvl w:val="0"/>
              <w:rPr>
                <w:rFonts w:asciiTheme="minorHAnsi" w:hAnsiTheme="minorHAnsi"/>
                <w:b/>
                <w:color w:val="002776" w:themeColor="accent1"/>
                <w:sz w:val="18"/>
              </w:rPr>
            </w:pPr>
            <w:r w:rsidRPr="0064325C">
              <w:rPr>
                <w:b/>
                <w:color w:val="002776" w:themeColor="accent1"/>
                <w:sz w:val="18"/>
                <w:szCs w:val="18"/>
              </w:rPr>
              <w:t>$0.12</w:t>
            </w:r>
          </w:p>
        </w:tc>
      </w:tr>
      <w:tr w:rsidR="00022EA7" w:rsidRPr="00F10F95" w:rsidTr="00DA4CA5">
        <w:trPr>
          <w:trHeight w:val="270"/>
        </w:trPr>
        <w:tc>
          <w:tcPr>
            <w:tcW w:w="1615" w:type="pct"/>
            <w:gridSpan w:val="3"/>
            <w:tcBorders>
              <w:top w:val="single" w:sz="8" w:space="0" w:color="002776" w:themeColor="accent1"/>
              <w:left w:val="nil"/>
              <w:bottom w:val="nil"/>
              <w:right w:val="nil"/>
            </w:tcBorders>
            <w:shd w:val="clear" w:color="auto" w:fill="auto"/>
            <w:vAlign w:val="center"/>
          </w:tcPr>
          <w:p w:rsidR="00022EA7" w:rsidRPr="00D13CF9" w:rsidRDefault="00022EA7" w:rsidP="005815D8">
            <w:pPr>
              <w:outlineLvl w:val="0"/>
              <w:rPr>
                <w:color w:val="000000"/>
                <w:sz w:val="18"/>
              </w:rPr>
            </w:pPr>
            <w:r w:rsidRPr="00CD18A1">
              <w:rPr>
                <w:rFonts w:asciiTheme="minorHAnsi" w:hAnsiTheme="minorHAnsi"/>
                <w:b/>
                <w:iCs/>
                <w:color w:val="002776" w:themeColor="accent1"/>
                <w:sz w:val="20"/>
              </w:rPr>
              <w:t>Postgraduate level</w:t>
            </w:r>
          </w:p>
        </w:tc>
        <w:tc>
          <w:tcPr>
            <w:tcW w:w="338" w:type="pct"/>
            <w:tcBorders>
              <w:top w:val="single" w:sz="8" w:space="0" w:color="002776" w:themeColor="accent1"/>
              <w:left w:val="nil"/>
              <w:bottom w:val="nil"/>
              <w:right w:val="nil"/>
            </w:tcBorders>
            <w:shd w:val="clear" w:color="auto" w:fill="auto"/>
            <w:vAlign w:val="center"/>
          </w:tcPr>
          <w:p w:rsidR="00022EA7" w:rsidRPr="00D13CF9" w:rsidRDefault="00022EA7" w:rsidP="005815D8">
            <w:pPr>
              <w:jc w:val="center"/>
              <w:outlineLvl w:val="0"/>
              <w:rPr>
                <w:color w:val="000000"/>
                <w:sz w:val="18"/>
              </w:rPr>
            </w:pPr>
          </w:p>
        </w:tc>
        <w:tc>
          <w:tcPr>
            <w:tcW w:w="339" w:type="pct"/>
            <w:tcBorders>
              <w:top w:val="single" w:sz="8" w:space="0" w:color="002776" w:themeColor="accent1"/>
              <w:left w:val="nil"/>
              <w:bottom w:val="nil"/>
              <w:right w:val="nil"/>
            </w:tcBorders>
            <w:shd w:val="clear" w:color="auto" w:fill="auto"/>
            <w:vAlign w:val="center"/>
          </w:tcPr>
          <w:p w:rsidR="00022EA7" w:rsidRPr="00D13CF9" w:rsidRDefault="00022EA7" w:rsidP="005815D8">
            <w:pPr>
              <w:jc w:val="center"/>
              <w:outlineLvl w:val="0"/>
              <w:rPr>
                <w:color w:val="000000"/>
                <w:sz w:val="18"/>
              </w:rPr>
            </w:pPr>
          </w:p>
        </w:tc>
        <w:tc>
          <w:tcPr>
            <w:tcW w:w="338" w:type="pct"/>
            <w:tcBorders>
              <w:top w:val="single" w:sz="8" w:space="0" w:color="002776" w:themeColor="accent1"/>
              <w:left w:val="nil"/>
              <w:bottom w:val="nil"/>
              <w:right w:val="nil"/>
            </w:tcBorders>
            <w:shd w:val="clear" w:color="auto" w:fill="auto"/>
            <w:vAlign w:val="center"/>
          </w:tcPr>
          <w:p w:rsidR="00022EA7" w:rsidRPr="00D13CF9" w:rsidRDefault="00022EA7" w:rsidP="005815D8">
            <w:pPr>
              <w:jc w:val="center"/>
              <w:outlineLvl w:val="0"/>
              <w:rPr>
                <w:color w:val="000000"/>
                <w:sz w:val="18"/>
              </w:rPr>
            </w:pPr>
          </w:p>
        </w:tc>
        <w:tc>
          <w:tcPr>
            <w:tcW w:w="339" w:type="pct"/>
            <w:tcBorders>
              <w:top w:val="single" w:sz="8" w:space="0" w:color="002776" w:themeColor="accent1"/>
              <w:left w:val="nil"/>
              <w:bottom w:val="nil"/>
              <w:right w:val="nil"/>
            </w:tcBorders>
            <w:shd w:val="clear" w:color="auto" w:fill="auto"/>
            <w:vAlign w:val="center"/>
          </w:tcPr>
          <w:p w:rsidR="00022EA7" w:rsidRPr="00D13CF9" w:rsidRDefault="00022EA7" w:rsidP="005815D8">
            <w:pPr>
              <w:jc w:val="center"/>
              <w:outlineLvl w:val="0"/>
              <w:rPr>
                <w:color w:val="000000"/>
                <w:sz w:val="18"/>
              </w:rPr>
            </w:pPr>
          </w:p>
        </w:tc>
        <w:tc>
          <w:tcPr>
            <w:tcW w:w="338" w:type="pct"/>
            <w:tcBorders>
              <w:top w:val="single" w:sz="8" w:space="0" w:color="002776" w:themeColor="accent1"/>
              <w:left w:val="nil"/>
              <w:bottom w:val="nil"/>
              <w:right w:val="nil"/>
            </w:tcBorders>
            <w:shd w:val="clear" w:color="auto" w:fill="auto"/>
            <w:vAlign w:val="center"/>
          </w:tcPr>
          <w:p w:rsidR="00022EA7" w:rsidRPr="00D13CF9" w:rsidRDefault="00022EA7" w:rsidP="005815D8">
            <w:pPr>
              <w:jc w:val="center"/>
              <w:outlineLvl w:val="0"/>
              <w:rPr>
                <w:color w:val="000000"/>
                <w:sz w:val="18"/>
              </w:rPr>
            </w:pPr>
          </w:p>
        </w:tc>
        <w:tc>
          <w:tcPr>
            <w:tcW w:w="339" w:type="pct"/>
            <w:tcBorders>
              <w:top w:val="single" w:sz="8" w:space="0" w:color="002776" w:themeColor="accent1"/>
              <w:left w:val="nil"/>
              <w:bottom w:val="nil"/>
              <w:right w:val="nil"/>
            </w:tcBorders>
            <w:shd w:val="clear" w:color="auto" w:fill="auto"/>
            <w:vAlign w:val="center"/>
          </w:tcPr>
          <w:p w:rsidR="00022EA7" w:rsidRPr="00D13CF9" w:rsidRDefault="00022EA7" w:rsidP="005815D8">
            <w:pPr>
              <w:jc w:val="center"/>
              <w:outlineLvl w:val="0"/>
              <w:rPr>
                <w:color w:val="000000"/>
                <w:sz w:val="18"/>
              </w:rPr>
            </w:pPr>
          </w:p>
        </w:tc>
        <w:tc>
          <w:tcPr>
            <w:tcW w:w="338" w:type="pct"/>
            <w:tcBorders>
              <w:top w:val="single" w:sz="8" w:space="0" w:color="002776" w:themeColor="accent1"/>
              <w:left w:val="nil"/>
              <w:bottom w:val="nil"/>
              <w:right w:val="nil"/>
            </w:tcBorders>
            <w:shd w:val="clear" w:color="auto" w:fill="auto"/>
            <w:vAlign w:val="center"/>
          </w:tcPr>
          <w:p w:rsidR="00022EA7" w:rsidRPr="00D13CF9" w:rsidRDefault="00022EA7" w:rsidP="005815D8">
            <w:pPr>
              <w:jc w:val="center"/>
              <w:outlineLvl w:val="0"/>
              <w:rPr>
                <w:color w:val="000000"/>
                <w:sz w:val="18"/>
              </w:rPr>
            </w:pPr>
          </w:p>
        </w:tc>
        <w:tc>
          <w:tcPr>
            <w:tcW w:w="339" w:type="pct"/>
            <w:tcBorders>
              <w:top w:val="single" w:sz="8" w:space="0" w:color="002776" w:themeColor="accent1"/>
              <w:left w:val="nil"/>
              <w:bottom w:val="nil"/>
              <w:right w:val="nil"/>
            </w:tcBorders>
            <w:shd w:val="clear" w:color="auto" w:fill="auto"/>
            <w:vAlign w:val="center"/>
          </w:tcPr>
          <w:p w:rsidR="00022EA7" w:rsidRPr="00D13CF9" w:rsidRDefault="00022EA7" w:rsidP="005815D8">
            <w:pPr>
              <w:jc w:val="center"/>
              <w:outlineLvl w:val="0"/>
              <w:rPr>
                <w:color w:val="000000"/>
                <w:sz w:val="18"/>
              </w:rPr>
            </w:pPr>
          </w:p>
        </w:tc>
        <w:tc>
          <w:tcPr>
            <w:tcW w:w="338" w:type="pct"/>
            <w:tcBorders>
              <w:top w:val="single" w:sz="8" w:space="0" w:color="002776" w:themeColor="accent1"/>
              <w:left w:val="nil"/>
              <w:bottom w:val="nil"/>
              <w:right w:val="nil"/>
            </w:tcBorders>
            <w:shd w:val="clear" w:color="auto" w:fill="auto"/>
          </w:tcPr>
          <w:p w:rsidR="00022EA7" w:rsidRPr="00CD18A1" w:rsidRDefault="00022EA7" w:rsidP="005815D8">
            <w:pPr>
              <w:jc w:val="center"/>
              <w:outlineLvl w:val="0"/>
              <w:rPr>
                <w:b/>
                <w:color w:val="002776" w:themeColor="accent1"/>
                <w:sz w:val="18"/>
              </w:rPr>
            </w:pPr>
          </w:p>
        </w:tc>
        <w:tc>
          <w:tcPr>
            <w:tcW w:w="339" w:type="pct"/>
            <w:tcBorders>
              <w:top w:val="single" w:sz="8" w:space="0" w:color="002776" w:themeColor="accent1"/>
              <w:left w:val="nil"/>
              <w:bottom w:val="nil"/>
              <w:right w:val="nil"/>
            </w:tcBorders>
            <w:shd w:val="clear" w:color="auto" w:fill="auto"/>
            <w:vAlign w:val="center"/>
          </w:tcPr>
          <w:p w:rsidR="00022EA7" w:rsidRPr="00CD18A1" w:rsidRDefault="00022EA7" w:rsidP="005815D8">
            <w:pPr>
              <w:jc w:val="center"/>
              <w:outlineLvl w:val="0"/>
              <w:rPr>
                <w:b/>
                <w:color w:val="002776" w:themeColor="accent1"/>
                <w:sz w:val="18"/>
              </w:rPr>
            </w:pPr>
          </w:p>
        </w:tc>
      </w:tr>
      <w:tr w:rsidR="00022EA7" w:rsidRPr="0064325C" w:rsidTr="00DA4CA5">
        <w:trPr>
          <w:trHeight w:val="270"/>
        </w:trPr>
        <w:tc>
          <w:tcPr>
            <w:tcW w:w="1198" w:type="pct"/>
            <w:gridSpan w:val="2"/>
            <w:tcBorders>
              <w:left w:val="nil"/>
              <w:bottom w:val="nil"/>
              <w:right w:val="nil"/>
            </w:tcBorders>
            <w:shd w:val="clear" w:color="auto" w:fill="auto"/>
          </w:tcPr>
          <w:p w:rsidR="00022EA7" w:rsidRPr="0064325C" w:rsidRDefault="00022EA7" w:rsidP="005815D8">
            <w:pPr>
              <w:outlineLvl w:val="0"/>
              <w:rPr>
                <w:rFonts w:asciiTheme="minorHAnsi" w:hAnsiTheme="minorHAnsi"/>
                <w:b/>
                <w:iCs/>
                <w:color w:val="002776" w:themeColor="accent1"/>
                <w:sz w:val="18"/>
              </w:rPr>
            </w:pPr>
            <w:r w:rsidRPr="0064325C">
              <w:rPr>
                <w:sz w:val="18"/>
              </w:rPr>
              <w:t>Sample size (n)</w:t>
            </w:r>
          </w:p>
        </w:tc>
        <w:tc>
          <w:tcPr>
            <w:tcW w:w="417" w:type="pct"/>
            <w:tcBorders>
              <w:left w:val="nil"/>
              <w:bottom w:val="nil"/>
              <w:right w:val="nil"/>
            </w:tcBorders>
            <w:shd w:val="clear" w:color="auto" w:fill="auto"/>
          </w:tcPr>
          <w:p w:rsidR="00022EA7" w:rsidRPr="0064325C" w:rsidRDefault="00022EA7" w:rsidP="005815D8">
            <w:pPr>
              <w:jc w:val="center"/>
              <w:outlineLvl w:val="0"/>
              <w:rPr>
                <w:rFonts w:asciiTheme="minorHAnsi" w:hAnsiTheme="minorHAnsi"/>
                <w:b/>
                <w:iCs/>
                <w:color w:val="002776" w:themeColor="accent1"/>
                <w:sz w:val="18"/>
              </w:rPr>
            </w:pPr>
            <w:r w:rsidRPr="0064325C">
              <w:rPr>
                <w:sz w:val="18"/>
              </w:rPr>
              <w:t>238</w:t>
            </w:r>
          </w:p>
        </w:tc>
        <w:tc>
          <w:tcPr>
            <w:tcW w:w="338" w:type="pct"/>
            <w:tcBorders>
              <w:left w:val="nil"/>
              <w:bottom w:val="nil"/>
              <w:right w:val="nil"/>
            </w:tcBorders>
            <w:shd w:val="clear" w:color="auto" w:fill="auto"/>
          </w:tcPr>
          <w:p w:rsidR="00022EA7" w:rsidRPr="00022EA7" w:rsidRDefault="00022EA7" w:rsidP="005815D8">
            <w:pPr>
              <w:jc w:val="center"/>
              <w:outlineLvl w:val="0"/>
              <w:rPr>
                <w:color w:val="000000"/>
                <w:sz w:val="18"/>
              </w:rPr>
            </w:pPr>
            <w:r w:rsidRPr="0064325C">
              <w:rPr>
                <w:sz w:val="18"/>
              </w:rPr>
              <w:t>759</w:t>
            </w:r>
          </w:p>
        </w:tc>
        <w:tc>
          <w:tcPr>
            <w:tcW w:w="339" w:type="pct"/>
            <w:tcBorders>
              <w:left w:val="nil"/>
              <w:bottom w:val="nil"/>
              <w:right w:val="nil"/>
            </w:tcBorders>
            <w:shd w:val="clear" w:color="auto" w:fill="auto"/>
          </w:tcPr>
          <w:p w:rsidR="00022EA7" w:rsidRPr="00022EA7" w:rsidRDefault="00022EA7" w:rsidP="005815D8">
            <w:pPr>
              <w:jc w:val="center"/>
              <w:outlineLvl w:val="0"/>
              <w:rPr>
                <w:color w:val="000000"/>
                <w:sz w:val="18"/>
              </w:rPr>
            </w:pPr>
            <w:r w:rsidRPr="0064325C">
              <w:rPr>
                <w:sz w:val="18"/>
              </w:rPr>
              <w:t>648</w:t>
            </w:r>
          </w:p>
        </w:tc>
        <w:tc>
          <w:tcPr>
            <w:tcW w:w="338" w:type="pct"/>
            <w:tcBorders>
              <w:left w:val="nil"/>
              <w:bottom w:val="nil"/>
              <w:right w:val="nil"/>
            </w:tcBorders>
            <w:shd w:val="clear" w:color="auto" w:fill="auto"/>
          </w:tcPr>
          <w:p w:rsidR="00022EA7" w:rsidRPr="00022EA7" w:rsidRDefault="00022EA7" w:rsidP="005815D8">
            <w:pPr>
              <w:jc w:val="center"/>
              <w:outlineLvl w:val="0"/>
              <w:rPr>
                <w:color w:val="000000"/>
                <w:sz w:val="18"/>
              </w:rPr>
            </w:pPr>
            <w:r w:rsidRPr="0064325C">
              <w:rPr>
                <w:sz w:val="18"/>
              </w:rPr>
              <w:t>2375</w:t>
            </w:r>
          </w:p>
        </w:tc>
        <w:tc>
          <w:tcPr>
            <w:tcW w:w="339" w:type="pct"/>
            <w:tcBorders>
              <w:left w:val="nil"/>
              <w:bottom w:val="nil"/>
              <w:right w:val="nil"/>
            </w:tcBorders>
            <w:shd w:val="clear" w:color="auto" w:fill="auto"/>
          </w:tcPr>
          <w:p w:rsidR="00022EA7" w:rsidRPr="00022EA7" w:rsidRDefault="00022EA7" w:rsidP="005815D8">
            <w:pPr>
              <w:jc w:val="center"/>
              <w:outlineLvl w:val="0"/>
              <w:rPr>
                <w:color w:val="000000"/>
                <w:sz w:val="18"/>
              </w:rPr>
            </w:pPr>
            <w:r w:rsidRPr="0064325C">
              <w:rPr>
                <w:sz w:val="18"/>
              </w:rPr>
              <w:t>478</w:t>
            </w:r>
          </w:p>
        </w:tc>
        <w:tc>
          <w:tcPr>
            <w:tcW w:w="338" w:type="pct"/>
            <w:tcBorders>
              <w:left w:val="nil"/>
              <w:bottom w:val="nil"/>
              <w:right w:val="nil"/>
            </w:tcBorders>
            <w:shd w:val="clear" w:color="auto" w:fill="auto"/>
          </w:tcPr>
          <w:p w:rsidR="00022EA7" w:rsidRPr="00022EA7" w:rsidRDefault="00022EA7" w:rsidP="005815D8">
            <w:pPr>
              <w:jc w:val="center"/>
              <w:outlineLvl w:val="0"/>
              <w:rPr>
                <w:color w:val="000000"/>
                <w:sz w:val="18"/>
              </w:rPr>
            </w:pPr>
            <w:r w:rsidRPr="0064325C">
              <w:rPr>
                <w:sz w:val="18"/>
              </w:rPr>
              <w:t>2321</w:t>
            </w:r>
          </w:p>
        </w:tc>
        <w:tc>
          <w:tcPr>
            <w:tcW w:w="339" w:type="pct"/>
            <w:tcBorders>
              <w:left w:val="nil"/>
              <w:bottom w:val="nil"/>
              <w:right w:val="nil"/>
            </w:tcBorders>
            <w:shd w:val="clear" w:color="auto" w:fill="auto"/>
          </w:tcPr>
          <w:p w:rsidR="00022EA7" w:rsidRPr="00022EA7" w:rsidRDefault="00022EA7" w:rsidP="005815D8">
            <w:pPr>
              <w:jc w:val="center"/>
              <w:outlineLvl w:val="0"/>
              <w:rPr>
                <w:color w:val="000000"/>
                <w:sz w:val="18"/>
              </w:rPr>
            </w:pPr>
            <w:r w:rsidRPr="0064325C">
              <w:rPr>
                <w:sz w:val="18"/>
              </w:rPr>
              <w:t>364</w:t>
            </w:r>
          </w:p>
        </w:tc>
        <w:tc>
          <w:tcPr>
            <w:tcW w:w="338" w:type="pct"/>
            <w:tcBorders>
              <w:left w:val="nil"/>
              <w:bottom w:val="nil"/>
              <w:right w:val="nil"/>
            </w:tcBorders>
            <w:shd w:val="clear" w:color="auto" w:fill="auto"/>
          </w:tcPr>
          <w:p w:rsidR="00022EA7" w:rsidRPr="00022EA7" w:rsidRDefault="00022EA7" w:rsidP="005815D8">
            <w:pPr>
              <w:jc w:val="center"/>
              <w:outlineLvl w:val="0"/>
              <w:rPr>
                <w:color w:val="000000"/>
                <w:sz w:val="18"/>
              </w:rPr>
            </w:pPr>
            <w:r w:rsidRPr="0064325C">
              <w:rPr>
                <w:sz w:val="18"/>
              </w:rPr>
              <w:t>1372</w:t>
            </w:r>
          </w:p>
        </w:tc>
        <w:tc>
          <w:tcPr>
            <w:tcW w:w="339" w:type="pct"/>
            <w:tcBorders>
              <w:left w:val="nil"/>
              <w:bottom w:val="nil"/>
              <w:right w:val="nil"/>
            </w:tcBorders>
            <w:shd w:val="clear" w:color="auto" w:fill="auto"/>
          </w:tcPr>
          <w:p w:rsidR="00022EA7" w:rsidRPr="00022EA7" w:rsidRDefault="00022EA7" w:rsidP="005815D8">
            <w:pPr>
              <w:jc w:val="center"/>
              <w:outlineLvl w:val="0"/>
              <w:rPr>
                <w:color w:val="000000"/>
                <w:sz w:val="18"/>
              </w:rPr>
            </w:pPr>
            <w:r w:rsidRPr="0064325C">
              <w:rPr>
                <w:sz w:val="18"/>
              </w:rPr>
              <w:t>657</w:t>
            </w:r>
          </w:p>
        </w:tc>
        <w:tc>
          <w:tcPr>
            <w:tcW w:w="338" w:type="pct"/>
            <w:tcBorders>
              <w:left w:val="nil"/>
              <w:bottom w:val="nil"/>
              <w:right w:val="nil"/>
            </w:tcBorders>
            <w:shd w:val="clear" w:color="auto" w:fill="auto"/>
          </w:tcPr>
          <w:p w:rsidR="00022EA7" w:rsidRPr="00022EA7" w:rsidRDefault="00022EA7" w:rsidP="005815D8">
            <w:pPr>
              <w:jc w:val="center"/>
              <w:outlineLvl w:val="0"/>
              <w:rPr>
                <w:b/>
                <w:color w:val="002776" w:themeColor="accent1"/>
                <w:sz w:val="18"/>
              </w:rPr>
            </w:pPr>
            <w:r w:rsidRPr="0064325C">
              <w:rPr>
                <w:sz w:val="18"/>
              </w:rPr>
              <w:t>515</w:t>
            </w:r>
          </w:p>
        </w:tc>
        <w:tc>
          <w:tcPr>
            <w:tcW w:w="339" w:type="pct"/>
            <w:tcBorders>
              <w:left w:val="nil"/>
              <w:bottom w:val="nil"/>
              <w:right w:val="nil"/>
            </w:tcBorders>
            <w:shd w:val="clear" w:color="auto" w:fill="auto"/>
          </w:tcPr>
          <w:p w:rsidR="00022EA7" w:rsidRPr="00022EA7" w:rsidRDefault="00022EA7" w:rsidP="005815D8">
            <w:pPr>
              <w:jc w:val="center"/>
              <w:outlineLvl w:val="0"/>
              <w:rPr>
                <w:b/>
                <w:color w:val="002776" w:themeColor="accent1"/>
                <w:sz w:val="18"/>
              </w:rPr>
            </w:pPr>
            <w:r w:rsidRPr="0064325C">
              <w:rPr>
                <w:sz w:val="18"/>
              </w:rPr>
              <w:t>9727</w:t>
            </w:r>
          </w:p>
        </w:tc>
      </w:tr>
      <w:tr w:rsidR="00022EA7" w:rsidRPr="00444981" w:rsidTr="00DA4CA5">
        <w:trPr>
          <w:trHeight w:val="285"/>
        </w:trPr>
        <w:tc>
          <w:tcPr>
            <w:tcW w:w="1615" w:type="pct"/>
            <w:gridSpan w:val="3"/>
            <w:tcBorders>
              <w:top w:val="nil"/>
              <w:left w:val="nil"/>
              <w:bottom w:val="nil"/>
              <w:right w:val="nil"/>
            </w:tcBorders>
            <w:shd w:val="clear" w:color="auto" w:fill="auto"/>
            <w:noWrap/>
            <w:hideMark/>
          </w:tcPr>
          <w:p w:rsidR="00022EA7" w:rsidRPr="00DA4CA5" w:rsidRDefault="00022EA7" w:rsidP="005815D8">
            <w:pPr>
              <w:outlineLvl w:val="0"/>
              <w:rPr>
                <w:rFonts w:asciiTheme="minorHAnsi" w:hAnsiTheme="minorHAnsi"/>
                <w:bCs/>
                <w:i/>
                <w:sz w:val="20"/>
              </w:rPr>
            </w:pPr>
            <w:r w:rsidRPr="00DA4CA5">
              <w:rPr>
                <w:rFonts w:asciiTheme="minorHAnsi" w:hAnsiTheme="minorHAnsi"/>
                <w:bCs/>
                <w:i/>
                <w:sz w:val="20"/>
              </w:rPr>
              <w:t>Percentage premium</w:t>
            </w:r>
          </w:p>
        </w:tc>
        <w:tc>
          <w:tcPr>
            <w:tcW w:w="338"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9"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8"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9"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8"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9"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8"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9"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c>
          <w:tcPr>
            <w:tcW w:w="338" w:type="pct"/>
            <w:tcBorders>
              <w:top w:val="nil"/>
              <w:left w:val="nil"/>
              <w:bottom w:val="nil"/>
              <w:right w:val="nil"/>
            </w:tcBorders>
            <w:shd w:val="clear" w:color="auto" w:fill="auto"/>
          </w:tcPr>
          <w:p w:rsidR="00022EA7" w:rsidRPr="00DA4CA5" w:rsidRDefault="00022EA7" w:rsidP="005815D8">
            <w:pPr>
              <w:outlineLvl w:val="0"/>
              <w:rPr>
                <w:rFonts w:asciiTheme="minorHAnsi" w:hAnsiTheme="minorHAnsi"/>
                <w:bCs/>
                <w:sz w:val="20"/>
              </w:rPr>
            </w:pPr>
          </w:p>
        </w:tc>
        <w:tc>
          <w:tcPr>
            <w:tcW w:w="339" w:type="pct"/>
            <w:tcBorders>
              <w:top w:val="nil"/>
              <w:left w:val="nil"/>
              <w:bottom w:val="nil"/>
              <w:right w:val="nil"/>
            </w:tcBorders>
            <w:shd w:val="clear" w:color="auto" w:fill="auto"/>
            <w:vAlign w:val="center"/>
            <w:hideMark/>
          </w:tcPr>
          <w:p w:rsidR="00022EA7" w:rsidRPr="00DA4CA5" w:rsidRDefault="00022EA7" w:rsidP="005815D8">
            <w:pPr>
              <w:outlineLvl w:val="0"/>
              <w:rPr>
                <w:rFonts w:asciiTheme="minorHAnsi" w:hAnsiTheme="minorHAnsi"/>
                <w:bCs/>
                <w:sz w:val="20"/>
              </w:rPr>
            </w:pPr>
          </w:p>
        </w:tc>
      </w:tr>
      <w:tr w:rsidR="00022EA7" w:rsidRPr="00444981" w:rsidTr="00DA4CA5">
        <w:trPr>
          <w:trHeight w:val="255"/>
        </w:trPr>
        <w:tc>
          <w:tcPr>
            <w:tcW w:w="1187" w:type="pct"/>
            <w:tcBorders>
              <w:top w:val="nil"/>
              <w:left w:val="nil"/>
              <w:bottom w:val="nil"/>
              <w:right w:val="nil"/>
            </w:tcBorders>
            <w:shd w:val="clear" w:color="auto" w:fill="auto"/>
            <w:vAlign w:val="center"/>
            <w:hideMark/>
          </w:tcPr>
          <w:p w:rsidR="00022EA7" w:rsidRPr="00444981" w:rsidRDefault="00022EA7" w:rsidP="005815D8">
            <w:pPr>
              <w:ind w:left="108"/>
              <w:jc w:val="both"/>
              <w:outlineLvl w:val="0"/>
              <w:rPr>
                <w:rFonts w:asciiTheme="minorHAnsi" w:hAnsiTheme="minorHAnsi"/>
                <w:i/>
                <w:iCs/>
                <w:color w:val="000000"/>
                <w:sz w:val="20"/>
              </w:rPr>
            </w:pPr>
            <w:r w:rsidRPr="00444981">
              <w:rPr>
                <w:rFonts w:asciiTheme="minorHAnsi" w:hAnsiTheme="minorHAnsi"/>
                <w:i/>
                <w:iCs/>
                <w:color w:val="000000"/>
                <w:sz w:val="20"/>
              </w:rPr>
              <w:t>Undiscounted</w:t>
            </w:r>
          </w:p>
        </w:tc>
        <w:tc>
          <w:tcPr>
            <w:tcW w:w="428" w:type="pct"/>
            <w:gridSpan w:val="2"/>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102%</w:t>
            </w:r>
          </w:p>
        </w:tc>
        <w:tc>
          <w:tcPr>
            <w:tcW w:w="338"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129%</w:t>
            </w:r>
          </w:p>
        </w:tc>
        <w:tc>
          <w:tcPr>
            <w:tcW w:w="339"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104%</w:t>
            </w:r>
          </w:p>
        </w:tc>
        <w:tc>
          <w:tcPr>
            <w:tcW w:w="338"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56%</w:t>
            </w:r>
          </w:p>
        </w:tc>
        <w:tc>
          <w:tcPr>
            <w:tcW w:w="339"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54%</w:t>
            </w:r>
          </w:p>
        </w:tc>
        <w:tc>
          <w:tcPr>
            <w:tcW w:w="338"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48%</w:t>
            </w:r>
          </w:p>
        </w:tc>
        <w:tc>
          <w:tcPr>
            <w:tcW w:w="339"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77%</w:t>
            </w:r>
          </w:p>
        </w:tc>
        <w:tc>
          <w:tcPr>
            <w:tcW w:w="338"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28%</w:t>
            </w:r>
          </w:p>
        </w:tc>
        <w:tc>
          <w:tcPr>
            <w:tcW w:w="339"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49%</w:t>
            </w:r>
          </w:p>
        </w:tc>
        <w:tc>
          <w:tcPr>
            <w:tcW w:w="338" w:type="pct"/>
            <w:tcBorders>
              <w:top w:val="nil"/>
              <w:left w:val="nil"/>
              <w:bottom w:val="nil"/>
              <w:right w:val="nil"/>
            </w:tcBorders>
            <w:vAlign w:val="center"/>
          </w:tcPr>
          <w:p w:rsidR="00022EA7" w:rsidRPr="006E4888" w:rsidRDefault="00022EA7" w:rsidP="005815D8">
            <w:pPr>
              <w:jc w:val="center"/>
              <w:outlineLvl w:val="0"/>
              <w:rPr>
                <w:rFonts w:eastAsia="Arial" w:cs="Arial"/>
                <w:bCs/>
                <w:color w:val="000000"/>
                <w:kern w:val="24"/>
                <w:sz w:val="18"/>
                <w:szCs w:val="18"/>
              </w:rPr>
            </w:pPr>
            <w:r w:rsidRPr="0064325C">
              <w:rPr>
                <w:rFonts w:eastAsia="Arial" w:cs="Arial"/>
                <w:bCs/>
                <w:color w:val="000000"/>
                <w:kern w:val="24"/>
                <w:sz w:val="18"/>
                <w:szCs w:val="18"/>
              </w:rPr>
              <w:t>51%</w:t>
            </w:r>
          </w:p>
        </w:tc>
        <w:tc>
          <w:tcPr>
            <w:tcW w:w="339" w:type="pct"/>
            <w:tcBorders>
              <w:top w:val="nil"/>
              <w:left w:val="nil"/>
              <w:bottom w:val="nil"/>
              <w:right w:val="nil"/>
            </w:tcBorders>
            <w:shd w:val="clear" w:color="auto" w:fill="auto"/>
            <w:vAlign w:val="center"/>
            <w:hideMark/>
          </w:tcPr>
          <w:p w:rsidR="00022EA7" w:rsidRPr="00CD18A1" w:rsidRDefault="00022EA7" w:rsidP="005815D8">
            <w:pPr>
              <w:jc w:val="center"/>
              <w:outlineLvl w:val="0"/>
              <w:rPr>
                <w:rFonts w:asciiTheme="minorHAnsi" w:hAnsiTheme="minorHAnsi"/>
                <w:b/>
                <w:color w:val="002776" w:themeColor="accent1"/>
                <w:sz w:val="18"/>
              </w:rPr>
            </w:pPr>
            <w:r w:rsidRPr="0064325C">
              <w:rPr>
                <w:rFonts w:eastAsia="Arial" w:cs="Arial"/>
                <w:b/>
                <w:bCs/>
                <w:color w:val="002776" w:themeColor="accent1"/>
                <w:kern w:val="24"/>
                <w:sz w:val="18"/>
                <w:szCs w:val="18"/>
              </w:rPr>
              <w:t>67%</w:t>
            </w:r>
          </w:p>
        </w:tc>
      </w:tr>
      <w:tr w:rsidR="00022EA7" w:rsidRPr="00444981" w:rsidTr="00DA4CA5">
        <w:trPr>
          <w:trHeight w:val="255"/>
        </w:trPr>
        <w:tc>
          <w:tcPr>
            <w:tcW w:w="1187" w:type="pct"/>
            <w:tcBorders>
              <w:top w:val="nil"/>
              <w:left w:val="nil"/>
              <w:bottom w:val="single" w:sz="4" w:space="0" w:color="002776" w:themeColor="accent1"/>
              <w:right w:val="nil"/>
            </w:tcBorders>
            <w:shd w:val="clear" w:color="auto" w:fill="auto"/>
            <w:noWrap/>
            <w:vAlign w:val="bottom"/>
            <w:hideMark/>
          </w:tcPr>
          <w:p w:rsidR="00022EA7" w:rsidRPr="00444981" w:rsidRDefault="00022EA7" w:rsidP="005815D8">
            <w:pPr>
              <w:ind w:left="108"/>
              <w:outlineLvl w:val="0"/>
              <w:rPr>
                <w:rFonts w:asciiTheme="minorHAnsi" w:hAnsiTheme="minorHAnsi"/>
                <w:i/>
                <w:iCs/>
                <w:color w:val="000000"/>
                <w:sz w:val="20"/>
              </w:rPr>
            </w:pPr>
            <w:r w:rsidRPr="00444981">
              <w:rPr>
                <w:rFonts w:asciiTheme="minorHAnsi" w:hAnsiTheme="minorHAnsi"/>
                <w:i/>
                <w:iCs/>
                <w:color w:val="000000"/>
                <w:sz w:val="20"/>
              </w:rPr>
              <w:t>Discounted NPV</w:t>
            </w:r>
          </w:p>
        </w:tc>
        <w:tc>
          <w:tcPr>
            <w:tcW w:w="428" w:type="pct"/>
            <w:gridSpan w:val="2"/>
            <w:tcBorders>
              <w:top w:val="nil"/>
              <w:left w:val="nil"/>
              <w:bottom w:val="single" w:sz="4" w:space="0" w:color="002776" w:themeColor="accent1"/>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59%</w:t>
            </w:r>
          </w:p>
        </w:tc>
        <w:tc>
          <w:tcPr>
            <w:tcW w:w="338" w:type="pct"/>
            <w:tcBorders>
              <w:top w:val="nil"/>
              <w:left w:val="nil"/>
              <w:bottom w:val="single" w:sz="4" w:space="0" w:color="002776" w:themeColor="accent1"/>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color w:val="000000"/>
                <w:kern w:val="24"/>
                <w:sz w:val="18"/>
                <w:szCs w:val="18"/>
              </w:rPr>
              <w:t>109%</w:t>
            </w:r>
          </w:p>
        </w:tc>
        <w:tc>
          <w:tcPr>
            <w:tcW w:w="339" w:type="pct"/>
            <w:tcBorders>
              <w:top w:val="nil"/>
              <w:left w:val="nil"/>
              <w:bottom w:val="single" w:sz="4" w:space="0" w:color="002776" w:themeColor="accent1"/>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color w:val="000000"/>
                <w:kern w:val="24"/>
                <w:sz w:val="18"/>
                <w:szCs w:val="18"/>
              </w:rPr>
              <w:t>74%</w:t>
            </w:r>
          </w:p>
        </w:tc>
        <w:tc>
          <w:tcPr>
            <w:tcW w:w="338" w:type="pct"/>
            <w:tcBorders>
              <w:top w:val="nil"/>
              <w:left w:val="nil"/>
              <w:bottom w:val="single" w:sz="4" w:space="0" w:color="002776" w:themeColor="accent1"/>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color w:val="000000"/>
                <w:kern w:val="24"/>
                <w:sz w:val="18"/>
                <w:szCs w:val="18"/>
              </w:rPr>
              <w:t>37%</w:t>
            </w:r>
          </w:p>
        </w:tc>
        <w:tc>
          <w:tcPr>
            <w:tcW w:w="339" w:type="pct"/>
            <w:tcBorders>
              <w:top w:val="nil"/>
              <w:left w:val="nil"/>
              <w:bottom w:val="single" w:sz="4" w:space="0" w:color="002776" w:themeColor="accent1"/>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color w:val="000000"/>
                <w:kern w:val="24"/>
                <w:sz w:val="18"/>
                <w:szCs w:val="18"/>
              </w:rPr>
              <w:t>35%</w:t>
            </w:r>
          </w:p>
        </w:tc>
        <w:tc>
          <w:tcPr>
            <w:tcW w:w="338" w:type="pct"/>
            <w:tcBorders>
              <w:top w:val="nil"/>
              <w:left w:val="nil"/>
              <w:bottom w:val="single" w:sz="4" w:space="0" w:color="002776" w:themeColor="accent1"/>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color w:val="000000"/>
                <w:kern w:val="24"/>
                <w:sz w:val="18"/>
                <w:szCs w:val="18"/>
              </w:rPr>
              <w:t>30%</w:t>
            </w:r>
          </w:p>
        </w:tc>
        <w:tc>
          <w:tcPr>
            <w:tcW w:w="339" w:type="pct"/>
            <w:tcBorders>
              <w:top w:val="nil"/>
              <w:left w:val="nil"/>
              <w:bottom w:val="single" w:sz="4" w:space="0" w:color="002776" w:themeColor="accent1"/>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color w:val="000000"/>
                <w:kern w:val="24"/>
                <w:sz w:val="18"/>
                <w:szCs w:val="18"/>
              </w:rPr>
              <w:t>61%</w:t>
            </w:r>
          </w:p>
        </w:tc>
        <w:tc>
          <w:tcPr>
            <w:tcW w:w="338" w:type="pct"/>
            <w:tcBorders>
              <w:top w:val="nil"/>
              <w:left w:val="nil"/>
              <w:bottom w:val="single" w:sz="4" w:space="0" w:color="002776" w:themeColor="accent1"/>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color w:val="000000"/>
                <w:kern w:val="24"/>
                <w:sz w:val="18"/>
                <w:szCs w:val="18"/>
              </w:rPr>
              <w:t>16%</w:t>
            </w:r>
          </w:p>
        </w:tc>
        <w:tc>
          <w:tcPr>
            <w:tcW w:w="339" w:type="pct"/>
            <w:tcBorders>
              <w:top w:val="nil"/>
              <w:left w:val="nil"/>
              <w:bottom w:val="single" w:sz="4" w:space="0" w:color="002776" w:themeColor="accent1"/>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color w:val="000000"/>
                <w:kern w:val="24"/>
                <w:sz w:val="18"/>
                <w:szCs w:val="18"/>
              </w:rPr>
              <w:t>28%</w:t>
            </w:r>
          </w:p>
        </w:tc>
        <w:tc>
          <w:tcPr>
            <w:tcW w:w="338" w:type="pct"/>
            <w:tcBorders>
              <w:top w:val="nil"/>
              <w:left w:val="nil"/>
              <w:bottom w:val="single" w:sz="4" w:space="0" w:color="002776" w:themeColor="accent1"/>
              <w:right w:val="nil"/>
            </w:tcBorders>
            <w:vAlign w:val="center"/>
          </w:tcPr>
          <w:p w:rsidR="00022EA7" w:rsidRPr="006E4888" w:rsidRDefault="00022EA7" w:rsidP="005815D8">
            <w:pPr>
              <w:jc w:val="center"/>
              <w:outlineLvl w:val="0"/>
              <w:rPr>
                <w:rFonts w:eastAsia="Arial" w:cs="Arial"/>
                <w:color w:val="000000"/>
                <w:kern w:val="24"/>
                <w:sz w:val="18"/>
                <w:szCs w:val="18"/>
              </w:rPr>
            </w:pPr>
            <w:r w:rsidRPr="0064325C">
              <w:rPr>
                <w:rFonts w:eastAsia="Arial" w:cs="Arial"/>
                <w:color w:val="000000"/>
                <w:kern w:val="24"/>
                <w:sz w:val="18"/>
                <w:szCs w:val="18"/>
              </w:rPr>
              <w:t>32%</w:t>
            </w:r>
          </w:p>
        </w:tc>
        <w:tc>
          <w:tcPr>
            <w:tcW w:w="339" w:type="pct"/>
            <w:tcBorders>
              <w:top w:val="nil"/>
              <w:left w:val="nil"/>
              <w:bottom w:val="single" w:sz="4" w:space="0" w:color="002776" w:themeColor="accent1"/>
              <w:right w:val="nil"/>
            </w:tcBorders>
            <w:shd w:val="clear" w:color="auto" w:fill="auto"/>
            <w:vAlign w:val="center"/>
            <w:hideMark/>
          </w:tcPr>
          <w:p w:rsidR="00022EA7" w:rsidRPr="00CD18A1" w:rsidRDefault="00022EA7" w:rsidP="005815D8">
            <w:pPr>
              <w:jc w:val="center"/>
              <w:outlineLvl w:val="0"/>
              <w:rPr>
                <w:rFonts w:asciiTheme="minorHAnsi" w:hAnsiTheme="minorHAnsi"/>
                <w:b/>
                <w:color w:val="002776" w:themeColor="accent1"/>
                <w:sz w:val="18"/>
              </w:rPr>
            </w:pPr>
            <w:r w:rsidRPr="0064325C">
              <w:rPr>
                <w:rFonts w:eastAsia="Arial" w:cs="Arial"/>
                <w:b/>
                <w:bCs/>
                <w:color w:val="002776" w:themeColor="accent1"/>
                <w:kern w:val="24"/>
                <w:sz w:val="18"/>
                <w:szCs w:val="18"/>
              </w:rPr>
              <w:t>46%</w:t>
            </w:r>
          </w:p>
        </w:tc>
      </w:tr>
      <w:tr w:rsidR="00022EA7" w:rsidRPr="00444981" w:rsidTr="00DA4CA5">
        <w:trPr>
          <w:trHeight w:val="255"/>
        </w:trPr>
        <w:tc>
          <w:tcPr>
            <w:tcW w:w="1615" w:type="pct"/>
            <w:gridSpan w:val="3"/>
            <w:tcBorders>
              <w:top w:val="single" w:sz="4" w:space="0" w:color="002776" w:themeColor="accent1"/>
              <w:left w:val="nil"/>
              <w:bottom w:val="nil"/>
              <w:right w:val="nil"/>
            </w:tcBorders>
            <w:shd w:val="clear" w:color="auto" w:fill="auto"/>
            <w:noWrap/>
            <w:hideMark/>
          </w:tcPr>
          <w:p w:rsidR="00022EA7" w:rsidRPr="00CD18A1" w:rsidRDefault="00022EA7" w:rsidP="005815D8">
            <w:pPr>
              <w:outlineLvl w:val="0"/>
              <w:rPr>
                <w:rFonts w:asciiTheme="minorHAnsi" w:hAnsiTheme="minorHAnsi"/>
                <w:bCs/>
                <w:i/>
                <w:color w:val="000000"/>
                <w:sz w:val="20"/>
              </w:rPr>
            </w:pPr>
            <w:r w:rsidRPr="00CD18A1">
              <w:rPr>
                <w:rFonts w:asciiTheme="minorHAnsi" w:hAnsiTheme="minorHAnsi"/>
                <w:bCs/>
                <w:i/>
                <w:color w:val="000000"/>
                <w:sz w:val="20"/>
              </w:rPr>
              <w:t>Dollar premium ($ million)</w:t>
            </w:r>
          </w:p>
        </w:tc>
        <w:tc>
          <w:tcPr>
            <w:tcW w:w="338"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9"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8"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9"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8"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9"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8"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9" w:type="pct"/>
            <w:tcBorders>
              <w:top w:val="single" w:sz="4" w:space="0" w:color="002776" w:themeColor="accent1"/>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20"/>
              </w:rPr>
            </w:pPr>
          </w:p>
        </w:tc>
        <w:tc>
          <w:tcPr>
            <w:tcW w:w="338" w:type="pct"/>
            <w:tcBorders>
              <w:top w:val="single" w:sz="4" w:space="0" w:color="002776" w:themeColor="accent1"/>
              <w:left w:val="nil"/>
              <w:bottom w:val="nil"/>
              <w:right w:val="nil"/>
            </w:tcBorders>
            <w:shd w:val="clear" w:color="auto" w:fill="auto"/>
          </w:tcPr>
          <w:p w:rsidR="00022EA7" w:rsidRPr="00CD18A1" w:rsidRDefault="00022EA7" w:rsidP="005815D8">
            <w:pPr>
              <w:jc w:val="center"/>
              <w:outlineLvl w:val="0"/>
              <w:rPr>
                <w:rFonts w:asciiTheme="minorHAnsi" w:hAnsiTheme="minorHAnsi"/>
                <w:b/>
                <w:color w:val="002776" w:themeColor="accent1"/>
                <w:sz w:val="20"/>
              </w:rPr>
            </w:pPr>
          </w:p>
        </w:tc>
        <w:tc>
          <w:tcPr>
            <w:tcW w:w="339" w:type="pct"/>
            <w:tcBorders>
              <w:top w:val="single" w:sz="4" w:space="0" w:color="002776" w:themeColor="accent1"/>
              <w:left w:val="nil"/>
              <w:bottom w:val="nil"/>
              <w:right w:val="nil"/>
            </w:tcBorders>
            <w:shd w:val="clear" w:color="auto" w:fill="auto"/>
            <w:vAlign w:val="center"/>
            <w:hideMark/>
          </w:tcPr>
          <w:p w:rsidR="00022EA7" w:rsidRPr="0083778F" w:rsidRDefault="00022EA7" w:rsidP="005815D8">
            <w:pPr>
              <w:jc w:val="center"/>
              <w:outlineLvl w:val="0"/>
              <w:rPr>
                <w:rFonts w:asciiTheme="minorHAnsi" w:hAnsiTheme="minorHAnsi"/>
                <w:b/>
                <w:color w:val="002776" w:themeColor="accent1"/>
                <w:sz w:val="20"/>
              </w:rPr>
            </w:pPr>
          </w:p>
        </w:tc>
      </w:tr>
      <w:tr w:rsidR="00022EA7" w:rsidRPr="00444981" w:rsidTr="00DA4CA5">
        <w:trPr>
          <w:trHeight w:val="255"/>
        </w:trPr>
        <w:tc>
          <w:tcPr>
            <w:tcW w:w="1187" w:type="pct"/>
            <w:tcBorders>
              <w:top w:val="nil"/>
              <w:left w:val="nil"/>
              <w:bottom w:val="nil"/>
              <w:right w:val="nil"/>
            </w:tcBorders>
            <w:shd w:val="clear" w:color="auto" w:fill="auto"/>
            <w:vAlign w:val="center"/>
            <w:hideMark/>
          </w:tcPr>
          <w:p w:rsidR="00022EA7" w:rsidRPr="00444981" w:rsidRDefault="00022EA7" w:rsidP="005815D8">
            <w:pPr>
              <w:ind w:firstLine="108"/>
              <w:jc w:val="both"/>
              <w:outlineLvl w:val="0"/>
              <w:rPr>
                <w:rFonts w:asciiTheme="minorHAnsi" w:hAnsiTheme="minorHAnsi"/>
                <w:i/>
                <w:iCs/>
                <w:color w:val="000000"/>
                <w:sz w:val="20"/>
              </w:rPr>
            </w:pPr>
            <w:r w:rsidRPr="00444981">
              <w:rPr>
                <w:rFonts w:asciiTheme="minorHAnsi" w:hAnsiTheme="minorHAnsi"/>
                <w:i/>
                <w:iCs/>
                <w:color w:val="000000"/>
                <w:sz w:val="20"/>
              </w:rPr>
              <w:t>Undiscounted</w:t>
            </w:r>
          </w:p>
        </w:tc>
        <w:tc>
          <w:tcPr>
            <w:tcW w:w="428" w:type="pct"/>
            <w:gridSpan w:val="2"/>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$1.01</w:t>
            </w:r>
          </w:p>
        </w:tc>
        <w:tc>
          <w:tcPr>
            <w:tcW w:w="338"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$1.28</w:t>
            </w:r>
          </w:p>
        </w:tc>
        <w:tc>
          <w:tcPr>
            <w:tcW w:w="339"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$1.03</w:t>
            </w:r>
          </w:p>
        </w:tc>
        <w:tc>
          <w:tcPr>
            <w:tcW w:w="338"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$0.56</w:t>
            </w:r>
          </w:p>
        </w:tc>
        <w:tc>
          <w:tcPr>
            <w:tcW w:w="339"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$0.53</w:t>
            </w:r>
          </w:p>
        </w:tc>
        <w:tc>
          <w:tcPr>
            <w:tcW w:w="338"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$0.47</w:t>
            </w:r>
          </w:p>
        </w:tc>
        <w:tc>
          <w:tcPr>
            <w:tcW w:w="339"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$0.77</w:t>
            </w:r>
          </w:p>
        </w:tc>
        <w:tc>
          <w:tcPr>
            <w:tcW w:w="338"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$0.28</w:t>
            </w:r>
          </w:p>
        </w:tc>
        <w:tc>
          <w:tcPr>
            <w:tcW w:w="339" w:type="pct"/>
            <w:tcBorders>
              <w:top w:val="nil"/>
              <w:left w:val="nil"/>
              <w:bottom w:val="nil"/>
              <w:right w:val="nil"/>
            </w:tcBorders>
            <w:shd w:val="clear" w:color="auto" w:fill="auto"/>
            <w:vAlign w:val="center"/>
            <w:hideMark/>
          </w:tcPr>
          <w:p w:rsidR="00022EA7" w:rsidRPr="00444981" w:rsidRDefault="00022EA7" w:rsidP="005815D8">
            <w:pPr>
              <w:jc w:val="center"/>
              <w:outlineLvl w:val="0"/>
              <w:rPr>
                <w:rFonts w:asciiTheme="minorHAnsi" w:hAnsiTheme="minorHAnsi"/>
                <w:color w:val="000000"/>
                <w:sz w:val="18"/>
              </w:rPr>
            </w:pPr>
            <w:r w:rsidRPr="0064325C">
              <w:rPr>
                <w:rFonts w:eastAsia="Arial" w:cs="Arial"/>
                <w:bCs/>
                <w:color w:val="000000"/>
                <w:kern w:val="24"/>
                <w:sz w:val="18"/>
                <w:szCs w:val="18"/>
              </w:rPr>
              <w:t>$0.49</w:t>
            </w:r>
          </w:p>
        </w:tc>
        <w:tc>
          <w:tcPr>
            <w:tcW w:w="338" w:type="pct"/>
            <w:tcBorders>
              <w:top w:val="nil"/>
              <w:left w:val="nil"/>
              <w:bottom w:val="nil"/>
              <w:right w:val="nil"/>
            </w:tcBorders>
            <w:vAlign w:val="center"/>
          </w:tcPr>
          <w:p w:rsidR="00022EA7" w:rsidRPr="006E4888" w:rsidRDefault="00022EA7" w:rsidP="005815D8">
            <w:pPr>
              <w:jc w:val="center"/>
              <w:outlineLvl w:val="0"/>
              <w:rPr>
                <w:rFonts w:eastAsia="Arial" w:cs="Arial"/>
                <w:bCs/>
                <w:color w:val="000000"/>
                <w:kern w:val="24"/>
                <w:sz w:val="18"/>
                <w:szCs w:val="18"/>
              </w:rPr>
            </w:pPr>
            <w:r w:rsidRPr="0064325C">
              <w:rPr>
                <w:rFonts w:eastAsia="Arial" w:cs="Arial"/>
                <w:bCs/>
                <w:color w:val="000000"/>
                <w:kern w:val="24"/>
                <w:sz w:val="18"/>
                <w:szCs w:val="18"/>
              </w:rPr>
              <w:t>$0.51</w:t>
            </w:r>
          </w:p>
        </w:tc>
        <w:tc>
          <w:tcPr>
            <w:tcW w:w="339" w:type="pct"/>
            <w:tcBorders>
              <w:top w:val="nil"/>
              <w:left w:val="nil"/>
              <w:bottom w:val="nil"/>
              <w:right w:val="nil"/>
            </w:tcBorders>
            <w:shd w:val="clear" w:color="auto" w:fill="auto"/>
            <w:vAlign w:val="center"/>
            <w:hideMark/>
          </w:tcPr>
          <w:p w:rsidR="00022EA7" w:rsidRPr="00CD18A1" w:rsidRDefault="00022EA7" w:rsidP="005815D8">
            <w:pPr>
              <w:jc w:val="center"/>
              <w:outlineLvl w:val="0"/>
              <w:rPr>
                <w:rFonts w:asciiTheme="minorHAnsi" w:hAnsiTheme="minorHAnsi"/>
                <w:b/>
                <w:color w:val="002776" w:themeColor="accent1"/>
                <w:sz w:val="18"/>
              </w:rPr>
            </w:pPr>
            <w:r w:rsidRPr="0064325C">
              <w:rPr>
                <w:rFonts w:eastAsia="Arial" w:cs="Arial"/>
                <w:b/>
                <w:bCs/>
                <w:color w:val="002776" w:themeColor="accent1"/>
                <w:kern w:val="24"/>
                <w:sz w:val="18"/>
                <w:szCs w:val="18"/>
              </w:rPr>
              <w:t>$0.67</w:t>
            </w:r>
          </w:p>
        </w:tc>
      </w:tr>
      <w:tr w:rsidR="0037117C" w:rsidRPr="00444981" w:rsidTr="00DA4CA5">
        <w:trPr>
          <w:trHeight w:val="270"/>
        </w:trPr>
        <w:tc>
          <w:tcPr>
            <w:tcW w:w="1187" w:type="pct"/>
            <w:tcBorders>
              <w:top w:val="nil"/>
              <w:left w:val="nil"/>
              <w:bottom w:val="single" w:sz="12" w:space="0" w:color="002776"/>
              <w:right w:val="nil"/>
            </w:tcBorders>
            <w:shd w:val="clear" w:color="auto" w:fill="auto"/>
            <w:vAlign w:val="center"/>
            <w:hideMark/>
          </w:tcPr>
          <w:p w:rsidR="0037117C" w:rsidRPr="00444981" w:rsidRDefault="0037117C" w:rsidP="005815D8">
            <w:pPr>
              <w:ind w:firstLine="108"/>
              <w:jc w:val="both"/>
              <w:outlineLvl w:val="0"/>
              <w:rPr>
                <w:rFonts w:asciiTheme="minorHAnsi" w:hAnsiTheme="minorHAnsi"/>
                <w:i/>
                <w:iCs/>
                <w:color w:val="000000"/>
                <w:sz w:val="20"/>
              </w:rPr>
            </w:pPr>
            <w:r w:rsidRPr="00444981">
              <w:rPr>
                <w:rFonts w:asciiTheme="minorHAnsi" w:hAnsiTheme="minorHAnsi"/>
                <w:i/>
                <w:iCs/>
                <w:color w:val="000000"/>
                <w:sz w:val="20"/>
              </w:rPr>
              <w:t>Discounted NPV</w:t>
            </w:r>
          </w:p>
        </w:tc>
        <w:tc>
          <w:tcPr>
            <w:tcW w:w="428" w:type="pct"/>
            <w:gridSpan w:val="2"/>
            <w:tcBorders>
              <w:top w:val="nil"/>
              <w:left w:val="nil"/>
              <w:bottom w:val="single" w:sz="12" w:space="0" w:color="002776"/>
              <w:right w:val="nil"/>
            </w:tcBorders>
            <w:shd w:val="clear" w:color="auto" w:fill="auto"/>
            <w:vAlign w:val="center"/>
            <w:hideMark/>
          </w:tcPr>
          <w:p w:rsidR="0037117C" w:rsidRPr="0037117C" w:rsidRDefault="0037117C" w:rsidP="005815D8">
            <w:pPr>
              <w:jc w:val="center"/>
              <w:outlineLvl w:val="0"/>
              <w:rPr>
                <w:rFonts w:asciiTheme="minorHAnsi" w:hAnsiTheme="minorHAnsi"/>
                <w:color w:val="000000"/>
                <w:sz w:val="18"/>
                <w:szCs w:val="18"/>
              </w:rPr>
            </w:pPr>
            <w:r w:rsidRPr="00DA4CA5">
              <w:rPr>
                <w:color w:val="000000"/>
                <w:sz w:val="18"/>
                <w:szCs w:val="18"/>
              </w:rPr>
              <w:t>$0.17</w:t>
            </w:r>
          </w:p>
        </w:tc>
        <w:tc>
          <w:tcPr>
            <w:tcW w:w="338" w:type="pct"/>
            <w:tcBorders>
              <w:top w:val="nil"/>
              <w:left w:val="nil"/>
              <w:bottom w:val="single" w:sz="12" w:space="0" w:color="002776"/>
              <w:right w:val="nil"/>
            </w:tcBorders>
            <w:shd w:val="clear" w:color="auto" w:fill="auto"/>
            <w:vAlign w:val="center"/>
            <w:hideMark/>
          </w:tcPr>
          <w:p w:rsidR="0037117C" w:rsidRPr="0037117C" w:rsidRDefault="0037117C" w:rsidP="005815D8">
            <w:pPr>
              <w:jc w:val="center"/>
              <w:outlineLvl w:val="0"/>
              <w:rPr>
                <w:rFonts w:asciiTheme="minorHAnsi" w:hAnsiTheme="minorHAnsi"/>
                <w:color w:val="000000"/>
                <w:sz w:val="18"/>
                <w:szCs w:val="18"/>
              </w:rPr>
            </w:pPr>
            <w:r w:rsidRPr="00DA4CA5">
              <w:rPr>
                <w:color w:val="000000"/>
                <w:sz w:val="18"/>
                <w:szCs w:val="18"/>
              </w:rPr>
              <w:t>$0.32</w:t>
            </w:r>
          </w:p>
        </w:tc>
        <w:tc>
          <w:tcPr>
            <w:tcW w:w="339" w:type="pct"/>
            <w:tcBorders>
              <w:top w:val="nil"/>
              <w:left w:val="nil"/>
              <w:bottom w:val="single" w:sz="12" w:space="0" w:color="002776"/>
              <w:right w:val="nil"/>
            </w:tcBorders>
            <w:shd w:val="clear" w:color="auto" w:fill="auto"/>
            <w:vAlign w:val="center"/>
            <w:hideMark/>
          </w:tcPr>
          <w:p w:rsidR="0037117C" w:rsidRPr="0037117C" w:rsidRDefault="0037117C" w:rsidP="005815D8">
            <w:pPr>
              <w:jc w:val="center"/>
              <w:outlineLvl w:val="0"/>
              <w:rPr>
                <w:rFonts w:asciiTheme="minorHAnsi" w:hAnsiTheme="minorHAnsi"/>
                <w:color w:val="000000"/>
                <w:sz w:val="18"/>
                <w:szCs w:val="18"/>
              </w:rPr>
            </w:pPr>
            <w:r w:rsidRPr="00DA4CA5">
              <w:rPr>
                <w:color w:val="000000"/>
                <w:sz w:val="18"/>
                <w:szCs w:val="18"/>
              </w:rPr>
              <w:t>$0.22</w:t>
            </w:r>
          </w:p>
        </w:tc>
        <w:tc>
          <w:tcPr>
            <w:tcW w:w="338" w:type="pct"/>
            <w:tcBorders>
              <w:top w:val="nil"/>
              <w:left w:val="nil"/>
              <w:bottom w:val="single" w:sz="12" w:space="0" w:color="002776"/>
              <w:right w:val="nil"/>
            </w:tcBorders>
            <w:shd w:val="clear" w:color="auto" w:fill="auto"/>
            <w:vAlign w:val="center"/>
            <w:hideMark/>
          </w:tcPr>
          <w:p w:rsidR="0037117C" w:rsidRPr="0037117C" w:rsidRDefault="0037117C" w:rsidP="005815D8">
            <w:pPr>
              <w:jc w:val="center"/>
              <w:outlineLvl w:val="0"/>
              <w:rPr>
                <w:rFonts w:asciiTheme="minorHAnsi" w:hAnsiTheme="minorHAnsi"/>
                <w:color w:val="000000"/>
                <w:sz w:val="18"/>
                <w:szCs w:val="18"/>
              </w:rPr>
            </w:pPr>
            <w:r w:rsidRPr="00DA4CA5">
              <w:rPr>
                <w:color w:val="000000"/>
                <w:sz w:val="18"/>
                <w:szCs w:val="18"/>
              </w:rPr>
              <w:t>$0.11</w:t>
            </w:r>
          </w:p>
        </w:tc>
        <w:tc>
          <w:tcPr>
            <w:tcW w:w="339" w:type="pct"/>
            <w:tcBorders>
              <w:top w:val="nil"/>
              <w:left w:val="nil"/>
              <w:bottom w:val="single" w:sz="12" w:space="0" w:color="002776"/>
              <w:right w:val="nil"/>
            </w:tcBorders>
            <w:shd w:val="clear" w:color="auto" w:fill="auto"/>
            <w:vAlign w:val="center"/>
            <w:hideMark/>
          </w:tcPr>
          <w:p w:rsidR="0037117C" w:rsidRPr="0037117C" w:rsidRDefault="0037117C" w:rsidP="005815D8">
            <w:pPr>
              <w:jc w:val="center"/>
              <w:outlineLvl w:val="0"/>
              <w:rPr>
                <w:rFonts w:asciiTheme="minorHAnsi" w:hAnsiTheme="minorHAnsi"/>
                <w:color w:val="000000"/>
                <w:sz w:val="18"/>
                <w:szCs w:val="18"/>
              </w:rPr>
            </w:pPr>
            <w:r w:rsidRPr="00DA4CA5">
              <w:rPr>
                <w:color w:val="000000"/>
                <w:sz w:val="18"/>
                <w:szCs w:val="18"/>
              </w:rPr>
              <w:t>$0.10</w:t>
            </w:r>
          </w:p>
        </w:tc>
        <w:tc>
          <w:tcPr>
            <w:tcW w:w="338" w:type="pct"/>
            <w:tcBorders>
              <w:top w:val="nil"/>
              <w:left w:val="nil"/>
              <w:bottom w:val="single" w:sz="12" w:space="0" w:color="002776"/>
              <w:right w:val="nil"/>
            </w:tcBorders>
            <w:shd w:val="clear" w:color="auto" w:fill="auto"/>
            <w:vAlign w:val="center"/>
            <w:hideMark/>
          </w:tcPr>
          <w:p w:rsidR="0037117C" w:rsidRPr="0037117C" w:rsidRDefault="0037117C" w:rsidP="005815D8">
            <w:pPr>
              <w:jc w:val="center"/>
              <w:outlineLvl w:val="0"/>
              <w:rPr>
                <w:rFonts w:asciiTheme="minorHAnsi" w:hAnsiTheme="minorHAnsi"/>
                <w:color w:val="000000"/>
                <w:sz w:val="18"/>
                <w:szCs w:val="18"/>
              </w:rPr>
            </w:pPr>
            <w:r w:rsidRPr="00DA4CA5">
              <w:rPr>
                <w:color w:val="000000"/>
                <w:sz w:val="18"/>
                <w:szCs w:val="18"/>
              </w:rPr>
              <w:t>$0.09</w:t>
            </w:r>
          </w:p>
        </w:tc>
        <w:tc>
          <w:tcPr>
            <w:tcW w:w="339" w:type="pct"/>
            <w:tcBorders>
              <w:top w:val="nil"/>
              <w:left w:val="nil"/>
              <w:bottom w:val="single" w:sz="12" w:space="0" w:color="002776"/>
              <w:right w:val="nil"/>
            </w:tcBorders>
            <w:shd w:val="clear" w:color="auto" w:fill="auto"/>
            <w:vAlign w:val="center"/>
            <w:hideMark/>
          </w:tcPr>
          <w:p w:rsidR="0037117C" w:rsidRPr="0037117C" w:rsidRDefault="0037117C" w:rsidP="005815D8">
            <w:pPr>
              <w:jc w:val="center"/>
              <w:outlineLvl w:val="0"/>
              <w:rPr>
                <w:rFonts w:asciiTheme="minorHAnsi" w:hAnsiTheme="minorHAnsi"/>
                <w:color w:val="000000"/>
                <w:sz w:val="18"/>
                <w:szCs w:val="18"/>
              </w:rPr>
            </w:pPr>
            <w:r w:rsidRPr="00DA4CA5">
              <w:rPr>
                <w:color w:val="000000"/>
                <w:sz w:val="18"/>
                <w:szCs w:val="18"/>
              </w:rPr>
              <w:t>$0.18</w:t>
            </w:r>
          </w:p>
        </w:tc>
        <w:tc>
          <w:tcPr>
            <w:tcW w:w="338" w:type="pct"/>
            <w:tcBorders>
              <w:top w:val="nil"/>
              <w:left w:val="nil"/>
              <w:bottom w:val="single" w:sz="12" w:space="0" w:color="002776"/>
              <w:right w:val="nil"/>
            </w:tcBorders>
            <w:shd w:val="clear" w:color="auto" w:fill="auto"/>
            <w:vAlign w:val="center"/>
            <w:hideMark/>
          </w:tcPr>
          <w:p w:rsidR="0037117C" w:rsidRPr="0037117C" w:rsidRDefault="0037117C" w:rsidP="005815D8">
            <w:pPr>
              <w:jc w:val="center"/>
              <w:outlineLvl w:val="0"/>
              <w:rPr>
                <w:rFonts w:asciiTheme="minorHAnsi" w:hAnsiTheme="minorHAnsi"/>
                <w:color w:val="000000"/>
                <w:sz w:val="18"/>
                <w:szCs w:val="18"/>
              </w:rPr>
            </w:pPr>
            <w:r w:rsidRPr="00DA4CA5">
              <w:rPr>
                <w:color w:val="000000"/>
                <w:sz w:val="18"/>
                <w:szCs w:val="18"/>
              </w:rPr>
              <w:t>$0.05</w:t>
            </w:r>
          </w:p>
        </w:tc>
        <w:tc>
          <w:tcPr>
            <w:tcW w:w="339" w:type="pct"/>
            <w:tcBorders>
              <w:top w:val="nil"/>
              <w:left w:val="nil"/>
              <w:bottom w:val="single" w:sz="12" w:space="0" w:color="002776"/>
              <w:right w:val="nil"/>
            </w:tcBorders>
            <w:shd w:val="clear" w:color="auto" w:fill="auto"/>
            <w:vAlign w:val="center"/>
            <w:hideMark/>
          </w:tcPr>
          <w:p w:rsidR="0037117C" w:rsidRPr="0037117C" w:rsidRDefault="0037117C" w:rsidP="005815D8">
            <w:pPr>
              <w:jc w:val="center"/>
              <w:outlineLvl w:val="0"/>
              <w:rPr>
                <w:rFonts w:asciiTheme="minorHAnsi" w:hAnsiTheme="minorHAnsi"/>
                <w:color w:val="000000"/>
                <w:sz w:val="18"/>
                <w:szCs w:val="18"/>
              </w:rPr>
            </w:pPr>
            <w:r w:rsidRPr="00DA4CA5">
              <w:rPr>
                <w:color w:val="000000"/>
                <w:sz w:val="18"/>
                <w:szCs w:val="18"/>
              </w:rPr>
              <w:t>$0.08</w:t>
            </w:r>
          </w:p>
        </w:tc>
        <w:tc>
          <w:tcPr>
            <w:tcW w:w="338" w:type="pct"/>
            <w:tcBorders>
              <w:top w:val="nil"/>
              <w:left w:val="nil"/>
              <w:bottom w:val="single" w:sz="12" w:space="0" w:color="002776"/>
              <w:right w:val="nil"/>
            </w:tcBorders>
            <w:vAlign w:val="center"/>
          </w:tcPr>
          <w:p w:rsidR="0037117C" w:rsidRPr="0037117C" w:rsidRDefault="0037117C" w:rsidP="005815D8">
            <w:pPr>
              <w:jc w:val="center"/>
              <w:outlineLvl w:val="0"/>
              <w:rPr>
                <w:rFonts w:eastAsia="Arial" w:cs="Arial"/>
                <w:color w:val="000000"/>
                <w:kern w:val="24"/>
                <w:sz w:val="18"/>
                <w:szCs w:val="18"/>
              </w:rPr>
            </w:pPr>
            <w:r w:rsidRPr="00DA4CA5">
              <w:rPr>
                <w:color w:val="000000"/>
                <w:sz w:val="18"/>
                <w:szCs w:val="18"/>
              </w:rPr>
              <w:t>$0.10</w:t>
            </w:r>
          </w:p>
        </w:tc>
        <w:tc>
          <w:tcPr>
            <w:tcW w:w="339" w:type="pct"/>
            <w:tcBorders>
              <w:top w:val="nil"/>
              <w:left w:val="nil"/>
              <w:bottom w:val="single" w:sz="12" w:space="0" w:color="002776"/>
              <w:right w:val="nil"/>
            </w:tcBorders>
            <w:shd w:val="clear" w:color="auto" w:fill="auto"/>
            <w:vAlign w:val="center"/>
            <w:hideMark/>
          </w:tcPr>
          <w:p w:rsidR="0037117C" w:rsidRPr="0037117C" w:rsidRDefault="0037117C" w:rsidP="005815D8">
            <w:pPr>
              <w:jc w:val="center"/>
              <w:outlineLvl w:val="0"/>
              <w:rPr>
                <w:rFonts w:asciiTheme="minorHAnsi" w:hAnsiTheme="minorHAnsi"/>
                <w:b/>
                <w:color w:val="002776" w:themeColor="accent1"/>
                <w:sz w:val="18"/>
                <w:szCs w:val="18"/>
              </w:rPr>
            </w:pPr>
            <w:r w:rsidRPr="0037117C">
              <w:rPr>
                <w:b/>
                <w:bCs/>
                <w:color w:val="002776"/>
                <w:sz w:val="18"/>
                <w:szCs w:val="18"/>
              </w:rPr>
              <w:t>$0.14</w:t>
            </w:r>
          </w:p>
        </w:tc>
      </w:tr>
    </w:tbl>
    <w:p w:rsidR="009C6C96" w:rsidRDefault="009C6C96" w:rsidP="009C6C96">
      <w:pPr>
        <w:pStyle w:val="Source"/>
      </w:pPr>
      <w:r w:rsidRPr="00444981">
        <w:t>Source: Deloitte Access Economics, HILDA Survey, ABS Census</w:t>
      </w:r>
      <w:r>
        <w:t xml:space="preserve"> (2011)</w:t>
      </w:r>
      <w:r w:rsidRPr="00444981">
        <w:t xml:space="preserve">. </w:t>
      </w:r>
      <w:r>
        <w:t xml:space="preserve">Premiums over lifetime earnings for those with no post-school qualification. </w:t>
      </w:r>
      <w:r w:rsidRPr="00444981">
        <w:t>Dollars are uprated from 2011 figures to 2016 using CPI. NPV calculation</w:t>
      </w:r>
      <w:r>
        <w:t>s use</w:t>
      </w:r>
      <w:r w:rsidRPr="00444981">
        <w:t xml:space="preserve"> a discount rate of 7%</w:t>
      </w:r>
      <w:r w:rsidR="001D48A8">
        <w:t>, as per OBPR benchmarks</w:t>
      </w:r>
      <w:r w:rsidRPr="00444981">
        <w:t>.</w:t>
      </w:r>
      <w:r>
        <w:t xml:space="preserve"> </w:t>
      </w:r>
      <w:r w:rsidR="003927F5">
        <w:t>F</w:t>
      </w:r>
      <w:r>
        <w:t xml:space="preserve">ood/hospitality </w:t>
      </w:r>
      <w:r w:rsidR="003927F5">
        <w:t xml:space="preserve">includes personal services </w:t>
      </w:r>
      <w:r>
        <w:t>and mixed field programs.</w:t>
      </w:r>
      <w:r w:rsidR="002D03A6">
        <w:t xml:space="preserve"> Food and hospitality is omitted given the small sample sizes in this field of education, resulting in statistically insignificant results. </w:t>
      </w:r>
    </w:p>
    <w:p w:rsidR="0088607A" w:rsidRDefault="0088607A" w:rsidP="0088607A">
      <w:pPr>
        <w:pStyle w:val="BodyText"/>
        <w:tabs>
          <w:tab w:val="left" w:pos="4755"/>
        </w:tabs>
        <w:rPr>
          <w:lang w:eastAsia="en-AU"/>
        </w:rPr>
      </w:pPr>
      <w:r>
        <w:rPr>
          <w:lang w:eastAsia="en-AU"/>
        </w:rPr>
        <w:lastRenderedPageBreak/>
        <w:t>As might be expected, the postgraduate premiums are generally greater than bachelor premiums.  Medicine is an exception. The margins between discounted premiums (across fields) are narrower. This is because the up-front cost of additional time out of the workforce is weighted more heavily in the NPV calculation</w:t>
      </w:r>
      <w:r w:rsidR="006B6332">
        <w:rPr>
          <w:lang w:eastAsia="en-AU"/>
        </w:rPr>
        <w:t xml:space="preserve"> (which</w:t>
      </w:r>
      <w:r w:rsidR="00273CF6">
        <w:rPr>
          <w:lang w:eastAsia="en-AU"/>
        </w:rPr>
        <w:t xml:space="preserve"> ‘penalises’</w:t>
      </w:r>
      <w:r w:rsidR="006B6332">
        <w:rPr>
          <w:lang w:eastAsia="en-AU"/>
        </w:rPr>
        <w:t xml:space="preserve"> the Medicine postgraduate premium)</w:t>
      </w:r>
      <w:r>
        <w:rPr>
          <w:lang w:eastAsia="en-AU"/>
        </w:rPr>
        <w:t>. Similarly, certain disciplines have relatively high starting wages (such as education), and so the premiums are ‘penalised’ less by the NPV calculation.</w:t>
      </w:r>
    </w:p>
    <w:p w:rsidR="0088607A" w:rsidRDefault="0088607A" w:rsidP="0088607A">
      <w:pPr>
        <w:pStyle w:val="BodyText"/>
        <w:tabs>
          <w:tab w:val="left" w:pos="4755"/>
        </w:tabs>
        <w:rPr>
          <w:lang w:eastAsia="en-AU"/>
        </w:rPr>
      </w:pPr>
      <w:r>
        <w:rPr>
          <w:lang w:eastAsia="en-AU"/>
        </w:rPr>
        <w:t>To underscore a point, these premiums are the values attributable to the qualification itself, rather than the observed differential which also include demographics and innate cognitive ability. This is the primary reason why the premiums are smaller in magnitude than those in other studies (such as Norton, 2012) that have taken an accounting-based approach, rather than an econometric approach, to gauging these premiums.</w:t>
      </w:r>
    </w:p>
    <w:p w:rsidR="009C6C96" w:rsidRDefault="009C6C96" w:rsidP="009C6C96">
      <w:pPr>
        <w:pStyle w:val="BodyText"/>
        <w:tabs>
          <w:tab w:val="left" w:pos="4755"/>
        </w:tabs>
        <w:rPr>
          <w:lang w:eastAsia="en-AU"/>
        </w:rPr>
      </w:pPr>
      <w:r>
        <w:rPr>
          <w:lang w:eastAsia="en-AU"/>
        </w:rPr>
        <w:t xml:space="preserve">However, the ordinal ranking of the fields of study by average earnings premiums is similar </w:t>
      </w:r>
      <w:r w:rsidR="003A62DA">
        <w:rPr>
          <w:lang w:eastAsia="en-AU"/>
        </w:rPr>
        <w:t xml:space="preserve">(with some exceptions) </w:t>
      </w:r>
      <w:r>
        <w:rPr>
          <w:lang w:eastAsia="en-AU"/>
        </w:rPr>
        <w:t xml:space="preserve">to the results of those studies; they are also similar </w:t>
      </w:r>
      <w:r w:rsidR="008E6C20">
        <w:rPr>
          <w:lang w:eastAsia="en-AU"/>
        </w:rPr>
        <w:t xml:space="preserve">to the </w:t>
      </w:r>
      <w:r>
        <w:rPr>
          <w:lang w:eastAsia="en-AU"/>
        </w:rPr>
        <w:t xml:space="preserve">ordinal results </w:t>
      </w:r>
      <w:r w:rsidR="008E6C20">
        <w:rPr>
          <w:lang w:eastAsia="en-AU"/>
        </w:rPr>
        <w:t xml:space="preserve">in </w:t>
      </w:r>
      <w:r w:rsidR="00972EF6">
        <w:t>Koshy, Seymour and Dockery</w:t>
      </w:r>
      <w:r w:rsidR="0083778F">
        <w:t xml:space="preserve"> </w:t>
      </w:r>
      <w:r w:rsidR="00972EF6">
        <w:t>(2016)</w:t>
      </w:r>
      <w:r>
        <w:rPr>
          <w:lang w:eastAsia="en-AU"/>
        </w:rPr>
        <w:t xml:space="preserve">, </w:t>
      </w:r>
      <w:r w:rsidR="008E6C20">
        <w:rPr>
          <w:lang w:eastAsia="en-AU"/>
        </w:rPr>
        <w:t xml:space="preserve">which applied </w:t>
      </w:r>
      <w:r>
        <w:rPr>
          <w:lang w:eastAsia="en-AU"/>
        </w:rPr>
        <w:t>econometrics</w:t>
      </w:r>
      <w:r w:rsidR="008E6C20">
        <w:rPr>
          <w:lang w:eastAsia="en-AU"/>
        </w:rPr>
        <w:t xml:space="preserve"> techniques and </w:t>
      </w:r>
      <w:r>
        <w:rPr>
          <w:lang w:eastAsia="en-AU"/>
        </w:rPr>
        <w:t>focussed on field of study using lifetime earnings data, rather than graduate earnings.</w:t>
      </w:r>
      <w:r w:rsidR="008E6C20">
        <w:rPr>
          <w:lang w:eastAsia="en-AU"/>
        </w:rPr>
        <w:t xml:space="preserve">  </w:t>
      </w:r>
      <w:r w:rsidR="008E6C20">
        <w:rPr>
          <w:lang w:eastAsia="en-AU"/>
        </w:rPr>
        <w:fldChar w:fldCharType="begin"/>
      </w:r>
      <w:r w:rsidR="008E6C20">
        <w:rPr>
          <w:lang w:eastAsia="en-AU"/>
        </w:rPr>
        <w:instrText xml:space="preserve"> REF _Ref458972052 \r \h </w:instrText>
      </w:r>
      <w:r w:rsidR="008E6C20">
        <w:rPr>
          <w:lang w:eastAsia="en-AU"/>
        </w:rPr>
      </w:r>
      <w:r w:rsidR="008E6C20">
        <w:rPr>
          <w:lang w:eastAsia="en-AU"/>
        </w:rPr>
        <w:fldChar w:fldCharType="separate"/>
      </w:r>
      <w:r w:rsidR="00534F9F">
        <w:rPr>
          <w:lang w:eastAsia="en-AU"/>
        </w:rPr>
        <w:t>Table 4.4</w:t>
      </w:r>
      <w:r w:rsidR="008E6C20">
        <w:rPr>
          <w:lang w:eastAsia="en-AU"/>
        </w:rPr>
        <w:fldChar w:fldCharType="end"/>
      </w:r>
      <w:r w:rsidR="008E6C20">
        <w:rPr>
          <w:lang w:eastAsia="en-AU"/>
        </w:rPr>
        <w:t xml:space="preserve"> shows the ranking in Koshy et al. (2016). </w:t>
      </w:r>
    </w:p>
    <w:p w:rsidR="00972EF6" w:rsidRDefault="00972EF6" w:rsidP="0087366B">
      <w:pPr>
        <w:pStyle w:val="CaptionTable"/>
        <w:ind w:left="0"/>
        <w:rPr>
          <w:lang w:eastAsia="en-AU"/>
        </w:rPr>
      </w:pPr>
      <w:bookmarkStart w:id="139" w:name="_Ref458972052"/>
      <w:bookmarkStart w:id="140" w:name="_Toc465961127"/>
      <w:r>
        <w:rPr>
          <w:lang w:eastAsia="en-AU"/>
        </w:rPr>
        <w:t xml:space="preserve">: </w:t>
      </w:r>
      <w:r w:rsidR="0087366B">
        <w:rPr>
          <w:lang w:eastAsia="en-AU"/>
        </w:rPr>
        <w:t>Relevant literature ranking of earning premiums by discipline</w:t>
      </w:r>
      <w:bookmarkEnd w:id="139"/>
      <w:bookmarkEnd w:id="140"/>
    </w:p>
    <w:tbl>
      <w:tblPr>
        <w:tblStyle w:val="TableAE"/>
        <w:tblW w:w="0" w:type="auto"/>
        <w:tblLook w:val="04A0" w:firstRow="1" w:lastRow="0" w:firstColumn="1" w:lastColumn="0" w:noHBand="0" w:noVBand="1"/>
      </w:tblPr>
      <w:tblGrid>
        <w:gridCol w:w="810"/>
        <w:gridCol w:w="3297"/>
        <w:gridCol w:w="708"/>
        <w:gridCol w:w="3406"/>
      </w:tblGrid>
      <w:tr w:rsidR="00354016" w:rsidTr="00354016">
        <w:trPr>
          <w:cnfStyle w:val="100000000000" w:firstRow="1" w:lastRow="0" w:firstColumn="0" w:lastColumn="0" w:oddVBand="0" w:evenVBand="0" w:oddHBand="0" w:evenHBand="0" w:firstRowFirstColumn="0" w:firstRowLastColumn="0" w:lastRowFirstColumn="0" w:lastRowLastColumn="0"/>
        </w:trPr>
        <w:tc>
          <w:tcPr>
            <w:tcW w:w="817" w:type="dxa"/>
          </w:tcPr>
          <w:p w:rsidR="00354016" w:rsidRPr="00354016" w:rsidRDefault="00354016" w:rsidP="0087366B">
            <w:pPr>
              <w:pStyle w:val="BodyText"/>
              <w:tabs>
                <w:tab w:val="left" w:pos="4755"/>
              </w:tabs>
              <w:spacing w:before="0"/>
              <w:jc w:val="center"/>
              <w:rPr>
                <w:b/>
                <w:lang w:eastAsia="en-AU"/>
              </w:rPr>
            </w:pPr>
            <w:r w:rsidRPr="00354016">
              <w:rPr>
                <w:b/>
                <w:lang w:eastAsia="en-AU"/>
              </w:rPr>
              <w:t>Rank</w:t>
            </w:r>
          </w:p>
        </w:tc>
        <w:tc>
          <w:tcPr>
            <w:tcW w:w="3401" w:type="dxa"/>
          </w:tcPr>
          <w:p w:rsidR="00354016" w:rsidRPr="00354016" w:rsidRDefault="00354016" w:rsidP="00354016">
            <w:pPr>
              <w:pStyle w:val="BodyText"/>
              <w:tabs>
                <w:tab w:val="left" w:pos="4755"/>
              </w:tabs>
              <w:spacing w:before="0"/>
              <w:rPr>
                <w:b/>
                <w:lang w:eastAsia="en-AU"/>
              </w:rPr>
            </w:pPr>
            <w:r w:rsidRPr="00354016">
              <w:rPr>
                <w:b/>
                <w:lang w:eastAsia="en-AU"/>
              </w:rPr>
              <w:t>Field</w:t>
            </w:r>
          </w:p>
        </w:tc>
        <w:tc>
          <w:tcPr>
            <w:tcW w:w="710" w:type="dxa"/>
          </w:tcPr>
          <w:p w:rsidR="00354016" w:rsidRPr="00354016" w:rsidRDefault="00354016" w:rsidP="0087366B">
            <w:pPr>
              <w:pStyle w:val="BodyText"/>
              <w:tabs>
                <w:tab w:val="left" w:pos="4755"/>
              </w:tabs>
              <w:spacing w:before="0"/>
              <w:jc w:val="center"/>
              <w:rPr>
                <w:b/>
                <w:lang w:eastAsia="en-AU"/>
              </w:rPr>
            </w:pPr>
            <w:r w:rsidRPr="00354016">
              <w:rPr>
                <w:b/>
                <w:lang w:eastAsia="en-AU"/>
              </w:rPr>
              <w:t>Rank</w:t>
            </w:r>
          </w:p>
        </w:tc>
        <w:tc>
          <w:tcPr>
            <w:tcW w:w="3509" w:type="dxa"/>
          </w:tcPr>
          <w:p w:rsidR="00354016" w:rsidRPr="00354016" w:rsidRDefault="00354016" w:rsidP="00354016">
            <w:pPr>
              <w:pStyle w:val="BodyText"/>
              <w:tabs>
                <w:tab w:val="left" w:pos="4755"/>
              </w:tabs>
              <w:spacing w:before="0"/>
              <w:rPr>
                <w:b/>
                <w:lang w:eastAsia="en-AU"/>
              </w:rPr>
            </w:pPr>
            <w:r w:rsidRPr="00354016">
              <w:rPr>
                <w:b/>
                <w:lang w:eastAsia="en-AU"/>
              </w:rPr>
              <w:t>Field</w:t>
            </w:r>
          </w:p>
        </w:tc>
      </w:tr>
      <w:tr w:rsidR="00354016" w:rsidTr="00354016">
        <w:tc>
          <w:tcPr>
            <w:tcW w:w="817" w:type="dxa"/>
          </w:tcPr>
          <w:p w:rsidR="00354016" w:rsidRPr="00972EF6" w:rsidRDefault="00354016" w:rsidP="0087366B">
            <w:pPr>
              <w:pStyle w:val="numberedlist0"/>
              <w:spacing w:before="0" w:after="0"/>
              <w:ind w:left="0" w:firstLine="0"/>
              <w:jc w:val="center"/>
              <w:rPr>
                <w:sz w:val="20"/>
              </w:rPr>
            </w:pPr>
            <w:r w:rsidRPr="00972EF6">
              <w:rPr>
                <w:sz w:val="20"/>
              </w:rPr>
              <w:t>1</w:t>
            </w:r>
          </w:p>
        </w:tc>
        <w:tc>
          <w:tcPr>
            <w:tcW w:w="3401" w:type="dxa"/>
          </w:tcPr>
          <w:p w:rsidR="00354016" w:rsidRPr="00972EF6" w:rsidRDefault="00354016" w:rsidP="002541BA">
            <w:pPr>
              <w:pStyle w:val="numberedlist0"/>
              <w:spacing w:before="0" w:after="0"/>
              <w:ind w:left="0" w:firstLine="0"/>
              <w:jc w:val="both"/>
              <w:rPr>
                <w:sz w:val="20"/>
              </w:rPr>
            </w:pPr>
            <w:r w:rsidRPr="00972EF6">
              <w:rPr>
                <w:sz w:val="20"/>
              </w:rPr>
              <w:t>Medicine</w:t>
            </w:r>
          </w:p>
        </w:tc>
        <w:tc>
          <w:tcPr>
            <w:tcW w:w="710" w:type="dxa"/>
          </w:tcPr>
          <w:p w:rsidR="00354016" w:rsidRPr="00972EF6" w:rsidRDefault="00354016" w:rsidP="0087366B">
            <w:pPr>
              <w:pStyle w:val="numberedlist0"/>
              <w:spacing w:before="0" w:after="0"/>
              <w:ind w:left="0" w:firstLine="0"/>
              <w:jc w:val="center"/>
              <w:rPr>
                <w:sz w:val="20"/>
              </w:rPr>
            </w:pPr>
            <w:r w:rsidRPr="00972EF6">
              <w:rPr>
                <w:sz w:val="20"/>
              </w:rPr>
              <w:t>8</w:t>
            </w:r>
          </w:p>
        </w:tc>
        <w:tc>
          <w:tcPr>
            <w:tcW w:w="3509" w:type="dxa"/>
          </w:tcPr>
          <w:p w:rsidR="00354016" w:rsidRPr="00972EF6" w:rsidRDefault="00354016" w:rsidP="002541BA">
            <w:pPr>
              <w:pStyle w:val="numberedlist0"/>
              <w:spacing w:before="0" w:after="0"/>
              <w:ind w:left="0" w:firstLine="0"/>
              <w:jc w:val="both"/>
              <w:rPr>
                <w:sz w:val="20"/>
              </w:rPr>
            </w:pPr>
            <w:r w:rsidRPr="00972EF6">
              <w:rPr>
                <w:sz w:val="20"/>
              </w:rPr>
              <w:t xml:space="preserve">Management </w:t>
            </w:r>
          </w:p>
        </w:tc>
      </w:tr>
      <w:tr w:rsidR="00354016" w:rsidTr="00354016">
        <w:tc>
          <w:tcPr>
            <w:tcW w:w="817" w:type="dxa"/>
          </w:tcPr>
          <w:p w:rsidR="00354016" w:rsidRPr="00972EF6" w:rsidRDefault="00354016" w:rsidP="0087366B">
            <w:pPr>
              <w:pStyle w:val="numberedlist0"/>
              <w:spacing w:before="0" w:after="0"/>
              <w:ind w:left="0" w:firstLine="0"/>
              <w:jc w:val="center"/>
              <w:rPr>
                <w:sz w:val="20"/>
              </w:rPr>
            </w:pPr>
            <w:r w:rsidRPr="00972EF6">
              <w:rPr>
                <w:sz w:val="20"/>
              </w:rPr>
              <w:t>2</w:t>
            </w:r>
          </w:p>
        </w:tc>
        <w:tc>
          <w:tcPr>
            <w:tcW w:w="3401" w:type="dxa"/>
          </w:tcPr>
          <w:p w:rsidR="00354016" w:rsidRPr="00972EF6" w:rsidRDefault="00354016" w:rsidP="002541BA">
            <w:pPr>
              <w:pStyle w:val="numberedlist0"/>
              <w:spacing w:before="0" w:after="0"/>
              <w:ind w:left="0" w:firstLine="0"/>
              <w:jc w:val="both"/>
              <w:rPr>
                <w:sz w:val="20"/>
              </w:rPr>
            </w:pPr>
            <w:r w:rsidRPr="00972EF6">
              <w:rPr>
                <w:sz w:val="20"/>
              </w:rPr>
              <w:t>Engineering</w:t>
            </w:r>
          </w:p>
        </w:tc>
        <w:tc>
          <w:tcPr>
            <w:tcW w:w="710" w:type="dxa"/>
          </w:tcPr>
          <w:p w:rsidR="00354016" w:rsidRPr="00972EF6" w:rsidRDefault="00354016" w:rsidP="0087366B">
            <w:pPr>
              <w:pStyle w:val="numberedlist0"/>
              <w:spacing w:before="0" w:after="0"/>
              <w:ind w:left="0" w:firstLine="0"/>
              <w:jc w:val="center"/>
              <w:rPr>
                <w:sz w:val="20"/>
              </w:rPr>
            </w:pPr>
            <w:r w:rsidRPr="00972EF6">
              <w:rPr>
                <w:sz w:val="20"/>
              </w:rPr>
              <w:t>9</w:t>
            </w:r>
          </w:p>
        </w:tc>
        <w:tc>
          <w:tcPr>
            <w:tcW w:w="3509" w:type="dxa"/>
          </w:tcPr>
          <w:p w:rsidR="00354016" w:rsidRPr="00972EF6" w:rsidRDefault="00354016" w:rsidP="002541BA">
            <w:pPr>
              <w:pStyle w:val="numberedlist0"/>
              <w:spacing w:before="0" w:after="0"/>
              <w:ind w:left="0" w:firstLine="0"/>
              <w:jc w:val="both"/>
              <w:rPr>
                <w:sz w:val="20"/>
              </w:rPr>
            </w:pPr>
            <w:r w:rsidRPr="00972EF6">
              <w:rPr>
                <w:sz w:val="20"/>
              </w:rPr>
              <w:t xml:space="preserve">Architecture </w:t>
            </w:r>
          </w:p>
        </w:tc>
      </w:tr>
      <w:tr w:rsidR="00354016" w:rsidTr="00354016">
        <w:tc>
          <w:tcPr>
            <w:tcW w:w="817" w:type="dxa"/>
          </w:tcPr>
          <w:p w:rsidR="00354016" w:rsidRPr="00972EF6" w:rsidRDefault="00354016" w:rsidP="0087366B">
            <w:pPr>
              <w:pStyle w:val="numberedlist0"/>
              <w:spacing w:before="0" w:after="0"/>
              <w:ind w:left="0" w:firstLine="0"/>
              <w:jc w:val="center"/>
              <w:rPr>
                <w:sz w:val="20"/>
              </w:rPr>
            </w:pPr>
            <w:r w:rsidRPr="00972EF6">
              <w:rPr>
                <w:sz w:val="20"/>
              </w:rPr>
              <w:t>3</w:t>
            </w:r>
          </w:p>
        </w:tc>
        <w:tc>
          <w:tcPr>
            <w:tcW w:w="3401" w:type="dxa"/>
          </w:tcPr>
          <w:p w:rsidR="00354016" w:rsidRPr="00972EF6" w:rsidRDefault="00354016" w:rsidP="002541BA">
            <w:pPr>
              <w:pStyle w:val="numberedlist0"/>
              <w:spacing w:before="0" w:after="0"/>
              <w:ind w:left="0" w:firstLine="0"/>
              <w:jc w:val="both"/>
              <w:rPr>
                <w:sz w:val="20"/>
              </w:rPr>
            </w:pPr>
            <w:r w:rsidRPr="00972EF6">
              <w:rPr>
                <w:sz w:val="20"/>
              </w:rPr>
              <w:t xml:space="preserve">Information technology </w:t>
            </w:r>
          </w:p>
        </w:tc>
        <w:tc>
          <w:tcPr>
            <w:tcW w:w="710" w:type="dxa"/>
          </w:tcPr>
          <w:p w:rsidR="00354016" w:rsidRPr="00972EF6" w:rsidRDefault="00354016" w:rsidP="0087366B">
            <w:pPr>
              <w:pStyle w:val="numberedlist0"/>
              <w:spacing w:before="0" w:after="0"/>
              <w:ind w:left="0" w:firstLine="0"/>
              <w:jc w:val="center"/>
              <w:rPr>
                <w:sz w:val="20"/>
              </w:rPr>
            </w:pPr>
            <w:r w:rsidRPr="00972EF6">
              <w:rPr>
                <w:sz w:val="20"/>
              </w:rPr>
              <w:t>10</w:t>
            </w:r>
          </w:p>
        </w:tc>
        <w:tc>
          <w:tcPr>
            <w:tcW w:w="3509" w:type="dxa"/>
          </w:tcPr>
          <w:p w:rsidR="00354016" w:rsidRPr="00972EF6" w:rsidRDefault="00354016" w:rsidP="002541BA">
            <w:pPr>
              <w:pStyle w:val="numberedlist0"/>
              <w:spacing w:before="0" w:after="0"/>
              <w:ind w:left="0" w:firstLine="0"/>
              <w:jc w:val="both"/>
              <w:rPr>
                <w:sz w:val="20"/>
              </w:rPr>
            </w:pPr>
            <w:r w:rsidRPr="00972EF6">
              <w:rPr>
                <w:sz w:val="20"/>
              </w:rPr>
              <w:t>Agriculture</w:t>
            </w:r>
          </w:p>
        </w:tc>
      </w:tr>
      <w:tr w:rsidR="00354016" w:rsidTr="00354016">
        <w:tc>
          <w:tcPr>
            <w:tcW w:w="817" w:type="dxa"/>
          </w:tcPr>
          <w:p w:rsidR="00354016" w:rsidRPr="00972EF6" w:rsidRDefault="00354016" w:rsidP="0087366B">
            <w:pPr>
              <w:pStyle w:val="numberedlist0"/>
              <w:spacing w:before="0" w:after="0"/>
              <w:ind w:left="0" w:firstLine="0"/>
              <w:jc w:val="center"/>
              <w:rPr>
                <w:sz w:val="20"/>
              </w:rPr>
            </w:pPr>
            <w:r w:rsidRPr="00972EF6">
              <w:rPr>
                <w:sz w:val="20"/>
              </w:rPr>
              <w:t>4</w:t>
            </w:r>
          </w:p>
        </w:tc>
        <w:tc>
          <w:tcPr>
            <w:tcW w:w="3401" w:type="dxa"/>
          </w:tcPr>
          <w:p w:rsidR="00354016" w:rsidRPr="00972EF6" w:rsidRDefault="00354016" w:rsidP="002541BA">
            <w:pPr>
              <w:pStyle w:val="numberedlist0"/>
              <w:spacing w:before="0" w:after="0"/>
              <w:ind w:left="0" w:firstLine="0"/>
              <w:jc w:val="both"/>
              <w:rPr>
                <w:sz w:val="20"/>
              </w:rPr>
            </w:pPr>
            <w:r w:rsidRPr="00972EF6">
              <w:rPr>
                <w:sz w:val="20"/>
              </w:rPr>
              <w:t xml:space="preserve">Hospitality </w:t>
            </w:r>
          </w:p>
        </w:tc>
        <w:tc>
          <w:tcPr>
            <w:tcW w:w="710" w:type="dxa"/>
          </w:tcPr>
          <w:p w:rsidR="00354016" w:rsidRPr="00972EF6" w:rsidRDefault="00354016" w:rsidP="0087366B">
            <w:pPr>
              <w:pStyle w:val="numberedlist0"/>
              <w:spacing w:before="0" w:after="0"/>
              <w:ind w:left="0" w:firstLine="0"/>
              <w:jc w:val="center"/>
              <w:rPr>
                <w:sz w:val="20"/>
              </w:rPr>
            </w:pPr>
            <w:r w:rsidRPr="00972EF6">
              <w:rPr>
                <w:sz w:val="20"/>
              </w:rPr>
              <w:t>11</w:t>
            </w:r>
          </w:p>
        </w:tc>
        <w:tc>
          <w:tcPr>
            <w:tcW w:w="3509" w:type="dxa"/>
          </w:tcPr>
          <w:p w:rsidR="00354016" w:rsidRPr="00972EF6" w:rsidRDefault="00354016" w:rsidP="002541BA">
            <w:pPr>
              <w:pStyle w:val="numberedlist0"/>
              <w:spacing w:before="0" w:after="0"/>
              <w:ind w:left="0" w:firstLine="0"/>
              <w:jc w:val="both"/>
              <w:rPr>
                <w:sz w:val="20"/>
              </w:rPr>
            </w:pPr>
            <w:r w:rsidRPr="00972EF6">
              <w:rPr>
                <w:sz w:val="20"/>
              </w:rPr>
              <w:t>Science</w:t>
            </w:r>
          </w:p>
        </w:tc>
      </w:tr>
      <w:tr w:rsidR="00354016" w:rsidTr="00354016">
        <w:tc>
          <w:tcPr>
            <w:tcW w:w="817" w:type="dxa"/>
          </w:tcPr>
          <w:p w:rsidR="00354016" w:rsidRPr="00972EF6" w:rsidRDefault="00354016" w:rsidP="0087366B">
            <w:pPr>
              <w:pStyle w:val="numberedlist0"/>
              <w:spacing w:before="0" w:after="0"/>
              <w:ind w:left="0" w:firstLine="0"/>
              <w:jc w:val="center"/>
              <w:rPr>
                <w:sz w:val="20"/>
              </w:rPr>
            </w:pPr>
            <w:r w:rsidRPr="00972EF6">
              <w:rPr>
                <w:sz w:val="20"/>
              </w:rPr>
              <w:t>5</w:t>
            </w:r>
          </w:p>
        </w:tc>
        <w:tc>
          <w:tcPr>
            <w:tcW w:w="3401" w:type="dxa"/>
          </w:tcPr>
          <w:p w:rsidR="00354016" w:rsidRPr="00972EF6" w:rsidRDefault="00354016" w:rsidP="002541BA">
            <w:pPr>
              <w:pStyle w:val="numberedlist0"/>
              <w:spacing w:before="0" w:after="0"/>
              <w:ind w:left="0" w:firstLine="0"/>
              <w:jc w:val="both"/>
              <w:rPr>
                <w:sz w:val="20"/>
              </w:rPr>
            </w:pPr>
            <w:r w:rsidRPr="00972EF6">
              <w:rPr>
                <w:sz w:val="20"/>
              </w:rPr>
              <w:t>Nursing</w:t>
            </w:r>
          </w:p>
        </w:tc>
        <w:tc>
          <w:tcPr>
            <w:tcW w:w="710" w:type="dxa"/>
          </w:tcPr>
          <w:p w:rsidR="00354016" w:rsidRPr="00972EF6" w:rsidRDefault="00354016" w:rsidP="0087366B">
            <w:pPr>
              <w:pStyle w:val="numberedlist0"/>
              <w:spacing w:before="0" w:after="0"/>
              <w:ind w:left="0" w:firstLine="0"/>
              <w:jc w:val="center"/>
              <w:rPr>
                <w:sz w:val="20"/>
              </w:rPr>
            </w:pPr>
            <w:r w:rsidRPr="00972EF6">
              <w:rPr>
                <w:sz w:val="20"/>
              </w:rPr>
              <w:t>12</w:t>
            </w:r>
          </w:p>
        </w:tc>
        <w:tc>
          <w:tcPr>
            <w:tcW w:w="3509" w:type="dxa"/>
          </w:tcPr>
          <w:p w:rsidR="00354016" w:rsidRPr="00972EF6" w:rsidRDefault="00354016" w:rsidP="002541BA">
            <w:pPr>
              <w:pStyle w:val="numberedlist0"/>
              <w:spacing w:before="0" w:after="0"/>
              <w:ind w:left="0" w:firstLine="0"/>
              <w:jc w:val="both"/>
              <w:rPr>
                <w:sz w:val="20"/>
              </w:rPr>
            </w:pPr>
            <w:r w:rsidRPr="00972EF6">
              <w:rPr>
                <w:sz w:val="20"/>
              </w:rPr>
              <w:t xml:space="preserve">Arts </w:t>
            </w:r>
          </w:p>
        </w:tc>
      </w:tr>
      <w:tr w:rsidR="00354016" w:rsidTr="00354016">
        <w:trPr>
          <w:trHeight w:val="87"/>
        </w:trPr>
        <w:tc>
          <w:tcPr>
            <w:tcW w:w="817" w:type="dxa"/>
          </w:tcPr>
          <w:p w:rsidR="00354016" w:rsidRPr="00972EF6" w:rsidRDefault="00354016" w:rsidP="0087366B">
            <w:pPr>
              <w:pStyle w:val="numberedlist0"/>
              <w:spacing w:before="0" w:after="0"/>
              <w:ind w:left="0" w:firstLine="0"/>
              <w:jc w:val="center"/>
              <w:rPr>
                <w:sz w:val="20"/>
              </w:rPr>
            </w:pPr>
            <w:r w:rsidRPr="00972EF6">
              <w:rPr>
                <w:sz w:val="20"/>
              </w:rPr>
              <w:t>6</w:t>
            </w:r>
          </w:p>
        </w:tc>
        <w:tc>
          <w:tcPr>
            <w:tcW w:w="3401" w:type="dxa"/>
          </w:tcPr>
          <w:p w:rsidR="00354016" w:rsidRPr="00972EF6" w:rsidRDefault="00354016" w:rsidP="002541BA">
            <w:pPr>
              <w:pStyle w:val="numberedlist0"/>
              <w:spacing w:before="0" w:after="0"/>
              <w:ind w:left="0" w:firstLine="0"/>
              <w:jc w:val="both"/>
              <w:rPr>
                <w:sz w:val="20"/>
              </w:rPr>
            </w:pPr>
            <w:r w:rsidRPr="00972EF6">
              <w:rPr>
                <w:sz w:val="20"/>
              </w:rPr>
              <w:t>Other health</w:t>
            </w:r>
          </w:p>
        </w:tc>
        <w:tc>
          <w:tcPr>
            <w:tcW w:w="710" w:type="dxa"/>
          </w:tcPr>
          <w:p w:rsidR="00354016" w:rsidRPr="00972EF6" w:rsidRDefault="00354016" w:rsidP="0087366B">
            <w:pPr>
              <w:pStyle w:val="numberedlist0"/>
              <w:spacing w:before="0" w:after="0"/>
              <w:ind w:left="0" w:firstLine="0"/>
              <w:jc w:val="center"/>
              <w:rPr>
                <w:sz w:val="20"/>
              </w:rPr>
            </w:pPr>
            <w:r w:rsidRPr="00972EF6">
              <w:rPr>
                <w:sz w:val="20"/>
              </w:rPr>
              <w:t>13</w:t>
            </w:r>
          </w:p>
        </w:tc>
        <w:tc>
          <w:tcPr>
            <w:tcW w:w="3509" w:type="dxa"/>
          </w:tcPr>
          <w:p w:rsidR="00354016" w:rsidRPr="00972EF6" w:rsidRDefault="00354016" w:rsidP="002541BA">
            <w:pPr>
              <w:pStyle w:val="numberedlist0"/>
              <w:spacing w:before="0" w:after="0"/>
              <w:ind w:left="0" w:firstLine="0"/>
              <w:jc w:val="both"/>
              <w:rPr>
                <w:sz w:val="20"/>
              </w:rPr>
            </w:pPr>
            <w:r w:rsidRPr="00972EF6">
              <w:rPr>
                <w:sz w:val="20"/>
              </w:rPr>
              <w:t>Education</w:t>
            </w:r>
          </w:p>
        </w:tc>
      </w:tr>
      <w:tr w:rsidR="00354016" w:rsidTr="00354016">
        <w:tc>
          <w:tcPr>
            <w:tcW w:w="817" w:type="dxa"/>
          </w:tcPr>
          <w:p w:rsidR="00354016" w:rsidRPr="00972EF6" w:rsidRDefault="00354016" w:rsidP="0087366B">
            <w:pPr>
              <w:pStyle w:val="numberedlist0"/>
              <w:spacing w:before="0" w:after="0"/>
              <w:ind w:left="0" w:firstLine="0"/>
              <w:jc w:val="center"/>
              <w:rPr>
                <w:sz w:val="20"/>
              </w:rPr>
            </w:pPr>
            <w:r w:rsidRPr="00972EF6">
              <w:rPr>
                <w:sz w:val="20"/>
              </w:rPr>
              <w:t>7</w:t>
            </w:r>
          </w:p>
        </w:tc>
        <w:tc>
          <w:tcPr>
            <w:tcW w:w="3401" w:type="dxa"/>
          </w:tcPr>
          <w:p w:rsidR="00354016" w:rsidRPr="00972EF6" w:rsidRDefault="00354016" w:rsidP="002541BA">
            <w:pPr>
              <w:pStyle w:val="numberedlist0"/>
              <w:spacing w:before="0" w:after="0"/>
              <w:ind w:left="0" w:firstLine="0"/>
              <w:jc w:val="both"/>
              <w:rPr>
                <w:sz w:val="20"/>
              </w:rPr>
            </w:pPr>
            <w:r w:rsidRPr="00972EF6">
              <w:rPr>
                <w:sz w:val="20"/>
              </w:rPr>
              <w:t>Law</w:t>
            </w:r>
          </w:p>
        </w:tc>
        <w:tc>
          <w:tcPr>
            <w:tcW w:w="710" w:type="dxa"/>
          </w:tcPr>
          <w:p w:rsidR="00354016" w:rsidRPr="00972EF6" w:rsidRDefault="00354016" w:rsidP="0087366B">
            <w:pPr>
              <w:pStyle w:val="numberedlist0"/>
              <w:spacing w:before="0" w:after="0"/>
              <w:ind w:left="0" w:firstLine="0"/>
              <w:jc w:val="center"/>
              <w:rPr>
                <w:sz w:val="20"/>
              </w:rPr>
            </w:pPr>
            <w:r w:rsidRPr="00972EF6">
              <w:rPr>
                <w:sz w:val="20"/>
              </w:rPr>
              <w:t>14</w:t>
            </w:r>
          </w:p>
        </w:tc>
        <w:tc>
          <w:tcPr>
            <w:tcW w:w="3509" w:type="dxa"/>
          </w:tcPr>
          <w:p w:rsidR="00354016" w:rsidRPr="00972EF6" w:rsidRDefault="00354016" w:rsidP="002541BA">
            <w:pPr>
              <w:pStyle w:val="numberedlist0"/>
              <w:spacing w:before="0" w:after="0"/>
              <w:ind w:left="0" w:firstLine="0"/>
              <w:jc w:val="both"/>
              <w:rPr>
                <w:sz w:val="20"/>
              </w:rPr>
            </w:pPr>
            <w:r w:rsidRPr="00972EF6">
              <w:rPr>
                <w:sz w:val="20"/>
              </w:rPr>
              <w:t xml:space="preserve">Society and culture </w:t>
            </w:r>
          </w:p>
        </w:tc>
      </w:tr>
    </w:tbl>
    <w:p w:rsidR="00972EF6" w:rsidRDefault="00972EF6" w:rsidP="00972EF6">
      <w:pPr>
        <w:pStyle w:val="Source"/>
      </w:pPr>
      <w:r>
        <w:rPr>
          <w:lang w:eastAsia="en-AU"/>
        </w:rPr>
        <w:t xml:space="preserve">Source: </w:t>
      </w:r>
      <w:r>
        <w:t>Koshy, Seymour and Dockery (2016)</w:t>
      </w:r>
    </w:p>
    <w:p w:rsidR="009C6C96" w:rsidRDefault="009C6C96" w:rsidP="009C6C96">
      <w:pPr>
        <w:pStyle w:val="Heading2"/>
        <w:numPr>
          <w:ilvl w:val="1"/>
          <w:numId w:val="8"/>
        </w:numPr>
        <w:jc w:val="both"/>
        <w:rPr>
          <w:lang w:eastAsia="en-AU"/>
        </w:rPr>
      </w:pPr>
      <w:bookmarkStart w:id="141" w:name="_Toc465961201"/>
      <w:r>
        <w:rPr>
          <w:lang w:eastAsia="en-AU"/>
        </w:rPr>
        <w:t>Limitations and assumptions</w:t>
      </w:r>
      <w:bookmarkEnd w:id="136"/>
      <w:bookmarkEnd w:id="137"/>
      <w:bookmarkEnd w:id="138"/>
      <w:bookmarkEnd w:id="141"/>
    </w:p>
    <w:p w:rsidR="009C6C96" w:rsidRDefault="009C6C96" w:rsidP="009C6C96">
      <w:pPr>
        <w:spacing w:before="240"/>
        <w:jc w:val="both"/>
        <w:rPr>
          <w:lang w:eastAsia="en-AU"/>
        </w:rPr>
      </w:pPr>
      <w:r>
        <w:rPr>
          <w:lang w:eastAsia="en-AU"/>
        </w:rPr>
        <w:t xml:space="preserve">Econometric models necessarily rely on a number of simplifying assumptions. </w:t>
      </w:r>
      <w:r w:rsidR="008E6C20">
        <w:rPr>
          <w:lang w:eastAsia="en-AU"/>
        </w:rPr>
        <w:t xml:space="preserve">Those assumptions </w:t>
      </w:r>
      <w:r>
        <w:rPr>
          <w:lang w:eastAsia="en-AU"/>
        </w:rPr>
        <w:t xml:space="preserve">may limit the robustness of the findings. This section provides an overview of the limitations associated with the results, and a more technical discussion of these limitations and assumptions can be found in </w:t>
      </w:r>
      <w:r w:rsidR="00B64BE3">
        <w:rPr>
          <w:lang w:eastAsia="en-AU"/>
        </w:rPr>
        <w:t>Appendix B</w:t>
      </w:r>
      <w:r>
        <w:rPr>
          <w:lang w:eastAsia="en-AU"/>
        </w:rPr>
        <w:t>.</w:t>
      </w:r>
    </w:p>
    <w:p w:rsidR="009C6C96" w:rsidRPr="000F6D69" w:rsidRDefault="009C6C96" w:rsidP="009C6C96">
      <w:pPr>
        <w:spacing w:before="240"/>
        <w:jc w:val="both"/>
        <w:rPr>
          <w:rStyle w:val="Boldword"/>
        </w:rPr>
      </w:pPr>
      <w:r w:rsidRPr="000F6D69">
        <w:rPr>
          <w:rStyle w:val="Boldword"/>
        </w:rPr>
        <w:t>Data cleaning</w:t>
      </w:r>
      <w:r>
        <w:rPr>
          <w:rStyle w:val="Boldword"/>
        </w:rPr>
        <w:t xml:space="preserve"> and attrition </w:t>
      </w:r>
    </w:p>
    <w:p w:rsidR="009C6C96" w:rsidRDefault="009C6C96" w:rsidP="009C6C96">
      <w:pPr>
        <w:spacing w:before="240"/>
        <w:jc w:val="both"/>
        <w:rPr>
          <w:lang w:eastAsia="en-AU"/>
        </w:rPr>
      </w:pPr>
      <w:r>
        <w:rPr>
          <w:lang w:eastAsia="en-AU"/>
        </w:rPr>
        <w:t xml:space="preserve">Observations were only included if the individual was, in a given </w:t>
      </w:r>
      <w:r w:rsidR="008E6C20">
        <w:rPr>
          <w:lang w:eastAsia="en-AU"/>
        </w:rPr>
        <w:t>wave of HILDA</w:t>
      </w:r>
      <w:r>
        <w:rPr>
          <w:lang w:eastAsia="en-AU"/>
        </w:rPr>
        <w:t>:</w:t>
      </w:r>
    </w:p>
    <w:p w:rsidR="009C6C96" w:rsidRDefault="009C6C96" w:rsidP="009C6C96">
      <w:pPr>
        <w:pStyle w:val="Bullet1"/>
      </w:pPr>
      <w:r>
        <w:t>aged 25 to 64 years;</w:t>
      </w:r>
    </w:p>
    <w:p w:rsidR="009C6C96" w:rsidRDefault="009C6C96" w:rsidP="009C6C96">
      <w:pPr>
        <w:pStyle w:val="Bullet1"/>
      </w:pPr>
      <w:r>
        <w:t>employed;</w:t>
      </w:r>
    </w:p>
    <w:p w:rsidR="009C6C96" w:rsidRDefault="009C6C96" w:rsidP="009C6C96">
      <w:pPr>
        <w:pStyle w:val="Bullet1"/>
      </w:pPr>
      <w:r>
        <w:t xml:space="preserve">reported positive earnings from wages and salaries; </w:t>
      </w:r>
    </w:p>
    <w:p w:rsidR="009C6C96" w:rsidRDefault="009C6C96" w:rsidP="009C6C96">
      <w:pPr>
        <w:pStyle w:val="Bullet1"/>
      </w:pPr>
      <w:r>
        <w:t xml:space="preserve">did not have non-zero business income; </w:t>
      </w:r>
    </w:p>
    <w:p w:rsidR="009C6C96" w:rsidRDefault="009C6C96" w:rsidP="009C6C96">
      <w:pPr>
        <w:pStyle w:val="Bullet1"/>
      </w:pPr>
      <w:r>
        <w:t xml:space="preserve">reported details about their education (attainment and if applicable, field of education); and </w:t>
      </w:r>
    </w:p>
    <w:p w:rsidR="009C6C96" w:rsidRDefault="009C6C96" w:rsidP="009C6C96">
      <w:pPr>
        <w:pStyle w:val="Bullet1"/>
      </w:pPr>
      <w:r>
        <w:lastRenderedPageBreak/>
        <w:t>did not hold a doctorate (to exclude higher degree research degrees – noting that masters degrees by research are unable to be identified as distinct from masters degrees by coursework, and are hence included in the sample).</w:t>
      </w:r>
    </w:p>
    <w:p w:rsidR="009C6C96" w:rsidRPr="00310579" w:rsidRDefault="009C6C96" w:rsidP="009C6C96">
      <w:pPr>
        <w:pStyle w:val="BodyText"/>
        <w:rPr>
          <w:vertAlign w:val="subscript"/>
        </w:rPr>
      </w:pPr>
      <w:r>
        <w:t>As with all longitudinal surveys, there is attrition within the HILDA survey (as described in</w:t>
      </w:r>
      <w:r w:rsidR="00745596">
        <w:t xml:space="preserve"> Section</w:t>
      </w:r>
      <w:r>
        <w:t xml:space="preserve"> </w:t>
      </w:r>
      <w:r w:rsidR="00AD48BC">
        <w:rPr>
          <w:highlight w:val="yellow"/>
        </w:rPr>
        <w:fldChar w:fldCharType="begin"/>
      </w:r>
      <w:r w:rsidR="00AD48BC">
        <w:instrText xml:space="preserve"> REF _Ref458420257 \r \h </w:instrText>
      </w:r>
      <w:r w:rsidR="00AD48BC">
        <w:rPr>
          <w:highlight w:val="yellow"/>
        </w:rPr>
      </w:r>
      <w:r w:rsidR="00AD48BC">
        <w:rPr>
          <w:highlight w:val="yellow"/>
        </w:rPr>
        <w:fldChar w:fldCharType="separate"/>
      </w:r>
      <w:r w:rsidR="00534F9F">
        <w:t>3.2.2</w:t>
      </w:r>
      <w:r w:rsidR="00AD48BC">
        <w:rPr>
          <w:highlight w:val="yellow"/>
        </w:rPr>
        <w:fldChar w:fldCharType="end"/>
      </w:r>
      <w:r>
        <w:t>). Whil</w:t>
      </w:r>
      <w:r w:rsidR="00676543">
        <w:t>e</w:t>
      </w:r>
      <w:r>
        <w:t xml:space="preserve"> HILDA provides weightings to account for this attrition, these weights are calculated based on broad population characteristics – and it is unclear whether this weighting accurately reflects the way in which individuals with different levels of education in different fields of education drop out of the survey (or, if in fact, this attrition is random over these variables). In addition, the literature generally does not use weights in the estimation of the impact of education on wages. As such, this study does not use weighted </w:t>
      </w:r>
      <w:r w:rsidR="008E6C20">
        <w:t>estimation</w:t>
      </w:r>
      <w:r>
        <w:t xml:space="preserve">. </w:t>
      </w:r>
    </w:p>
    <w:p w:rsidR="009C6C96" w:rsidRPr="00290521" w:rsidRDefault="009C6C96" w:rsidP="009C6C96">
      <w:pPr>
        <w:pStyle w:val="BodyText"/>
        <w:rPr>
          <w:rStyle w:val="Boldword"/>
        </w:rPr>
      </w:pPr>
      <w:r w:rsidRPr="00290521">
        <w:rPr>
          <w:rStyle w:val="Boldword"/>
        </w:rPr>
        <w:t xml:space="preserve">Separately specifying the earnings model and employment model </w:t>
      </w:r>
    </w:p>
    <w:p w:rsidR="00DD2357" w:rsidRDefault="009C6C96" w:rsidP="00DD2357">
      <w:pPr>
        <w:spacing w:before="240"/>
        <w:jc w:val="both"/>
        <w:rPr>
          <w:lang w:eastAsia="en-AU"/>
        </w:rPr>
      </w:pPr>
      <w:r>
        <w:rPr>
          <w:lang w:eastAsia="en-AU"/>
        </w:rPr>
        <w:t xml:space="preserve">Jointly specifying the earnings model and employment model was explored. Models such as the Tobit, and generalised Tobit, </w:t>
      </w:r>
      <w:r w:rsidR="008E6C20">
        <w:rPr>
          <w:lang w:eastAsia="en-AU"/>
        </w:rPr>
        <w:t xml:space="preserve">may </w:t>
      </w:r>
      <w:r>
        <w:rPr>
          <w:lang w:eastAsia="en-AU"/>
        </w:rPr>
        <w:t xml:space="preserve">better characterise the effect of an increase in education on both employment status and earnings. </w:t>
      </w:r>
      <w:r w:rsidR="00DD2357">
        <w:rPr>
          <w:lang w:eastAsia="en-AU"/>
        </w:rPr>
        <w:t xml:space="preserve"> However, the models are more complex and estimation of the models requires additional assumptions such as on the functional form of the errors in the models. Generalised Tobit models (also known as ‘Heckit’ models) generally require at least one instrumental variable – a variable in the employment equation that does not appear in the earning equation – further adding to the complexity of the model.</w:t>
      </w:r>
    </w:p>
    <w:p w:rsidR="00DD2357" w:rsidRDefault="00DD2357" w:rsidP="00DD2357">
      <w:pPr>
        <w:spacing w:before="240"/>
        <w:jc w:val="both"/>
        <w:rPr>
          <w:lang w:eastAsia="en-AU"/>
        </w:rPr>
      </w:pPr>
      <w:r>
        <w:rPr>
          <w:lang w:eastAsia="en-AU"/>
        </w:rPr>
        <w:t>Because of the complexity of joint estimation, the earnings model and employment model have been estimated separately</w:t>
      </w:r>
      <w:r w:rsidR="003A62DA">
        <w:rPr>
          <w:lang w:eastAsia="en-AU"/>
        </w:rPr>
        <w:t>.</w:t>
      </w:r>
      <w:r>
        <w:rPr>
          <w:lang w:eastAsia="en-AU"/>
        </w:rPr>
        <w:t xml:space="preserve"> </w:t>
      </w:r>
    </w:p>
    <w:p w:rsidR="009C6C96" w:rsidRPr="00290521" w:rsidRDefault="009C6C96" w:rsidP="009C6C96">
      <w:pPr>
        <w:spacing w:before="240"/>
        <w:jc w:val="both"/>
        <w:rPr>
          <w:rStyle w:val="Boldword"/>
        </w:rPr>
      </w:pPr>
      <w:r w:rsidRPr="00290521">
        <w:rPr>
          <w:rStyle w:val="Boldword"/>
        </w:rPr>
        <w:t xml:space="preserve">Ability to control for cohort effects and the measurement of cognitive ability </w:t>
      </w:r>
    </w:p>
    <w:p w:rsidR="009C6C96" w:rsidRDefault="009C6C96" w:rsidP="009C6C96">
      <w:pPr>
        <w:spacing w:before="240"/>
        <w:jc w:val="both"/>
        <w:rPr>
          <w:lang w:eastAsia="en-AU"/>
        </w:rPr>
      </w:pPr>
      <w:r>
        <w:rPr>
          <w:lang w:eastAsia="en-AU"/>
        </w:rPr>
        <w:t xml:space="preserve">Heterogeneity in student attributes (including </w:t>
      </w:r>
      <w:r w:rsidR="003E3009">
        <w:rPr>
          <w:lang w:eastAsia="en-AU"/>
        </w:rPr>
        <w:t xml:space="preserve">student </w:t>
      </w:r>
      <w:r>
        <w:rPr>
          <w:lang w:eastAsia="en-AU"/>
        </w:rPr>
        <w:t>ability across fields of education, qualification level and providers</w:t>
      </w:r>
      <w:r w:rsidR="00676543">
        <w:rPr>
          <w:lang w:eastAsia="en-AU"/>
        </w:rPr>
        <w:t>)</w:t>
      </w:r>
      <w:r>
        <w:rPr>
          <w:lang w:eastAsia="en-AU"/>
        </w:rPr>
        <w:t xml:space="preserve"> </w:t>
      </w:r>
      <w:r w:rsidR="003E3009">
        <w:rPr>
          <w:lang w:eastAsia="en-AU"/>
        </w:rPr>
        <w:t xml:space="preserve">may </w:t>
      </w:r>
      <w:r>
        <w:rPr>
          <w:lang w:eastAsia="en-AU"/>
        </w:rPr>
        <w:t>bias</w:t>
      </w:r>
      <w:r w:rsidR="003A62DA">
        <w:rPr>
          <w:lang w:eastAsia="en-AU"/>
        </w:rPr>
        <w:t xml:space="preserve"> </w:t>
      </w:r>
      <w:r w:rsidR="003E3009">
        <w:rPr>
          <w:lang w:eastAsia="en-AU"/>
        </w:rPr>
        <w:t xml:space="preserve">estimation results if not properly taken into account. Following Wilkins (2015), the </w:t>
      </w:r>
      <w:r>
        <w:rPr>
          <w:lang w:eastAsia="en-AU"/>
        </w:rPr>
        <w:t>modelling presented here incorporates three measures of cognitive ability (the Backwards Digits Span, Symbol Digits Modalities, and a shortened version of the National Adult Reading Test</w:t>
      </w:r>
      <w:r w:rsidR="00676543">
        <w:rPr>
          <w:lang w:eastAsia="en-AU"/>
        </w:rPr>
        <w:t>)</w:t>
      </w:r>
      <w:r>
        <w:rPr>
          <w:lang w:eastAsia="en-AU"/>
        </w:rPr>
        <w:t>,</w:t>
      </w:r>
      <w:r w:rsidR="003E3009">
        <w:rPr>
          <w:lang w:eastAsia="en-AU"/>
        </w:rPr>
        <w:t>.  I</w:t>
      </w:r>
      <w:r>
        <w:rPr>
          <w:lang w:eastAsia="en-AU"/>
        </w:rPr>
        <w:t xml:space="preserve">t is possible that these tests do not fully capture the variation in cognitive ability </w:t>
      </w:r>
      <w:r w:rsidR="003E3009">
        <w:rPr>
          <w:lang w:eastAsia="en-AU"/>
        </w:rPr>
        <w:t xml:space="preserve">across </w:t>
      </w:r>
      <w:r>
        <w:rPr>
          <w:lang w:eastAsia="en-AU"/>
        </w:rPr>
        <w:t xml:space="preserve">individuals. </w:t>
      </w:r>
    </w:p>
    <w:p w:rsidR="009C6C96" w:rsidRPr="00290521" w:rsidRDefault="009C6C96" w:rsidP="009C6C96">
      <w:pPr>
        <w:spacing w:before="240"/>
        <w:jc w:val="both"/>
        <w:rPr>
          <w:rStyle w:val="Boldword"/>
        </w:rPr>
      </w:pPr>
      <w:r w:rsidRPr="00290521">
        <w:rPr>
          <w:rStyle w:val="Boldword"/>
        </w:rPr>
        <w:t xml:space="preserve">Extent to which historical relationships between education and wages </w:t>
      </w:r>
      <w:r>
        <w:rPr>
          <w:rStyle w:val="Boldword"/>
        </w:rPr>
        <w:t>hold in the future</w:t>
      </w:r>
    </w:p>
    <w:p w:rsidR="009C6C96" w:rsidRDefault="009C6C96" w:rsidP="009C6C96">
      <w:pPr>
        <w:spacing w:before="240"/>
        <w:jc w:val="both"/>
        <w:rPr>
          <w:lang w:eastAsia="en-AU"/>
        </w:rPr>
      </w:pPr>
      <w:r w:rsidRPr="00E74F13">
        <w:rPr>
          <w:lang w:eastAsia="en-AU"/>
        </w:rPr>
        <w:t xml:space="preserve">The </w:t>
      </w:r>
      <w:r>
        <w:rPr>
          <w:lang w:eastAsia="en-AU"/>
        </w:rPr>
        <w:t xml:space="preserve">analysis and results presented here </w:t>
      </w:r>
      <w:r w:rsidRPr="00E74F13">
        <w:rPr>
          <w:lang w:eastAsia="en-AU"/>
        </w:rPr>
        <w:t>rel</w:t>
      </w:r>
      <w:r w:rsidR="004D27AE">
        <w:rPr>
          <w:lang w:eastAsia="en-AU"/>
        </w:rPr>
        <w:t>y</w:t>
      </w:r>
      <w:r w:rsidRPr="00E74F13">
        <w:rPr>
          <w:lang w:eastAsia="en-AU"/>
        </w:rPr>
        <w:t xml:space="preserve"> on the historical, observed relationships between education and wages, </w:t>
      </w:r>
      <w:r>
        <w:rPr>
          <w:lang w:eastAsia="en-AU"/>
        </w:rPr>
        <w:t>those in the</w:t>
      </w:r>
      <w:r w:rsidRPr="00E74F13">
        <w:rPr>
          <w:lang w:eastAsia="en-AU"/>
        </w:rPr>
        <w:t xml:space="preserve"> HILDA sample</w:t>
      </w:r>
      <w:r w:rsidR="003E3009">
        <w:rPr>
          <w:lang w:eastAsia="en-AU"/>
        </w:rPr>
        <w:t xml:space="preserve"> and ABS Census (2011) data</w:t>
      </w:r>
      <w:r w:rsidRPr="00E74F13">
        <w:rPr>
          <w:lang w:eastAsia="en-AU"/>
        </w:rPr>
        <w:t xml:space="preserve"> However, it should be noted that this</w:t>
      </w:r>
      <w:r w:rsidR="003E3009">
        <w:rPr>
          <w:lang w:eastAsia="en-AU"/>
        </w:rPr>
        <w:t xml:space="preserve"> data </w:t>
      </w:r>
      <w:r w:rsidRPr="00E74F13">
        <w:rPr>
          <w:lang w:eastAsia="en-AU"/>
        </w:rPr>
        <w:t xml:space="preserve">is not necessarily representative of the population as a whole (and additionally, the wage trajectory of the population as a whole) – although this is difficult to prove or disprove. </w:t>
      </w:r>
    </w:p>
    <w:p w:rsidR="009C6C96" w:rsidRDefault="009C6C96" w:rsidP="009C6C96">
      <w:pPr>
        <w:spacing w:before="240"/>
        <w:jc w:val="both"/>
        <w:rPr>
          <w:lang w:eastAsia="en-AU"/>
        </w:rPr>
      </w:pPr>
      <w:r>
        <w:rPr>
          <w:lang w:eastAsia="en-AU"/>
        </w:rPr>
        <w:t>It should also be noted that</w:t>
      </w:r>
      <w:r w:rsidRPr="00E74F13">
        <w:rPr>
          <w:lang w:eastAsia="en-AU"/>
        </w:rPr>
        <w:t xml:space="preserve"> historical relationships between education and wages may not hold in the future, and that </w:t>
      </w:r>
      <w:r>
        <w:rPr>
          <w:lang w:eastAsia="en-AU"/>
        </w:rPr>
        <w:t xml:space="preserve">the HILDA data used covers 2001 to 2014 – the majority of which predates the introduction of the </w:t>
      </w:r>
      <w:r w:rsidRPr="00E74F13">
        <w:rPr>
          <w:lang w:eastAsia="en-AU"/>
        </w:rPr>
        <w:t xml:space="preserve">demand driven </w:t>
      </w:r>
      <w:r>
        <w:rPr>
          <w:lang w:eastAsia="en-AU"/>
        </w:rPr>
        <w:t xml:space="preserve">higher education system in 2012. This </w:t>
      </w:r>
      <w:r w:rsidRPr="00E74F13">
        <w:rPr>
          <w:lang w:eastAsia="en-AU"/>
        </w:rPr>
        <w:t>may have implications for the wage premiums that can be expected by higher education graduates in the future</w:t>
      </w:r>
      <w:r>
        <w:rPr>
          <w:lang w:eastAsia="en-AU"/>
        </w:rPr>
        <w:t xml:space="preserve">. These </w:t>
      </w:r>
      <w:r w:rsidRPr="00E74F13">
        <w:rPr>
          <w:lang w:eastAsia="en-AU"/>
        </w:rPr>
        <w:t>issue</w:t>
      </w:r>
      <w:r>
        <w:rPr>
          <w:lang w:eastAsia="en-AU"/>
        </w:rPr>
        <w:t>s are</w:t>
      </w:r>
      <w:r w:rsidRPr="00E74F13">
        <w:rPr>
          <w:lang w:eastAsia="en-AU"/>
        </w:rPr>
        <w:t xml:space="preserve"> explored in greater detail in </w:t>
      </w:r>
      <w:r w:rsidR="00745596">
        <w:rPr>
          <w:lang w:eastAsia="en-AU"/>
        </w:rPr>
        <w:t>Section</w:t>
      </w:r>
      <w:r w:rsidRPr="00E74F13">
        <w:rPr>
          <w:lang w:eastAsia="en-AU"/>
        </w:rPr>
        <w:t xml:space="preserve"> </w:t>
      </w:r>
      <w:r>
        <w:rPr>
          <w:lang w:eastAsia="en-AU"/>
        </w:rPr>
        <w:fldChar w:fldCharType="begin"/>
      </w:r>
      <w:r>
        <w:rPr>
          <w:lang w:eastAsia="en-AU"/>
        </w:rPr>
        <w:instrText xml:space="preserve"> REF _Ref457333251 \r \h </w:instrText>
      </w:r>
      <w:r>
        <w:rPr>
          <w:lang w:eastAsia="en-AU"/>
        </w:rPr>
      </w:r>
      <w:r>
        <w:rPr>
          <w:lang w:eastAsia="en-AU"/>
        </w:rPr>
        <w:fldChar w:fldCharType="separate"/>
      </w:r>
      <w:r w:rsidR="00534F9F">
        <w:rPr>
          <w:lang w:eastAsia="en-AU"/>
        </w:rPr>
        <w:t>6</w:t>
      </w:r>
      <w:r>
        <w:rPr>
          <w:lang w:eastAsia="en-AU"/>
        </w:rPr>
        <w:fldChar w:fldCharType="end"/>
      </w:r>
      <w:r w:rsidRPr="00E74F13">
        <w:rPr>
          <w:lang w:eastAsia="en-AU"/>
        </w:rPr>
        <w:t xml:space="preserve">. </w:t>
      </w:r>
    </w:p>
    <w:p w:rsidR="009C6C96" w:rsidRDefault="009C6C96" w:rsidP="009C6C96">
      <w:pPr>
        <w:pStyle w:val="Heading2"/>
        <w:numPr>
          <w:ilvl w:val="1"/>
          <w:numId w:val="8"/>
        </w:numPr>
        <w:jc w:val="both"/>
        <w:rPr>
          <w:lang w:eastAsia="en-AU"/>
        </w:rPr>
      </w:pPr>
      <w:bookmarkStart w:id="142" w:name="_Toc452492909"/>
      <w:bookmarkStart w:id="143" w:name="_Toc453832694"/>
      <w:bookmarkStart w:id="144" w:name="_Toc457412182"/>
      <w:bookmarkStart w:id="145" w:name="_Toc465961202"/>
      <w:r>
        <w:rPr>
          <w:lang w:eastAsia="en-AU"/>
        </w:rPr>
        <w:lastRenderedPageBreak/>
        <w:t>Implications</w:t>
      </w:r>
      <w:bookmarkEnd w:id="142"/>
      <w:bookmarkEnd w:id="143"/>
      <w:bookmarkEnd w:id="144"/>
      <w:bookmarkEnd w:id="145"/>
    </w:p>
    <w:p w:rsidR="009C6C96" w:rsidRDefault="009C6C96" w:rsidP="009C6C96">
      <w:pPr>
        <w:pStyle w:val="BodyText"/>
        <w:rPr>
          <w:lang w:eastAsia="en-AU"/>
        </w:rPr>
      </w:pPr>
      <w:r>
        <w:rPr>
          <w:lang w:eastAsia="en-AU"/>
        </w:rPr>
        <w:t>The findings presented here are broadly consistent with the existing literature, in that Leigh (2008) and Wilkins (2015) estimate positive wage premiums for postgraduate and bachelor degrees, albeit of a greater magnitude</w:t>
      </w:r>
      <w:r w:rsidR="0087366B">
        <w:rPr>
          <w:lang w:eastAsia="en-AU"/>
        </w:rPr>
        <w:t xml:space="preserve"> than estimated here</w:t>
      </w:r>
      <w:r>
        <w:rPr>
          <w:lang w:eastAsia="en-AU"/>
        </w:rPr>
        <w:t xml:space="preserve">. </w:t>
      </w:r>
      <w:r w:rsidR="00676543">
        <w:rPr>
          <w:lang w:eastAsia="en-AU"/>
        </w:rPr>
        <w:t>These studies</w:t>
      </w:r>
      <w:r>
        <w:rPr>
          <w:lang w:eastAsia="en-AU"/>
        </w:rPr>
        <w:t>, unlike in th</w:t>
      </w:r>
      <w:r w:rsidR="00676543">
        <w:rPr>
          <w:lang w:eastAsia="en-AU"/>
        </w:rPr>
        <w:t>e</w:t>
      </w:r>
      <w:r>
        <w:rPr>
          <w:lang w:eastAsia="en-AU"/>
        </w:rPr>
        <w:t xml:space="preserve"> analysis</w:t>
      </w:r>
      <w:r w:rsidR="00676543">
        <w:rPr>
          <w:lang w:eastAsia="en-AU"/>
        </w:rPr>
        <w:t xml:space="preserve"> presented here</w:t>
      </w:r>
      <w:r>
        <w:rPr>
          <w:lang w:eastAsia="en-AU"/>
        </w:rPr>
        <w:t>,</w:t>
      </w:r>
      <w:r w:rsidR="00676543">
        <w:rPr>
          <w:lang w:eastAsia="en-AU"/>
        </w:rPr>
        <w:t xml:space="preserve"> also</w:t>
      </w:r>
      <w:r>
        <w:rPr>
          <w:lang w:eastAsia="en-AU"/>
        </w:rPr>
        <w:t xml:space="preserve"> find that there are statistically significant positive wage impacts across all educational levels. However, these papers do not consider variation in wages across fields of education, which is correlated with educational attainment, and could be expected to </w:t>
      </w:r>
      <w:r w:rsidR="0087366B">
        <w:rPr>
          <w:lang w:eastAsia="en-AU"/>
        </w:rPr>
        <w:t>diminish</w:t>
      </w:r>
      <w:r>
        <w:rPr>
          <w:lang w:eastAsia="en-AU"/>
        </w:rPr>
        <w:t xml:space="preserve"> the </w:t>
      </w:r>
      <w:r w:rsidR="003E3009">
        <w:rPr>
          <w:lang w:eastAsia="en-AU"/>
        </w:rPr>
        <w:t xml:space="preserve">estimated </w:t>
      </w:r>
      <w:r>
        <w:rPr>
          <w:lang w:eastAsia="en-AU"/>
        </w:rPr>
        <w:t xml:space="preserve">relationship between educational attainment and wages.  </w:t>
      </w:r>
    </w:p>
    <w:p w:rsidR="009C6C96" w:rsidRDefault="009C6C96" w:rsidP="009C6C96">
      <w:pPr>
        <w:pStyle w:val="BodyText"/>
        <w:rPr>
          <w:lang w:eastAsia="en-AU"/>
        </w:rPr>
      </w:pPr>
      <w:r>
        <w:rPr>
          <w:lang w:eastAsia="en-AU"/>
        </w:rPr>
        <w:t xml:space="preserve">Importantly, it should be noted that the modelling considers the average impact of an individual increasing their level of educational attainment or changing their field of education, not the marginal impact. Thus, it may be the case that a given individual’s movement into a higher skilled category may not be reflected in higher wages – if for instance, they choose an industry or occupation of employment that does not reward their increased skill level. As such, the results should be interpreted as the average impact across the population, rather than explaining the behaviour and outcomes for each individual.  </w:t>
      </w:r>
    </w:p>
    <w:p w:rsidR="009C6C96" w:rsidRDefault="009C6C96" w:rsidP="009C6C96">
      <w:pPr>
        <w:spacing w:before="240"/>
        <w:jc w:val="both"/>
        <w:rPr>
          <w:lang w:eastAsia="en-AU"/>
        </w:rPr>
      </w:pPr>
      <w:r>
        <w:rPr>
          <w:lang w:eastAsia="en-AU"/>
        </w:rPr>
        <w:t xml:space="preserve">These results from this </w:t>
      </w:r>
      <w:r w:rsidR="00356108">
        <w:rPr>
          <w:lang w:eastAsia="en-AU"/>
        </w:rPr>
        <w:t>section</w:t>
      </w:r>
      <w:r>
        <w:rPr>
          <w:lang w:eastAsia="en-AU"/>
        </w:rPr>
        <w:t xml:space="preserve"> are used to form individual ‘shocks’ to productivity that drive the scenarios in the CGE modelling and analysis. The nature of these shocks is described in greater detail in Section </w:t>
      </w:r>
      <w:r>
        <w:rPr>
          <w:lang w:eastAsia="en-AU"/>
        </w:rPr>
        <w:fldChar w:fldCharType="begin"/>
      </w:r>
      <w:r>
        <w:rPr>
          <w:lang w:eastAsia="en-AU"/>
        </w:rPr>
        <w:instrText xml:space="preserve"> REF _Ref457422304 \r \h </w:instrText>
      </w:r>
      <w:r>
        <w:rPr>
          <w:lang w:eastAsia="en-AU"/>
        </w:rPr>
      </w:r>
      <w:r>
        <w:rPr>
          <w:lang w:eastAsia="en-AU"/>
        </w:rPr>
        <w:fldChar w:fldCharType="separate"/>
      </w:r>
      <w:r w:rsidR="00534F9F">
        <w:rPr>
          <w:lang w:eastAsia="en-AU"/>
        </w:rPr>
        <w:t>5.2.2</w:t>
      </w:r>
      <w:r>
        <w:rPr>
          <w:lang w:eastAsia="en-AU"/>
        </w:rPr>
        <w:fldChar w:fldCharType="end"/>
      </w:r>
      <w:r>
        <w:rPr>
          <w:lang w:eastAsia="en-AU"/>
        </w:rPr>
        <w:t>.</w:t>
      </w:r>
    </w:p>
    <w:p w:rsidR="009C6C96" w:rsidRDefault="009C6C96" w:rsidP="009C6C96">
      <w:pPr>
        <w:pStyle w:val="Heading1"/>
        <w:numPr>
          <w:ilvl w:val="0"/>
          <w:numId w:val="8"/>
        </w:numPr>
        <w:jc w:val="both"/>
        <w:rPr>
          <w:lang w:eastAsia="en-AU"/>
        </w:rPr>
      </w:pPr>
      <w:bookmarkStart w:id="146" w:name="_Ref458438595"/>
      <w:bookmarkStart w:id="147" w:name="_Toc465961203"/>
      <w:r>
        <w:rPr>
          <w:lang w:eastAsia="en-AU"/>
        </w:rPr>
        <w:lastRenderedPageBreak/>
        <w:t>Public market benefits from higher education</w:t>
      </w:r>
      <w:bookmarkEnd w:id="146"/>
      <w:bookmarkEnd w:id="147"/>
    </w:p>
    <w:p w:rsidR="009C6C96" w:rsidRDefault="009C6C96" w:rsidP="009C6C96">
      <w:pPr>
        <w:spacing w:before="240"/>
        <w:jc w:val="both"/>
      </w:pPr>
      <w:r>
        <w:t xml:space="preserve">This section describes the </w:t>
      </w:r>
      <w:r w:rsidR="00676543">
        <w:t xml:space="preserve">application </w:t>
      </w:r>
      <w:r>
        <w:t xml:space="preserve">of the economy-wide Computable General Equilibrium (CGE) model, in </w:t>
      </w:r>
      <w:r w:rsidR="00676543">
        <w:t xml:space="preserve">estimating </w:t>
      </w:r>
      <w:r>
        <w:t>benefits to the broader economy. It briefly outline</w:t>
      </w:r>
      <w:r w:rsidR="00676543">
        <w:t>s</w:t>
      </w:r>
      <w:r>
        <w:t xml:space="preserve"> the structure of the model, the underlying data and relationships that are included in the model, and the key adaptations that have been made for this purpose. </w:t>
      </w:r>
    </w:p>
    <w:p w:rsidR="009C6C96" w:rsidRDefault="009C6C96" w:rsidP="009C6C96">
      <w:pPr>
        <w:spacing w:before="240"/>
        <w:jc w:val="both"/>
      </w:pPr>
      <w:r>
        <w:t xml:space="preserve">The set of simulations applied to the CGE model will be described, as well as the sensitivity analysis associated with calibrating the parameters that govern relative scarcity between different labour market pools. </w:t>
      </w:r>
    </w:p>
    <w:p w:rsidR="009C6C96" w:rsidRDefault="009C6C96" w:rsidP="009C6C96">
      <w:pPr>
        <w:spacing w:before="240"/>
        <w:jc w:val="both"/>
        <w:rPr>
          <w:lang w:eastAsia="en-AU"/>
        </w:rPr>
      </w:pPr>
      <w:r>
        <w:rPr>
          <w:lang w:eastAsia="en-AU"/>
        </w:rPr>
        <w:t xml:space="preserve">This is the third stage of the modelling discussed in Section </w:t>
      </w:r>
      <w:r>
        <w:rPr>
          <w:lang w:eastAsia="en-AU"/>
        </w:rPr>
        <w:fldChar w:fldCharType="begin"/>
      </w:r>
      <w:r>
        <w:rPr>
          <w:lang w:eastAsia="en-AU"/>
        </w:rPr>
        <w:instrText xml:space="preserve"> REF _Ref454829395 \r \h  \* MERGEFORMAT </w:instrText>
      </w:r>
      <w:r>
        <w:rPr>
          <w:lang w:eastAsia="en-AU"/>
        </w:rPr>
      </w:r>
      <w:r>
        <w:rPr>
          <w:lang w:eastAsia="en-AU"/>
        </w:rPr>
        <w:fldChar w:fldCharType="separate"/>
      </w:r>
      <w:r w:rsidR="00534F9F">
        <w:rPr>
          <w:lang w:eastAsia="en-AU"/>
        </w:rPr>
        <w:t>3</w:t>
      </w:r>
      <w:r>
        <w:rPr>
          <w:lang w:eastAsia="en-AU"/>
        </w:rPr>
        <w:fldChar w:fldCharType="end"/>
      </w:r>
      <w:r>
        <w:rPr>
          <w:lang w:eastAsia="en-AU"/>
        </w:rPr>
        <w:t xml:space="preserve"> – see </w:t>
      </w:r>
      <w:r>
        <w:rPr>
          <w:lang w:eastAsia="en-AU"/>
        </w:rPr>
        <w:fldChar w:fldCharType="begin"/>
      </w:r>
      <w:r>
        <w:rPr>
          <w:lang w:eastAsia="en-AU"/>
        </w:rPr>
        <w:instrText xml:space="preserve"> REF _Ref457209419 \r \h </w:instrText>
      </w:r>
      <w:r>
        <w:rPr>
          <w:lang w:eastAsia="en-AU"/>
        </w:rPr>
      </w:r>
      <w:r>
        <w:rPr>
          <w:lang w:eastAsia="en-AU"/>
        </w:rPr>
        <w:fldChar w:fldCharType="separate"/>
      </w:r>
      <w:r w:rsidR="00534F9F">
        <w:rPr>
          <w:lang w:eastAsia="en-AU"/>
        </w:rPr>
        <w:t>Figure 5.1</w:t>
      </w:r>
      <w:r>
        <w:rPr>
          <w:lang w:eastAsia="en-AU"/>
        </w:rPr>
        <w:fldChar w:fldCharType="end"/>
      </w:r>
      <w:r>
        <w:rPr>
          <w:lang w:eastAsia="en-AU"/>
        </w:rPr>
        <w:t>. The key results of this</w:t>
      </w:r>
      <w:r w:rsidR="00437C3E">
        <w:rPr>
          <w:lang w:eastAsia="en-AU"/>
        </w:rPr>
        <w:t xml:space="preserve"> section are summarised in Box 5.1</w:t>
      </w:r>
      <w:r>
        <w:rPr>
          <w:lang w:eastAsia="en-AU"/>
        </w:rPr>
        <w:t>.</w:t>
      </w:r>
    </w:p>
    <w:p w:rsidR="009C6C96" w:rsidRPr="0076601A" w:rsidRDefault="009C6C96" w:rsidP="009C6C96">
      <w:pPr>
        <w:pStyle w:val="CaptionFigure"/>
        <w:numPr>
          <w:ilvl w:val="8"/>
          <w:numId w:val="8"/>
        </w:numPr>
        <w:ind w:left="0"/>
        <w:rPr>
          <w:lang w:eastAsia="en-AU"/>
        </w:rPr>
      </w:pPr>
      <w:bookmarkStart w:id="148" w:name="_Ref457209419"/>
      <w:bookmarkStart w:id="149" w:name="_Toc457375706"/>
      <w:bookmarkStart w:id="150" w:name="_Toc465961114"/>
      <w:r w:rsidRPr="0076601A">
        <w:rPr>
          <w:lang w:eastAsia="en-AU"/>
        </w:rPr>
        <w:t>: Illustrative summary of approach</w:t>
      </w:r>
      <w:bookmarkEnd w:id="148"/>
      <w:bookmarkEnd w:id="149"/>
      <w:bookmarkEnd w:id="150"/>
    </w:p>
    <w:p w:rsidR="009C6C96" w:rsidRDefault="0076601A" w:rsidP="009C6C96">
      <w:pPr>
        <w:pStyle w:val="BodyText"/>
        <w:jc w:val="center"/>
        <w:rPr>
          <w:highlight w:val="yellow"/>
          <w:lang w:eastAsia="en-AU"/>
        </w:rPr>
      </w:pPr>
      <w:r w:rsidRPr="0076601A">
        <w:rPr>
          <w:noProof/>
          <w:lang w:eastAsia="en-AU"/>
        </w:rPr>
        <w:drawing>
          <wp:inline distT="0" distB="0" distL="0" distR="0" wp14:anchorId="444414F4" wp14:editId="02E4A318">
            <wp:extent cx="5220335" cy="2315705"/>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20335" cy="2315705"/>
                    </a:xfrm>
                    <a:prstGeom prst="rect">
                      <a:avLst/>
                    </a:prstGeom>
                    <a:noFill/>
                    <a:ln>
                      <a:noFill/>
                    </a:ln>
                  </pic:spPr>
                </pic:pic>
              </a:graphicData>
            </a:graphic>
          </wp:inline>
        </w:drawing>
      </w:r>
    </w:p>
    <w:p w:rsidR="009C6C96" w:rsidRPr="004F3B1D" w:rsidRDefault="009C6C96" w:rsidP="009C6C96">
      <w:pPr>
        <w:pStyle w:val="BodyText"/>
        <w:jc w:val="center"/>
        <w:rPr>
          <w:highlight w:val="yellow"/>
          <w:lang w:eastAsia="en-AU"/>
        </w:rPr>
      </w:pPr>
    </w:p>
    <w:tbl>
      <w:tblPr>
        <w:tblStyle w:val="TableGrid"/>
        <w:tblW w:w="0" w:type="auto"/>
        <w:tblLook w:val="04A0" w:firstRow="1" w:lastRow="0" w:firstColumn="1" w:lastColumn="0" w:noHBand="0" w:noVBand="1"/>
      </w:tblPr>
      <w:tblGrid>
        <w:gridCol w:w="8211"/>
      </w:tblGrid>
      <w:tr w:rsidR="009C6C96" w:rsidTr="009C0EF1">
        <w:trPr>
          <w:trHeight w:val="10055"/>
        </w:trPr>
        <w:tc>
          <w:tcPr>
            <w:tcW w:w="8436" w:type="dxa"/>
            <w:tcBorders>
              <w:top w:val="single" w:sz="4" w:space="0" w:color="002776"/>
              <w:left w:val="single" w:sz="4" w:space="0" w:color="002776"/>
              <w:bottom w:val="single" w:sz="4" w:space="0" w:color="002776"/>
              <w:right w:val="single" w:sz="4" w:space="0" w:color="002776"/>
            </w:tcBorders>
            <w:shd w:val="clear" w:color="auto" w:fill="DCDCDC"/>
          </w:tcPr>
          <w:p w:rsidR="009C6C96" w:rsidRPr="001E610C" w:rsidRDefault="00437C3E" w:rsidP="00180687">
            <w:pPr>
              <w:pStyle w:val="Bullet1"/>
              <w:numPr>
                <w:ilvl w:val="0"/>
                <w:numId w:val="0"/>
              </w:numPr>
              <w:ind w:left="360" w:hanging="360"/>
              <w:rPr>
                <w:b/>
              </w:rPr>
            </w:pPr>
            <w:r>
              <w:rPr>
                <w:b/>
                <w:color w:val="002776"/>
              </w:rPr>
              <w:lastRenderedPageBreak/>
              <w:t>Box 5.1</w:t>
            </w:r>
            <w:r w:rsidR="009C6C96" w:rsidRPr="001E610C">
              <w:rPr>
                <w:b/>
                <w:color w:val="002776"/>
              </w:rPr>
              <w:t>: Key findings</w:t>
            </w:r>
          </w:p>
          <w:p w:rsidR="00483E2E" w:rsidRPr="00483E2E" w:rsidRDefault="009C6C96" w:rsidP="00483E2E">
            <w:pPr>
              <w:pStyle w:val="Bullet1"/>
              <w:rPr>
                <w:rStyle w:val="Boldword"/>
                <w:b w:val="0"/>
                <w:color w:val="auto"/>
              </w:rPr>
            </w:pPr>
            <w:r w:rsidRPr="001E610C">
              <w:t>There are positive spill</w:t>
            </w:r>
            <w:r w:rsidR="00676543" w:rsidRPr="001E610C">
              <w:t>-</w:t>
            </w:r>
            <w:r w:rsidRPr="001E610C">
              <w:t xml:space="preserve">over effects from increasing attainment levels for those with and without higher education. A 1% increase in the </w:t>
            </w:r>
            <w:r w:rsidR="00B27512">
              <w:t>percent</w:t>
            </w:r>
            <w:r w:rsidR="00D417FB">
              <w:t>age</w:t>
            </w:r>
            <w:r w:rsidR="00D417FB" w:rsidRPr="001E610C">
              <w:t xml:space="preserve"> </w:t>
            </w:r>
            <w:r w:rsidRPr="001E610C">
              <w:t xml:space="preserve">of individuals with a higher education qualification in a labour </w:t>
            </w:r>
            <w:r w:rsidR="001E610C" w:rsidRPr="001E610C">
              <w:t>market is associated with a 0.</w:t>
            </w:r>
            <w:r w:rsidR="001B2E2A">
              <w:t>07</w:t>
            </w:r>
            <w:r w:rsidRPr="001E610C">
              <w:t>% wage premium</w:t>
            </w:r>
            <w:r w:rsidR="00676543" w:rsidRPr="001E610C">
              <w:t xml:space="preserve"> </w:t>
            </w:r>
            <w:r w:rsidR="00D52859" w:rsidRPr="001E610C">
              <w:t>for the remaining 99% of workers in the labour force that either already have higher education training, or have not undergone higher education</w:t>
            </w:r>
            <w:r w:rsidRPr="001E610C">
              <w:t xml:space="preserve">. </w:t>
            </w:r>
            <w:r w:rsidR="00D52859" w:rsidRPr="001E610C">
              <w:t xml:space="preserve">The statistical significance of this result is subject to the precise model specification selected. </w:t>
            </w:r>
          </w:p>
          <w:p w:rsidR="00483E2E" w:rsidRPr="00483E2E" w:rsidRDefault="00483E2E" w:rsidP="00483E2E">
            <w:pPr>
              <w:pStyle w:val="Bullet1"/>
              <w:rPr>
                <w:rStyle w:val="Boldword"/>
                <w:b w:val="0"/>
                <w:color w:val="auto"/>
              </w:rPr>
            </w:pPr>
            <w:r>
              <w:rPr>
                <w:rStyle w:val="Boldword"/>
                <w:b w:val="0"/>
                <w:color w:val="auto"/>
              </w:rPr>
              <w:t xml:space="preserve">For bachelor degree </w:t>
            </w:r>
            <w:r w:rsidRPr="00172F56">
              <w:rPr>
                <w:rStyle w:val="Boldword"/>
                <w:b w:val="0"/>
                <w:color w:val="auto"/>
              </w:rPr>
              <w:t xml:space="preserve">qualifications, </w:t>
            </w:r>
            <w:r w:rsidRPr="00CD18A1">
              <w:rPr>
                <w:rStyle w:val="Boldword"/>
                <w:b w:val="0"/>
                <w:color w:val="auto"/>
              </w:rPr>
              <w:t>45%</w:t>
            </w:r>
            <w:r w:rsidRPr="00172F56">
              <w:rPr>
                <w:rStyle w:val="Boldword"/>
                <w:b w:val="0"/>
                <w:color w:val="auto"/>
              </w:rPr>
              <w:t xml:space="preserve"> of total market benefits are private (measured by post-tax earnings premiums), and </w:t>
            </w:r>
            <w:r w:rsidRPr="00CD18A1">
              <w:rPr>
                <w:rStyle w:val="Boldword"/>
                <w:b w:val="0"/>
                <w:color w:val="auto"/>
              </w:rPr>
              <w:t>55%</w:t>
            </w:r>
            <w:r w:rsidRPr="00172F56">
              <w:rPr>
                <w:rStyle w:val="Boldword"/>
                <w:b w:val="0"/>
                <w:color w:val="auto"/>
              </w:rPr>
              <w:t xml:space="preserve"> are public (measured by deviations in GNP less the private benefits)</w:t>
            </w:r>
            <w:r>
              <w:rPr>
                <w:rStyle w:val="Boldword"/>
                <w:b w:val="0"/>
                <w:color w:val="auto"/>
              </w:rPr>
              <w:t>.</w:t>
            </w:r>
          </w:p>
          <w:p w:rsidR="001E610C" w:rsidRPr="00A7318D" w:rsidRDefault="001E610C" w:rsidP="00B1661A">
            <w:pPr>
              <w:pStyle w:val="Bullet1"/>
              <w:rPr>
                <w:rStyle w:val="Boldword"/>
                <w:b w:val="0"/>
                <w:color w:val="auto"/>
              </w:rPr>
            </w:pPr>
            <w:r w:rsidRPr="00A7318D">
              <w:rPr>
                <w:rStyle w:val="Boldword"/>
                <w:b w:val="0"/>
                <w:color w:val="auto"/>
              </w:rPr>
              <w:t xml:space="preserve">There is a relatively modest level of variability across disciplines, but those with the greater relative </w:t>
            </w:r>
            <w:r w:rsidRPr="00D52859">
              <w:rPr>
                <w:rStyle w:val="Boldword"/>
                <w:b w:val="0"/>
                <w:color w:val="auto"/>
              </w:rPr>
              <w:t xml:space="preserve">public </w:t>
            </w:r>
            <w:r w:rsidRPr="00A7318D">
              <w:rPr>
                <w:rStyle w:val="Boldword"/>
                <w:b w:val="0"/>
                <w:color w:val="auto"/>
              </w:rPr>
              <w:t xml:space="preserve">return are Engineering, </w:t>
            </w:r>
            <w:r>
              <w:rPr>
                <w:rStyle w:val="Boldword"/>
                <w:b w:val="0"/>
                <w:color w:val="auto"/>
              </w:rPr>
              <w:t>Science</w:t>
            </w:r>
            <w:r w:rsidRPr="00A7318D">
              <w:rPr>
                <w:rStyle w:val="Boldword"/>
                <w:b w:val="0"/>
                <w:color w:val="auto"/>
              </w:rPr>
              <w:t xml:space="preserve"> and Business, while the disciplines with the greater relative </w:t>
            </w:r>
            <w:r w:rsidRPr="00D52859">
              <w:rPr>
                <w:rStyle w:val="Boldword"/>
                <w:b w:val="0"/>
                <w:color w:val="auto"/>
              </w:rPr>
              <w:t>private</w:t>
            </w:r>
            <w:r w:rsidRPr="00A7318D">
              <w:rPr>
                <w:rStyle w:val="Boldword"/>
                <w:b w:val="0"/>
                <w:color w:val="auto"/>
              </w:rPr>
              <w:t xml:space="preserve"> return are Education</w:t>
            </w:r>
            <w:r>
              <w:rPr>
                <w:rStyle w:val="Boldword"/>
                <w:b w:val="0"/>
                <w:color w:val="auto"/>
              </w:rPr>
              <w:t>,</w:t>
            </w:r>
            <w:r w:rsidRPr="00A7318D">
              <w:rPr>
                <w:rStyle w:val="Boldword"/>
                <w:b w:val="0"/>
                <w:color w:val="auto"/>
              </w:rPr>
              <w:t xml:space="preserve"> Arts,</w:t>
            </w:r>
            <w:r>
              <w:rPr>
                <w:rStyle w:val="Boldword"/>
                <w:b w:val="0"/>
                <w:color w:val="auto"/>
              </w:rPr>
              <w:t xml:space="preserve"> </w:t>
            </w:r>
            <w:r w:rsidRPr="00A7318D">
              <w:rPr>
                <w:rStyle w:val="Boldword"/>
                <w:b w:val="0"/>
                <w:color w:val="auto"/>
              </w:rPr>
              <w:t>and Health</w:t>
            </w:r>
            <w:r>
              <w:rPr>
                <w:rStyle w:val="Boldword"/>
                <w:b w:val="0"/>
                <w:color w:val="auto"/>
              </w:rPr>
              <w:t>.</w:t>
            </w:r>
          </w:p>
          <w:p w:rsidR="001E610C" w:rsidRPr="00CD18A1" w:rsidRDefault="001E610C" w:rsidP="00B1661A">
            <w:pPr>
              <w:pStyle w:val="Bullet2"/>
              <w:rPr>
                <w:rStyle w:val="Boldword"/>
                <w:b w:val="0"/>
                <w:color w:val="auto"/>
              </w:rPr>
            </w:pPr>
            <w:r w:rsidRPr="002861E2">
              <w:rPr>
                <w:rStyle w:val="Boldword"/>
                <w:color w:val="auto"/>
              </w:rPr>
              <w:t>Engineering graduates</w:t>
            </w:r>
            <w:r>
              <w:rPr>
                <w:rStyle w:val="Boldword"/>
                <w:b w:val="0"/>
                <w:color w:val="auto"/>
              </w:rPr>
              <w:t xml:space="preserve"> typically work in manufacturing and mining, which are capital intensive sectors, so an increase in labour productivity will have a proportionally larger investment effect; and</w:t>
            </w:r>
          </w:p>
          <w:p w:rsidR="001E610C" w:rsidRPr="005A22C5" w:rsidRDefault="001E610C" w:rsidP="00B1661A">
            <w:pPr>
              <w:pStyle w:val="Bullet2"/>
              <w:rPr>
                <w:rStyle w:val="Boldword"/>
                <w:b w:val="0"/>
                <w:color w:val="auto"/>
              </w:rPr>
            </w:pPr>
            <w:r w:rsidRPr="00CD18A1">
              <w:rPr>
                <w:rStyle w:val="Boldword"/>
                <w:color w:val="auto"/>
              </w:rPr>
              <w:t xml:space="preserve">Education </w:t>
            </w:r>
            <w:r w:rsidRPr="002861E2">
              <w:rPr>
                <w:rStyle w:val="Boldword"/>
                <w:color w:val="auto"/>
              </w:rPr>
              <w:t xml:space="preserve">graduates </w:t>
            </w:r>
            <w:r>
              <w:rPr>
                <w:rStyle w:val="Boldword"/>
                <w:b w:val="0"/>
                <w:color w:val="auto"/>
              </w:rPr>
              <w:t>typically sit in lower income tax brackets, the sector is labour intensive, and their employers are more likely to be public sector, meaning company taxes are not applicable.</w:t>
            </w:r>
          </w:p>
          <w:p w:rsidR="001E610C" w:rsidRDefault="001E610C" w:rsidP="00B1661A">
            <w:pPr>
              <w:pStyle w:val="Bullet1"/>
              <w:rPr>
                <w:rStyle w:val="Boldword"/>
                <w:b w:val="0"/>
                <w:color w:val="auto"/>
              </w:rPr>
            </w:pPr>
            <w:r>
              <w:rPr>
                <w:rStyle w:val="Boldword"/>
                <w:b w:val="0"/>
                <w:color w:val="auto"/>
              </w:rPr>
              <w:t>There is no material difference between the average postgraduate degree and bachelor degree benefit shares, this is due to offsetting effects:</w:t>
            </w:r>
          </w:p>
          <w:p w:rsidR="001E610C" w:rsidRDefault="001E610C" w:rsidP="00B1661A">
            <w:pPr>
              <w:pStyle w:val="Bullet2"/>
              <w:rPr>
                <w:rStyle w:val="Boldword"/>
                <w:b w:val="0"/>
                <w:color w:val="auto"/>
              </w:rPr>
            </w:pPr>
            <w:r w:rsidRPr="00A7318D">
              <w:rPr>
                <w:rStyle w:val="Boldword"/>
                <w:color w:val="auto"/>
              </w:rPr>
              <w:t>progressive taxation</w:t>
            </w:r>
            <w:r>
              <w:rPr>
                <w:rStyle w:val="Boldword"/>
                <w:b w:val="0"/>
                <w:color w:val="auto"/>
              </w:rPr>
              <w:t>: observed postgraduate wages are generally higher, meaning they pay a marginally greater share of their income in tax; and</w:t>
            </w:r>
          </w:p>
          <w:p w:rsidR="00436367" w:rsidRDefault="001E610C" w:rsidP="009C0EF1">
            <w:pPr>
              <w:pStyle w:val="Bullet2"/>
              <w:rPr>
                <w:rStyle w:val="Boldword"/>
                <w:b w:val="0"/>
                <w:color w:val="auto"/>
              </w:rPr>
            </w:pPr>
            <w:r>
              <w:rPr>
                <w:rStyle w:val="Boldword"/>
                <w:color w:val="auto"/>
              </w:rPr>
              <w:t>compositional effect</w:t>
            </w:r>
            <w:r w:rsidRPr="00A7318D">
              <w:rPr>
                <w:rStyle w:val="Boldword"/>
                <w:b w:val="0"/>
                <w:color w:val="auto"/>
              </w:rPr>
              <w:t>:</w:t>
            </w:r>
            <w:r>
              <w:rPr>
                <w:rStyle w:val="Boldword"/>
                <w:b w:val="0"/>
                <w:color w:val="auto"/>
              </w:rPr>
              <w:t xml:space="preserve"> bachelor degree holders tend to have qualifications in fields with greater public benefits – see Table 5.3</w:t>
            </w:r>
          </w:p>
          <w:tbl>
            <w:tblPr>
              <w:tblW w:w="8046" w:type="dxa"/>
              <w:tblCellMar>
                <w:left w:w="0" w:type="dxa"/>
                <w:right w:w="0" w:type="dxa"/>
              </w:tblCellMar>
              <w:tblLook w:val="04A0" w:firstRow="1" w:lastRow="0" w:firstColumn="1" w:lastColumn="0" w:noHBand="0" w:noVBand="1"/>
            </w:tblPr>
            <w:tblGrid>
              <w:gridCol w:w="1684"/>
              <w:gridCol w:w="811"/>
              <w:gridCol w:w="732"/>
              <w:gridCol w:w="578"/>
              <w:gridCol w:w="710"/>
              <w:gridCol w:w="710"/>
              <w:gridCol w:w="706"/>
              <w:gridCol w:w="710"/>
              <w:gridCol w:w="710"/>
              <w:gridCol w:w="679"/>
              <w:gridCol w:w="16"/>
            </w:tblGrid>
            <w:tr w:rsidR="00436367" w:rsidRPr="00574710" w:rsidTr="00331477">
              <w:trPr>
                <w:gridAfter w:val="1"/>
                <w:wAfter w:w="10" w:type="pct"/>
                <w:trHeight w:val="540"/>
              </w:trPr>
              <w:tc>
                <w:tcPr>
                  <w:tcW w:w="1046" w:type="pct"/>
                  <w:tcBorders>
                    <w:top w:val="single" w:sz="12" w:space="0" w:color="002776"/>
                    <w:left w:val="nil"/>
                    <w:bottom w:val="single" w:sz="8" w:space="0" w:color="002776"/>
                    <w:right w:val="nil"/>
                  </w:tcBorders>
                  <w:shd w:val="clear" w:color="auto" w:fill="auto"/>
                  <w:hideMark/>
                </w:tcPr>
                <w:p w:rsidR="00436367" w:rsidRPr="00444981" w:rsidRDefault="00436367" w:rsidP="00436367">
                  <w:pPr>
                    <w:outlineLvl w:val="0"/>
                    <w:rPr>
                      <w:rFonts w:asciiTheme="minorHAnsi" w:hAnsiTheme="minorHAnsi"/>
                      <w:color w:val="000000"/>
                      <w:sz w:val="20"/>
                    </w:rPr>
                  </w:pPr>
                  <w:r w:rsidRPr="00444981">
                    <w:rPr>
                      <w:rFonts w:asciiTheme="minorHAnsi" w:hAnsiTheme="minorHAnsi"/>
                      <w:color w:val="000000"/>
                      <w:sz w:val="20"/>
                    </w:rPr>
                    <w:t> </w:t>
                  </w:r>
                </w:p>
              </w:tc>
              <w:tc>
                <w:tcPr>
                  <w:tcW w:w="504" w:type="pct"/>
                  <w:tcBorders>
                    <w:top w:val="single" w:sz="12" w:space="0" w:color="002776"/>
                    <w:left w:val="nil"/>
                    <w:bottom w:val="single" w:sz="8" w:space="0" w:color="002776"/>
                    <w:right w:val="nil"/>
                  </w:tcBorders>
                  <w:shd w:val="clear" w:color="auto" w:fill="auto"/>
                  <w:vAlign w:val="center"/>
                  <w:hideMark/>
                </w:tcPr>
                <w:p w:rsidR="00436367" w:rsidRPr="00444981" w:rsidRDefault="00436367" w:rsidP="00436367">
                  <w:pPr>
                    <w:jc w:val="center"/>
                    <w:outlineLvl w:val="0"/>
                    <w:rPr>
                      <w:rFonts w:asciiTheme="minorHAnsi" w:hAnsiTheme="minorHAnsi"/>
                      <w:b/>
                      <w:bCs/>
                      <w:color w:val="002776"/>
                      <w:sz w:val="20"/>
                    </w:rPr>
                  </w:pPr>
                  <w:r w:rsidRPr="00444981">
                    <w:rPr>
                      <w:rFonts w:asciiTheme="minorHAnsi" w:hAnsiTheme="minorHAnsi"/>
                      <w:b/>
                      <w:bCs/>
                      <w:color w:val="002776"/>
                      <w:sz w:val="20"/>
                    </w:rPr>
                    <w:t>Medicine</w:t>
                  </w:r>
                </w:p>
              </w:tc>
              <w:tc>
                <w:tcPr>
                  <w:tcW w:w="455" w:type="pct"/>
                  <w:tcBorders>
                    <w:top w:val="single" w:sz="12" w:space="0" w:color="002776"/>
                    <w:left w:val="nil"/>
                    <w:bottom w:val="single" w:sz="8" w:space="0" w:color="002776"/>
                    <w:right w:val="nil"/>
                  </w:tcBorders>
                  <w:shd w:val="clear" w:color="auto" w:fill="auto"/>
                  <w:vAlign w:val="center"/>
                  <w:hideMark/>
                </w:tcPr>
                <w:p w:rsidR="00436367" w:rsidRPr="00444981" w:rsidRDefault="00436367" w:rsidP="00436367">
                  <w:pPr>
                    <w:jc w:val="center"/>
                    <w:outlineLvl w:val="0"/>
                    <w:rPr>
                      <w:rFonts w:asciiTheme="minorHAnsi" w:hAnsiTheme="minorHAnsi"/>
                      <w:b/>
                      <w:bCs/>
                      <w:color w:val="002776"/>
                      <w:sz w:val="20"/>
                    </w:rPr>
                  </w:pPr>
                  <w:r w:rsidRPr="00444981">
                    <w:rPr>
                      <w:rFonts w:asciiTheme="minorHAnsi" w:hAnsiTheme="minorHAnsi"/>
                      <w:b/>
                      <w:bCs/>
                      <w:color w:val="002776"/>
                      <w:sz w:val="20"/>
                    </w:rPr>
                    <w:t>Other Health</w:t>
                  </w:r>
                </w:p>
              </w:tc>
              <w:tc>
                <w:tcPr>
                  <w:tcW w:w="359" w:type="pct"/>
                  <w:tcBorders>
                    <w:top w:val="single" w:sz="12" w:space="0" w:color="002776"/>
                    <w:left w:val="nil"/>
                    <w:bottom w:val="single" w:sz="8" w:space="0" w:color="002776"/>
                    <w:right w:val="nil"/>
                  </w:tcBorders>
                  <w:shd w:val="clear" w:color="auto" w:fill="auto"/>
                  <w:vAlign w:val="center"/>
                  <w:hideMark/>
                </w:tcPr>
                <w:p w:rsidR="00436367" w:rsidRPr="00444981" w:rsidRDefault="00436367" w:rsidP="00436367">
                  <w:pPr>
                    <w:jc w:val="center"/>
                    <w:outlineLvl w:val="0"/>
                    <w:rPr>
                      <w:rFonts w:asciiTheme="minorHAnsi" w:hAnsiTheme="minorHAnsi"/>
                      <w:b/>
                      <w:bCs/>
                      <w:color w:val="002776"/>
                      <w:sz w:val="20"/>
                    </w:rPr>
                  </w:pPr>
                  <w:r w:rsidRPr="00444981">
                    <w:rPr>
                      <w:rFonts w:asciiTheme="minorHAnsi" w:hAnsiTheme="minorHAnsi"/>
                      <w:b/>
                      <w:bCs/>
                      <w:color w:val="002776"/>
                      <w:sz w:val="20"/>
                    </w:rPr>
                    <w:t>Educ</w:t>
                  </w:r>
                  <w:r>
                    <w:rPr>
                      <w:rFonts w:asciiTheme="minorHAnsi" w:hAnsiTheme="minorHAnsi"/>
                      <w:b/>
                      <w:bCs/>
                      <w:color w:val="002776"/>
                      <w:sz w:val="20"/>
                    </w:rPr>
                    <w:t>.</w:t>
                  </w:r>
                </w:p>
              </w:tc>
              <w:tc>
                <w:tcPr>
                  <w:tcW w:w="441" w:type="pct"/>
                  <w:tcBorders>
                    <w:top w:val="single" w:sz="12" w:space="0" w:color="002776"/>
                    <w:left w:val="nil"/>
                    <w:bottom w:val="single" w:sz="8" w:space="0" w:color="002776"/>
                    <w:right w:val="nil"/>
                  </w:tcBorders>
                  <w:shd w:val="clear" w:color="auto" w:fill="auto"/>
                  <w:vAlign w:val="center"/>
                  <w:hideMark/>
                </w:tcPr>
                <w:p w:rsidR="00436367" w:rsidRPr="00444981" w:rsidRDefault="00436367" w:rsidP="00436367">
                  <w:pPr>
                    <w:jc w:val="center"/>
                    <w:outlineLvl w:val="0"/>
                    <w:rPr>
                      <w:rFonts w:asciiTheme="minorHAnsi" w:hAnsiTheme="minorHAnsi"/>
                      <w:b/>
                      <w:bCs/>
                      <w:color w:val="002776"/>
                      <w:sz w:val="20"/>
                    </w:rPr>
                  </w:pPr>
                  <w:r w:rsidRPr="00444981">
                    <w:rPr>
                      <w:rFonts w:asciiTheme="minorHAnsi" w:hAnsiTheme="minorHAnsi"/>
                      <w:b/>
                      <w:bCs/>
                      <w:color w:val="002776"/>
                      <w:sz w:val="20"/>
                    </w:rPr>
                    <w:t>Eng</w:t>
                  </w:r>
                  <w:r>
                    <w:rPr>
                      <w:rFonts w:asciiTheme="minorHAnsi" w:hAnsiTheme="minorHAnsi"/>
                      <w:b/>
                      <w:bCs/>
                      <w:color w:val="002776"/>
                      <w:sz w:val="20"/>
                    </w:rPr>
                    <w:t>.</w:t>
                  </w:r>
                </w:p>
              </w:tc>
              <w:tc>
                <w:tcPr>
                  <w:tcW w:w="441" w:type="pct"/>
                  <w:tcBorders>
                    <w:top w:val="single" w:sz="12" w:space="0" w:color="002776"/>
                    <w:left w:val="nil"/>
                    <w:bottom w:val="single" w:sz="8" w:space="0" w:color="002776"/>
                    <w:right w:val="nil"/>
                  </w:tcBorders>
                  <w:shd w:val="clear" w:color="auto" w:fill="auto"/>
                  <w:vAlign w:val="center"/>
                  <w:hideMark/>
                </w:tcPr>
                <w:p w:rsidR="00436367" w:rsidRPr="00444981" w:rsidRDefault="00436367" w:rsidP="00436367">
                  <w:pPr>
                    <w:jc w:val="center"/>
                    <w:outlineLvl w:val="0"/>
                    <w:rPr>
                      <w:rFonts w:asciiTheme="minorHAnsi" w:hAnsiTheme="minorHAnsi"/>
                      <w:b/>
                      <w:bCs/>
                      <w:color w:val="002776"/>
                      <w:sz w:val="20"/>
                    </w:rPr>
                  </w:pPr>
                  <w:r w:rsidRPr="00444981">
                    <w:rPr>
                      <w:rFonts w:asciiTheme="minorHAnsi" w:hAnsiTheme="minorHAnsi"/>
                      <w:b/>
                      <w:bCs/>
                      <w:color w:val="002776"/>
                      <w:sz w:val="20"/>
                    </w:rPr>
                    <w:t>Bus</w:t>
                  </w:r>
                  <w:r>
                    <w:rPr>
                      <w:rFonts w:asciiTheme="minorHAnsi" w:hAnsiTheme="minorHAnsi"/>
                      <w:b/>
                      <w:bCs/>
                      <w:color w:val="002776"/>
                      <w:sz w:val="20"/>
                    </w:rPr>
                    <w:t>.</w:t>
                  </w:r>
                </w:p>
              </w:tc>
              <w:tc>
                <w:tcPr>
                  <w:tcW w:w="439" w:type="pct"/>
                  <w:tcBorders>
                    <w:top w:val="single" w:sz="12" w:space="0" w:color="002776"/>
                    <w:left w:val="nil"/>
                    <w:bottom w:val="single" w:sz="8" w:space="0" w:color="002776"/>
                    <w:right w:val="nil"/>
                  </w:tcBorders>
                  <w:shd w:val="clear" w:color="auto" w:fill="auto"/>
                  <w:vAlign w:val="center"/>
                  <w:hideMark/>
                </w:tcPr>
                <w:p w:rsidR="00436367" w:rsidRPr="00444981" w:rsidRDefault="00436367" w:rsidP="00436367">
                  <w:pPr>
                    <w:jc w:val="center"/>
                    <w:outlineLvl w:val="0"/>
                    <w:rPr>
                      <w:rFonts w:asciiTheme="minorHAnsi" w:hAnsiTheme="minorHAnsi"/>
                      <w:b/>
                      <w:bCs/>
                      <w:color w:val="002776"/>
                      <w:sz w:val="20"/>
                    </w:rPr>
                  </w:pPr>
                  <w:r w:rsidRPr="00444981">
                    <w:rPr>
                      <w:rFonts w:asciiTheme="minorHAnsi" w:hAnsiTheme="minorHAnsi"/>
                      <w:b/>
                      <w:bCs/>
                      <w:color w:val="002776"/>
                      <w:sz w:val="20"/>
                    </w:rPr>
                    <w:t>Arts</w:t>
                  </w:r>
                </w:p>
              </w:tc>
              <w:tc>
                <w:tcPr>
                  <w:tcW w:w="441" w:type="pct"/>
                  <w:tcBorders>
                    <w:top w:val="single" w:sz="12" w:space="0" w:color="002776"/>
                    <w:left w:val="nil"/>
                    <w:bottom w:val="single" w:sz="8" w:space="0" w:color="002776"/>
                    <w:right w:val="nil"/>
                  </w:tcBorders>
                  <w:shd w:val="clear" w:color="auto" w:fill="auto"/>
                  <w:vAlign w:val="center"/>
                  <w:hideMark/>
                </w:tcPr>
                <w:p w:rsidR="00436367" w:rsidRPr="00444981" w:rsidRDefault="00436367" w:rsidP="00436367">
                  <w:pPr>
                    <w:jc w:val="center"/>
                    <w:outlineLvl w:val="0"/>
                    <w:rPr>
                      <w:rFonts w:asciiTheme="minorHAnsi" w:hAnsiTheme="minorHAnsi"/>
                      <w:b/>
                      <w:bCs/>
                      <w:color w:val="002776"/>
                      <w:sz w:val="20"/>
                    </w:rPr>
                  </w:pPr>
                  <w:r w:rsidRPr="00444981">
                    <w:rPr>
                      <w:rFonts w:asciiTheme="minorHAnsi" w:hAnsiTheme="minorHAnsi"/>
                      <w:b/>
                      <w:bCs/>
                      <w:color w:val="002776"/>
                      <w:sz w:val="20"/>
                    </w:rPr>
                    <w:t>Science</w:t>
                  </w:r>
                </w:p>
              </w:tc>
              <w:tc>
                <w:tcPr>
                  <w:tcW w:w="441" w:type="pct"/>
                  <w:tcBorders>
                    <w:top w:val="single" w:sz="12" w:space="0" w:color="002776"/>
                    <w:left w:val="nil"/>
                    <w:bottom w:val="single" w:sz="8" w:space="0" w:color="002776"/>
                    <w:right w:val="nil"/>
                  </w:tcBorders>
                  <w:shd w:val="clear" w:color="auto" w:fill="auto"/>
                  <w:vAlign w:val="center"/>
                  <w:hideMark/>
                </w:tcPr>
                <w:p w:rsidR="00436367" w:rsidRPr="00444981" w:rsidRDefault="00436367" w:rsidP="00436367">
                  <w:pPr>
                    <w:jc w:val="center"/>
                    <w:outlineLvl w:val="0"/>
                    <w:rPr>
                      <w:rFonts w:asciiTheme="minorHAnsi" w:hAnsiTheme="minorHAnsi"/>
                      <w:b/>
                      <w:bCs/>
                      <w:color w:val="002776"/>
                      <w:sz w:val="20"/>
                    </w:rPr>
                  </w:pPr>
                  <w:r w:rsidRPr="00444981">
                    <w:rPr>
                      <w:rFonts w:asciiTheme="minorHAnsi" w:hAnsiTheme="minorHAnsi"/>
                      <w:b/>
                      <w:bCs/>
                      <w:color w:val="002776"/>
                      <w:sz w:val="20"/>
                    </w:rPr>
                    <w:t>IT</w:t>
                  </w:r>
                </w:p>
              </w:tc>
              <w:tc>
                <w:tcPr>
                  <w:tcW w:w="422" w:type="pct"/>
                  <w:tcBorders>
                    <w:top w:val="single" w:sz="12" w:space="0" w:color="002776"/>
                    <w:left w:val="nil"/>
                    <w:bottom w:val="single" w:sz="8" w:space="0" w:color="002776"/>
                    <w:right w:val="nil"/>
                  </w:tcBorders>
                  <w:shd w:val="clear" w:color="auto" w:fill="auto"/>
                  <w:vAlign w:val="center"/>
                  <w:hideMark/>
                </w:tcPr>
                <w:p w:rsidR="00436367" w:rsidRPr="00444981" w:rsidRDefault="00436367" w:rsidP="00436367">
                  <w:pPr>
                    <w:jc w:val="center"/>
                    <w:outlineLvl w:val="0"/>
                    <w:rPr>
                      <w:rFonts w:asciiTheme="minorHAnsi" w:hAnsiTheme="minorHAnsi"/>
                      <w:b/>
                      <w:bCs/>
                      <w:color w:val="002776"/>
                      <w:sz w:val="20"/>
                    </w:rPr>
                  </w:pPr>
                  <w:r w:rsidRPr="00444981">
                    <w:rPr>
                      <w:rFonts w:asciiTheme="minorHAnsi" w:hAnsiTheme="minorHAnsi"/>
                      <w:b/>
                      <w:bCs/>
                      <w:color w:val="002776"/>
                      <w:sz w:val="20"/>
                    </w:rPr>
                    <w:t>Ave</w:t>
                  </w:r>
                  <w:r>
                    <w:rPr>
                      <w:rFonts w:asciiTheme="minorHAnsi" w:hAnsiTheme="minorHAnsi"/>
                      <w:b/>
                      <w:bCs/>
                      <w:color w:val="002776"/>
                      <w:sz w:val="20"/>
                    </w:rPr>
                    <w:t>.</w:t>
                  </w:r>
                </w:p>
              </w:tc>
            </w:tr>
            <w:tr w:rsidR="00436367" w:rsidRPr="00574710" w:rsidTr="00331477">
              <w:trPr>
                <w:gridAfter w:val="1"/>
                <w:wAfter w:w="10" w:type="pct"/>
                <w:trHeight w:val="320"/>
              </w:trPr>
              <w:tc>
                <w:tcPr>
                  <w:tcW w:w="1046" w:type="pct"/>
                  <w:tcBorders>
                    <w:top w:val="single" w:sz="12" w:space="0" w:color="002776"/>
                    <w:left w:val="nil"/>
                    <w:right w:val="nil"/>
                  </w:tcBorders>
                  <w:shd w:val="clear" w:color="auto" w:fill="auto"/>
                </w:tcPr>
                <w:p w:rsidR="00436367" w:rsidRPr="00444981" w:rsidRDefault="00436367" w:rsidP="00436367">
                  <w:pPr>
                    <w:outlineLvl w:val="0"/>
                    <w:rPr>
                      <w:rFonts w:asciiTheme="minorHAnsi" w:hAnsiTheme="minorHAnsi"/>
                      <w:b/>
                      <w:color w:val="000000"/>
                      <w:sz w:val="20"/>
                    </w:rPr>
                  </w:pPr>
                  <w:r w:rsidRPr="00444981">
                    <w:rPr>
                      <w:rFonts w:asciiTheme="minorHAnsi" w:hAnsiTheme="minorHAnsi"/>
                      <w:b/>
                      <w:color w:val="002776" w:themeColor="accent1"/>
                      <w:sz w:val="20"/>
                    </w:rPr>
                    <w:t>Bachelor level</w:t>
                  </w:r>
                </w:p>
              </w:tc>
              <w:tc>
                <w:tcPr>
                  <w:tcW w:w="504" w:type="pct"/>
                  <w:tcBorders>
                    <w:top w:val="single" w:sz="12" w:space="0" w:color="002776"/>
                    <w:left w:val="nil"/>
                    <w:right w:val="nil"/>
                  </w:tcBorders>
                  <w:shd w:val="clear" w:color="auto" w:fill="auto"/>
                  <w:vAlign w:val="center"/>
                </w:tcPr>
                <w:p w:rsidR="00436367" w:rsidRPr="00444981" w:rsidRDefault="00436367" w:rsidP="00436367">
                  <w:pPr>
                    <w:jc w:val="center"/>
                    <w:outlineLvl w:val="0"/>
                    <w:rPr>
                      <w:rFonts w:asciiTheme="minorHAnsi" w:hAnsiTheme="minorHAnsi"/>
                      <w:b/>
                      <w:bCs/>
                      <w:color w:val="002776"/>
                      <w:sz w:val="20"/>
                    </w:rPr>
                  </w:pPr>
                </w:p>
              </w:tc>
              <w:tc>
                <w:tcPr>
                  <w:tcW w:w="455" w:type="pct"/>
                  <w:tcBorders>
                    <w:top w:val="single" w:sz="12" w:space="0" w:color="002776"/>
                    <w:left w:val="nil"/>
                    <w:right w:val="nil"/>
                  </w:tcBorders>
                  <w:shd w:val="clear" w:color="auto" w:fill="auto"/>
                  <w:vAlign w:val="center"/>
                </w:tcPr>
                <w:p w:rsidR="00436367" w:rsidRPr="00444981" w:rsidRDefault="00436367" w:rsidP="00436367">
                  <w:pPr>
                    <w:jc w:val="center"/>
                    <w:outlineLvl w:val="0"/>
                    <w:rPr>
                      <w:rFonts w:asciiTheme="minorHAnsi" w:hAnsiTheme="minorHAnsi"/>
                      <w:b/>
                      <w:bCs/>
                      <w:color w:val="002776"/>
                      <w:sz w:val="20"/>
                    </w:rPr>
                  </w:pPr>
                </w:p>
              </w:tc>
              <w:tc>
                <w:tcPr>
                  <w:tcW w:w="359" w:type="pct"/>
                  <w:tcBorders>
                    <w:top w:val="single" w:sz="12" w:space="0" w:color="002776"/>
                    <w:left w:val="nil"/>
                    <w:right w:val="nil"/>
                  </w:tcBorders>
                  <w:shd w:val="clear" w:color="auto" w:fill="auto"/>
                  <w:vAlign w:val="center"/>
                </w:tcPr>
                <w:p w:rsidR="00436367" w:rsidRPr="00444981" w:rsidRDefault="00436367" w:rsidP="00436367">
                  <w:pPr>
                    <w:jc w:val="center"/>
                    <w:outlineLvl w:val="0"/>
                    <w:rPr>
                      <w:rFonts w:asciiTheme="minorHAnsi" w:hAnsiTheme="minorHAnsi"/>
                      <w:b/>
                      <w:bCs/>
                      <w:color w:val="002776"/>
                      <w:sz w:val="20"/>
                    </w:rPr>
                  </w:pPr>
                </w:p>
              </w:tc>
              <w:tc>
                <w:tcPr>
                  <w:tcW w:w="441" w:type="pct"/>
                  <w:tcBorders>
                    <w:top w:val="single" w:sz="12" w:space="0" w:color="002776"/>
                    <w:left w:val="nil"/>
                    <w:right w:val="nil"/>
                  </w:tcBorders>
                  <w:shd w:val="clear" w:color="auto" w:fill="auto"/>
                  <w:vAlign w:val="center"/>
                </w:tcPr>
                <w:p w:rsidR="00436367" w:rsidRPr="00444981" w:rsidRDefault="00436367" w:rsidP="00436367">
                  <w:pPr>
                    <w:jc w:val="center"/>
                    <w:outlineLvl w:val="0"/>
                    <w:rPr>
                      <w:rFonts w:asciiTheme="minorHAnsi" w:hAnsiTheme="minorHAnsi"/>
                      <w:b/>
                      <w:bCs/>
                      <w:color w:val="002776"/>
                      <w:sz w:val="20"/>
                    </w:rPr>
                  </w:pPr>
                </w:p>
              </w:tc>
              <w:tc>
                <w:tcPr>
                  <w:tcW w:w="441" w:type="pct"/>
                  <w:tcBorders>
                    <w:top w:val="single" w:sz="12" w:space="0" w:color="002776"/>
                    <w:left w:val="nil"/>
                    <w:right w:val="nil"/>
                  </w:tcBorders>
                  <w:shd w:val="clear" w:color="auto" w:fill="auto"/>
                  <w:vAlign w:val="center"/>
                </w:tcPr>
                <w:p w:rsidR="00436367" w:rsidRPr="00444981" w:rsidRDefault="00436367" w:rsidP="00436367">
                  <w:pPr>
                    <w:jc w:val="center"/>
                    <w:outlineLvl w:val="0"/>
                    <w:rPr>
                      <w:rFonts w:asciiTheme="minorHAnsi" w:hAnsiTheme="minorHAnsi"/>
                      <w:b/>
                      <w:bCs/>
                      <w:color w:val="002776"/>
                      <w:sz w:val="20"/>
                    </w:rPr>
                  </w:pPr>
                </w:p>
              </w:tc>
              <w:tc>
                <w:tcPr>
                  <w:tcW w:w="439" w:type="pct"/>
                  <w:tcBorders>
                    <w:top w:val="single" w:sz="12" w:space="0" w:color="002776"/>
                    <w:left w:val="nil"/>
                    <w:right w:val="nil"/>
                  </w:tcBorders>
                  <w:shd w:val="clear" w:color="auto" w:fill="auto"/>
                  <w:vAlign w:val="center"/>
                </w:tcPr>
                <w:p w:rsidR="00436367" w:rsidRPr="00444981" w:rsidRDefault="00436367" w:rsidP="00436367">
                  <w:pPr>
                    <w:jc w:val="center"/>
                    <w:outlineLvl w:val="0"/>
                    <w:rPr>
                      <w:rFonts w:asciiTheme="minorHAnsi" w:hAnsiTheme="minorHAnsi"/>
                      <w:b/>
                      <w:bCs/>
                      <w:color w:val="002776"/>
                      <w:sz w:val="20"/>
                    </w:rPr>
                  </w:pPr>
                </w:p>
              </w:tc>
              <w:tc>
                <w:tcPr>
                  <w:tcW w:w="441" w:type="pct"/>
                  <w:tcBorders>
                    <w:top w:val="single" w:sz="12" w:space="0" w:color="002776"/>
                    <w:left w:val="nil"/>
                    <w:right w:val="nil"/>
                  </w:tcBorders>
                  <w:shd w:val="clear" w:color="auto" w:fill="auto"/>
                  <w:vAlign w:val="center"/>
                </w:tcPr>
                <w:p w:rsidR="00436367" w:rsidRPr="00444981" w:rsidRDefault="00436367" w:rsidP="00436367">
                  <w:pPr>
                    <w:jc w:val="center"/>
                    <w:outlineLvl w:val="0"/>
                    <w:rPr>
                      <w:rFonts w:asciiTheme="minorHAnsi" w:hAnsiTheme="minorHAnsi"/>
                      <w:b/>
                      <w:bCs/>
                      <w:color w:val="002776"/>
                      <w:sz w:val="20"/>
                    </w:rPr>
                  </w:pPr>
                </w:p>
              </w:tc>
              <w:tc>
                <w:tcPr>
                  <w:tcW w:w="441" w:type="pct"/>
                  <w:tcBorders>
                    <w:top w:val="single" w:sz="12" w:space="0" w:color="002776"/>
                    <w:left w:val="nil"/>
                    <w:right w:val="nil"/>
                  </w:tcBorders>
                  <w:shd w:val="clear" w:color="auto" w:fill="auto"/>
                  <w:vAlign w:val="center"/>
                </w:tcPr>
                <w:p w:rsidR="00436367" w:rsidRPr="00444981" w:rsidRDefault="00436367" w:rsidP="00436367">
                  <w:pPr>
                    <w:jc w:val="center"/>
                    <w:outlineLvl w:val="0"/>
                    <w:rPr>
                      <w:rFonts w:asciiTheme="minorHAnsi" w:hAnsiTheme="minorHAnsi"/>
                      <w:b/>
                      <w:bCs/>
                      <w:color w:val="002776"/>
                      <w:sz w:val="20"/>
                    </w:rPr>
                  </w:pPr>
                </w:p>
              </w:tc>
              <w:tc>
                <w:tcPr>
                  <w:tcW w:w="422" w:type="pct"/>
                  <w:tcBorders>
                    <w:top w:val="single" w:sz="12" w:space="0" w:color="002776"/>
                    <w:left w:val="nil"/>
                    <w:right w:val="nil"/>
                  </w:tcBorders>
                  <w:shd w:val="clear" w:color="auto" w:fill="auto"/>
                  <w:vAlign w:val="center"/>
                </w:tcPr>
                <w:p w:rsidR="00436367" w:rsidRPr="00444981" w:rsidRDefault="00436367" w:rsidP="00436367">
                  <w:pPr>
                    <w:jc w:val="center"/>
                    <w:outlineLvl w:val="0"/>
                    <w:rPr>
                      <w:rFonts w:asciiTheme="minorHAnsi" w:hAnsiTheme="minorHAnsi"/>
                      <w:b/>
                      <w:bCs/>
                      <w:color w:val="002776"/>
                      <w:sz w:val="20"/>
                    </w:rPr>
                  </w:pPr>
                </w:p>
              </w:tc>
            </w:tr>
            <w:tr w:rsidR="00436367" w:rsidRPr="002861E2" w:rsidTr="00331477">
              <w:trPr>
                <w:gridAfter w:val="1"/>
                <w:wAfter w:w="10" w:type="pct"/>
                <w:trHeight w:val="255"/>
              </w:trPr>
              <w:tc>
                <w:tcPr>
                  <w:tcW w:w="1046" w:type="pct"/>
                  <w:tcBorders>
                    <w:top w:val="nil"/>
                    <w:left w:val="nil"/>
                    <w:bottom w:val="nil"/>
                    <w:right w:val="nil"/>
                  </w:tcBorders>
                  <w:shd w:val="clear" w:color="auto" w:fill="auto"/>
                  <w:vAlign w:val="center"/>
                  <w:hideMark/>
                </w:tcPr>
                <w:p w:rsidR="00436367" w:rsidRPr="00444981" w:rsidRDefault="00436367" w:rsidP="00436367">
                  <w:pPr>
                    <w:ind w:left="108"/>
                    <w:jc w:val="both"/>
                    <w:outlineLvl w:val="0"/>
                    <w:rPr>
                      <w:rFonts w:asciiTheme="minorHAnsi" w:hAnsiTheme="minorHAnsi"/>
                      <w:i/>
                      <w:iCs/>
                      <w:color w:val="000000"/>
                      <w:sz w:val="20"/>
                    </w:rPr>
                  </w:pPr>
                  <w:r>
                    <w:rPr>
                      <w:rFonts w:asciiTheme="minorHAnsi" w:hAnsiTheme="minorHAnsi"/>
                      <w:i/>
                      <w:iCs/>
                      <w:color w:val="000000"/>
                      <w:sz w:val="20"/>
                    </w:rPr>
                    <w:t>Private benefits</w:t>
                  </w:r>
                </w:p>
              </w:tc>
              <w:tc>
                <w:tcPr>
                  <w:tcW w:w="504" w:type="pct"/>
                  <w:tcBorders>
                    <w:top w:val="nil"/>
                    <w:left w:val="nil"/>
                    <w:bottom w:val="nil"/>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20"/>
                    </w:rPr>
                    <w:t>50%</w:t>
                  </w:r>
                </w:p>
              </w:tc>
              <w:tc>
                <w:tcPr>
                  <w:tcW w:w="455" w:type="pct"/>
                  <w:tcBorders>
                    <w:top w:val="nil"/>
                    <w:left w:val="nil"/>
                    <w:bottom w:val="nil"/>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50%</w:t>
                  </w:r>
                </w:p>
              </w:tc>
              <w:tc>
                <w:tcPr>
                  <w:tcW w:w="359" w:type="pct"/>
                  <w:tcBorders>
                    <w:top w:val="nil"/>
                    <w:left w:val="nil"/>
                    <w:bottom w:val="nil"/>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51%</w:t>
                  </w:r>
                </w:p>
              </w:tc>
              <w:tc>
                <w:tcPr>
                  <w:tcW w:w="441" w:type="pct"/>
                  <w:tcBorders>
                    <w:top w:val="nil"/>
                    <w:left w:val="nil"/>
                    <w:bottom w:val="nil"/>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39%</w:t>
                  </w:r>
                </w:p>
              </w:tc>
              <w:tc>
                <w:tcPr>
                  <w:tcW w:w="441" w:type="pct"/>
                  <w:tcBorders>
                    <w:top w:val="nil"/>
                    <w:left w:val="nil"/>
                    <w:bottom w:val="nil"/>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44%</w:t>
                  </w:r>
                </w:p>
              </w:tc>
              <w:tc>
                <w:tcPr>
                  <w:tcW w:w="439" w:type="pct"/>
                  <w:tcBorders>
                    <w:top w:val="nil"/>
                    <w:left w:val="nil"/>
                    <w:bottom w:val="nil"/>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48%</w:t>
                  </w:r>
                </w:p>
              </w:tc>
              <w:tc>
                <w:tcPr>
                  <w:tcW w:w="441" w:type="pct"/>
                  <w:tcBorders>
                    <w:top w:val="nil"/>
                    <w:left w:val="nil"/>
                    <w:bottom w:val="nil"/>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41%</w:t>
                  </w:r>
                </w:p>
              </w:tc>
              <w:tc>
                <w:tcPr>
                  <w:tcW w:w="441" w:type="pct"/>
                  <w:tcBorders>
                    <w:top w:val="nil"/>
                    <w:left w:val="nil"/>
                    <w:bottom w:val="nil"/>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45%</w:t>
                  </w:r>
                </w:p>
              </w:tc>
              <w:tc>
                <w:tcPr>
                  <w:tcW w:w="422" w:type="pct"/>
                  <w:tcBorders>
                    <w:top w:val="nil"/>
                    <w:left w:val="nil"/>
                    <w:bottom w:val="nil"/>
                    <w:right w:val="nil"/>
                  </w:tcBorders>
                  <w:shd w:val="clear" w:color="auto" w:fill="auto"/>
                  <w:vAlign w:val="center"/>
                  <w:hideMark/>
                </w:tcPr>
                <w:p w:rsidR="00436367" w:rsidRPr="00F3696D" w:rsidRDefault="00436367" w:rsidP="00436367">
                  <w:pPr>
                    <w:jc w:val="center"/>
                    <w:outlineLvl w:val="0"/>
                    <w:rPr>
                      <w:rFonts w:asciiTheme="minorHAnsi" w:hAnsiTheme="minorHAnsi"/>
                      <w:b/>
                      <w:color w:val="002776" w:themeColor="accent1"/>
                      <w:sz w:val="18"/>
                    </w:rPr>
                  </w:pPr>
                  <w:r w:rsidRPr="00F3696D">
                    <w:rPr>
                      <w:b/>
                      <w:color w:val="002776" w:themeColor="accent1"/>
                      <w:sz w:val="18"/>
                      <w:szCs w:val="18"/>
                    </w:rPr>
                    <w:t>45%</w:t>
                  </w:r>
                </w:p>
              </w:tc>
            </w:tr>
            <w:tr w:rsidR="00436367" w:rsidRPr="002861E2" w:rsidTr="00331477">
              <w:trPr>
                <w:gridAfter w:val="1"/>
                <w:wAfter w:w="10" w:type="pct"/>
                <w:trHeight w:val="255"/>
              </w:trPr>
              <w:tc>
                <w:tcPr>
                  <w:tcW w:w="1046" w:type="pct"/>
                  <w:tcBorders>
                    <w:top w:val="nil"/>
                    <w:left w:val="nil"/>
                    <w:bottom w:val="single" w:sz="4" w:space="0" w:color="002776" w:themeColor="accent1"/>
                    <w:right w:val="nil"/>
                  </w:tcBorders>
                  <w:shd w:val="clear" w:color="auto" w:fill="auto"/>
                  <w:noWrap/>
                  <w:vAlign w:val="bottom"/>
                  <w:hideMark/>
                </w:tcPr>
                <w:p w:rsidR="00436367" w:rsidRPr="00444981" w:rsidRDefault="00436367" w:rsidP="00436367">
                  <w:pPr>
                    <w:ind w:left="108"/>
                    <w:outlineLvl w:val="0"/>
                    <w:rPr>
                      <w:rFonts w:asciiTheme="minorHAnsi" w:hAnsiTheme="minorHAnsi"/>
                      <w:i/>
                      <w:iCs/>
                      <w:color w:val="000000"/>
                      <w:sz w:val="20"/>
                    </w:rPr>
                  </w:pPr>
                  <w:r>
                    <w:rPr>
                      <w:rFonts w:asciiTheme="minorHAnsi" w:hAnsiTheme="minorHAnsi"/>
                      <w:i/>
                      <w:iCs/>
                      <w:color w:val="000000"/>
                      <w:sz w:val="20"/>
                    </w:rPr>
                    <w:t>Public benefits</w:t>
                  </w:r>
                </w:p>
              </w:tc>
              <w:tc>
                <w:tcPr>
                  <w:tcW w:w="504" w:type="pct"/>
                  <w:tcBorders>
                    <w:top w:val="nil"/>
                    <w:left w:val="nil"/>
                    <w:bottom w:val="single" w:sz="4" w:space="0" w:color="002776" w:themeColor="accent1"/>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50%</w:t>
                  </w:r>
                </w:p>
              </w:tc>
              <w:tc>
                <w:tcPr>
                  <w:tcW w:w="455" w:type="pct"/>
                  <w:tcBorders>
                    <w:top w:val="nil"/>
                    <w:left w:val="nil"/>
                    <w:bottom w:val="single" w:sz="4" w:space="0" w:color="002776" w:themeColor="accent1"/>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50%</w:t>
                  </w:r>
                </w:p>
              </w:tc>
              <w:tc>
                <w:tcPr>
                  <w:tcW w:w="359" w:type="pct"/>
                  <w:tcBorders>
                    <w:top w:val="nil"/>
                    <w:left w:val="nil"/>
                    <w:bottom w:val="single" w:sz="4" w:space="0" w:color="002776" w:themeColor="accent1"/>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49%</w:t>
                  </w:r>
                </w:p>
              </w:tc>
              <w:tc>
                <w:tcPr>
                  <w:tcW w:w="441" w:type="pct"/>
                  <w:tcBorders>
                    <w:top w:val="nil"/>
                    <w:left w:val="nil"/>
                    <w:bottom w:val="single" w:sz="4" w:space="0" w:color="002776" w:themeColor="accent1"/>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61%</w:t>
                  </w:r>
                </w:p>
              </w:tc>
              <w:tc>
                <w:tcPr>
                  <w:tcW w:w="441" w:type="pct"/>
                  <w:tcBorders>
                    <w:top w:val="nil"/>
                    <w:left w:val="nil"/>
                    <w:bottom w:val="single" w:sz="4" w:space="0" w:color="002776" w:themeColor="accent1"/>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56%</w:t>
                  </w:r>
                </w:p>
              </w:tc>
              <w:tc>
                <w:tcPr>
                  <w:tcW w:w="439" w:type="pct"/>
                  <w:tcBorders>
                    <w:top w:val="nil"/>
                    <w:left w:val="nil"/>
                    <w:bottom w:val="single" w:sz="4" w:space="0" w:color="002776" w:themeColor="accent1"/>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52%</w:t>
                  </w:r>
                </w:p>
              </w:tc>
              <w:tc>
                <w:tcPr>
                  <w:tcW w:w="441" w:type="pct"/>
                  <w:tcBorders>
                    <w:top w:val="nil"/>
                    <w:left w:val="nil"/>
                    <w:bottom w:val="single" w:sz="4" w:space="0" w:color="002776" w:themeColor="accent1"/>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59%</w:t>
                  </w:r>
                </w:p>
              </w:tc>
              <w:tc>
                <w:tcPr>
                  <w:tcW w:w="441" w:type="pct"/>
                  <w:tcBorders>
                    <w:top w:val="nil"/>
                    <w:left w:val="nil"/>
                    <w:bottom w:val="single" w:sz="4" w:space="0" w:color="002776" w:themeColor="accent1"/>
                    <w:right w:val="nil"/>
                  </w:tcBorders>
                  <w:shd w:val="clear" w:color="auto" w:fill="auto"/>
                  <w:vAlign w:val="center"/>
                  <w:hideMark/>
                </w:tcPr>
                <w:p w:rsidR="00436367" w:rsidRPr="00AF4C12" w:rsidRDefault="00436367" w:rsidP="00436367">
                  <w:pPr>
                    <w:jc w:val="center"/>
                    <w:outlineLvl w:val="0"/>
                    <w:rPr>
                      <w:rFonts w:asciiTheme="minorHAnsi" w:hAnsiTheme="minorHAnsi"/>
                      <w:color w:val="000000"/>
                      <w:sz w:val="18"/>
                    </w:rPr>
                  </w:pPr>
                  <w:r>
                    <w:rPr>
                      <w:color w:val="000000"/>
                      <w:sz w:val="18"/>
                      <w:szCs w:val="18"/>
                    </w:rPr>
                    <w:t>55%</w:t>
                  </w:r>
                </w:p>
              </w:tc>
              <w:tc>
                <w:tcPr>
                  <w:tcW w:w="422" w:type="pct"/>
                  <w:tcBorders>
                    <w:top w:val="nil"/>
                    <w:left w:val="nil"/>
                    <w:bottom w:val="single" w:sz="4" w:space="0" w:color="002776" w:themeColor="accent1"/>
                    <w:right w:val="nil"/>
                  </w:tcBorders>
                  <w:shd w:val="clear" w:color="auto" w:fill="auto"/>
                  <w:vAlign w:val="center"/>
                  <w:hideMark/>
                </w:tcPr>
                <w:p w:rsidR="00436367" w:rsidRPr="00F3696D" w:rsidRDefault="00436367" w:rsidP="00436367">
                  <w:pPr>
                    <w:jc w:val="center"/>
                    <w:outlineLvl w:val="0"/>
                    <w:rPr>
                      <w:rFonts w:asciiTheme="minorHAnsi" w:hAnsiTheme="minorHAnsi"/>
                      <w:b/>
                      <w:color w:val="002776" w:themeColor="accent1"/>
                      <w:sz w:val="18"/>
                    </w:rPr>
                  </w:pPr>
                  <w:r w:rsidRPr="00F3696D">
                    <w:rPr>
                      <w:b/>
                      <w:color w:val="002776" w:themeColor="accent1"/>
                      <w:sz w:val="18"/>
                      <w:szCs w:val="18"/>
                    </w:rPr>
                    <w:t>55%</w:t>
                  </w:r>
                </w:p>
              </w:tc>
            </w:tr>
            <w:tr w:rsidR="00436367" w:rsidRPr="002861E2" w:rsidTr="00331477">
              <w:trPr>
                <w:gridAfter w:val="1"/>
                <w:wAfter w:w="10" w:type="pct"/>
                <w:trHeight w:val="270"/>
              </w:trPr>
              <w:tc>
                <w:tcPr>
                  <w:tcW w:w="1046" w:type="pct"/>
                  <w:tcBorders>
                    <w:top w:val="single" w:sz="8" w:space="0" w:color="002776" w:themeColor="accent1"/>
                    <w:left w:val="nil"/>
                    <w:bottom w:val="nil"/>
                    <w:right w:val="nil"/>
                  </w:tcBorders>
                  <w:shd w:val="clear" w:color="auto" w:fill="auto"/>
                  <w:vAlign w:val="center"/>
                </w:tcPr>
                <w:p w:rsidR="00436367" w:rsidRPr="00444981" w:rsidRDefault="00436367" w:rsidP="00436367">
                  <w:pPr>
                    <w:jc w:val="both"/>
                    <w:outlineLvl w:val="0"/>
                    <w:rPr>
                      <w:rFonts w:asciiTheme="minorHAnsi" w:hAnsiTheme="minorHAnsi"/>
                      <w:b/>
                      <w:iCs/>
                      <w:color w:val="000000"/>
                      <w:sz w:val="20"/>
                    </w:rPr>
                  </w:pPr>
                  <w:r w:rsidRPr="00444981">
                    <w:rPr>
                      <w:rFonts w:asciiTheme="minorHAnsi" w:hAnsiTheme="minorHAnsi"/>
                      <w:b/>
                      <w:iCs/>
                      <w:color w:val="002776" w:themeColor="accent1"/>
                      <w:sz w:val="20"/>
                    </w:rPr>
                    <w:t>Postgraduate level</w:t>
                  </w:r>
                </w:p>
              </w:tc>
              <w:tc>
                <w:tcPr>
                  <w:tcW w:w="504" w:type="pct"/>
                  <w:tcBorders>
                    <w:top w:val="single" w:sz="8" w:space="0" w:color="002776" w:themeColor="accent1"/>
                    <w:left w:val="nil"/>
                    <w:bottom w:val="nil"/>
                    <w:right w:val="nil"/>
                  </w:tcBorders>
                  <w:shd w:val="clear" w:color="auto" w:fill="auto"/>
                  <w:vAlign w:val="center"/>
                </w:tcPr>
                <w:p w:rsidR="00436367" w:rsidRPr="00D13CF9" w:rsidRDefault="00436367" w:rsidP="00436367">
                  <w:pPr>
                    <w:jc w:val="center"/>
                    <w:outlineLvl w:val="0"/>
                    <w:rPr>
                      <w:color w:val="000000"/>
                      <w:sz w:val="18"/>
                    </w:rPr>
                  </w:pPr>
                </w:p>
              </w:tc>
              <w:tc>
                <w:tcPr>
                  <w:tcW w:w="455" w:type="pct"/>
                  <w:tcBorders>
                    <w:top w:val="single" w:sz="8" w:space="0" w:color="002776" w:themeColor="accent1"/>
                    <w:left w:val="nil"/>
                    <w:bottom w:val="nil"/>
                    <w:right w:val="nil"/>
                  </w:tcBorders>
                  <w:shd w:val="clear" w:color="auto" w:fill="auto"/>
                  <w:vAlign w:val="center"/>
                </w:tcPr>
                <w:p w:rsidR="00436367" w:rsidRPr="00D13CF9" w:rsidRDefault="00436367" w:rsidP="00436367">
                  <w:pPr>
                    <w:jc w:val="center"/>
                    <w:outlineLvl w:val="0"/>
                    <w:rPr>
                      <w:color w:val="000000"/>
                      <w:sz w:val="18"/>
                    </w:rPr>
                  </w:pPr>
                </w:p>
              </w:tc>
              <w:tc>
                <w:tcPr>
                  <w:tcW w:w="359" w:type="pct"/>
                  <w:tcBorders>
                    <w:top w:val="single" w:sz="8" w:space="0" w:color="002776" w:themeColor="accent1"/>
                    <w:left w:val="nil"/>
                    <w:bottom w:val="nil"/>
                    <w:right w:val="nil"/>
                  </w:tcBorders>
                  <w:shd w:val="clear" w:color="auto" w:fill="auto"/>
                  <w:vAlign w:val="center"/>
                </w:tcPr>
                <w:p w:rsidR="00436367" w:rsidRPr="00D13CF9" w:rsidRDefault="00436367" w:rsidP="00436367">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436367" w:rsidRPr="00D13CF9" w:rsidRDefault="00436367" w:rsidP="00436367">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436367" w:rsidRPr="00D13CF9" w:rsidRDefault="00436367" w:rsidP="00436367">
                  <w:pPr>
                    <w:jc w:val="center"/>
                    <w:outlineLvl w:val="0"/>
                    <w:rPr>
                      <w:color w:val="000000"/>
                      <w:sz w:val="18"/>
                    </w:rPr>
                  </w:pPr>
                </w:p>
              </w:tc>
              <w:tc>
                <w:tcPr>
                  <w:tcW w:w="439" w:type="pct"/>
                  <w:tcBorders>
                    <w:top w:val="single" w:sz="8" w:space="0" w:color="002776" w:themeColor="accent1"/>
                    <w:left w:val="nil"/>
                    <w:bottom w:val="nil"/>
                    <w:right w:val="nil"/>
                  </w:tcBorders>
                  <w:shd w:val="clear" w:color="auto" w:fill="auto"/>
                  <w:vAlign w:val="center"/>
                </w:tcPr>
                <w:p w:rsidR="00436367" w:rsidRPr="00D13CF9" w:rsidRDefault="00436367" w:rsidP="00436367">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436367" w:rsidRPr="00D13CF9" w:rsidRDefault="00436367" w:rsidP="00436367">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436367" w:rsidRPr="00D13CF9" w:rsidRDefault="00436367" w:rsidP="00436367">
                  <w:pPr>
                    <w:jc w:val="center"/>
                    <w:outlineLvl w:val="0"/>
                    <w:rPr>
                      <w:color w:val="000000"/>
                      <w:sz w:val="18"/>
                    </w:rPr>
                  </w:pPr>
                </w:p>
              </w:tc>
              <w:tc>
                <w:tcPr>
                  <w:tcW w:w="422" w:type="pct"/>
                  <w:tcBorders>
                    <w:top w:val="single" w:sz="8" w:space="0" w:color="002776" w:themeColor="accent1"/>
                    <w:left w:val="nil"/>
                    <w:bottom w:val="nil"/>
                    <w:right w:val="nil"/>
                  </w:tcBorders>
                  <w:shd w:val="clear" w:color="auto" w:fill="auto"/>
                  <w:vAlign w:val="center"/>
                </w:tcPr>
                <w:p w:rsidR="00436367" w:rsidRPr="00F3696D" w:rsidRDefault="00436367" w:rsidP="00436367">
                  <w:pPr>
                    <w:jc w:val="center"/>
                    <w:outlineLvl w:val="0"/>
                    <w:rPr>
                      <w:b/>
                      <w:color w:val="002776" w:themeColor="accent1"/>
                      <w:sz w:val="18"/>
                    </w:rPr>
                  </w:pPr>
                </w:p>
              </w:tc>
            </w:tr>
            <w:tr w:rsidR="00436367" w:rsidRPr="00444981" w:rsidTr="00331477">
              <w:trPr>
                <w:trHeight w:val="255"/>
              </w:trPr>
              <w:tc>
                <w:tcPr>
                  <w:tcW w:w="1046" w:type="pct"/>
                  <w:tcBorders>
                    <w:top w:val="nil"/>
                    <w:left w:val="nil"/>
                    <w:bottom w:val="nil"/>
                    <w:right w:val="nil"/>
                  </w:tcBorders>
                  <w:shd w:val="clear" w:color="auto" w:fill="auto"/>
                  <w:vAlign w:val="center"/>
                  <w:hideMark/>
                </w:tcPr>
                <w:p w:rsidR="00436367" w:rsidRPr="00444981" w:rsidRDefault="00436367" w:rsidP="00436367">
                  <w:pPr>
                    <w:ind w:left="108"/>
                    <w:jc w:val="both"/>
                    <w:outlineLvl w:val="0"/>
                    <w:rPr>
                      <w:rFonts w:asciiTheme="minorHAnsi" w:hAnsiTheme="minorHAnsi"/>
                      <w:i/>
                      <w:iCs/>
                      <w:color w:val="000000"/>
                      <w:sz w:val="20"/>
                    </w:rPr>
                  </w:pPr>
                  <w:r>
                    <w:rPr>
                      <w:rFonts w:asciiTheme="minorHAnsi" w:hAnsiTheme="minorHAnsi"/>
                      <w:i/>
                      <w:iCs/>
                      <w:color w:val="000000"/>
                      <w:sz w:val="20"/>
                    </w:rPr>
                    <w:t>Private benefits</w:t>
                  </w:r>
                </w:p>
              </w:tc>
              <w:tc>
                <w:tcPr>
                  <w:tcW w:w="504" w:type="pct"/>
                  <w:tcBorders>
                    <w:top w:val="nil"/>
                    <w:left w:val="nil"/>
                    <w:bottom w:val="nil"/>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20"/>
                    </w:rPr>
                    <w:t>49%</w:t>
                  </w:r>
                </w:p>
              </w:tc>
              <w:tc>
                <w:tcPr>
                  <w:tcW w:w="455" w:type="pct"/>
                  <w:tcBorders>
                    <w:top w:val="nil"/>
                    <w:left w:val="nil"/>
                    <w:bottom w:val="nil"/>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51%</w:t>
                  </w:r>
                </w:p>
              </w:tc>
              <w:tc>
                <w:tcPr>
                  <w:tcW w:w="359" w:type="pct"/>
                  <w:tcBorders>
                    <w:top w:val="nil"/>
                    <w:left w:val="nil"/>
                    <w:bottom w:val="nil"/>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52%</w:t>
                  </w:r>
                </w:p>
              </w:tc>
              <w:tc>
                <w:tcPr>
                  <w:tcW w:w="441" w:type="pct"/>
                  <w:tcBorders>
                    <w:top w:val="nil"/>
                    <w:left w:val="nil"/>
                    <w:bottom w:val="nil"/>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42%</w:t>
                  </w:r>
                </w:p>
              </w:tc>
              <w:tc>
                <w:tcPr>
                  <w:tcW w:w="441" w:type="pct"/>
                  <w:tcBorders>
                    <w:top w:val="nil"/>
                    <w:left w:val="nil"/>
                    <w:bottom w:val="nil"/>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44%</w:t>
                  </w:r>
                </w:p>
              </w:tc>
              <w:tc>
                <w:tcPr>
                  <w:tcW w:w="439" w:type="pct"/>
                  <w:tcBorders>
                    <w:top w:val="nil"/>
                    <w:left w:val="nil"/>
                    <w:bottom w:val="nil"/>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50%</w:t>
                  </w:r>
                </w:p>
              </w:tc>
              <w:tc>
                <w:tcPr>
                  <w:tcW w:w="441" w:type="pct"/>
                  <w:tcBorders>
                    <w:top w:val="nil"/>
                    <w:left w:val="nil"/>
                    <w:bottom w:val="nil"/>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48%</w:t>
                  </w:r>
                </w:p>
              </w:tc>
              <w:tc>
                <w:tcPr>
                  <w:tcW w:w="441" w:type="pct"/>
                  <w:tcBorders>
                    <w:top w:val="nil"/>
                    <w:left w:val="nil"/>
                    <w:bottom w:val="nil"/>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45%</w:t>
                  </w:r>
                </w:p>
              </w:tc>
              <w:tc>
                <w:tcPr>
                  <w:tcW w:w="432" w:type="pct"/>
                  <w:gridSpan w:val="2"/>
                  <w:tcBorders>
                    <w:top w:val="nil"/>
                    <w:left w:val="nil"/>
                    <w:bottom w:val="nil"/>
                    <w:right w:val="nil"/>
                  </w:tcBorders>
                  <w:shd w:val="clear" w:color="auto" w:fill="auto"/>
                  <w:vAlign w:val="center"/>
                  <w:hideMark/>
                </w:tcPr>
                <w:p w:rsidR="00436367" w:rsidRPr="00F3696D" w:rsidRDefault="00436367" w:rsidP="00436367">
                  <w:pPr>
                    <w:jc w:val="center"/>
                    <w:outlineLvl w:val="0"/>
                    <w:rPr>
                      <w:rFonts w:asciiTheme="minorHAnsi" w:hAnsiTheme="minorHAnsi"/>
                      <w:b/>
                      <w:color w:val="002776" w:themeColor="accent1"/>
                      <w:sz w:val="18"/>
                    </w:rPr>
                  </w:pPr>
                  <w:r w:rsidRPr="00F3696D">
                    <w:rPr>
                      <w:b/>
                      <w:color w:val="002776" w:themeColor="accent1"/>
                      <w:sz w:val="18"/>
                      <w:szCs w:val="18"/>
                    </w:rPr>
                    <w:t>4</w:t>
                  </w:r>
                  <w:r>
                    <w:rPr>
                      <w:b/>
                      <w:color w:val="002776" w:themeColor="accent1"/>
                      <w:sz w:val="18"/>
                      <w:szCs w:val="18"/>
                    </w:rPr>
                    <w:t>7</w:t>
                  </w:r>
                  <w:r w:rsidRPr="00F3696D">
                    <w:rPr>
                      <w:b/>
                      <w:color w:val="002776" w:themeColor="accent1"/>
                      <w:sz w:val="18"/>
                      <w:szCs w:val="18"/>
                    </w:rPr>
                    <w:t>%</w:t>
                  </w:r>
                </w:p>
              </w:tc>
            </w:tr>
            <w:tr w:rsidR="00436367" w:rsidRPr="00444981" w:rsidTr="00331477">
              <w:trPr>
                <w:trHeight w:val="483"/>
              </w:trPr>
              <w:tc>
                <w:tcPr>
                  <w:tcW w:w="1046" w:type="pct"/>
                  <w:tcBorders>
                    <w:top w:val="nil"/>
                    <w:left w:val="nil"/>
                    <w:bottom w:val="single" w:sz="4" w:space="0" w:color="002776" w:themeColor="accent1"/>
                    <w:right w:val="nil"/>
                  </w:tcBorders>
                  <w:shd w:val="clear" w:color="auto" w:fill="auto"/>
                  <w:noWrap/>
                  <w:vAlign w:val="bottom"/>
                  <w:hideMark/>
                </w:tcPr>
                <w:p w:rsidR="00436367" w:rsidRPr="00444981" w:rsidRDefault="00436367" w:rsidP="00436367">
                  <w:pPr>
                    <w:ind w:left="108"/>
                    <w:outlineLvl w:val="0"/>
                    <w:rPr>
                      <w:rFonts w:asciiTheme="minorHAnsi" w:hAnsiTheme="minorHAnsi"/>
                      <w:i/>
                      <w:iCs/>
                      <w:color w:val="000000"/>
                      <w:sz w:val="20"/>
                    </w:rPr>
                  </w:pPr>
                  <w:r>
                    <w:rPr>
                      <w:rFonts w:asciiTheme="minorHAnsi" w:hAnsiTheme="minorHAnsi"/>
                      <w:i/>
                      <w:iCs/>
                      <w:color w:val="000000"/>
                      <w:sz w:val="20"/>
                    </w:rPr>
                    <w:t>Public benefits</w:t>
                  </w:r>
                </w:p>
              </w:tc>
              <w:tc>
                <w:tcPr>
                  <w:tcW w:w="504" w:type="pct"/>
                  <w:tcBorders>
                    <w:top w:val="nil"/>
                    <w:left w:val="nil"/>
                    <w:bottom w:val="single" w:sz="4" w:space="0" w:color="002776" w:themeColor="accent1"/>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51%</w:t>
                  </w:r>
                </w:p>
              </w:tc>
              <w:tc>
                <w:tcPr>
                  <w:tcW w:w="455" w:type="pct"/>
                  <w:tcBorders>
                    <w:top w:val="nil"/>
                    <w:left w:val="nil"/>
                    <w:bottom w:val="single" w:sz="4" w:space="0" w:color="002776" w:themeColor="accent1"/>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49%</w:t>
                  </w:r>
                </w:p>
              </w:tc>
              <w:tc>
                <w:tcPr>
                  <w:tcW w:w="359" w:type="pct"/>
                  <w:tcBorders>
                    <w:top w:val="nil"/>
                    <w:left w:val="nil"/>
                    <w:bottom w:val="single" w:sz="4" w:space="0" w:color="002776" w:themeColor="accent1"/>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48%</w:t>
                  </w:r>
                </w:p>
              </w:tc>
              <w:tc>
                <w:tcPr>
                  <w:tcW w:w="441" w:type="pct"/>
                  <w:tcBorders>
                    <w:top w:val="nil"/>
                    <w:left w:val="nil"/>
                    <w:bottom w:val="single" w:sz="4" w:space="0" w:color="002776" w:themeColor="accent1"/>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58%</w:t>
                  </w:r>
                </w:p>
              </w:tc>
              <w:tc>
                <w:tcPr>
                  <w:tcW w:w="441" w:type="pct"/>
                  <w:tcBorders>
                    <w:top w:val="nil"/>
                    <w:left w:val="nil"/>
                    <w:bottom w:val="single" w:sz="4" w:space="0" w:color="002776" w:themeColor="accent1"/>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56%</w:t>
                  </w:r>
                </w:p>
              </w:tc>
              <w:tc>
                <w:tcPr>
                  <w:tcW w:w="439" w:type="pct"/>
                  <w:tcBorders>
                    <w:top w:val="nil"/>
                    <w:left w:val="nil"/>
                    <w:bottom w:val="single" w:sz="4" w:space="0" w:color="002776" w:themeColor="accent1"/>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50%</w:t>
                  </w:r>
                </w:p>
              </w:tc>
              <w:tc>
                <w:tcPr>
                  <w:tcW w:w="441" w:type="pct"/>
                  <w:tcBorders>
                    <w:top w:val="nil"/>
                    <w:left w:val="nil"/>
                    <w:bottom w:val="single" w:sz="4" w:space="0" w:color="002776" w:themeColor="accent1"/>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52%</w:t>
                  </w:r>
                </w:p>
              </w:tc>
              <w:tc>
                <w:tcPr>
                  <w:tcW w:w="441" w:type="pct"/>
                  <w:tcBorders>
                    <w:top w:val="nil"/>
                    <w:left w:val="nil"/>
                    <w:bottom w:val="single" w:sz="4" w:space="0" w:color="002776" w:themeColor="accent1"/>
                    <w:right w:val="nil"/>
                  </w:tcBorders>
                  <w:shd w:val="clear" w:color="auto" w:fill="auto"/>
                  <w:vAlign w:val="center"/>
                  <w:hideMark/>
                </w:tcPr>
                <w:p w:rsidR="00436367" w:rsidRPr="00444981" w:rsidRDefault="00436367" w:rsidP="00436367">
                  <w:pPr>
                    <w:jc w:val="center"/>
                    <w:outlineLvl w:val="0"/>
                    <w:rPr>
                      <w:rFonts w:asciiTheme="minorHAnsi" w:hAnsiTheme="minorHAnsi"/>
                      <w:color w:val="000000"/>
                      <w:sz w:val="18"/>
                    </w:rPr>
                  </w:pPr>
                  <w:r>
                    <w:rPr>
                      <w:color w:val="000000"/>
                      <w:sz w:val="18"/>
                      <w:szCs w:val="18"/>
                    </w:rPr>
                    <w:t>55%</w:t>
                  </w:r>
                </w:p>
              </w:tc>
              <w:tc>
                <w:tcPr>
                  <w:tcW w:w="432" w:type="pct"/>
                  <w:gridSpan w:val="2"/>
                  <w:tcBorders>
                    <w:top w:val="nil"/>
                    <w:left w:val="nil"/>
                    <w:bottom w:val="single" w:sz="4" w:space="0" w:color="002776" w:themeColor="accent1"/>
                    <w:right w:val="nil"/>
                  </w:tcBorders>
                  <w:shd w:val="clear" w:color="auto" w:fill="auto"/>
                  <w:vAlign w:val="center"/>
                  <w:hideMark/>
                </w:tcPr>
                <w:p w:rsidR="00436367" w:rsidRPr="00F3696D" w:rsidRDefault="00436367" w:rsidP="00436367">
                  <w:pPr>
                    <w:jc w:val="center"/>
                    <w:outlineLvl w:val="0"/>
                    <w:rPr>
                      <w:rFonts w:asciiTheme="minorHAnsi" w:hAnsiTheme="minorHAnsi"/>
                      <w:b/>
                      <w:color w:val="002776" w:themeColor="accent1"/>
                      <w:sz w:val="18"/>
                    </w:rPr>
                  </w:pPr>
                  <w:r w:rsidRPr="00F3696D">
                    <w:rPr>
                      <w:b/>
                      <w:color w:val="002776" w:themeColor="accent1"/>
                      <w:sz w:val="18"/>
                      <w:szCs w:val="18"/>
                    </w:rPr>
                    <w:t>5</w:t>
                  </w:r>
                  <w:r>
                    <w:rPr>
                      <w:b/>
                      <w:color w:val="002776" w:themeColor="accent1"/>
                      <w:sz w:val="18"/>
                      <w:szCs w:val="18"/>
                    </w:rPr>
                    <w:t>3</w:t>
                  </w:r>
                  <w:r w:rsidRPr="00F3696D">
                    <w:rPr>
                      <w:b/>
                      <w:color w:val="002776" w:themeColor="accent1"/>
                      <w:sz w:val="18"/>
                      <w:szCs w:val="18"/>
                    </w:rPr>
                    <w:t>%</w:t>
                  </w:r>
                </w:p>
              </w:tc>
            </w:tr>
          </w:tbl>
          <w:p w:rsidR="00165D6D" w:rsidRPr="00436367" w:rsidRDefault="00165D6D" w:rsidP="009C0EF1">
            <w:pPr>
              <w:pStyle w:val="Bullet2"/>
              <w:numPr>
                <w:ilvl w:val="0"/>
                <w:numId w:val="0"/>
              </w:numPr>
              <w:ind w:left="1287"/>
              <w:rPr>
                <w:rStyle w:val="Boldword"/>
                <w:b w:val="0"/>
                <w:color w:val="auto"/>
              </w:rPr>
            </w:pPr>
          </w:p>
          <w:p w:rsidR="009C6C96" w:rsidRPr="00AC1FC7" w:rsidRDefault="009C6C96" w:rsidP="00180687">
            <w:pPr>
              <w:pStyle w:val="Bullet2"/>
              <w:numPr>
                <w:ilvl w:val="0"/>
                <w:numId w:val="0"/>
              </w:numPr>
            </w:pPr>
          </w:p>
        </w:tc>
      </w:tr>
    </w:tbl>
    <w:p w:rsidR="009C6C96" w:rsidRDefault="008618E8" w:rsidP="001E610C">
      <w:pPr>
        <w:pStyle w:val="Heading2"/>
        <w:numPr>
          <w:ilvl w:val="1"/>
          <w:numId w:val="39"/>
        </w:numPr>
        <w:jc w:val="both"/>
        <w:rPr>
          <w:lang w:eastAsia="en-AU"/>
        </w:rPr>
      </w:pPr>
      <w:bookmarkStart w:id="151" w:name="_Ref457329098"/>
      <w:bookmarkStart w:id="152" w:name="_Toc457412184"/>
      <w:r>
        <w:rPr>
          <w:lang w:eastAsia="en-AU"/>
        </w:rPr>
        <w:t xml:space="preserve"> </w:t>
      </w:r>
      <w:bookmarkStart w:id="153" w:name="_Toc465961204"/>
      <w:r w:rsidR="009C6C96" w:rsidRPr="00CA0497">
        <w:rPr>
          <w:lang w:eastAsia="en-AU"/>
        </w:rPr>
        <w:t>Determining the labour market spillovers for those wi</w:t>
      </w:r>
      <w:r w:rsidR="009C6C96">
        <w:rPr>
          <w:lang w:eastAsia="en-AU"/>
        </w:rPr>
        <w:t>th and without higher education</w:t>
      </w:r>
      <w:bookmarkEnd w:id="151"/>
      <w:bookmarkEnd w:id="152"/>
      <w:bookmarkEnd w:id="153"/>
    </w:p>
    <w:p w:rsidR="00977C78" w:rsidRPr="00745596" w:rsidRDefault="009C6C96" w:rsidP="009C6C96">
      <w:pPr>
        <w:pStyle w:val="Heading3"/>
        <w:numPr>
          <w:ilvl w:val="2"/>
          <w:numId w:val="8"/>
        </w:numPr>
        <w:rPr>
          <w:rStyle w:val="Boldword"/>
          <w:b w:val="0"/>
          <w:color w:val="00A1DE"/>
          <w:sz w:val="28"/>
        </w:rPr>
      </w:pPr>
      <w:r>
        <w:rPr>
          <w:lang w:eastAsia="en-AU"/>
        </w:rPr>
        <w:t>The empirical model</w:t>
      </w:r>
    </w:p>
    <w:p w:rsidR="009C6C96" w:rsidRPr="005D749D" w:rsidRDefault="009C6C96" w:rsidP="009C6C96">
      <w:pPr>
        <w:pStyle w:val="BodyText"/>
        <w:rPr>
          <w:rStyle w:val="Boldword"/>
        </w:rPr>
      </w:pPr>
      <w:r w:rsidRPr="005D749D">
        <w:rPr>
          <w:rStyle w:val="Boldword"/>
        </w:rPr>
        <w:t>Determining the labour market spillovers for those with and without higher education</w:t>
      </w:r>
    </w:p>
    <w:p w:rsidR="009C6C96" w:rsidRDefault="009C6C96" w:rsidP="009C6C96">
      <w:pPr>
        <w:pStyle w:val="BodyText"/>
      </w:pPr>
      <w:r>
        <w:lastRenderedPageBreak/>
        <w:t>This stream of the econometric analysis tests the relative</w:t>
      </w:r>
      <w:r w:rsidR="003A62DA">
        <w:t xml:space="preserve"> </w:t>
      </w:r>
      <w:r w:rsidR="00A7129C">
        <w:t xml:space="preserve">estimates </w:t>
      </w:r>
      <w:r w:rsidR="00E105A9">
        <w:t xml:space="preserve">of </w:t>
      </w:r>
      <w:r w:rsidR="00A7129C">
        <w:t xml:space="preserve">the effect on wages of increased higher educational attainment, in the Australian context. The analysis is similar to work undertaken by Moretti (2004) and Clarke &amp; Skuterud (2013), which has been described in greater detail in </w:t>
      </w:r>
      <w:r w:rsidR="00745596">
        <w:t>Section</w:t>
      </w:r>
      <w:r w:rsidR="00A7129C">
        <w:t xml:space="preserve"> </w:t>
      </w:r>
      <w:r w:rsidR="00A7129C">
        <w:fldChar w:fldCharType="begin"/>
      </w:r>
      <w:r w:rsidR="00A7129C">
        <w:instrText xml:space="preserve"> REF _Ref457422319 \r \h </w:instrText>
      </w:r>
      <w:r w:rsidR="00A7129C">
        <w:fldChar w:fldCharType="separate"/>
      </w:r>
      <w:r w:rsidR="00534F9F">
        <w:t>2</w:t>
      </w:r>
      <w:r w:rsidR="00A7129C">
        <w:fldChar w:fldCharType="end"/>
      </w:r>
      <w:r w:rsidR="00A7129C">
        <w:t xml:space="preserve">.  </w:t>
      </w:r>
      <w:r>
        <w:t xml:space="preserve"> </w:t>
      </w:r>
    </w:p>
    <w:p w:rsidR="00BE008E" w:rsidRDefault="009C6C96" w:rsidP="00BE008E">
      <w:pPr>
        <w:pStyle w:val="BodyText"/>
      </w:pPr>
      <w:r>
        <w:t xml:space="preserve">This modelling seeks to illustrate how greater levels of higher skilled workers in a region affects the average wages for both lower and higher skilled labour pools. </w:t>
      </w:r>
      <w:r w:rsidR="00A7129C">
        <w:t>Other things equal, w</w:t>
      </w:r>
      <w:r>
        <w:t>hil</w:t>
      </w:r>
      <w:r w:rsidR="00676543">
        <w:t>e</w:t>
      </w:r>
      <w:r>
        <w:t xml:space="preserve"> being higher skilled increases an individual’s wages</w:t>
      </w:r>
      <w:r w:rsidR="00A7129C">
        <w:t xml:space="preserve"> through the productivity effect</w:t>
      </w:r>
      <w:r>
        <w:t xml:space="preserve">, increasing the share of workers that have higher education </w:t>
      </w:r>
      <w:r w:rsidR="00A7129C">
        <w:t xml:space="preserve">decreases the relative scarcity of higher educated workers and conversely </w:t>
      </w:r>
      <w:r>
        <w:t>increase</w:t>
      </w:r>
      <w:r w:rsidR="00A7129C">
        <w:t>s</w:t>
      </w:r>
      <w:r>
        <w:t xml:space="preserve"> the relative scarcity of lower educated workers</w:t>
      </w:r>
      <w:r w:rsidR="00A7129C">
        <w:t>.</w:t>
      </w:r>
      <w:r>
        <w:t xml:space="preserve"> </w:t>
      </w:r>
      <w:r w:rsidR="00A7129C">
        <w:t>T</w:t>
      </w:r>
      <w:r>
        <w:t>h</w:t>
      </w:r>
      <w:r w:rsidR="00A7129C">
        <w:t>ese</w:t>
      </w:r>
      <w:r>
        <w:t xml:space="preserve"> change</w:t>
      </w:r>
      <w:r w:rsidR="00A7129C">
        <w:t>s</w:t>
      </w:r>
      <w:r>
        <w:t xml:space="preserve"> in relative scarcity </w:t>
      </w:r>
      <w:r w:rsidR="00A7129C">
        <w:t xml:space="preserve">may </w:t>
      </w:r>
      <w:r>
        <w:t xml:space="preserve">affect wage rates, adding upward pressure on lower educated worker wages and downward pressure on more highly educated workers. </w:t>
      </w:r>
    </w:p>
    <w:p w:rsidR="00BE008E" w:rsidRDefault="00BE008E" w:rsidP="00BE008E">
      <w:pPr>
        <w:pStyle w:val="BodyText"/>
      </w:pPr>
      <w:r>
        <w:t xml:space="preserve">The estimation uses the HILDA data, with regions defined by an ARIA remoteness level in a given State. For example, one of the regions is Inner Regional Victoria.  There are </w:t>
      </w:r>
      <w:r w:rsidR="0016248B">
        <w:t>2</w:t>
      </w:r>
      <w:r w:rsidR="00182F60">
        <w:t>5</w:t>
      </w:r>
      <w:r>
        <w:t xml:space="preserve"> regions in total.</w:t>
      </w:r>
    </w:p>
    <w:p w:rsidR="00BE008E" w:rsidRDefault="003A62DA" w:rsidP="00BE008E">
      <w:pPr>
        <w:pStyle w:val="BodyText"/>
      </w:pPr>
      <w:r>
        <w:t>Chart 5.1</w:t>
      </w:r>
      <w:r w:rsidR="00BE008E" w:rsidRPr="00BF76CF">
        <w:t xml:space="preserve"> </w:t>
      </w:r>
      <w:r w:rsidR="00BE008E">
        <w:t xml:space="preserve">below </w:t>
      </w:r>
      <w:r w:rsidR="00BE008E" w:rsidRPr="00BF76CF">
        <w:t xml:space="preserve">shows the distribution of </w:t>
      </w:r>
      <w:r w:rsidR="00BE008E">
        <w:t xml:space="preserve">post-school educational </w:t>
      </w:r>
      <w:r w:rsidR="00BE008E" w:rsidRPr="00BF76CF">
        <w:t>attainment across regions</w:t>
      </w:r>
      <w:r w:rsidR="00BE008E">
        <w:t xml:space="preserve">. Regions are represented at each qualification level, hence across the chart, regions are represented five times. Across the columns, the qualification shares for a given region will sum to 100%. The size of each bubble shows the number of observations of a given qualification level in a given region. </w:t>
      </w:r>
    </w:p>
    <w:p w:rsidR="00BE008E" w:rsidRDefault="00BE008E" w:rsidP="00BE008E">
      <w:pPr>
        <w:pStyle w:val="BodyText"/>
      </w:pPr>
      <w:r>
        <w:t>The chart shows that there is a good degree of variability in the qualification mix across regions, with the less populated regions (fewer observations and smaller circles) tending to have lower levels of educational attainment. For this reason, population density is included as an explanatory variable in the preferred model specification.</w:t>
      </w:r>
    </w:p>
    <w:p w:rsidR="00BE008E" w:rsidRDefault="00BE008E" w:rsidP="00BE008E">
      <w:pPr>
        <w:pStyle w:val="BodyText"/>
      </w:pPr>
      <w:r>
        <w:t>The wage model is estimated as a pooled OLS regression that utilises data from all waves of the HILDA survey. It uses an indicator for whether an individual has a higher education qualification (bachelor degree or higher) and incorporates a set of labour market variables for each region:</w:t>
      </w:r>
    </w:p>
    <w:p w:rsidR="00BE008E" w:rsidRDefault="00BE008E" w:rsidP="00BE008E">
      <w:pPr>
        <w:pStyle w:val="Bullet1"/>
      </w:pPr>
      <w:r>
        <w:t>the proportion of individuals with a higher education qualification (bachelor degree or higher) for the region;</w:t>
      </w:r>
    </w:p>
    <w:p w:rsidR="00BE008E" w:rsidRDefault="00BE008E" w:rsidP="00BE008E">
      <w:pPr>
        <w:pStyle w:val="Bullet1"/>
      </w:pPr>
      <w:r>
        <w:t xml:space="preserve">the unemployment rate for the region; and </w:t>
      </w:r>
    </w:p>
    <w:p w:rsidR="00BE008E" w:rsidRPr="00BF76CF" w:rsidRDefault="00BE008E" w:rsidP="00BE008E">
      <w:pPr>
        <w:pStyle w:val="Bullet1"/>
      </w:pPr>
      <w:proofErr w:type="gramStart"/>
      <w:r>
        <w:t>the</w:t>
      </w:r>
      <w:proofErr w:type="gramEnd"/>
      <w:r>
        <w:t xml:space="preserve"> population density of the region. </w:t>
      </w:r>
    </w:p>
    <w:p w:rsidR="00BE008E" w:rsidRPr="00BF76CF" w:rsidRDefault="00BE008E" w:rsidP="00BE008E">
      <w:pPr>
        <w:pStyle w:val="BodyText"/>
      </w:pPr>
      <w:r>
        <w:rPr>
          <w:lang w:eastAsia="en-AU"/>
        </w:rPr>
        <w:t>The full specifications of models used are reported in Appendix B. Various specifications of the model were tested, and the rationale for the final specification chosen is also provided in Appendix B.</w:t>
      </w:r>
    </w:p>
    <w:p w:rsidR="00BE008E" w:rsidRDefault="00BE008E" w:rsidP="009C0EF1">
      <w:pPr>
        <w:pStyle w:val="CaptionChart"/>
        <w:numPr>
          <w:ilvl w:val="7"/>
          <w:numId w:val="44"/>
        </w:numPr>
      </w:pPr>
      <w:bookmarkStart w:id="154" w:name="_Toc465961155"/>
      <w:r>
        <w:lastRenderedPageBreak/>
        <w:t>: Educational attainment, by region</w:t>
      </w:r>
      <w:bookmarkEnd w:id="154"/>
    </w:p>
    <w:p w:rsidR="00BE008E" w:rsidRDefault="00BE008E" w:rsidP="00BE008E">
      <w:pPr>
        <w:pStyle w:val="Source"/>
        <w:jc w:val="center"/>
      </w:pPr>
      <w:r>
        <w:rPr>
          <w:noProof/>
          <w:lang w:eastAsia="en-AU"/>
        </w:rPr>
        <w:drawing>
          <wp:inline distT="0" distB="0" distL="0" distR="0" wp14:anchorId="18518A04" wp14:editId="0B287B13">
            <wp:extent cx="4178596" cy="42673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78596" cy="4267387"/>
                    </a:xfrm>
                    <a:prstGeom prst="rect">
                      <a:avLst/>
                    </a:prstGeom>
                    <a:noFill/>
                  </pic:spPr>
                </pic:pic>
              </a:graphicData>
            </a:graphic>
          </wp:inline>
        </w:drawing>
      </w:r>
    </w:p>
    <w:p w:rsidR="00BE008E" w:rsidRDefault="00BE008E" w:rsidP="00DA4CA5">
      <w:pPr>
        <w:pStyle w:val="Source"/>
      </w:pPr>
      <w:r>
        <w:t xml:space="preserve">Source: HILDA, Deloitte Access Economics calculations. Note: Size of the bubble represents the number of observations in each region. </w:t>
      </w:r>
    </w:p>
    <w:p w:rsidR="009C6C96" w:rsidRDefault="009C6C96" w:rsidP="009C6C96">
      <w:pPr>
        <w:pStyle w:val="Heading3"/>
        <w:numPr>
          <w:ilvl w:val="2"/>
          <w:numId w:val="8"/>
        </w:numPr>
        <w:rPr>
          <w:lang w:eastAsia="en-AU"/>
        </w:rPr>
      </w:pPr>
      <w:r>
        <w:rPr>
          <w:lang w:eastAsia="en-AU"/>
        </w:rPr>
        <w:t>Results and discussion</w:t>
      </w:r>
    </w:p>
    <w:p w:rsidR="009C6C96" w:rsidRDefault="009C6C96" w:rsidP="009C6C96">
      <w:pPr>
        <w:pStyle w:val="BodyText"/>
        <w:rPr>
          <w:lang w:eastAsia="en-AU"/>
        </w:rPr>
      </w:pPr>
      <w:bookmarkStart w:id="155" w:name="_Toc457375698"/>
      <w:r>
        <w:rPr>
          <w:lang w:eastAsia="en-AU"/>
        </w:rPr>
        <w:t>The results demonstrate that there is a positive relationship between wages (for individuals both with and without higher education qualifications) and the proportion of individuals within a labour market region with higher education qualifications (</w:t>
      </w:r>
      <w:r w:rsidR="003A62DA">
        <w:rPr>
          <w:lang w:eastAsia="en-AU"/>
        </w:rPr>
        <w:fldChar w:fldCharType="begin"/>
      </w:r>
      <w:r w:rsidR="003A62DA">
        <w:rPr>
          <w:lang w:eastAsia="en-AU"/>
        </w:rPr>
        <w:instrText xml:space="preserve"> REF _Ref460446663 \r \h </w:instrText>
      </w:r>
      <w:r w:rsidR="003A62DA">
        <w:rPr>
          <w:lang w:eastAsia="en-AU"/>
        </w:rPr>
      </w:r>
      <w:r w:rsidR="003A62DA">
        <w:rPr>
          <w:lang w:eastAsia="en-AU"/>
        </w:rPr>
        <w:fldChar w:fldCharType="separate"/>
      </w:r>
      <w:r w:rsidR="00534F9F">
        <w:rPr>
          <w:lang w:eastAsia="en-AU"/>
        </w:rPr>
        <w:t>Table 5.2</w:t>
      </w:r>
      <w:r w:rsidR="003A62DA">
        <w:rPr>
          <w:lang w:eastAsia="en-AU"/>
        </w:rPr>
        <w:fldChar w:fldCharType="end"/>
      </w:r>
      <w:r>
        <w:rPr>
          <w:lang w:eastAsia="en-AU"/>
        </w:rPr>
        <w:t xml:space="preserve">). </w:t>
      </w:r>
    </w:p>
    <w:p w:rsidR="009C6C96" w:rsidRDefault="009C6C96" w:rsidP="009C6C96">
      <w:pPr>
        <w:pStyle w:val="CaptionTable"/>
        <w:numPr>
          <w:ilvl w:val="6"/>
          <w:numId w:val="8"/>
        </w:numPr>
        <w:ind w:left="0"/>
      </w:pPr>
      <w:bookmarkStart w:id="156" w:name="_Toc461018708"/>
      <w:bookmarkStart w:id="157" w:name="_Toc461084171"/>
      <w:bookmarkStart w:id="158" w:name="_Toc461104155"/>
      <w:bookmarkStart w:id="159" w:name="_Ref457389519"/>
      <w:bookmarkStart w:id="160" w:name="_Ref460446663"/>
      <w:bookmarkStart w:id="161" w:name="_Toc465961128"/>
      <w:bookmarkEnd w:id="156"/>
      <w:bookmarkEnd w:id="157"/>
      <w:bookmarkEnd w:id="158"/>
      <w:r>
        <w:t xml:space="preserve">: </w:t>
      </w:r>
      <w:bookmarkEnd w:id="155"/>
      <w:r w:rsidR="00B27512">
        <w:t>L</w:t>
      </w:r>
      <w:r>
        <w:t>abour market spillover analysis</w:t>
      </w:r>
      <w:bookmarkEnd w:id="159"/>
      <w:r w:rsidR="003A3155">
        <w:t>, key regression results</w:t>
      </w:r>
      <w:bookmarkEnd w:id="160"/>
      <w:bookmarkEnd w:id="161"/>
    </w:p>
    <w:tbl>
      <w:tblPr>
        <w:tblStyle w:val="TableAE"/>
        <w:tblW w:w="0" w:type="auto"/>
        <w:jc w:val="left"/>
        <w:tblLayout w:type="fixed"/>
        <w:tblLook w:val="04A0" w:firstRow="1" w:lastRow="0" w:firstColumn="1" w:lastColumn="0" w:noHBand="0" w:noVBand="1"/>
      </w:tblPr>
      <w:tblGrid>
        <w:gridCol w:w="2812"/>
        <w:gridCol w:w="2812"/>
        <w:gridCol w:w="2812"/>
      </w:tblGrid>
      <w:tr w:rsidR="009C6C96" w:rsidTr="00845D7F">
        <w:trPr>
          <w:cnfStyle w:val="100000000000" w:firstRow="1" w:lastRow="0" w:firstColumn="0" w:lastColumn="0" w:oddVBand="0" w:evenVBand="0" w:oddHBand="0" w:evenHBand="0" w:firstRowFirstColumn="0" w:firstRowLastColumn="0" w:lastRowFirstColumn="0" w:lastRowLastColumn="0"/>
          <w:jc w:val="left"/>
        </w:trPr>
        <w:tc>
          <w:tcPr>
            <w:tcW w:w="2812" w:type="dxa"/>
            <w:vAlign w:val="bottom"/>
          </w:tcPr>
          <w:p w:rsidR="009C6C96" w:rsidRDefault="009C6C96" w:rsidP="00180687">
            <w:pPr>
              <w:pStyle w:val="TableHeadingCentre"/>
            </w:pPr>
          </w:p>
        </w:tc>
        <w:tc>
          <w:tcPr>
            <w:tcW w:w="2812" w:type="dxa"/>
            <w:vAlign w:val="center"/>
          </w:tcPr>
          <w:p w:rsidR="009C6C96" w:rsidRDefault="00303C93" w:rsidP="00180687">
            <w:pPr>
              <w:pStyle w:val="TableHeadingCentre"/>
            </w:pPr>
            <w:r>
              <w:t>Individual with higher education qualification</w:t>
            </w:r>
          </w:p>
        </w:tc>
        <w:tc>
          <w:tcPr>
            <w:tcW w:w="2812" w:type="dxa"/>
            <w:vAlign w:val="center"/>
          </w:tcPr>
          <w:p w:rsidR="009C6C96" w:rsidRDefault="009C6C96" w:rsidP="00180687">
            <w:pPr>
              <w:pStyle w:val="TableHeadingCentre"/>
            </w:pPr>
            <w:r>
              <w:t xml:space="preserve">Proportion </w:t>
            </w:r>
            <w:r w:rsidR="00182F60">
              <w:t xml:space="preserve">of regional labour market </w:t>
            </w:r>
            <w:r>
              <w:t>with higher education qualification</w:t>
            </w:r>
          </w:p>
        </w:tc>
      </w:tr>
      <w:tr w:rsidR="009C6C96" w:rsidTr="00845D7F">
        <w:trPr>
          <w:jc w:val="left"/>
        </w:trPr>
        <w:tc>
          <w:tcPr>
            <w:tcW w:w="2812" w:type="dxa"/>
            <w:vAlign w:val="bottom"/>
          </w:tcPr>
          <w:p w:rsidR="009C6C96" w:rsidRDefault="00057A20" w:rsidP="00180687">
            <w:pPr>
              <w:pStyle w:val="TabletextCentre"/>
              <w:jc w:val="left"/>
            </w:pPr>
            <w:r>
              <w:t>Labour market overall</w:t>
            </w:r>
          </w:p>
        </w:tc>
        <w:tc>
          <w:tcPr>
            <w:tcW w:w="2812" w:type="dxa"/>
            <w:vAlign w:val="bottom"/>
          </w:tcPr>
          <w:p w:rsidR="009C6C96" w:rsidRDefault="00303C93" w:rsidP="00180687">
            <w:pPr>
              <w:pStyle w:val="TabletextCentre"/>
            </w:pPr>
            <w:r>
              <w:t>N/A</w:t>
            </w:r>
          </w:p>
        </w:tc>
        <w:tc>
          <w:tcPr>
            <w:tcW w:w="2812" w:type="dxa"/>
            <w:vAlign w:val="bottom"/>
          </w:tcPr>
          <w:p w:rsidR="009C6C96" w:rsidRDefault="009C6C96" w:rsidP="00180687">
            <w:pPr>
              <w:pStyle w:val="TabletextCentre"/>
            </w:pPr>
            <w:r>
              <w:t>0.</w:t>
            </w:r>
            <w:r w:rsidR="009F2F0B">
              <w:t>07</w:t>
            </w:r>
          </w:p>
        </w:tc>
      </w:tr>
      <w:tr w:rsidR="009C6C96" w:rsidTr="00845D7F">
        <w:trPr>
          <w:jc w:val="left"/>
        </w:trPr>
        <w:tc>
          <w:tcPr>
            <w:tcW w:w="2812" w:type="dxa"/>
            <w:vAlign w:val="bottom"/>
          </w:tcPr>
          <w:p w:rsidR="009C6C96" w:rsidRDefault="00057A20" w:rsidP="00057A20">
            <w:pPr>
              <w:pStyle w:val="TabletextCentre"/>
              <w:jc w:val="left"/>
            </w:pPr>
            <w:r>
              <w:t>Additional effect for those with h</w:t>
            </w:r>
            <w:r w:rsidR="009C6C96">
              <w:t>igher education</w:t>
            </w:r>
            <w:r>
              <w:t xml:space="preserve"> qual</w:t>
            </w:r>
          </w:p>
        </w:tc>
        <w:tc>
          <w:tcPr>
            <w:tcW w:w="2812" w:type="dxa"/>
            <w:vAlign w:val="bottom"/>
          </w:tcPr>
          <w:p w:rsidR="009C6C96" w:rsidRDefault="009F2F0B" w:rsidP="00180687">
            <w:pPr>
              <w:pStyle w:val="TabletextCentre"/>
            </w:pPr>
            <w:r>
              <w:t>0.173***</w:t>
            </w:r>
          </w:p>
        </w:tc>
        <w:tc>
          <w:tcPr>
            <w:tcW w:w="2812" w:type="dxa"/>
            <w:vAlign w:val="bottom"/>
          </w:tcPr>
          <w:p w:rsidR="009C6C96" w:rsidRDefault="009C6C96" w:rsidP="00180687">
            <w:pPr>
              <w:pStyle w:val="TabletextCentre"/>
            </w:pPr>
            <w:r>
              <w:t>0.</w:t>
            </w:r>
            <w:r w:rsidR="009F2F0B">
              <w:t>02</w:t>
            </w:r>
          </w:p>
        </w:tc>
      </w:tr>
    </w:tbl>
    <w:p w:rsidR="009C6C96" w:rsidRDefault="009C6C96" w:rsidP="009C6C96">
      <w:pPr>
        <w:pStyle w:val="Source"/>
        <w:rPr>
          <w:lang w:eastAsia="en-AU"/>
        </w:rPr>
      </w:pPr>
      <w:r>
        <w:t xml:space="preserve">Source: HILDA, Deloitte Access Economics. </w:t>
      </w:r>
      <w:r>
        <w:rPr>
          <w:lang w:eastAsia="en-AU"/>
        </w:rPr>
        <w:t xml:space="preserve">Note: *** represents significance at the 1% level; ** at the 5% level; and * at the 10% level. </w:t>
      </w:r>
    </w:p>
    <w:p w:rsidR="009C6C96" w:rsidRDefault="009C6C96" w:rsidP="009C6C96">
      <w:pPr>
        <w:pStyle w:val="BodyText"/>
        <w:rPr>
          <w:lang w:eastAsia="en-AU"/>
        </w:rPr>
      </w:pPr>
      <w:r w:rsidRPr="004F1C23">
        <w:rPr>
          <w:lang w:eastAsia="en-AU"/>
        </w:rPr>
        <w:t xml:space="preserve">The results suggest that having more higher education graduates in a labour market is a positive influence on wages, regardless of whether an individual has or does not have a </w:t>
      </w:r>
      <w:r w:rsidRPr="004F1C23">
        <w:rPr>
          <w:lang w:eastAsia="en-AU"/>
        </w:rPr>
        <w:lastRenderedPageBreak/>
        <w:t>higher education degree.</w:t>
      </w:r>
      <w:r>
        <w:rPr>
          <w:lang w:eastAsia="en-AU"/>
        </w:rPr>
        <w:t xml:space="preserve"> </w:t>
      </w:r>
      <w:r w:rsidR="00676543">
        <w:rPr>
          <w:lang w:eastAsia="en-AU"/>
        </w:rPr>
        <w:t>More specifically, it demonstrates that</w:t>
      </w:r>
      <w:r>
        <w:rPr>
          <w:lang w:eastAsia="en-AU"/>
        </w:rPr>
        <w:t xml:space="preserve"> a 1% increase in the </w:t>
      </w:r>
      <w:r w:rsidR="00B27512">
        <w:rPr>
          <w:lang w:eastAsia="en-AU"/>
        </w:rPr>
        <w:t>percent</w:t>
      </w:r>
      <w:r w:rsidR="00D417FB">
        <w:rPr>
          <w:lang w:eastAsia="en-AU"/>
        </w:rPr>
        <w:t xml:space="preserve">age </w:t>
      </w:r>
      <w:r>
        <w:rPr>
          <w:lang w:eastAsia="en-AU"/>
        </w:rPr>
        <w:t xml:space="preserve">of individuals with a higher education qualification in a region is associated with a </w:t>
      </w:r>
      <w:r w:rsidR="00D417FB">
        <w:rPr>
          <w:lang w:eastAsia="en-AU"/>
        </w:rPr>
        <w:t>0</w:t>
      </w:r>
      <w:r w:rsidR="001B2E2A">
        <w:rPr>
          <w:lang w:eastAsia="en-AU"/>
        </w:rPr>
        <w:t>.0</w:t>
      </w:r>
      <w:r w:rsidR="00D417FB">
        <w:rPr>
          <w:lang w:eastAsia="en-AU"/>
        </w:rPr>
        <w:t>7</w:t>
      </w:r>
      <w:r w:rsidR="00EF3617">
        <w:rPr>
          <w:lang w:eastAsia="en-AU"/>
        </w:rPr>
        <w:t xml:space="preserve">% </w:t>
      </w:r>
      <w:r>
        <w:rPr>
          <w:lang w:eastAsia="en-AU"/>
        </w:rPr>
        <w:t>wage premium</w:t>
      </w:r>
      <w:r w:rsidR="00676543">
        <w:rPr>
          <w:lang w:eastAsia="en-AU"/>
        </w:rPr>
        <w:t xml:space="preserve"> </w:t>
      </w:r>
      <w:r w:rsidR="00D52859">
        <w:rPr>
          <w:lang w:eastAsia="en-AU"/>
        </w:rPr>
        <w:t xml:space="preserve">for </w:t>
      </w:r>
      <w:r w:rsidR="00303C93">
        <w:rPr>
          <w:lang w:eastAsia="en-AU"/>
        </w:rPr>
        <w:t xml:space="preserve">all </w:t>
      </w:r>
      <w:r w:rsidR="00676543" w:rsidRPr="00D52859">
        <w:rPr>
          <w:lang w:eastAsia="en-AU"/>
        </w:rPr>
        <w:t>workers</w:t>
      </w:r>
      <w:r w:rsidR="00D52859">
        <w:rPr>
          <w:lang w:eastAsia="en-AU"/>
        </w:rPr>
        <w:t xml:space="preserve"> in the labour force who either already have higher education training, or have not undergone higher education</w:t>
      </w:r>
      <w:r w:rsidR="00182F60">
        <w:rPr>
          <w:lang w:eastAsia="en-AU"/>
        </w:rPr>
        <w:t>. It should be noted that this is not statistically significant</w:t>
      </w:r>
      <w:r>
        <w:rPr>
          <w:lang w:eastAsia="en-AU"/>
        </w:rPr>
        <w:t>. Full model results are reported in</w:t>
      </w:r>
      <w:r w:rsidR="00D3042D">
        <w:rPr>
          <w:lang w:eastAsia="en-AU"/>
        </w:rPr>
        <w:t xml:space="preserve"> Appendix B</w:t>
      </w:r>
      <w:r>
        <w:rPr>
          <w:lang w:eastAsia="en-AU"/>
        </w:rPr>
        <w:t>.</w:t>
      </w:r>
    </w:p>
    <w:p w:rsidR="009C6C96" w:rsidRDefault="009C6C96" w:rsidP="009C6C96">
      <w:pPr>
        <w:pStyle w:val="Heading3"/>
        <w:numPr>
          <w:ilvl w:val="2"/>
          <w:numId w:val="8"/>
        </w:numPr>
        <w:rPr>
          <w:lang w:eastAsia="en-AU"/>
        </w:rPr>
      </w:pPr>
      <w:r>
        <w:rPr>
          <w:lang w:eastAsia="en-AU"/>
        </w:rPr>
        <w:t>Limitations and assumptions</w:t>
      </w:r>
    </w:p>
    <w:p w:rsidR="009C6C96" w:rsidRDefault="009C6C96" w:rsidP="009C6C96">
      <w:pPr>
        <w:pStyle w:val="BodyText"/>
        <w:rPr>
          <w:lang w:eastAsia="en-AU"/>
        </w:rPr>
      </w:pPr>
      <w:r>
        <w:rPr>
          <w:lang w:eastAsia="en-AU"/>
        </w:rPr>
        <w:t xml:space="preserve">As described in Section </w:t>
      </w:r>
      <w:r>
        <w:rPr>
          <w:lang w:eastAsia="en-AU"/>
        </w:rPr>
        <w:fldChar w:fldCharType="begin"/>
      </w:r>
      <w:r>
        <w:rPr>
          <w:lang w:eastAsia="en-AU"/>
        </w:rPr>
        <w:instrText xml:space="preserve"> REF _Ref457330847 \r \h </w:instrText>
      </w:r>
      <w:r>
        <w:rPr>
          <w:lang w:eastAsia="en-AU"/>
        </w:rPr>
      </w:r>
      <w:r>
        <w:rPr>
          <w:lang w:eastAsia="en-AU"/>
        </w:rPr>
        <w:fldChar w:fldCharType="separate"/>
      </w:r>
      <w:r w:rsidR="00534F9F">
        <w:rPr>
          <w:lang w:eastAsia="en-AU"/>
        </w:rPr>
        <w:t>Table 4.3</w:t>
      </w:r>
      <w:r>
        <w:rPr>
          <w:lang w:eastAsia="en-AU"/>
        </w:rPr>
        <w:fldChar w:fldCharType="end"/>
      </w:r>
      <w:r>
        <w:rPr>
          <w:lang w:eastAsia="en-AU"/>
        </w:rPr>
        <w:t xml:space="preserve">, the limitations and assumptions relating to data cleaning, attrition, ability to control for cohort effects and cognitive ability, and the extent to which historical relationships will continue to hold true in the future equally apply here. There are also several other limitations and assumptions that should be made explicit here. </w:t>
      </w:r>
    </w:p>
    <w:p w:rsidR="009C6C96" w:rsidRPr="000F6D69" w:rsidRDefault="009C6C96" w:rsidP="009C6C96">
      <w:pPr>
        <w:spacing w:before="240"/>
        <w:jc w:val="both"/>
        <w:rPr>
          <w:rStyle w:val="Boldword"/>
        </w:rPr>
      </w:pPr>
      <w:r w:rsidRPr="000F6D69">
        <w:rPr>
          <w:rStyle w:val="Boldword"/>
        </w:rPr>
        <w:t>Data cleaning</w:t>
      </w:r>
      <w:r>
        <w:rPr>
          <w:rStyle w:val="Boldword"/>
        </w:rPr>
        <w:t xml:space="preserve"> </w:t>
      </w:r>
    </w:p>
    <w:p w:rsidR="009C6C96" w:rsidRDefault="009C6C96" w:rsidP="009C6C96">
      <w:pPr>
        <w:spacing w:before="240"/>
        <w:jc w:val="both"/>
        <w:rPr>
          <w:lang w:eastAsia="en-AU"/>
        </w:rPr>
      </w:pPr>
      <w:r>
        <w:rPr>
          <w:lang w:eastAsia="en-AU"/>
        </w:rPr>
        <w:t xml:space="preserve">In addition to the criteria outlined in </w:t>
      </w:r>
      <w:r>
        <w:rPr>
          <w:lang w:eastAsia="en-AU"/>
        </w:rPr>
        <w:fldChar w:fldCharType="begin"/>
      </w:r>
      <w:r>
        <w:rPr>
          <w:lang w:eastAsia="en-AU"/>
        </w:rPr>
        <w:instrText xml:space="preserve"> REF _Ref457330847 \r \h </w:instrText>
      </w:r>
      <w:r>
        <w:rPr>
          <w:lang w:eastAsia="en-AU"/>
        </w:rPr>
      </w:r>
      <w:r>
        <w:rPr>
          <w:lang w:eastAsia="en-AU"/>
        </w:rPr>
        <w:fldChar w:fldCharType="separate"/>
      </w:r>
      <w:r w:rsidR="00534F9F">
        <w:rPr>
          <w:lang w:eastAsia="en-AU"/>
        </w:rPr>
        <w:t>Table 4.3</w:t>
      </w:r>
      <w:r>
        <w:rPr>
          <w:lang w:eastAsia="en-AU"/>
        </w:rPr>
        <w:fldChar w:fldCharType="end"/>
      </w:r>
      <w:r>
        <w:rPr>
          <w:lang w:eastAsia="en-AU"/>
        </w:rPr>
        <w:t xml:space="preserve">, observations were only included in this analysis if they </w:t>
      </w:r>
      <w:r>
        <w:t xml:space="preserve">reported their </w:t>
      </w:r>
      <w:r w:rsidR="0016248B">
        <w:t>S</w:t>
      </w:r>
      <w:r>
        <w:t>tate</w:t>
      </w:r>
      <w:r w:rsidR="00AC657E">
        <w:t>/Territory</w:t>
      </w:r>
      <w:r>
        <w:t xml:space="preserve"> and ABS Remoteness Area. Remote and Very Remote Australia</w:t>
      </w:r>
      <w:r w:rsidR="00AC657E">
        <w:t xml:space="preserve"> are aggregated together</w:t>
      </w:r>
      <w:r>
        <w:t xml:space="preserve"> due to small sample sizes available in HILDA for these categories at a </w:t>
      </w:r>
      <w:r w:rsidR="00C222B8">
        <w:t>S</w:t>
      </w:r>
      <w:r>
        <w:t>tate</w:t>
      </w:r>
      <w:r w:rsidR="00AC657E">
        <w:t>/</w:t>
      </w:r>
      <w:r w:rsidR="00C222B8">
        <w:t>T</w:t>
      </w:r>
      <w:r w:rsidR="00AC657E">
        <w:t>erritory</w:t>
      </w:r>
      <w:r>
        <w:t xml:space="preserve"> level.</w:t>
      </w:r>
    </w:p>
    <w:p w:rsidR="009C6C96" w:rsidRPr="00ED68BE" w:rsidRDefault="009C6C96" w:rsidP="009C6C96">
      <w:pPr>
        <w:pStyle w:val="BodyText"/>
        <w:rPr>
          <w:b/>
          <w:color w:val="002776"/>
          <w:lang w:eastAsia="en-AU"/>
        </w:rPr>
      </w:pPr>
      <w:r w:rsidRPr="00ED68BE">
        <w:rPr>
          <w:b/>
          <w:color w:val="002776"/>
          <w:lang w:eastAsia="en-AU"/>
        </w:rPr>
        <w:t>Static analysis of labour markets</w:t>
      </w:r>
    </w:p>
    <w:p w:rsidR="009C6C96" w:rsidRDefault="009C6C96" w:rsidP="009C6C96">
      <w:pPr>
        <w:pStyle w:val="BodyText"/>
        <w:rPr>
          <w:lang w:eastAsia="en-AU"/>
        </w:rPr>
      </w:pPr>
      <w:r w:rsidRPr="008F6ED2">
        <w:rPr>
          <w:lang w:eastAsia="en-AU"/>
        </w:rPr>
        <w:t xml:space="preserve">It should be noted that this is a static analysis of labour markets, in that it assumes that lower skilled individuals do not </w:t>
      </w:r>
      <w:r>
        <w:rPr>
          <w:lang w:eastAsia="en-AU"/>
        </w:rPr>
        <w:t xml:space="preserve">respond to higher wages </w:t>
      </w:r>
      <w:r w:rsidR="00AC657E">
        <w:rPr>
          <w:lang w:eastAsia="en-AU"/>
        </w:rPr>
        <w:t xml:space="preserve">elsewhere </w:t>
      </w:r>
      <w:r>
        <w:rPr>
          <w:lang w:eastAsia="en-AU"/>
        </w:rPr>
        <w:t xml:space="preserve">and </w:t>
      </w:r>
      <w:r w:rsidRPr="008F6ED2">
        <w:rPr>
          <w:lang w:eastAsia="en-AU"/>
        </w:rPr>
        <w:t xml:space="preserve">migrate to </w:t>
      </w:r>
      <w:r>
        <w:rPr>
          <w:lang w:eastAsia="en-AU"/>
        </w:rPr>
        <w:t xml:space="preserve">a region </w:t>
      </w:r>
      <w:r w:rsidR="00303C93">
        <w:rPr>
          <w:lang w:eastAsia="en-AU"/>
        </w:rPr>
        <w:t xml:space="preserve">if </w:t>
      </w:r>
      <w:r>
        <w:rPr>
          <w:lang w:eastAsia="en-AU"/>
        </w:rPr>
        <w:t>there is</w:t>
      </w:r>
      <w:r w:rsidRPr="008F6ED2">
        <w:rPr>
          <w:lang w:eastAsia="en-AU"/>
        </w:rPr>
        <w:t xml:space="preserve"> a greater propo</w:t>
      </w:r>
      <w:r>
        <w:rPr>
          <w:lang w:eastAsia="en-AU"/>
        </w:rPr>
        <w:t>rtion of higher skilled workers and lower skilled workers are relatively scarce</w:t>
      </w:r>
      <w:r w:rsidR="00303C93">
        <w:rPr>
          <w:lang w:eastAsia="en-AU"/>
        </w:rPr>
        <w:t xml:space="preserve"> (assuming that a greater proportion of higher skilled workers results in higher wages for all workers)</w:t>
      </w:r>
      <w:r>
        <w:rPr>
          <w:lang w:eastAsia="en-AU"/>
        </w:rPr>
        <w:t xml:space="preserve">. This dynamic movement is captured through the CGE modelling and analysis (as described in Section </w:t>
      </w:r>
      <w:r>
        <w:rPr>
          <w:lang w:eastAsia="en-AU"/>
        </w:rPr>
        <w:fldChar w:fldCharType="begin"/>
      </w:r>
      <w:r>
        <w:rPr>
          <w:lang w:eastAsia="en-AU"/>
        </w:rPr>
        <w:instrText xml:space="preserve"> REF _Ref457422429 \r \h </w:instrText>
      </w:r>
      <w:r>
        <w:rPr>
          <w:lang w:eastAsia="en-AU"/>
        </w:rPr>
      </w:r>
      <w:r>
        <w:rPr>
          <w:lang w:eastAsia="en-AU"/>
        </w:rPr>
        <w:fldChar w:fldCharType="separate"/>
      </w:r>
      <w:r w:rsidR="00534F9F">
        <w:rPr>
          <w:lang w:eastAsia="en-AU"/>
        </w:rPr>
        <w:t>5.2.2</w:t>
      </w:r>
      <w:r>
        <w:rPr>
          <w:lang w:eastAsia="en-AU"/>
        </w:rPr>
        <w:fldChar w:fldCharType="end"/>
      </w:r>
      <w:r>
        <w:rPr>
          <w:lang w:eastAsia="en-AU"/>
        </w:rPr>
        <w:t xml:space="preserve">). </w:t>
      </w:r>
    </w:p>
    <w:p w:rsidR="009C6C96" w:rsidRPr="00082026" w:rsidRDefault="009C6C96" w:rsidP="009C6C96">
      <w:pPr>
        <w:pStyle w:val="BodyText"/>
        <w:rPr>
          <w:rStyle w:val="Boldword"/>
        </w:rPr>
      </w:pPr>
      <w:r w:rsidRPr="00082026">
        <w:rPr>
          <w:rStyle w:val="Boldword"/>
        </w:rPr>
        <w:t>Interpretation of results</w:t>
      </w:r>
    </w:p>
    <w:p w:rsidR="009C6C96" w:rsidRDefault="00AC657E" w:rsidP="009C6C96">
      <w:pPr>
        <w:pStyle w:val="BodyText"/>
        <w:rPr>
          <w:lang w:eastAsia="en-AU"/>
        </w:rPr>
      </w:pPr>
      <w:r>
        <w:rPr>
          <w:lang w:eastAsia="en-AU"/>
        </w:rPr>
        <w:t xml:space="preserve">The </w:t>
      </w:r>
      <w:r w:rsidR="009C6C96">
        <w:rPr>
          <w:lang w:eastAsia="en-AU"/>
        </w:rPr>
        <w:t>results presented above may be driven by</w:t>
      </w:r>
      <w:r w:rsidR="00C76CFD">
        <w:rPr>
          <w:lang w:eastAsia="en-AU"/>
        </w:rPr>
        <w:t xml:space="preserve"> the combination of there being</w:t>
      </w:r>
      <w:r w:rsidR="009C6C96">
        <w:rPr>
          <w:lang w:eastAsia="en-AU"/>
        </w:rPr>
        <w:t xml:space="preserve">: </w:t>
      </w:r>
    </w:p>
    <w:p w:rsidR="009C6C96" w:rsidRDefault="009C6C96" w:rsidP="009C6C96">
      <w:pPr>
        <w:pStyle w:val="Bullet1"/>
      </w:pPr>
      <w:r>
        <w:t>higher wages in major cities for reasons external to educational attainment; and</w:t>
      </w:r>
    </w:p>
    <w:p w:rsidR="009C6C96" w:rsidRDefault="009C6C96" w:rsidP="009C6C96">
      <w:pPr>
        <w:pStyle w:val="Bullet1"/>
      </w:pPr>
      <w:proofErr w:type="gramStart"/>
      <w:r>
        <w:t>people</w:t>
      </w:r>
      <w:proofErr w:type="gramEnd"/>
      <w:r>
        <w:t xml:space="preserve"> with higher education degrees being significantly more likely to live in major cities, making holding a higher education degree a good indicator of whether an individual lives in a major city. This means that regions with higher concentrations of higher education degrees (which are more likely to be major cities) earn higher wages, on average.</w:t>
      </w:r>
    </w:p>
    <w:p w:rsidR="00303C93" w:rsidRDefault="009C6C96" w:rsidP="009C6C96">
      <w:pPr>
        <w:pStyle w:val="BodyText"/>
        <w:rPr>
          <w:lang w:eastAsia="en-AU"/>
        </w:rPr>
      </w:pPr>
      <w:r>
        <w:rPr>
          <w:lang w:eastAsia="en-AU"/>
        </w:rPr>
        <w:t>The analysis presented here attempts to control for this to an extent by including controls for population density within an area – however,</w:t>
      </w:r>
      <w:r w:rsidR="00C76CFD">
        <w:rPr>
          <w:lang w:eastAsia="en-AU"/>
        </w:rPr>
        <w:t xml:space="preserve"> </w:t>
      </w:r>
      <w:r w:rsidR="00303C93">
        <w:rPr>
          <w:lang w:eastAsia="en-AU"/>
        </w:rPr>
        <w:t xml:space="preserve">as </w:t>
      </w:r>
      <w:r w:rsidR="00C76CFD">
        <w:rPr>
          <w:lang w:eastAsia="en-AU"/>
        </w:rPr>
        <w:t xml:space="preserve">the control is </w:t>
      </w:r>
      <w:r>
        <w:rPr>
          <w:lang w:eastAsia="en-AU"/>
        </w:rPr>
        <w:t>limited by the resolution of area level data for individuals in the HILDA sample (that is, within a Major City of a given state</w:t>
      </w:r>
      <w:r w:rsidR="00597676">
        <w:rPr>
          <w:lang w:eastAsia="en-AU"/>
        </w:rPr>
        <w:t>/territory</w:t>
      </w:r>
      <w:r w:rsidR="00303C93">
        <w:rPr>
          <w:lang w:eastAsia="en-AU"/>
        </w:rPr>
        <w:t>)</w:t>
      </w:r>
      <w:r>
        <w:rPr>
          <w:lang w:eastAsia="en-AU"/>
        </w:rPr>
        <w:t xml:space="preserve">, there may still be significant variation in population density within that region). </w:t>
      </w:r>
      <w:r w:rsidR="00303C93">
        <w:rPr>
          <w:lang w:eastAsia="en-AU"/>
        </w:rPr>
        <w:t xml:space="preserve">This approach differs from Moretti (2004) which controls for these factors using a fixed effects model. </w:t>
      </w:r>
    </w:p>
    <w:p w:rsidR="009C6C96" w:rsidRPr="00893DEB" w:rsidRDefault="009C6C96" w:rsidP="009C6C96">
      <w:pPr>
        <w:pStyle w:val="Heading3"/>
        <w:numPr>
          <w:ilvl w:val="2"/>
          <w:numId w:val="8"/>
        </w:numPr>
        <w:rPr>
          <w:lang w:eastAsia="en-AU"/>
        </w:rPr>
      </w:pPr>
      <w:r>
        <w:rPr>
          <w:lang w:eastAsia="en-AU"/>
        </w:rPr>
        <w:lastRenderedPageBreak/>
        <w:t>Implications</w:t>
      </w:r>
    </w:p>
    <w:p w:rsidR="009C6C96" w:rsidRDefault="009C6C96" w:rsidP="009C6C96">
      <w:pPr>
        <w:pStyle w:val="BodyText"/>
        <w:rPr>
          <w:lang w:eastAsia="en-AU"/>
        </w:rPr>
      </w:pPr>
      <w:r>
        <w:rPr>
          <w:lang w:eastAsia="en-AU"/>
        </w:rPr>
        <w:t xml:space="preserve">The results of this modelling suggest that there are positive spillovers to others in the labour market from increasing the proportion of higher education graduates. This means that not only do higher education graduates improve their labour force outcomes (as a result of their increased attainment), it also means that a more highly skilled and productive workforce </w:t>
      </w:r>
      <w:r w:rsidR="003A3155">
        <w:rPr>
          <w:lang w:eastAsia="en-AU"/>
        </w:rPr>
        <w:t xml:space="preserve">is associated with </w:t>
      </w:r>
      <w:r>
        <w:rPr>
          <w:lang w:eastAsia="en-AU"/>
        </w:rPr>
        <w:t xml:space="preserve">improved outcomes for all. </w:t>
      </w:r>
    </w:p>
    <w:p w:rsidR="009C6C96" w:rsidRDefault="009C6C96" w:rsidP="009C6C96">
      <w:pPr>
        <w:pStyle w:val="BodyText"/>
        <w:rPr>
          <w:lang w:eastAsia="en-AU"/>
        </w:rPr>
      </w:pPr>
      <w:r>
        <w:rPr>
          <w:lang w:eastAsia="en-AU"/>
        </w:rPr>
        <w:t xml:space="preserve">For example, the sharing of knowledge and skills through formal and informal interaction generates positive externalities across workers. Alternatively, spillovers from education may arise through search externalities, or endogenous skill-biased technical change – that is, changes in production technology that favours higher skilled workers over lower skilled workers, resulting from relatively increased productivity, and therefore increased relative demand. </w:t>
      </w:r>
    </w:p>
    <w:p w:rsidR="009C6C96" w:rsidRPr="000206DB" w:rsidRDefault="009C6C96" w:rsidP="009C6C96">
      <w:pPr>
        <w:pStyle w:val="BodyText"/>
        <w:rPr>
          <w:lang w:eastAsia="en-AU"/>
        </w:rPr>
      </w:pPr>
      <w:r>
        <w:rPr>
          <w:lang w:eastAsia="en-AU"/>
        </w:rPr>
        <w:t xml:space="preserve">The outputs of this analysis are used to inform the parameterisation of labour demand curves in the CGE model – in particular, the calibration of the cross-skill labour demand elasticities. This is discussed further in Section </w:t>
      </w:r>
      <w:r>
        <w:rPr>
          <w:lang w:eastAsia="en-AU"/>
        </w:rPr>
        <w:fldChar w:fldCharType="begin"/>
      </w:r>
      <w:r>
        <w:rPr>
          <w:lang w:eastAsia="en-AU"/>
        </w:rPr>
        <w:instrText xml:space="preserve"> REF _Ref457422468 \r \h </w:instrText>
      </w:r>
      <w:r>
        <w:rPr>
          <w:lang w:eastAsia="en-AU"/>
        </w:rPr>
      </w:r>
      <w:r>
        <w:rPr>
          <w:lang w:eastAsia="en-AU"/>
        </w:rPr>
        <w:fldChar w:fldCharType="separate"/>
      </w:r>
      <w:r w:rsidR="00534F9F">
        <w:rPr>
          <w:lang w:eastAsia="en-AU"/>
        </w:rPr>
        <w:t>5.2.2</w:t>
      </w:r>
      <w:r>
        <w:rPr>
          <w:lang w:eastAsia="en-AU"/>
        </w:rPr>
        <w:fldChar w:fldCharType="end"/>
      </w:r>
      <w:r>
        <w:rPr>
          <w:lang w:eastAsia="en-AU"/>
        </w:rPr>
        <w:t xml:space="preserve">.  </w:t>
      </w:r>
    </w:p>
    <w:p w:rsidR="009C6C96" w:rsidRDefault="009C6C96" w:rsidP="009C6C96">
      <w:pPr>
        <w:pStyle w:val="Heading2"/>
        <w:numPr>
          <w:ilvl w:val="1"/>
          <w:numId w:val="8"/>
        </w:numPr>
        <w:rPr>
          <w:lang w:eastAsia="en-AU"/>
        </w:rPr>
      </w:pPr>
      <w:bookmarkStart w:id="162" w:name="_Toc465961205"/>
      <w:r>
        <w:rPr>
          <w:lang w:eastAsia="en-AU"/>
        </w:rPr>
        <w:t>Estimating broader market benefits with the CGE model</w:t>
      </w:r>
      <w:bookmarkEnd w:id="162"/>
    </w:p>
    <w:p w:rsidR="009C6C96" w:rsidRDefault="009C6C96" w:rsidP="009C6C96">
      <w:pPr>
        <w:pStyle w:val="BodyText"/>
      </w:pPr>
      <w:r>
        <w:t xml:space="preserve">The Deloitte Access Economics Regional General Equilibrium Model (DAE-RGEM) is a dynamic, multi-region, multi-commodity CGE model of the global economy, including Australia. </w:t>
      </w:r>
    </w:p>
    <w:p w:rsidR="009C6C96" w:rsidRPr="00A71A22" w:rsidRDefault="009C6C96" w:rsidP="009C6C96">
      <w:pPr>
        <w:pStyle w:val="BodyText"/>
        <w:rPr>
          <w:b/>
          <w:color w:val="002776"/>
          <w:lang w:eastAsia="en-AU"/>
        </w:rPr>
      </w:pPr>
      <w:r w:rsidRPr="00A71A22">
        <w:rPr>
          <w:b/>
          <w:color w:val="002776"/>
          <w:lang w:eastAsia="en-AU"/>
        </w:rPr>
        <w:t>An introduction to CGE modelling</w:t>
      </w:r>
    </w:p>
    <w:p w:rsidR="009C6C96" w:rsidRDefault="0002225C" w:rsidP="009C6C96">
      <w:pPr>
        <w:pStyle w:val="BodyText"/>
        <w:rPr>
          <w:lang w:eastAsia="en-AU"/>
        </w:rPr>
      </w:pPr>
      <w:r>
        <w:rPr>
          <w:lang w:eastAsia="en-AU"/>
        </w:rPr>
        <w:t>A CGE model represents supply and demand in multiple sectors of the economy</w:t>
      </w:r>
      <w:r w:rsidR="009C6C96">
        <w:rPr>
          <w:lang w:eastAsia="en-AU"/>
        </w:rPr>
        <w:t xml:space="preserve"> along with aggregate resource constraints. The key feature of CGE models is that they link the supply and demand in each sector to other sectors in the economy, such that a ‘shock’ to one sector flows through to all other sectors. Further, goods in each sector are produced by factor</w:t>
      </w:r>
      <w:r w:rsidR="00766076">
        <w:rPr>
          <w:lang w:eastAsia="en-AU"/>
        </w:rPr>
        <w:t>s</w:t>
      </w:r>
      <w:r w:rsidR="009C6C96">
        <w:rPr>
          <w:lang w:eastAsia="en-AU"/>
        </w:rPr>
        <w:t xml:space="preserve"> of production (such as labour and capital). An increase in the quantity of these factors, </w:t>
      </w:r>
      <w:r w:rsidR="00766076">
        <w:rPr>
          <w:lang w:eastAsia="en-AU"/>
        </w:rPr>
        <w:t>(</w:t>
      </w:r>
      <w:r w:rsidR="009C6C96">
        <w:rPr>
          <w:lang w:eastAsia="en-AU"/>
        </w:rPr>
        <w:t>or their productivity) increase</w:t>
      </w:r>
      <w:r w:rsidR="00766076">
        <w:rPr>
          <w:lang w:eastAsia="en-AU"/>
        </w:rPr>
        <w:t>s</w:t>
      </w:r>
      <w:r w:rsidR="009C6C96">
        <w:rPr>
          <w:lang w:eastAsia="en-AU"/>
        </w:rPr>
        <w:t xml:space="preserve"> the productive potential of the economy, with different effects on different sectors depending on their relative reliance on each factor.</w:t>
      </w:r>
    </w:p>
    <w:p w:rsidR="009C6C96" w:rsidRDefault="009C6C96" w:rsidP="009C6C96">
      <w:pPr>
        <w:pStyle w:val="BodyText"/>
        <w:rPr>
          <w:lang w:eastAsia="en-AU"/>
        </w:rPr>
      </w:pPr>
      <w:r>
        <w:rPr>
          <w:lang w:eastAsia="en-AU"/>
        </w:rPr>
        <w:t>All models are run under some key assumptions. For example, it is assumed that competitive product markets fully clear (supply=demand) in each period, with changes in prices facilitating this. Relative price changes are assumed to drive changes in producer and consumer behaviour and it is common to assume simple accumulation rules for factors like capital and labour (that is, that investment in one period becomes capital in the next).</w:t>
      </w:r>
    </w:p>
    <w:p w:rsidR="009C6C96" w:rsidRPr="00A71A22" w:rsidRDefault="009C6C96" w:rsidP="009C6C96">
      <w:pPr>
        <w:pStyle w:val="BodyText"/>
        <w:rPr>
          <w:lang w:eastAsia="en-AU"/>
        </w:rPr>
      </w:pPr>
      <w:r w:rsidRPr="00A71A22">
        <w:rPr>
          <w:lang w:eastAsia="en-AU"/>
        </w:rPr>
        <w:t xml:space="preserve">CGE models </w:t>
      </w:r>
      <w:r w:rsidR="00C222B8">
        <w:rPr>
          <w:lang w:eastAsia="en-AU"/>
        </w:rPr>
        <w:t xml:space="preserve">represent </w:t>
      </w:r>
      <w:r w:rsidR="0002225C">
        <w:rPr>
          <w:lang w:eastAsia="en-AU"/>
        </w:rPr>
        <w:t xml:space="preserve">the impact of </w:t>
      </w:r>
      <w:r w:rsidR="003E2DCE">
        <w:rPr>
          <w:lang w:eastAsia="en-AU"/>
        </w:rPr>
        <w:t xml:space="preserve">a </w:t>
      </w:r>
      <w:r w:rsidR="0002225C">
        <w:rPr>
          <w:lang w:eastAsia="en-AU"/>
        </w:rPr>
        <w:t>policy by looking at the impact when it is introduced</w:t>
      </w:r>
      <w:r w:rsidR="003E2DCE">
        <w:rPr>
          <w:lang w:eastAsia="en-AU"/>
        </w:rPr>
        <w:t>,</w:t>
      </w:r>
      <w:r w:rsidR="0002225C">
        <w:rPr>
          <w:lang w:eastAsia="en-AU"/>
        </w:rPr>
        <w:t xml:space="preserve"> compared with a baseline scenario</w:t>
      </w:r>
      <w:r w:rsidRPr="00A71A22">
        <w:rPr>
          <w:lang w:eastAsia="en-AU"/>
        </w:rPr>
        <w:t xml:space="preserve">. In this case the ‘policy’ is a shift in the </w:t>
      </w:r>
      <w:r w:rsidR="00E105A9">
        <w:rPr>
          <w:lang w:eastAsia="en-AU"/>
        </w:rPr>
        <w:t>s</w:t>
      </w:r>
      <w:r w:rsidRPr="00A71A22">
        <w:rPr>
          <w:lang w:eastAsia="en-AU"/>
        </w:rPr>
        <w:t xml:space="preserve">kills mix in the economy, which the individual level econometric modelling provides an associated wage premium. Households in DAE-RGEM provide labour in return for wages. The actual wage rate they receive reflects the marginal product of labour (that is, the incremental value a unit of labour </w:t>
      </w:r>
      <w:proofErr w:type="gramStart"/>
      <w:r w:rsidRPr="00A71A22">
        <w:rPr>
          <w:lang w:eastAsia="en-AU"/>
        </w:rPr>
        <w:t>adds</w:t>
      </w:r>
      <w:proofErr w:type="gramEnd"/>
      <w:r w:rsidRPr="00A71A22">
        <w:rPr>
          <w:lang w:eastAsia="en-AU"/>
        </w:rPr>
        <w:t xml:space="preserve"> to production).</w:t>
      </w:r>
    </w:p>
    <w:p w:rsidR="009C6C96" w:rsidRPr="00A71A22" w:rsidRDefault="009C6C96" w:rsidP="009C6C96">
      <w:pPr>
        <w:pStyle w:val="BodyText"/>
        <w:rPr>
          <w:lang w:eastAsia="en-AU"/>
        </w:rPr>
      </w:pPr>
      <w:r w:rsidRPr="00A71A22">
        <w:rPr>
          <w:lang w:eastAsia="en-AU"/>
        </w:rPr>
        <w:lastRenderedPageBreak/>
        <w:t>In the baseline, the productivity of labour is projected to grow over time and, in conjunction with improved productivity in the use of other factors like capital, drive forecast growth in the economy. Against this baseline growth it is possible to simulate the economy-wide impact of additional growth in labour productivity, with this productivity increase parameterised by the econometrically estimated wage premium.</w:t>
      </w:r>
    </w:p>
    <w:p w:rsidR="009C6C96" w:rsidRDefault="009C6C96" w:rsidP="00AD48BC">
      <w:pPr>
        <w:pStyle w:val="Heading3"/>
      </w:pPr>
      <w:bookmarkStart w:id="163" w:name="_Ref457334752"/>
      <w:bookmarkStart w:id="164" w:name="_Toc457422251"/>
      <w:bookmarkStart w:id="165" w:name="_Ref457570009"/>
      <w:r>
        <w:t>Assumptions of the CGE framework</w:t>
      </w:r>
      <w:bookmarkEnd w:id="163"/>
      <w:bookmarkEnd w:id="164"/>
      <w:bookmarkEnd w:id="165"/>
    </w:p>
    <w:p w:rsidR="009C6C96" w:rsidRDefault="009C6C96" w:rsidP="009C6C96">
      <w:pPr>
        <w:pStyle w:val="BodyText"/>
      </w:pPr>
      <w:r>
        <w:t xml:space="preserve">This section discusses some of the important assumptions of the CGE model as it is applied in this context. There are further, more general assumptions about the CGE modelling framework, which are discussed in </w:t>
      </w:r>
      <w:r w:rsidR="00D3042D">
        <w:t>Appendix C</w:t>
      </w:r>
      <w:r>
        <w:t xml:space="preserve">. </w:t>
      </w:r>
    </w:p>
    <w:p w:rsidR="009C6C96" w:rsidRDefault="009C6C96" w:rsidP="009C6C96">
      <w:pPr>
        <w:pStyle w:val="Bullet1"/>
        <w:numPr>
          <w:ilvl w:val="0"/>
          <w:numId w:val="0"/>
        </w:numPr>
        <w:rPr>
          <w:b/>
          <w:color w:val="002776" w:themeColor="accent1"/>
        </w:rPr>
      </w:pPr>
    </w:p>
    <w:p w:rsidR="009C6C96" w:rsidRPr="001C3A54" w:rsidRDefault="009C6C96" w:rsidP="009C6C96">
      <w:pPr>
        <w:pStyle w:val="Bullet1"/>
        <w:numPr>
          <w:ilvl w:val="0"/>
          <w:numId w:val="0"/>
        </w:numPr>
        <w:rPr>
          <w:b/>
        </w:rPr>
      </w:pPr>
      <w:r>
        <w:rPr>
          <w:b/>
          <w:color w:val="002776" w:themeColor="accent1"/>
        </w:rPr>
        <w:t xml:space="preserve">Assumption 1: </w:t>
      </w:r>
      <w:r w:rsidRPr="001C3A54">
        <w:rPr>
          <w:b/>
          <w:color w:val="002776" w:themeColor="accent1"/>
        </w:rPr>
        <w:t>Wage premi</w:t>
      </w:r>
      <w:r>
        <w:rPr>
          <w:b/>
          <w:color w:val="002776" w:themeColor="accent1"/>
        </w:rPr>
        <w:t>ums</w:t>
      </w:r>
      <w:r w:rsidRPr="001C3A54">
        <w:rPr>
          <w:b/>
          <w:color w:val="002776" w:themeColor="accent1"/>
        </w:rPr>
        <w:t xml:space="preserve"> estimated in the HILDA data set </w:t>
      </w:r>
      <w:r w:rsidR="0002225C">
        <w:rPr>
          <w:b/>
          <w:color w:val="002776" w:themeColor="accent1"/>
        </w:rPr>
        <w:t>are</w:t>
      </w:r>
      <w:r w:rsidRPr="001C3A54">
        <w:rPr>
          <w:b/>
          <w:color w:val="002776" w:themeColor="accent1"/>
        </w:rPr>
        <w:t xml:space="preserve"> a reflection of increased productivity</w:t>
      </w:r>
      <w:r w:rsidRPr="001C3A54">
        <w:rPr>
          <w:b/>
        </w:rPr>
        <w:t xml:space="preserve"> </w:t>
      </w:r>
    </w:p>
    <w:p w:rsidR="009C6C96" w:rsidRDefault="009C6C96" w:rsidP="009C6C96">
      <w:pPr>
        <w:pStyle w:val="Bullet1"/>
        <w:numPr>
          <w:ilvl w:val="0"/>
          <w:numId w:val="0"/>
        </w:numPr>
        <w:spacing w:before="240"/>
      </w:pPr>
      <w:r>
        <w:t>The assumption here is that workers are paid, on average, an amount equal to their productivity. This implies that having observed an increase in a worker’s wage, it can be inferred that their productivity, and therefore output, has increased by a commensurate amount.</w:t>
      </w:r>
    </w:p>
    <w:p w:rsidR="009C6C96" w:rsidRDefault="009C6C96" w:rsidP="009C6C96">
      <w:pPr>
        <w:pStyle w:val="Bullet1"/>
        <w:numPr>
          <w:ilvl w:val="0"/>
          <w:numId w:val="0"/>
        </w:numPr>
        <w:spacing w:before="240"/>
      </w:pPr>
      <w:r>
        <w:t>The link between productivity and wages is</w:t>
      </w:r>
      <w:r w:rsidR="00E34AF2">
        <w:t>,</w:t>
      </w:r>
      <w:r>
        <w:t xml:space="preserve"> in practice</w:t>
      </w:r>
      <w:r w:rsidR="00E34AF2">
        <w:t>,</w:t>
      </w:r>
      <w:r>
        <w:t xml:space="preserve"> more nuanced. It can be a function of the way in which wages are set in the market</w:t>
      </w:r>
      <w:r w:rsidR="00676543">
        <w:t xml:space="preserve"> – </w:t>
      </w:r>
      <w:r>
        <w:t>for example, through somewhat rigid wage bargaining processes and resulting pay scales</w:t>
      </w:r>
      <w:r w:rsidR="00E34AF2">
        <w:t xml:space="preserve"> – </w:t>
      </w:r>
      <w:r>
        <w:t xml:space="preserve">and can be influenced by imperfections in the labour market, such as monopsony power </w:t>
      </w:r>
      <w:r w:rsidR="00E34AF2">
        <w:t>of</w:t>
      </w:r>
      <w:r>
        <w:t xml:space="preserve"> employers.</w:t>
      </w:r>
    </w:p>
    <w:p w:rsidR="009C6C96" w:rsidRDefault="009C6C96" w:rsidP="009C6C96">
      <w:pPr>
        <w:pStyle w:val="Bullet1"/>
        <w:numPr>
          <w:ilvl w:val="0"/>
          <w:numId w:val="0"/>
        </w:numPr>
        <w:spacing w:before="240"/>
      </w:pPr>
      <w:r>
        <w:t xml:space="preserve">Biesebroeck (2015) reviews the literature on this link and finds evidence for a variety of factors that may bias wages in both directions. These biases include factors at the systemic level, as well as heterogeneous factors across workers (such as age, gender and race). Interestingly for this analysis, Biesebroeck finds relatively consistent evidence that young workers tend to be underpaid for their level of productivity relative to older workers. Given </w:t>
      </w:r>
      <w:r w:rsidR="00472794">
        <w:t>time of career is explicitly modelled here, labour productivity may be understated in the earlier years, and overstated in later years. This may slightly underestimate the public benefits, if the setting of the discount rate places greater weight on earlier benefits</w:t>
      </w:r>
      <w:r>
        <w:t>. Nonetheless, as a whole the evidence from the literature tends to support the notion a one-for-one link between productivity and wages is a good approximation of actual outcomes in the labour market.</w:t>
      </w:r>
    </w:p>
    <w:p w:rsidR="009C6C96" w:rsidRDefault="009C6C96" w:rsidP="009C6C96">
      <w:pPr>
        <w:pStyle w:val="Source"/>
        <w:jc w:val="both"/>
      </w:pPr>
    </w:p>
    <w:p w:rsidR="009C6C96" w:rsidRPr="001C3A54" w:rsidRDefault="009C6C96" w:rsidP="009C6C96">
      <w:pPr>
        <w:pStyle w:val="Bullet1"/>
        <w:numPr>
          <w:ilvl w:val="0"/>
          <w:numId w:val="0"/>
        </w:numPr>
        <w:rPr>
          <w:b/>
        </w:rPr>
      </w:pPr>
      <w:r>
        <w:rPr>
          <w:b/>
          <w:color w:val="002776" w:themeColor="accent1"/>
        </w:rPr>
        <w:t>Assumption 2: Higher education qualifications are economic endowments</w:t>
      </w:r>
    </w:p>
    <w:p w:rsidR="009C6C96" w:rsidRDefault="009C6C96" w:rsidP="009C6C96">
      <w:pPr>
        <w:pStyle w:val="Bullet1"/>
        <w:numPr>
          <w:ilvl w:val="0"/>
          <w:numId w:val="0"/>
        </w:numPr>
        <w:spacing w:before="240"/>
      </w:pPr>
      <w:r>
        <w:t xml:space="preserve">An important part of CGE models is that they assume that households are making the best decisions to maximise their consumption, and firms are making decisions to maximise their profits. </w:t>
      </w:r>
    </w:p>
    <w:p w:rsidR="009C6C96" w:rsidRDefault="009C6C96" w:rsidP="009C6C96">
      <w:pPr>
        <w:pStyle w:val="Bullet1"/>
        <w:numPr>
          <w:ilvl w:val="0"/>
          <w:numId w:val="0"/>
        </w:numPr>
        <w:spacing w:before="240"/>
      </w:pPr>
      <w:r>
        <w:t>However, there is no internal feedback process in the model between the wages that are paid to different skill types, and the supply of those skills. The skill mix in the labour force is effectively an ‘endowment’. High wages for certain graduates does not lead to additional training and skill building in that field of study. In other words, this endowment of skills is not set by market incentives. The endowment is calibrated to the 2011 Census.</w:t>
      </w:r>
    </w:p>
    <w:p w:rsidR="009C6C96" w:rsidRDefault="009C6C96" w:rsidP="009C6C96">
      <w:pPr>
        <w:pStyle w:val="Bullet1"/>
        <w:numPr>
          <w:ilvl w:val="0"/>
          <w:numId w:val="0"/>
        </w:numPr>
        <w:spacing w:before="240"/>
      </w:pPr>
      <w:r>
        <w:lastRenderedPageBreak/>
        <w:t xml:space="preserve">Importantly though, the model does distinguish unemployment levels for different types of labour. For instance, in the 2011 </w:t>
      </w:r>
      <w:r w:rsidR="00676543">
        <w:t>Census</w:t>
      </w:r>
      <w:r>
        <w:t>, the unemployment rate for high school leavers is 8</w:t>
      </w:r>
      <w:r w:rsidR="00A748BE">
        <w:t>.1</w:t>
      </w:r>
      <w:r>
        <w:t>%, whereas the unemployment rate for bachelor of education graduates is 1</w:t>
      </w:r>
      <w:r w:rsidR="00A748BE">
        <w:t>.8</w:t>
      </w:r>
      <w:r>
        <w:t xml:space="preserve">%. There is a non-linear functional relationship between the wage increase and the unemployment in a given sector. As a certain skillset is demanded more, the rate of unemployment falls, and the </w:t>
      </w:r>
      <w:r w:rsidR="0002225C">
        <w:t>wage increases required to induce further decreases becomes greater.</w:t>
      </w:r>
    </w:p>
    <w:p w:rsidR="009C6C96" w:rsidRPr="001C3A54" w:rsidRDefault="009C6C96" w:rsidP="00AD48BC">
      <w:pPr>
        <w:pStyle w:val="Bullet1"/>
        <w:numPr>
          <w:ilvl w:val="0"/>
          <w:numId w:val="0"/>
        </w:numPr>
        <w:spacing w:before="240"/>
        <w:rPr>
          <w:b/>
        </w:rPr>
      </w:pPr>
      <w:r>
        <w:rPr>
          <w:b/>
          <w:color w:val="002776" w:themeColor="accent1"/>
        </w:rPr>
        <w:t>Assumption 3: simplified substitutability patterns of labour types</w:t>
      </w:r>
    </w:p>
    <w:p w:rsidR="009C6C96" w:rsidRDefault="009C6C96" w:rsidP="009C6C96">
      <w:pPr>
        <w:pStyle w:val="Bullet1"/>
        <w:numPr>
          <w:ilvl w:val="0"/>
          <w:numId w:val="0"/>
        </w:numPr>
        <w:spacing w:before="240"/>
      </w:pPr>
      <w:r>
        <w:t xml:space="preserve">In the CGE model </w:t>
      </w:r>
      <w:r w:rsidR="00676543">
        <w:t xml:space="preserve">as specified </w:t>
      </w:r>
      <w:r>
        <w:t xml:space="preserve">here, industries use different mixes of the various skills types. </w:t>
      </w:r>
    </w:p>
    <w:p w:rsidR="009C6C96" w:rsidRDefault="009C6C96" w:rsidP="009C6C96">
      <w:pPr>
        <w:pStyle w:val="Bullet1"/>
        <w:numPr>
          <w:ilvl w:val="0"/>
          <w:numId w:val="0"/>
        </w:numPr>
        <w:spacing w:before="240"/>
      </w:pPr>
      <w:r>
        <w:t>These skills are represented by their occupation level, and their industry of employment</w:t>
      </w:r>
      <w:r w:rsidR="00547922">
        <w:t xml:space="preserve">. </w:t>
      </w:r>
      <w:r>
        <w:t>For example, if 1</w:t>
      </w:r>
      <w:r w:rsidR="00676543">
        <w:t>,</w:t>
      </w:r>
      <w:r>
        <w:t xml:space="preserve">000 Law </w:t>
      </w:r>
      <w:r w:rsidR="00E105A9">
        <w:t>graduates</w:t>
      </w:r>
      <w:r>
        <w:t xml:space="preserve"> and 1</w:t>
      </w:r>
      <w:r w:rsidR="00676543">
        <w:t>,</w:t>
      </w:r>
      <w:r>
        <w:t xml:space="preserve">000 Arts </w:t>
      </w:r>
      <w:r w:rsidR="00E105A9">
        <w:t>graduates</w:t>
      </w:r>
      <w:r>
        <w:t xml:space="preserve"> enter the workforce, they will be sorted differently by different rates of occupational and industrial employment. </w:t>
      </w:r>
      <w:r w:rsidR="0002225C">
        <w:t>Once they have entered the workforce in a given occupation/industry combination, the model does not distinguish between the Arts skills versus the Law skills.</w:t>
      </w:r>
      <w:r>
        <w:t xml:space="preserve"> Further, the skills are assumed to be used in a similar way, in that the marginal substitutability of different skills is the same for all industries.  The rate at which a financial services firm will substitute a certain share of its managers for more sales workers, will be the same as a firm in communications sector.</w:t>
      </w:r>
    </w:p>
    <w:p w:rsidR="009C6C96" w:rsidRDefault="009C6C96" w:rsidP="00AD48BC">
      <w:pPr>
        <w:pStyle w:val="Heading3"/>
      </w:pPr>
      <w:bookmarkStart w:id="166" w:name="_Toc457422252"/>
      <w:bookmarkStart w:id="167" w:name="_Ref457422304"/>
      <w:bookmarkStart w:id="168" w:name="_Ref457422429"/>
      <w:bookmarkStart w:id="169" w:name="_Ref457422468"/>
      <w:r>
        <w:t>Simulating higher education</w:t>
      </w:r>
      <w:bookmarkEnd w:id="166"/>
      <w:bookmarkEnd w:id="167"/>
      <w:bookmarkEnd w:id="168"/>
      <w:bookmarkEnd w:id="169"/>
      <w:r>
        <w:t xml:space="preserve"> in the broader economy</w:t>
      </w:r>
    </w:p>
    <w:p w:rsidR="009C6C96" w:rsidRDefault="009C6C96" w:rsidP="009C6C96">
      <w:pPr>
        <w:pStyle w:val="Bullet1"/>
        <w:numPr>
          <w:ilvl w:val="0"/>
          <w:numId w:val="0"/>
        </w:numPr>
        <w:spacing w:before="240"/>
      </w:pPr>
      <w:r>
        <w:t xml:space="preserve">To understand the effects of a particular higher education qualification on the broader economy, two simulations are run in the CGE model. The only distinction between the two of these simulations is a small change in the skill endowment in the labour force. One may have slightly more graduates, and slightly fewer high-school finishers, in the labour force. </w:t>
      </w:r>
    </w:p>
    <w:p w:rsidR="009C6C96" w:rsidRDefault="009C6C96" w:rsidP="009C6C96">
      <w:pPr>
        <w:pStyle w:val="Bullet1"/>
        <w:numPr>
          <w:ilvl w:val="0"/>
          <w:numId w:val="0"/>
        </w:numPr>
        <w:spacing w:before="240"/>
      </w:pPr>
      <w:r>
        <w:t>As a more specific example, one simulation may have 1</w:t>
      </w:r>
      <w:r w:rsidR="00676543">
        <w:t>,</w:t>
      </w:r>
      <w:r>
        <w:t>000 more Bachelor of Education graduates and 1</w:t>
      </w:r>
      <w:r w:rsidR="00676543">
        <w:t>,</w:t>
      </w:r>
      <w:r>
        <w:t>000 fewer individuals with no-post school qualification, than the other simulation. At a conceptual level, the magnitude of this number is not important</w:t>
      </w:r>
      <w:r w:rsidRPr="000D6036">
        <w:rPr>
          <w:vertAlign w:val="superscript"/>
        </w:rPr>
        <w:footnoteReference w:id="37"/>
      </w:r>
      <w:r>
        <w:t>.  In the CGE modelling framework, individuals in different skill sets can differ in three important ways:</w:t>
      </w:r>
    </w:p>
    <w:p w:rsidR="009C6C96" w:rsidRDefault="009C6C96" w:rsidP="009C6C96">
      <w:pPr>
        <w:pStyle w:val="Bullet1"/>
      </w:pPr>
      <w:r>
        <w:t xml:space="preserve">they earn different wages, meaning they have different levels of productivity (see Assumption 1 in Section </w:t>
      </w:r>
      <w:r>
        <w:fldChar w:fldCharType="begin"/>
      </w:r>
      <w:r>
        <w:instrText xml:space="preserve"> REF _Ref457570009 \r \h </w:instrText>
      </w:r>
      <w:r>
        <w:fldChar w:fldCharType="separate"/>
      </w:r>
      <w:r w:rsidR="00534F9F">
        <w:t>5.2.1</w:t>
      </w:r>
      <w:r>
        <w:fldChar w:fldCharType="end"/>
      </w:r>
      <w:r>
        <w:t>);</w:t>
      </w:r>
    </w:p>
    <w:p w:rsidR="009C6C96" w:rsidRDefault="009C6C96" w:rsidP="009C6C96">
      <w:pPr>
        <w:pStyle w:val="Bullet1"/>
      </w:pPr>
      <w:r>
        <w:t>they have different industry of employment patterns; and</w:t>
      </w:r>
    </w:p>
    <w:p w:rsidR="009C6C96" w:rsidRDefault="009C6C96" w:rsidP="009C6C96">
      <w:pPr>
        <w:pStyle w:val="Bullet1"/>
      </w:pPr>
      <w:proofErr w:type="gramStart"/>
      <w:r>
        <w:t>they</w:t>
      </w:r>
      <w:proofErr w:type="gramEnd"/>
      <w:r>
        <w:t xml:space="preserve"> have different rates of unemployment within their skillset.</w:t>
      </w:r>
    </w:p>
    <w:p w:rsidR="009C6C96" w:rsidRDefault="00676543" w:rsidP="009C6C96">
      <w:pPr>
        <w:pStyle w:val="Bullet1"/>
        <w:numPr>
          <w:ilvl w:val="0"/>
          <w:numId w:val="0"/>
        </w:numPr>
        <w:spacing w:before="240"/>
      </w:pPr>
      <w:r>
        <w:t>C</w:t>
      </w:r>
      <w:r w:rsidR="009C6C96">
        <w:t xml:space="preserve">hanging the composition of the skills mix in the labour force </w:t>
      </w:r>
      <w:r>
        <w:t>in turn</w:t>
      </w:r>
      <w:r w:rsidR="009C6C96">
        <w:t xml:space="preserve"> </w:t>
      </w:r>
      <w:r>
        <w:t>impacts</w:t>
      </w:r>
      <w:r w:rsidR="009C6C96">
        <w:t xml:space="preserve"> labour productivity, industry labour supply and unemployment in the economy. The CGE model estimates these impacts on the economy overall, as measured by Gross National Product (GNP).</w:t>
      </w:r>
    </w:p>
    <w:p w:rsidR="009C6C96" w:rsidRDefault="009C6C96" w:rsidP="009C6C96">
      <w:pPr>
        <w:pStyle w:val="Bullet1"/>
        <w:numPr>
          <w:ilvl w:val="0"/>
          <w:numId w:val="0"/>
        </w:numPr>
        <w:spacing w:before="240"/>
      </w:pPr>
      <w:r>
        <w:lastRenderedPageBreak/>
        <w:t>For the group holding a particular qualification, the observed average wages, and rate of unemployment is the combination of two effects</w:t>
      </w:r>
      <w:r>
        <w:rPr>
          <w:rStyle w:val="FootnoteReference"/>
        </w:rPr>
        <w:footnoteReference w:id="38"/>
      </w:r>
      <w:r>
        <w:t xml:space="preserve">. The first is the human capital associated with that qualification – the ‘qualification effect’; the second is the differences in demographic make-up or average cognitive ability of the group with that qualification – the ‘demographic effect’. Defining the attribution between these two effects is the purpose of the econometric exercise discussed in </w:t>
      </w:r>
      <w:r w:rsidR="00356108">
        <w:t>Section</w:t>
      </w:r>
      <w:r>
        <w:t xml:space="preserve"> </w:t>
      </w:r>
      <w:r>
        <w:fldChar w:fldCharType="begin"/>
      </w:r>
      <w:r>
        <w:instrText xml:space="preserve"> REF _Ref457342391 \r \h  \* MERGEFORMAT </w:instrText>
      </w:r>
      <w:r>
        <w:fldChar w:fldCharType="separate"/>
      </w:r>
      <w:r w:rsidR="00534F9F">
        <w:t>4</w:t>
      </w:r>
      <w:r>
        <w:fldChar w:fldCharType="end"/>
      </w:r>
      <w:r>
        <w:t xml:space="preserve">. </w:t>
      </w:r>
    </w:p>
    <w:p w:rsidR="009C6C96" w:rsidRDefault="009C6C96" w:rsidP="009C6C96">
      <w:pPr>
        <w:pStyle w:val="Bullet1"/>
        <w:numPr>
          <w:ilvl w:val="0"/>
          <w:numId w:val="0"/>
        </w:numPr>
        <w:spacing w:before="240"/>
      </w:pPr>
      <w:r>
        <w:fldChar w:fldCharType="begin"/>
      </w:r>
      <w:r>
        <w:instrText xml:space="preserve"> REF _Ref457577076 \r \h  \* MERGEFORMAT </w:instrText>
      </w:r>
      <w:r>
        <w:fldChar w:fldCharType="separate"/>
      </w:r>
      <w:r w:rsidR="00534F9F">
        <w:t>Figure 5.2</w:t>
      </w:r>
      <w:r>
        <w:fldChar w:fldCharType="end"/>
      </w:r>
      <w:r>
        <w:t xml:space="preserve"> below visualises how the overall value of labour services of a group of individuals is made up of two dimensions: </w:t>
      </w:r>
    </w:p>
    <w:p w:rsidR="009C6C96" w:rsidRDefault="009C6C96" w:rsidP="009C6C96">
      <w:pPr>
        <w:pStyle w:val="Bullet1"/>
      </w:pPr>
      <w:r>
        <w:t>a weekly wage component</w:t>
      </w:r>
      <w:r>
        <w:rPr>
          <w:rStyle w:val="FootnoteReference"/>
        </w:rPr>
        <w:footnoteReference w:id="39"/>
      </w:r>
      <w:r>
        <w:t xml:space="preserve"> (vertical axis); and</w:t>
      </w:r>
    </w:p>
    <w:p w:rsidR="009C6C96" w:rsidRDefault="009C6C96" w:rsidP="009C6C96">
      <w:pPr>
        <w:pStyle w:val="Bullet1"/>
      </w:pPr>
      <w:proofErr w:type="gramStart"/>
      <w:r>
        <w:t>the</w:t>
      </w:r>
      <w:proofErr w:type="gramEnd"/>
      <w:r>
        <w:t xml:space="preserve"> share of those individuals who are employed, which </w:t>
      </w:r>
      <w:r w:rsidR="00F678DE">
        <w:t xml:space="preserve">is </w:t>
      </w:r>
      <w:r>
        <w:t>a pro</w:t>
      </w:r>
      <w:r w:rsidR="00472794">
        <w:t xml:space="preserve">duct of the participation rate and the </w:t>
      </w:r>
      <w:r>
        <w:t xml:space="preserve">employment rate. </w:t>
      </w:r>
    </w:p>
    <w:p w:rsidR="009C6C96" w:rsidRDefault="009C6C96" w:rsidP="00AD48BC">
      <w:pPr>
        <w:pStyle w:val="Bullet1"/>
        <w:numPr>
          <w:ilvl w:val="0"/>
          <w:numId w:val="0"/>
        </w:numPr>
        <w:spacing w:before="240"/>
      </w:pPr>
      <w:r>
        <w:t>The figure also shows how the observed differences in labour services value are comprised of the qualification effect, and the demographic effect.</w:t>
      </w:r>
    </w:p>
    <w:p w:rsidR="009C6C96" w:rsidRPr="006637E0" w:rsidRDefault="009C6C96" w:rsidP="009C6C96">
      <w:pPr>
        <w:pStyle w:val="Bullet1"/>
        <w:numPr>
          <w:ilvl w:val="0"/>
          <w:numId w:val="0"/>
        </w:numPr>
        <w:spacing w:before="240"/>
      </w:pPr>
      <w:r>
        <w:t xml:space="preserve">The goal of this study is to understand the public benefits of higher education qualifications, so the simulations run in the CGE model are adjusted to measure the qualification effect only (the blue coloured box in </w:t>
      </w:r>
      <w:r>
        <w:fldChar w:fldCharType="begin"/>
      </w:r>
      <w:r>
        <w:instrText xml:space="preserve"> REF _Ref457577076 \r \h  \* MERGEFORMAT </w:instrText>
      </w:r>
      <w:r>
        <w:fldChar w:fldCharType="separate"/>
      </w:r>
      <w:r w:rsidR="00534F9F">
        <w:t>Figure 5.2</w:t>
      </w:r>
      <w:r>
        <w:fldChar w:fldCharType="end"/>
      </w:r>
      <w:r>
        <w:t xml:space="preserve"> below), rather than the combination of the qualification affect and any demographic effects. These adjustments are discussed in further detail in Appendix C.</w:t>
      </w:r>
    </w:p>
    <w:p w:rsidR="009C6C96" w:rsidRDefault="009C6C96" w:rsidP="009C6C96">
      <w:pPr>
        <w:pStyle w:val="CaptionFigure"/>
        <w:numPr>
          <w:ilvl w:val="8"/>
          <w:numId w:val="8"/>
        </w:numPr>
        <w:ind w:left="0"/>
      </w:pPr>
      <w:bookmarkStart w:id="170" w:name="_Ref457577076"/>
      <w:bookmarkStart w:id="171" w:name="_Toc465961115"/>
      <w:r>
        <w:t>: The differences in the value of labour services for average high school leavers and graduates, attributing between qualification and demographics</w:t>
      </w:r>
      <w:bookmarkEnd w:id="170"/>
      <w:bookmarkEnd w:id="171"/>
    </w:p>
    <w:p w:rsidR="009C6C96" w:rsidRDefault="009C6C96" w:rsidP="009C6C96">
      <w:pPr>
        <w:pStyle w:val="Bullet1"/>
        <w:numPr>
          <w:ilvl w:val="0"/>
          <w:numId w:val="0"/>
        </w:numPr>
      </w:pPr>
      <w:r>
        <w:rPr>
          <w:noProof/>
        </w:rPr>
        <w:drawing>
          <wp:inline distT="0" distB="0" distL="0" distR="0" wp14:anchorId="2B063430" wp14:editId="280CD654">
            <wp:extent cx="5219700" cy="274590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19700" cy="2745909"/>
                    </a:xfrm>
                    <a:prstGeom prst="rect">
                      <a:avLst/>
                    </a:prstGeom>
                    <a:noFill/>
                  </pic:spPr>
                </pic:pic>
              </a:graphicData>
            </a:graphic>
          </wp:inline>
        </w:drawing>
      </w:r>
    </w:p>
    <w:p w:rsidR="009C6C96" w:rsidRDefault="009C6C96" w:rsidP="009C6C96">
      <w:pPr>
        <w:pStyle w:val="Source"/>
        <w:ind w:firstLine="851"/>
      </w:pPr>
      <w:r>
        <w:t>Source: Deloitte Access Economics</w:t>
      </w:r>
    </w:p>
    <w:p w:rsidR="009C6C96" w:rsidRDefault="009C6C96" w:rsidP="009C6C96">
      <w:pPr>
        <w:pStyle w:val="Bullet1"/>
        <w:numPr>
          <w:ilvl w:val="0"/>
          <w:numId w:val="0"/>
        </w:numPr>
        <w:spacing w:before="240"/>
      </w:pPr>
      <w:r>
        <w:lastRenderedPageBreak/>
        <w:t>The patterns of wages and likely employment status vary over an individual’s working life. Those who undertake higher education generally do so following school, between the ages of 19-25. Logically the flow of benefits from a higher education qualification will commence after the qualification has been completed</w:t>
      </w:r>
      <w:r>
        <w:rPr>
          <w:rStyle w:val="FootnoteReference"/>
        </w:rPr>
        <w:footnoteReference w:id="40"/>
      </w:r>
      <w:r>
        <w:t xml:space="preserve">. </w:t>
      </w:r>
    </w:p>
    <w:p w:rsidR="009C6C96" w:rsidRDefault="009C6C96" w:rsidP="009C6C96">
      <w:pPr>
        <w:pStyle w:val="CaptionChart"/>
        <w:numPr>
          <w:ilvl w:val="7"/>
          <w:numId w:val="8"/>
        </w:numPr>
      </w:pPr>
      <w:bookmarkStart w:id="172" w:name="_Toc465961156"/>
      <w:r>
        <w:t xml:space="preserve">: wages, employment and participation by age for </w:t>
      </w:r>
      <w:r w:rsidR="00AD48BC">
        <w:t>bachelor</w:t>
      </w:r>
      <w:r>
        <w:t xml:space="preserve"> level engineering qualification holders</w:t>
      </w:r>
      <w:bookmarkEnd w:id="172"/>
    </w:p>
    <w:p w:rsidR="009C6C96" w:rsidRDefault="009C6C96" w:rsidP="009C6C96">
      <w:pPr>
        <w:pStyle w:val="Bullet1"/>
        <w:numPr>
          <w:ilvl w:val="0"/>
          <w:numId w:val="0"/>
        </w:numPr>
        <w:spacing w:before="240"/>
        <w:jc w:val="center"/>
      </w:pPr>
      <w:r>
        <w:rPr>
          <w:noProof/>
        </w:rPr>
        <w:drawing>
          <wp:inline distT="0" distB="0" distL="0" distR="0" wp14:anchorId="0F871389" wp14:editId="4C051907">
            <wp:extent cx="4038994" cy="242306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39555" cy="2423397"/>
                    </a:xfrm>
                    <a:prstGeom prst="rect">
                      <a:avLst/>
                    </a:prstGeom>
                    <a:noFill/>
                  </pic:spPr>
                </pic:pic>
              </a:graphicData>
            </a:graphic>
          </wp:inline>
        </w:drawing>
      </w:r>
    </w:p>
    <w:p w:rsidR="009C6C96" w:rsidRDefault="009C6C96" w:rsidP="009C6C96">
      <w:pPr>
        <w:pStyle w:val="Source"/>
        <w:ind w:firstLine="851"/>
      </w:pPr>
      <w:r>
        <w:t>Source: ABS Census of Population and Housing, Deloitte Access Economics</w:t>
      </w:r>
    </w:p>
    <w:p w:rsidR="009C6C96" w:rsidRDefault="009C6C96" w:rsidP="009C6C96">
      <w:pPr>
        <w:pStyle w:val="Bullet1"/>
        <w:numPr>
          <w:ilvl w:val="0"/>
          <w:numId w:val="0"/>
        </w:numPr>
        <w:spacing w:before="240"/>
        <w:jc w:val="left"/>
      </w:pPr>
    </w:p>
    <w:p w:rsidR="009C6C96" w:rsidRDefault="009C6C96" w:rsidP="009C6C96">
      <w:pPr>
        <w:pStyle w:val="Bullet1"/>
        <w:numPr>
          <w:ilvl w:val="0"/>
          <w:numId w:val="0"/>
        </w:numPr>
        <w:spacing w:before="240"/>
      </w:pPr>
      <w:r>
        <w:t xml:space="preserve">The relevant datasets (ABS Census and HILDA) capture observations of wages and employment from the full range of different career stages. This is reflective of the labour force in any given year. However, the timing of benefits is important because the flow of benefits (both public and private) </w:t>
      </w:r>
      <w:r w:rsidR="00D77B81">
        <w:t xml:space="preserve">is </w:t>
      </w:r>
      <w:r>
        <w:t>delayed relative to the decision to undertake higher education.</w:t>
      </w:r>
    </w:p>
    <w:p w:rsidR="009C6C96" w:rsidRDefault="009C6C96" w:rsidP="009C6C96">
      <w:pPr>
        <w:pStyle w:val="Bullet1"/>
        <w:numPr>
          <w:ilvl w:val="0"/>
          <w:numId w:val="0"/>
        </w:numPr>
        <w:spacing w:before="240"/>
      </w:pPr>
      <w:r>
        <w:t xml:space="preserve">Given this sequence of benefit flows, the public and private effects are estimated for each year, over an individual’s typical working life. The wage and participation profiles are generally </w:t>
      </w:r>
      <w:r w:rsidR="00F72619">
        <w:t>defined</w:t>
      </w:r>
      <w:r>
        <w:t xml:space="preserve"> in the ABS </w:t>
      </w:r>
      <w:r w:rsidR="00F72619">
        <w:t>C</w:t>
      </w:r>
      <w:r>
        <w:t>ensus data in five year brackets, so these are smoothed to</w:t>
      </w:r>
      <w:r w:rsidR="003E2DCE">
        <w:t xml:space="preserve"> </w:t>
      </w:r>
      <w:r w:rsidR="00F72619">
        <w:t xml:space="preserve">single year </w:t>
      </w:r>
      <w:r>
        <w:t xml:space="preserve">estimates using a quadratic functional form. Further details on this method </w:t>
      </w:r>
      <w:r w:rsidR="00093E5B">
        <w:t xml:space="preserve">are </w:t>
      </w:r>
      <w:r>
        <w:t>provided in Appendix C.</w:t>
      </w:r>
    </w:p>
    <w:p w:rsidR="009C6C96" w:rsidRDefault="009C6C96" w:rsidP="009C6C96">
      <w:pPr>
        <w:pStyle w:val="Bullet1"/>
        <w:numPr>
          <w:ilvl w:val="0"/>
          <w:numId w:val="0"/>
        </w:numPr>
        <w:spacing w:before="240"/>
      </w:pPr>
      <w:r>
        <w:t>This stream of annual economy-wide benefits, measured by GNP in each year, is rolled into a single figure using a Net Present Value (NPV) calculation. The typical discount rate used in this calculation is 7%, in line with OBPR benchmarks</w:t>
      </w:r>
      <w:r w:rsidR="00A570E8">
        <w:rPr>
          <w:rStyle w:val="FootnoteReference"/>
        </w:rPr>
        <w:footnoteReference w:id="41"/>
      </w:r>
      <w:r>
        <w:t>, but different discount rates are presented as a form of sensitivity analysis.</w:t>
      </w:r>
    </w:p>
    <w:p w:rsidR="009C6C96" w:rsidRDefault="009C6C96" w:rsidP="009C6C96">
      <w:pPr>
        <w:pStyle w:val="Bullet1"/>
        <w:numPr>
          <w:ilvl w:val="0"/>
          <w:numId w:val="0"/>
        </w:numPr>
        <w:spacing w:before="240"/>
      </w:pPr>
      <w:r>
        <w:t xml:space="preserve">The private benefit, which is an NPV of post-tax wage gains resulting from an individual’s career, is deducted from the economy-wide benefits, leaving the public benefits estimate. </w:t>
      </w:r>
      <w:r>
        <w:lastRenderedPageBreak/>
        <w:t>The relative public and private benefits are then expressed as shares of the total economy-wide benefits.</w:t>
      </w:r>
    </w:p>
    <w:p w:rsidR="009C6C96" w:rsidRDefault="009C6C96" w:rsidP="009C6C96">
      <w:pPr>
        <w:pStyle w:val="Bullet1"/>
        <w:numPr>
          <w:ilvl w:val="0"/>
          <w:numId w:val="0"/>
        </w:numPr>
        <w:spacing w:before="240"/>
      </w:pPr>
      <w:r>
        <w:t xml:space="preserve">To summarise the overall process, </w:t>
      </w:r>
      <w:r w:rsidR="00F678DE">
        <w:t xml:space="preserve">the </w:t>
      </w:r>
      <w:r>
        <w:t xml:space="preserve">effects of a particular higher education qualification </w:t>
      </w:r>
      <w:r w:rsidR="00F678DE">
        <w:t>are</w:t>
      </w:r>
      <w:r>
        <w:t xml:space="preserve"> estimated by conducting two simulations of the Australian economy in the CGE model.  </w:t>
      </w:r>
    </w:p>
    <w:p w:rsidR="009C6C96" w:rsidRDefault="009C6C96" w:rsidP="009C6C96">
      <w:pPr>
        <w:pStyle w:val="Bullet1"/>
      </w:pPr>
      <w:r>
        <w:t xml:space="preserve">the only difference between the two simulations is a small increase in amount of labour services available in the qualification of interest, and a corresponding reduction of labour services available at the high-school level; </w:t>
      </w:r>
    </w:p>
    <w:p w:rsidR="009C6C96" w:rsidRDefault="009C6C96" w:rsidP="009C6C96">
      <w:pPr>
        <w:pStyle w:val="Bullet1"/>
      </w:pPr>
      <w:r>
        <w:t xml:space="preserve">these labour services estimates are adjusted for demographic effects, which influence observed wage premiums and employment probabilities; </w:t>
      </w:r>
    </w:p>
    <w:p w:rsidR="009C6C96" w:rsidRDefault="009C6C96" w:rsidP="009C6C96">
      <w:pPr>
        <w:pStyle w:val="Bullet1"/>
      </w:pPr>
      <w:r>
        <w:t>the CGE model reports annual estimates of GNP impact over the 46 years of a typical working lifetime (aged 19-65) - these also account for variation in wages and likelihood of employment over a typical career;</w:t>
      </w:r>
    </w:p>
    <w:p w:rsidR="009C6C96" w:rsidRDefault="009C6C96" w:rsidP="009C6C96">
      <w:pPr>
        <w:pStyle w:val="Bullet1"/>
      </w:pPr>
      <w:proofErr w:type="gramStart"/>
      <w:r>
        <w:t>the</w:t>
      </w:r>
      <w:proofErr w:type="gramEnd"/>
      <w:r>
        <w:t xml:space="preserve"> stream of annual GNP estimates are expressed as a single figure using a NPV formula, from which the private benefits (an NPV post-tax wage increments) are deducted, to leave public benefits and the private benefits.</w:t>
      </w:r>
    </w:p>
    <w:p w:rsidR="009C6C96" w:rsidRDefault="009C6C96" w:rsidP="009C6C96">
      <w:pPr>
        <w:pStyle w:val="Bullet1"/>
        <w:numPr>
          <w:ilvl w:val="0"/>
          <w:numId w:val="0"/>
        </w:numPr>
        <w:spacing w:before="240"/>
      </w:pPr>
      <w:r>
        <w:t xml:space="preserve">The resulting estimates of public benefit by course and qualification level are presented in the following section. Key sensitivities are quantified in </w:t>
      </w:r>
      <w:r w:rsidR="00977C78">
        <w:t>Appendix D</w:t>
      </w:r>
      <w:r>
        <w:t>.</w:t>
      </w:r>
    </w:p>
    <w:p w:rsidR="009C6C96" w:rsidRDefault="009C6C96" w:rsidP="009C6C96">
      <w:pPr>
        <w:pStyle w:val="Heading2"/>
        <w:numPr>
          <w:ilvl w:val="1"/>
          <w:numId w:val="8"/>
        </w:numPr>
      </w:pPr>
      <w:bookmarkStart w:id="173" w:name="_Toc465961206"/>
      <w:r>
        <w:t>Results and discussion</w:t>
      </w:r>
      <w:bookmarkEnd w:id="173"/>
    </w:p>
    <w:p w:rsidR="009C6C96" w:rsidRDefault="009C6C96" w:rsidP="009C6C96">
      <w:pPr>
        <w:pStyle w:val="BodyText"/>
      </w:pPr>
      <w:r>
        <w:t xml:space="preserve">A summary of the relative private and public returns from higher education by qualification and discipline are summarised in </w:t>
      </w:r>
      <w:r>
        <w:fldChar w:fldCharType="begin"/>
      </w:r>
      <w:r>
        <w:instrText xml:space="preserve"> REF _Ref458147458 \r \h </w:instrText>
      </w:r>
      <w:r>
        <w:fldChar w:fldCharType="separate"/>
      </w:r>
      <w:r w:rsidR="00534F9F">
        <w:t>Table 5.2</w:t>
      </w:r>
      <w:r>
        <w:fldChar w:fldCharType="end"/>
      </w:r>
      <w:r>
        <w:t xml:space="preserve"> below.</w:t>
      </w:r>
    </w:p>
    <w:p w:rsidR="009C6C96" w:rsidRPr="00172F56" w:rsidRDefault="009C6C96" w:rsidP="00D52859">
      <w:pPr>
        <w:pStyle w:val="BodyText"/>
        <w:rPr>
          <w:rStyle w:val="Boldword"/>
          <w:b w:val="0"/>
          <w:color w:val="auto"/>
        </w:rPr>
      </w:pPr>
      <w:r>
        <w:rPr>
          <w:rStyle w:val="Boldword"/>
          <w:b w:val="0"/>
          <w:color w:val="auto"/>
        </w:rPr>
        <w:t xml:space="preserve">The results from the empirical analysis align with the conceptual determinants, with the results from the CGE model analysis of relative private and </w:t>
      </w:r>
      <w:r w:rsidR="000D4BF7">
        <w:rPr>
          <w:rStyle w:val="Boldword"/>
          <w:b w:val="0"/>
          <w:color w:val="auto"/>
        </w:rPr>
        <w:t>public benefits concluding that f</w:t>
      </w:r>
      <w:r>
        <w:rPr>
          <w:rStyle w:val="Boldword"/>
          <w:b w:val="0"/>
          <w:color w:val="auto"/>
        </w:rPr>
        <w:t xml:space="preserve">or bachelor degree </w:t>
      </w:r>
      <w:r w:rsidRPr="00172F56">
        <w:rPr>
          <w:rStyle w:val="Boldword"/>
          <w:b w:val="0"/>
          <w:color w:val="auto"/>
        </w:rPr>
        <w:t xml:space="preserve">qualifications, </w:t>
      </w:r>
      <w:r w:rsidRPr="00CD18A1">
        <w:rPr>
          <w:rStyle w:val="Boldword"/>
          <w:b w:val="0"/>
          <w:color w:val="auto"/>
        </w:rPr>
        <w:t>45%</w:t>
      </w:r>
      <w:r w:rsidRPr="00172F56">
        <w:rPr>
          <w:rStyle w:val="Boldword"/>
          <w:b w:val="0"/>
          <w:color w:val="auto"/>
        </w:rPr>
        <w:t xml:space="preserve"> of total market benefits are private (measured by post-tax earnings premiums), and </w:t>
      </w:r>
      <w:r w:rsidRPr="00CD18A1">
        <w:rPr>
          <w:rStyle w:val="Boldword"/>
          <w:b w:val="0"/>
          <w:color w:val="auto"/>
        </w:rPr>
        <w:t>55%</w:t>
      </w:r>
      <w:r w:rsidRPr="00172F56">
        <w:rPr>
          <w:rStyle w:val="Boldword"/>
          <w:b w:val="0"/>
          <w:color w:val="auto"/>
        </w:rPr>
        <w:t xml:space="preserve"> are public (measured by deviations in GNP less the private benefits)</w:t>
      </w:r>
      <w:r w:rsidR="00D52859">
        <w:rPr>
          <w:rStyle w:val="Boldword"/>
          <w:b w:val="0"/>
          <w:color w:val="auto"/>
        </w:rPr>
        <w:t>.</w:t>
      </w:r>
      <w:r w:rsidR="00D77B81">
        <w:rPr>
          <w:rStyle w:val="Boldword"/>
          <w:b w:val="0"/>
          <w:color w:val="auto"/>
        </w:rPr>
        <w:t xml:space="preserve"> </w:t>
      </w:r>
      <w:r w:rsidR="00D52859">
        <w:rPr>
          <w:lang w:eastAsia="en-AU"/>
        </w:rPr>
        <w:t xml:space="preserve">The GNP measure of economic activity accounts for changes in foreign capital flows, which is likely in the context of increased investment, and so is the most appropriate here. </w:t>
      </w:r>
    </w:p>
    <w:p w:rsidR="009C6C96" w:rsidRPr="00A7318D" w:rsidRDefault="009C6C96" w:rsidP="00D52859">
      <w:pPr>
        <w:pStyle w:val="BodyText"/>
        <w:rPr>
          <w:rStyle w:val="Boldword"/>
          <w:b w:val="0"/>
          <w:color w:val="auto"/>
        </w:rPr>
      </w:pPr>
      <w:r w:rsidRPr="00A7318D">
        <w:rPr>
          <w:rStyle w:val="Boldword"/>
          <w:b w:val="0"/>
          <w:color w:val="auto"/>
        </w:rPr>
        <w:t xml:space="preserve">There is a relatively modest level of variability across disciplines, but those with the greater relative </w:t>
      </w:r>
      <w:r w:rsidRPr="00D52859">
        <w:rPr>
          <w:rStyle w:val="Boldword"/>
          <w:b w:val="0"/>
          <w:color w:val="auto"/>
        </w:rPr>
        <w:t xml:space="preserve">public </w:t>
      </w:r>
      <w:r w:rsidRPr="00A7318D">
        <w:rPr>
          <w:rStyle w:val="Boldword"/>
          <w:b w:val="0"/>
          <w:color w:val="auto"/>
        </w:rPr>
        <w:t xml:space="preserve">return are Engineering, </w:t>
      </w:r>
      <w:r w:rsidR="001A3B1A">
        <w:rPr>
          <w:rStyle w:val="Boldword"/>
          <w:b w:val="0"/>
          <w:color w:val="auto"/>
        </w:rPr>
        <w:t>Science</w:t>
      </w:r>
      <w:r w:rsidRPr="00A7318D">
        <w:rPr>
          <w:rStyle w:val="Boldword"/>
          <w:b w:val="0"/>
          <w:color w:val="auto"/>
        </w:rPr>
        <w:t xml:space="preserve"> and Business, while the disciplines with the greater relative </w:t>
      </w:r>
      <w:r w:rsidRPr="00D52859">
        <w:rPr>
          <w:rStyle w:val="Boldword"/>
          <w:b w:val="0"/>
          <w:color w:val="auto"/>
        </w:rPr>
        <w:t>private</w:t>
      </w:r>
      <w:r w:rsidRPr="00A7318D">
        <w:rPr>
          <w:rStyle w:val="Boldword"/>
          <w:b w:val="0"/>
          <w:color w:val="auto"/>
        </w:rPr>
        <w:t xml:space="preserve"> return are Education</w:t>
      </w:r>
      <w:r>
        <w:rPr>
          <w:rStyle w:val="Boldword"/>
          <w:b w:val="0"/>
          <w:color w:val="auto"/>
        </w:rPr>
        <w:t>,</w:t>
      </w:r>
      <w:r w:rsidRPr="00A7318D">
        <w:rPr>
          <w:rStyle w:val="Boldword"/>
          <w:b w:val="0"/>
          <w:color w:val="auto"/>
        </w:rPr>
        <w:t xml:space="preserve"> Arts,</w:t>
      </w:r>
      <w:r>
        <w:rPr>
          <w:rStyle w:val="Boldword"/>
          <w:b w:val="0"/>
          <w:color w:val="auto"/>
        </w:rPr>
        <w:t xml:space="preserve"> </w:t>
      </w:r>
      <w:r w:rsidRPr="00A7318D">
        <w:rPr>
          <w:rStyle w:val="Boldword"/>
          <w:b w:val="0"/>
          <w:color w:val="auto"/>
        </w:rPr>
        <w:t>and Health</w:t>
      </w:r>
      <w:r w:rsidR="00D52859">
        <w:rPr>
          <w:rStyle w:val="Boldword"/>
          <w:b w:val="0"/>
          <w:color w:val="auto"/>
        </w:rPr>
        <w:t>.</w:t>
      </w:r>
    </w:p>
    <w:p w:rsidR="009C6C96" w:rsidRPr="00CD18A1" w:rsidRDefault="009C6C96" w:rsidP="00D52859">
      <w:pPr>
        <w:pStyle w:val="Bullet1"/>
        <w:rPr>
          <w:rStyle w:val="Boldword"/>
          <w:b w:val="0"/>
          <w:color w:val="auto"/>
        </w:rPr>
      </w:pPr>
      <w:r w:rsidRPr="002861E2">
        <w:rPr>
          <w:rStyle w:val="Boldword"/>
          <w:color w:val="auto"/>
        </w:rPr>
        <w:t>Engineering graduates</w:t>
      </w:r>
      <w:r>
        <w:rPr>
          <w:rStyle w:val="Boldword"/>
          <w:b w:val="0"/>
          <w:color w:val="auto"/>
        </w:rPr>
        <w:t xml:space="preserve"> typically work in manufacturing and mining, which are capital intensive sectors, so an increase in labour productivity will have a proportionally larger investment effect</w:t>
      </w:r>
      <w:r w:rsidR="00D52859">
        <w:rPr>
          <w:rStyle w:val="Boldword"/>
          <w:b w:val="0"/>
          <w:color w:val="auto"/>
        </w:rPr>
        <w:t>; and</w:t>
      </w:r>
    </w:p>
    <w:p w:rsidR="009C6C96" w:rsidRPr="005A22C5" w:rsidRDefault="009C6C96" w:rsidP="00D52859">
      <w:pPr>
        <w:pStyle w:val="Bullet1"/>
        <w:rPr>
          <w:rStyle w:val="Boldword"/>
          <w:b w:val="0"/>
          <w:color w:val="auto"/>
        </w:rPr>
      </w:pPr>
      <w:r w:rsidRPr="00CD18A1">
        <w:rPr>
          <w:rStyle w:val="Boldword"/>
          <w:color w:val="auto"/>
        </w:rPr>
        <w:t xml:space="preserve">Education </w:t>
      </w:r>
      <w:r w:rsidRPr="002861E2">
        <w:rPr>
          <w:rStyle w:val="Boldword"/>
          <w:color w:val="auto"/>
        </w:rPr>
        <w:t xml:space="preserve">graduates </w:t>
      </w:r>
      <w:r>
        <w:rPr>
          <w:rStyle w:val="Boldword"/>
          <w:b w:val="0"/>
          <w:color w:val="auto"/>
        </w:rPr>
        <w:t>typically sit in lower income tax brackets, the sector is labour intensive, and their employers are more likely to be public sector, meaning company taxes are not applicable.</w:t>
      </w:r>
    </w:p>
    <w:p w:rsidR="009C6C96" w:rsidRDefault="00D52859" w:rsidP="00D52859">
      <w:pPr>
        <w:pStyle w:val="BodyText"/>
        <w:rPr>
          <w:rStyle w:val="Boldword"/>
          <w:b w:val="0"/>
          <w:color w:val="auto"/>
        </w:rPr>
      </w:pPr>
      <w:r>
        <w:rPr>
          <w:rStyle w:val="Boldword"/>
          <w:b w:val="0"/>
          <w:color w:val="auto"/>
        </w:rPr>
        <w:t>T</w:t>
      </w:r>
      <w:r w:rsidR="009C6C96">
        <w:rPr>
          <w:rStyle w:val="Boldword"/>
          <w:b w:val="0"/>
          <w:color w:val="auto"/>
        </w:rPr>
        <w:t>here is no material difference between the average postgraduate degree and bachelor degree benefit shares, th</w:t>
      </w:r>
      <w:r>
        <w:rPr>
          <w:rStyle w:val="Boldword"/>
          <w:b w:val="0"/>
          <w:color w:val="auto"/>
        </w:rPr>
        <w:t>is is due to offsetting effects:</w:t>
      </w:r>
    </w:p>
    <w:p w:rsidR="009C6C96" w:rsidRDefault="009C6C96" w:rsidP="00D52859">
      <w:pPr>
        <w:pStyle w:val="Bullet1"/>
        <w:rPr>
          <w:rStyle w:val="Boldword"/>
          <w:b w:val="0"/>
          <w:color w:val="auto"/>
        </w:rPr>
      </w:pPr>
      <w:r w:rsidRPr="00A7318D">
        <w:rPr>
          <w:rStyle w:val="Boldword"/>
          <w:color w:val="auto"/>
        </w:rPr>
        <w:t>progressive taxation</w:t>
      </w:r>
      <w:r>
        <w:rPr>
          <w:rStyle w:val="Boldword"/>
          <w:b w:val="0"/>
          <w:color w:val="auto"/>
        </w:rPr>
        <w:t>: observed postgraduate wages are generally higher, meaning they pay a marginally greater share of their income in tax</w:t>
      </w:r>
      <w:r w:rsidR="00D52859">
        <w:rPr>
          <w:rStyle w:val="Boldword"/>
          <w:b w:val="0"/>
          <w:color w:val="auto"/>
        </w:rPr>
        <w:t>; and</w:t>
      </w:r>
    </w:p>
    <w:p w:rsidR="009C6C96" w:rsidRDefault="009C6C96" w:rsidP="00D52859">
      <w:pPr>
        <w:pStyle w:val="Bullet1"/>
        <w:rPr>
          <w:rStyle w:val="Boldword"/>
          <w:b w:val="0"/>
          <w:color w:val="auto"/>
        </w:rPr>
      </w:pPr>
      <w:proofErr w:type="gramStart"/>
      <w:r>
        <w:rPr>
          <w:rStyle w:val="Boldword"/>
          <w:color w:val="auto"/>
        </w:rPr>
        <w:lastRenderedPageBreak/>
        <w:t>compositional</w:t>
      </w:r>
      <w:proofErr w:type="gramEnd"/>
      <w:r>
        <w:rPr>
          <w:rStyle w:val="Boldword"/>
          <w:color w:val="auto"/>
        </w:rPr>
        <w:t xml:space="preserve"> effect</w:t>
      </w:r>
      <w:r w:rsidRPr="00A7318D">
        <w:rPr>
          <w:rStyle w:val="Boldword"/>
          <w:b w:val="0"/>
          <w:color w:val="auto"/>
        </w:rPr>
        <w:t>:</w:t>
      </w:r>
      <w:r>
        <w:rPr>
          <w:rStyle w:val="Boldword"/>
          <w:b w:val="0"/>
          <w:color w:val="auto"/>
        </w:rPr>
        <w:t xml:space="preserve"> bachelor degree holders tend to have qualifications in fields with greater public benefits</w:t>
      </w:r>
      <w:r w:rsidR="00203A8F">
        <w:rPr>
          <w:rStyle w:val="Boldword"/>
          <w:b w:val="0"/>
          <w:color w:val="auto"/>
        </w:rPr>
        <w:t xml:space="preserve"> – see Table 5.3.</w:t>
      </w:r>
    </w:p>
    <w:p w:rsidR="009C6C96" w:rsidRPr="00682795" w:rsidRDefault="009C6C96" w:rsidP="009C6C96">
      <w:pPr>
        <w:pStyle w:val="Bullet1"/>
        <w:numPr>
          <w:ilvl w:val="0"/>
          <w:numId w:val="0"/>
        </w:numPr>
        <w:spacing w:before="240"/>
      </w:pPr>
      <w:r w:rsidRPr="00682795">
        <w:t xml:space="preserve">Since the sub-bachelor econometric analysis did not show a statistically significant earnings premium, the public/private shares estimates are characterised by a greater level of uncertainty than bachelor or postgraduate level qualifications. Given the econometric analysis did not reveal a statistically significant variation in earnings for qualification holders from different provider types, there is no basis to expect significant differences in the split of public and private benefits. </w:t>
      </w:r>
    </w:p>
    <w:p w:rsidR="009C6C96" w:rsidRDefault="009C6C96" w:rsidP="009C6C96">
      <w:pPr>
        <w:pStyle w:val="CaptionTable"/>
        <w:numPr>
          <w:ilvl w:val="6"/>
          <w:numId w:val="8"/>
        </w:numPr>
        <w:ind w:left="0"/>
      </w:pPr>
      <w:bookmarkStart w:id="174" w:name="_Ref458147458"/>
      <w:bookmarkStart w:id="175" w:name="_Toc465961129"/>
      <w:r>
        <w:t xml:space="preserve">: Relative private and public benefits by discipline, </w:t>
      </w:r>
      <w:r w:rsidR="0075680D">
        <w:t>b</w:t>
      </w:r>
      <w:r>
        <w:t>achelor and postgraduate</w:t>
      </w:r>
      <w:bookmarkEnd w:id="174"/>
      <w:bookmarkEnd w:id="175"/>
    </w:p>
    <w:tbl>
      <w:tblPr>
        <w:tblW w:w="8046" w:type="dxa"/>
        <w:tblInd w:w="-108" w:type="dxa"/>
        <w:tblLayout w:type="fixed"/>
        <w:tblCellMar>
          <w:left w:w="0" w:type="dxa"/>
          <w:right w:w="0" w:type="dxa"/>
        </w:tblCellMar>
        <w:tblLook w:val="04A0" w:firstRow="1" w:lastRow="0" w:firstColumn="1" w:lastColumn="0" w:noHBand="0" w:noVBand="1"/>
      </w:tblPr>
      <w:tblGrid>
        <w:gridCol w:w="1684"/>
        <w:gridCol w:w="811"/>
        <w:gridCol w:w="732"/>
        <w:gridCol w:w="578"/>
        <w:gridCol w:w="710"/>
        <w:gridCol w:w="710"/>
        <w:gridCol w:w="706"/>
        <w:gridCol w:w="710"/>
        <w:gridCol w:w="710"/>
        <w:gridCol w:w="679"/>
        <w:gridCol w:w="16"/>
      </w:tblGrid>
      <w:tr w:rsidR="003E2DCE" w:rsidRPr="00574710" w:rsidTr="00DA4CA5">
        <w:trPr>
          <w:gridAfter w:val="1"/>
          <w:wAfter w:w="10" w:type="pct"/>
          <w:trHeight w:val="540"/>
        </w:trPr>
        <w:tc>
          <w:tcPr>
            <w:tcW w:w="1046" w:type="pct"/>
            <w:tcBorders>
              <w:top w:val="single" w:sz="12" w:space="0" w:color="002776"/>
              <w:left w:val="nil"/>
              <w:bottom w:val="single" w:sz="8" w:space="0" w:color="002776"/>
              <w:right w:val="nil"/>
            </w:tcBorders>
            <w:shd w:val="clear" w:color="auto" w:fill="auto"/>
            <w:hideMark/>
          </w:tcPr>
          <w:p w:rsidR="003E2DCE" w:rsidRPr="00444981" w:rsidRDefault="003E2DCE" w:rsidP="00180687">
            <w:pPr>
              <w:outlineLvl w:val="0"/>
              <w:rPr>
                <w:rFonts w:asciiTheme="minorHAnsi" w:hAnsiTheme="minorHAnsi"/>
                <w:color w:val="000000"/>
                <w:sz w:val="20"/>
              </w:rPr>
            </w:pPr>
            <w:r w:rsidRPr="00444981">
              <w:rPr>
                <w:rFonts w:asciiTheme="minorHAnsi" w:hAnsiTheme="minorHAnsi"/>
                <w:color w:val="000000"/>
                <w:sz w:val="20"/>
              </w:rPr>
              <w:t> </w:t>
            </w:r>
          </w:p>
        </w:tc>
        <w:tc>
          <w:tcPr>
            <w:tcW w:w="504" w:type="pct"/>
            <w:tcBorders>
              <w:top w:val="single" w:sz="12" w:space="0" w:color="002776"/>
              <w:left w:val="nil"/>
              <w:bottom w:val="single" w:sz="8" w:space="0" w:color="002776"/>
              <w:right w:val="nil"/>
            </w:tcBorders>
            <w:shd w:val="clear" w:color="auto" w:fill="auto"/>
            <w:vAlign w:val="center"/>
            <w:hideMark/>
          </w:tcPr>
          <w:p w:rsidR="003E2DCE" w:rsidRPr="00444981" w:rsidRDefault="003E2DCE" w:rsidP="00180687">
            <w:pPr>
              <w:jc w:val="center"/>
              <w:outlineLvl w:val="0"/>
              <w:rPr>
                <w:rFonts w:asciiTheme="minorHAnsi" w:hAnsiTheme="minorHAnsi"/>
                <w:b/>
                <w:bCs/>
                <w:color w:val="002776"/>
                <w:sz w:val="20"/>
              </w:rPr>
            </w:pPr>
            <w:r w:rsidRPr="00444981">
              <w:rPr>
                <w:rFonts w:asciiTheme="minorHAnsi" w:hAnsiTheme="minorHAnsi"/>
                <w:b/>
                <w:bCs/>
                <w:color w:val="002776"/>
                <w:sz w:val="20"/>
              </w:rPr>
              <w:t>Medicine</w:t>
            </w:r>
          </w:p>
        </w:tc>
        <w:tc>
          <w:tcPr>
            <w:tcW w:w="455" w:type="pct"/>
            <w:tcBorders>
              <w:top w:val="single" w:sz="12" w:space="0" w:color="002776"/>
              <w:left w:val="nil"/>
              <w:bottom w:val="single" w:sz="8" w:space="0" w:color="002776"/>
              <w:right w:val="nil"/>
            </w:tcBorders>
            <w:shd w:val="clear" w:color="auto" w:fill="auto"/>
            <w:vAlign w:val="center"/>
            <w:hideMark/>
          </w:tcPr>
          <w:p w:rsidR="003E2DCE" w:rsidRPr="00444981" w:rsidRDefault="003E2DCE" w:rsidP="00180687">
            <w:pPr>
              <w:jc w:val="center"/>
              <w:outlineLvl w:val="0"/>
              <w:rPr>
                <w:rFonts w:asciiTheme="minorHAnsi" w:hAnsiTheme="minorHAnsi"/>
                <w:b/>
                <w:bCs/>
                <w:color w:val="002776"/>
                <w:sz w:val="20"/>
              </w:rPr>
            </w:pPr>
            <w:r w:rsidRPr="00444981">
              <w:rPr>
                <w:rFonts w:asciiTheme="minorHAnsi" w:hAnsiTheme="minorHAnsi"/>
                <w:b/>
                <w:bCs/>
                <w:color w:val="002776"/>
                <w:sz w:val="20"/>
              </w:rPr>
              <w:t>Other Health</w:t>
            </w:r>
          </w:p>
        </w:tc>
        <w:tc>
          <w:tcPr>
            <w:tcW w:w="359" w:type="pct"/>
            <w:tcBorders>
              <w:top w:val="single" w:sz="12" w:space="0" w:color="002776"/>
              <w:left w:val="nil"/>
              <w:bottom w:val="single" w:sz="8" w:space="0" w:color="002776"/>
              <w:right w:val="nil"/>
            </w:tcBorders>
            <w:shd w:val="clear" w:color="auto" w:fill="auto"/>
            <w:vAlign w:val="center"/>
            <w:hideMark/>
          </w:tcPr>
          <w:p w:rsidR="003E2DCE" w:rsidRPr="00444981" w:rsidRDefault="003E2DCE" w:rsidP="00180687">
            <w:pPr>
              <w:jc w:val="center"/>
              <w:outlineLvl w:val="0"/>
              <w:rPr>
                <w:rFonts w:asciiTheme="minorHAnsi" w:hAnsiTheme="minorHAnsi"/>
                <w:b/>
                <w:bCs/>
                <w:color w:val="002776"/>
                <w:sz w:val="20"/>
              </w:rPr>
            </w:pPr>
            <w:r w:rsidRPr="00444981">
              <w:rPr>
                <w:rFonts w:asciiTheme="minorHAnsi" w:hAnsiTheme="minorHAnsi"/>
                <w:b/>
                <w:bCs/>
                <w:color w:val="002776"/>
                <w:sz w:val="20"/>
              </w:rPr>
              <w:t>Educ</w:t>
            </w:r>
            <w:r>
              <w:rPr>
                <w:rFonts w:asciiTheme="minorHAnsi" w:hAnsiTheme="minorHAnsi"/>
                <w:b/>
                <w:bCs/>
                <w:color w:val="002776"/>
                <w:sz w:val="20"/>
              </w:rPr>
              <w:t>.</w:t>
            </w:r>
          </w:p>
        </w:tc>
        <w:tc>
          <w:tcPr>
            <w:tcW w:w="441" w:type="pct"/>
            <w:tcBorders>
              <w:top w:val="single" w:sz="12" w:space="0" w:color="002776"/>
              <w:left w:val="nil"/>
              <w:bottom w:val="single" w:sz="8" w:space="0" w:color="002776"/>
              <w:right w:val="nil"/>
            </w:tcBorders>
            <w:shd w:val="clear" w:color="auto" w:fill="auto"/>
            <w:vAlign w:val="center"/>
            <w:hideMark/>
          </w:tcPr>
          <w:p w:rsidR="003E2DCE" w:rsidRPr="00444981" w:rsidRDefault="003E2DCE" w:rsidP="00180687">
            <w:pPr>
              <w:jc w:val="center"/>
              <w:outlineLvl w:val="0"/>
              <w:rPr>
                <w:rFonts w:asciiTheme="minorHAnsi" w:hAnsiTheme="minorHAnsi"/>
                <w:b/>
                <w:bCs/>
                <w:color w:val="002776"/>
                <w:sz w:val="20"/>
              </w:rPr>
            </w:pPr>
            <w:r w:rsidRPr="00444981">
              <w:rPr>
                <w:rFonts w:asciiTheme="minorHAnsi" w:hAnsiTheme="minorHAnsi"/>
                <w:b/>
                <w:bCs/>
                <w:color w:val="002776"/>
                <w:sz w:val="20"/>
              </w:rPr>
              <w:t>Eng</w:t>
            </w:r>
            <w:r>
              <w:rPr>
                <w:rFonts w:asciiTheme="minorHAnsi" w:hAnsiTheme="minorHAnsi"/>
                <w:b/>
                <w:bCs/>
                <w:color w:val="002776"/>
                <w:sz w:val="20"/>
              </w:rPr>
              <w:t>.</w:t>
            </w:r>
          </w:p>
        </w:tc>
        <w:tc>
          <w:tcPr>
            <w:tcW w:w="441" w:type="pct"/>
            <w:tcBorders>
              <w:top w:val="single" w:sz="12" w:space="0" w:color="002776"/>
              <w:left w:val="nil"/>
              <w:bottom w:val="single" w:sz="8" w:space="0" w:color="002776"/>
              <w:right w:val="nil"/>
            </w:tcBorders>
            <w:shd w:val="clear" w:color="auto" w:fill="auto"/>
            <w:vAlign w:val="center"/>
            <w:hideMark/>
          </w:tcPr>
          <w:p w:rsidR="003E2DCE" w:rsidRPr="00444981" w:rsidRDefault="003E2DCE" w:rsidP="00180687">
            <w:pPr>
              <w:jc w:val="center"/>
              <w:outlineLvl w:val="0"/>
              <w:rPr>
                <w:rFonts w:asciiTheme="minorHAnsi" w:hAnsiTheme="minorHAnsi"/>
                <w:b/>
                <w:bCs/>
                <w:color w:val="002776"/>
                <w:sz w:val="20"/>
              </w:rPr>
            </w:pPr>
            <w:r w:rsidRPr="00444981">
              <w:rPr>
                <w:rFonts w:asciiTheme="minorHAnsi" w:hAnsiTheme="minorHAnsi"/>
                <w:b/>
                <w:bCs/>
                <w:color w:val="002776"/>
                <w:sz w:val="20"/>
              </w:rPr>
              <w:t>Bus</w:t>
            </w:r>
            <w:r>
              <w:rPr>
                <w:rFonts w:asciiTheme="minorHAnsi" w:hAnsiTheme="minorHAnsi"/>
                <w:b/>
                <w:bCs/>
                <w:color w:val="002776"/>
                <w:sz w:val="20"/>
              </w:rPr>
              <w:t>.</w:t>
            </w:r>
          </w:p>
        </w:tc>
        <w:tc>
          <w:tcPr>
            <w:tcW w:w="439" w:type="pct"/>
            <w:tcBorders>
              <w:top w:val="single" w:sz="12" w:space="0" w:color="002776"/>
              <w:left w:val="nil"/>
              <w:bottom w:val="single" w:sz="8" w:space="0" w:color="002776"/>
              <w:right w:val="nil"/>
            </w:tcBorders>
            <w:shd w:val="clear" w:color="auto" w:fill="auto"/>
            <w:vAlign w:val="center"/>
            <w:hideMark/>
          </w:tcPr>
          <w:p w:rsidR="003E2DCE" w:rsidRPr="00444981" w:rsidRDefault="003E2DCE" w:rsidP="00180687">
            <w:pPr>
              <w:jc w:val="center"/>
              <w:outlineLvl w:val="0"/>
              <w:rPr>
                <w:rFonts w:asciiTheme="minorHAnsi" w:hAnsiTheme="minorHAnsi"/>
                <w:b/>
                <w:bCs/>
                <w:color w:val="002776"/>
                <w:sz w:val="20"/>
              </w:rPr>
            </w:pPr>
            <w:r w:rsidRPr="00444981">
              <w:rPr>
                <w:rFonts w:asciiTheme="minorHAnsi" w:hAnsiTheme="minorHAnsi"/>
                <w:b/>
                <w:bCs/>
                <w:color w:val="002776"/>
                <w:sz w:val="20"/>
              </w:rPr>
              <w:t>Arts</w:t>
            </w:r>
          </w:p>
        </w:tc>
        <w:tc>
          <w:tcPr>
            <w:tcW w:w="441" w:type="pct"/>
            <w:tcBorders>
              <w:top w:val="single" w:sz="12" w:space="0" w:color="002776"/>
              <w:left w:val="nil"/>
              <w:bottom w:val="single" w:sz="8" w:space="0" w:color="002776"/>
              <w:right w:val="nil"/>
            </w:tcBorders>
            <w:shd w:val="clear" w:color="auto" w:fill="auto"/>
            <w:vAlign w:val="center"/>
            <w:hideMark/>
          </w:tcPr>
          <w:p w:rsidR="003E2DCE" w:rsidRPr="00444981" w:rsidRDefault="003E2DCE" w:rsidP="00180687">
            <w:pPr>
              <w:jc w:val="center"/>
              <w:outlineLvl w:val="0"/>
              <w:rPr>
                <w:rFonts w:asciiTheme="minorHAnsi" w:hAnsiTheme="minorHAnsi"/>
                <w:b/>
                <w:bCs/>
                <w:color w:val="002776"/>
                <w:sz w:val="20"/>
              </w:rPr>
            </w:pPr>
            <w:r w:rsidRPr="00444981">
              <w:rPr>
                <w:rFonts w:asciiTheme="minorHAnsi" w:hAnsiTheme="minorHAnsi"/>
                <w:b/>
                <w:bCs/>
                <w:color w:val="002776"/>
                <w:sz w:val="20"/>
              </w:rPr>
              <w:t>Science</w:t>
            </w:r>
          </w:p>
        </w:tc>
        <w:tc>
          <w:tcPr>
            <w:tcW w:w="441" w:type="pct"/>
            <w:tcBorders>
              <w:top w:val="single" w:sz="12" w:space="0" w:color="002776"/>
              <w:left w:val="nil"/>
              <w:bottom w:val="single" w:sz="8" w:space="0" w:color="002776"/>
              <w:right w:val="nil"/>
            </w:tcBorders>
            <w:shd w:val="clear" w:color="auto" w:fill="auto"/>
            <w:vAlign w:val="center"/>
            <w:hideMark/>
          </w:tcPr>
          <w:p w:rsidR="003E2DCE" w:rsidRPr="00444981" w:rsidRDefault="003E2DCE" w:rsidP="00180687">
            <w:pPr>
              <w:jc w:val="center"/>
              <w:outlineLvl w:val="0"/>
              <w:rPr>
                <w:rFonts w:asciiTheme="minorHAnsi" w:hAnsiTheme="minorHAnsi"/>
                <w:b/>
                <w:bCs/>
                <w:color w:val="002776"/>
                <w:sz w:val="20"/>
              </w:rPr>
            </w:pPr>
            <w:r w:rsidRPr="00444981">
              <w:rPr>
                <w:rFonts w:asciiTheme="minorHAnsi" w:hAnsiTheme="minorHAnsi"/>
                <w:b/>
                <w:bCs/>
                <w:color w:val="002776"/>
                <w:sz w:val="20"/>
              </w:rPr>
              <w:t>IT</w:t>
            </w:r>
          </w:p>
        </w:tc>
        <w:tc>
          <w:tcPr>
            <w:tcW w:w="422" w:type="pct"/>
            <w:tcBorders>
              <w:top w:val="single" w:sz="12" w:space="0" w:color="002776"/>
              <w:left w:val="nil"/>
              <w:bottom w:val="single" w:sz="8" w:space="0" w:color="002776"/>
              <w:right w:val="nil"/>
            </w:tcBorders>
            <w:shd w:val="clear" w:color="auto" w:fill="auto"/>
            <w:vAlign w:val="center"/>
            <w:hideMark/>
          </w:tcPr>
          <w:p w:rsidR="003E2DCE" w:rsidRPr="00444981" w:rsidRDefault="003E2DCE" w:rsidP="00180687">
            <w:pPr>
              <w:jc w:val="center"/>
              <w:outlineLvl w:val="0"/>
              <w:rPr>
                <w:rFonts w:asciiTheme="minorHAnsi" w:hAnsiTheme="minorHAnsi"/>
                <w:b/>
                <w:bCs/>
                <w:color w:val="002776"/>
                <w:sz w:val="20"/>
              </w:rPr>
            </w:pPr>
            <w:r w:rsidRPr="00444981">
              <w:rPr>
                <w:rFonts w:asciiTheme="minorHAnsi" w:hAnsiTheme="minorHAnsi"/>
                <w:b/>
                <w:bCs/>
                <w:color w:val="002776"/>
                <w:sz w:val="20"/>
              </w:rPr>
              <w:t>Ave</w:t>
            </w:r>
            <w:r>
              <w:rPr>
                <w:rFonts w:asciiTheme="minorHAnsi" w:hAnsiTheme="minorHAnsi"/>
                <w:b/>
                <w:bCs/>
                <w:color w:val="002776"/>
                <w:sz w:val="20"/>
              </w:rPr>
              <w:t>.</w:t>
            </w:r>
          </w:p>
        </w:tc>
      </w:tr>
      <w:tr w:rsidR="003E2DCE" w:rsidRPr="00574710" w:rsidTr="00DA4CA5">
        <w:trPr>
          <w:gridAfter w:val="1"/>
          <w:wAfter w:w="10" w:type="pct"/>
          <w:trHeight w:val="320"/>
        </w:trPr>
        <w:tc>
          <w:tcPr>
            <w:tcW w:w="1046" w:type="pct"/>
            <w:tcBorders>
              <w:top w:val="single" w:sz="12" w:space="0" w:color="002776"/>
              <w:left w:val="nil"/>
              <w:right w:val="nil"/>
            </w:tcBorders>
            <w:shd w:val="clear" w:color="auto" w:fill="auto"/>
          </w:tcPr>
          <w:p w:rsidR="003E2DCE" w:rsidRPr="00444981" w:rsidRDefault="003E2DCE" w:rsidP="00180687">
            <w:pPr>
              <w:outlineLvl w:val="0"/>
              <w:rPr>
                <w:rFonts w:asciiTheme="minorHAnsi" w:hAnsiTheme="minorHAnsi"/>
                <w:b/>
                <w:color w:val="000000"/>
                <w:sz w:val="20"/>
              </w:rPr>
            </w:pPr>
            <w:r w:rsidRPr="00444981">
              <w:rPr>
                <w:rFonts w:asciiTheme="minorHAnsi" w:hAnsiTheme="minorHAnsi"/>
                <w:b/>
                <w:color w:val="002776" w:themeColor="accent1"/>
                <w:sz w:val="20"/>
              </w:rPr>
              <w:t>Bachelor level</w:t>
            </w:r>
          </w:p>
        </w:tc>
        <w:tc>
          <w:tcPr>
            <w:tcW w:w="504" w:type="pct"/>
            <w:tcBorders>
              <w:top w:val="single" w:sz="12" w:space="0" w:color="002776"/>
              <w:left w:val="nil"/>
              <w:right w:val="nil"/>
            </w:tcBorders>
            <w:shd w:val="clear" w:color="auto" w:fill="auto"/>
            <w:vAlign w:val="center"/>
          </w:tcPr>
          <w:p w:rsidR="003E2DCE" w:rsidRPr="00444981" w:rsidRDefault="003E2DCE" w:rsidP="00180687">
            <w:pPr>
              <w:jc w:val="center"/>
              <w:outlineLvl w:val="0"/>
              <w:rPr>
                <w:rFonts w:asciiTheme="minorHAnsi" w:hAnsiTheme="minorHAnsi"/>
                <w:b/>
                <w:bCs/>
                <w:color w:val="002776"/>
                <w:sz w:val="20"/>
              </w:rPr>
            </w:pPr>
          </w:p>
        </w:tc>
        <w:tc>
          <w:tcPr>
            <w:tcW w:w="455" w:type="pct"/>
            <w:tcBorders>
              <w:top w:val="single" w:sz="12" w:space="0" w:color="002776"/>
              <w:left w:val="nil"/>
              <w:right w:val="nil"/>
            </w:tcBorders>
            <w:shd w:val="clear" w:color="auto" w:fill="auto"/>
            <w:vAlign w:val="center"/>
          </w:tcPr>
          <w:p w:rsidR="003E2DCE" w:rsidRPr="00444981" w:rsidRDefault="003E2DCE" w:rsidP="00180687">
            <w:pPr>
              <w:jc w:val="center"/>
              <w:outlineLvl w:val="0"/>
              <w:rPr>
                <w:rFonts w:asciiTheme="minorHAnsi" w:hAnsiTheme="minorHAnsi"/>
                <w:b/>
                <w:bCs/>
                <w:color w:val="002776"/>
                <w:sz w:val="20"/>
              </w:rPr>
            </w:pPr>
          </w:p>
        </w:tc>
        <w:tc>
          <w:tcPr>
            <w:tcW w:w="359" w:type="pct"/>
            <w:tcBorders>
              <w:top w:val="single" w:sz="12" w:space="0" w:color="002776"/>
              <w:left w:val="nil"/>
              <w:right w:val="nil"/>
            </w:tcBorders>
            <w:shd w:val="clear" w:color="auto" w:fill="auto"/>
            <w:vAlign w:val="center"/>
          </w:tcPr>
          <w:p w:rsidR="003E2DCE" w:rsidRPr="00444981" w:rsidRDefault="003E2DCE" w:rsidP="00180687">
            <w:pPr>
              <w:jc w:val="center"/>
              <w:outlineLvl w:val="0"/>
              <w:rPr>
                <w:rFonts w:asciiTheme="minorHAnsi" w:hAnsiTheme="minorHAnsi"/>
                <w:b/>
                <w:bCs/>
                <w:color w:val="002776"/>
                <w:sz w:val="20"/>
              </w:rPr>
            </w:pPr>
          </w:p>
        </w:tc>
        <w:tc>
          <w:tcPr>
            <w:tcW w:w="441" w:type="pct"/>
            <w:tcBorders>
              <w:top w:val="single" w:sz="12" w:space="0" w:color="002776"/>
              <w:left w:val="nil"/>
              <w:right w:val="nil"/>
            </w:tcBorders>
            <w:shd w:val="clear" w:color="auto" w:fill="auto"/>
            <w:vAlign w:val="center"/>
          </w:tcPr>
          <w:p w:rsidR="003E2DCE" w:rsidRPr="00444981" w:rsidRDefault="003E2DCE" w:rsidP="00180687">
            <w:pPr>
              <w:jc w:val="center"/>
              <w:outlineLvl w:val="0"/>
              <w:rPr>
                <w:rFonts w:asciiTheme="minorHAnsi" w:hAnsiTheme="minorHAnsi"/>
                <w:b/>
                <w:bCs/>
                <w:color w:val="002776"/>
                <w:sz w:val="20"/>
              </w:rPr>
            </w:pPr>
          </w:p>
        </w:tc>
        <w:tc>
          <w:tcPr>
            <w:tcW w:w="441" w:type="pct"/>
            <w:tcBorders>
              <w:top w:val="single" w:sz="12" w:space="0" w:color="002776"/>
              <w:left w:val="nil"/>
              <w:right w:val="nil"/>
            </w:tcBorders>
            <w:shd w:val="clear" w:color="auto" w:fill="auto"/>
            <w:vAlign w:val="center"/>
          </w:tcPr>
          <w:p w:rsidR="003E2DCE" w:rsidRPr="00444981" w:rsidRDefault="003E2DCE" w:rsidP="00180687">
            <w:pPr>
              <w:jc w:val="center"/>
              <w:outlineLvl w:val="0"/>
              <w:rPr>
                <w:rFonts w:asciiTheme="minorHAnsi" w:hAnsiTheme="minorHAnsi"/>
                <w:b/>
                <w:bCs/>
                <w:color w:val="002776"/>
                <w:sz w:val="20"/>
              </w:rPr>
            </w:pPr>
          </w:p>
        </w:tc>
        <w:tc>
          <w:tcPr>
            <w:tcW w:w="439" w:type="pct"/>
            <w:tcBorders>
              <w:top w:val="single" w:sz="12" w:space="0" w:color="002776"/>
              <w:left w:val="nil"/>
              <w:right w:val="nil"/>
            </w:tcBorders>
            <w:shd w:val="clear" w:color="auto" w:fill="auto"/>
            <w:vAlign w:val="center"/>
          </w:tcPr>
          <w:p w:rsidR="003E2DCE" w:rsidRPr="00444981" w:rsidRDefault="003E2DCE" w:rsidP="00180687">
            <w:pPr>
              <w:jc w:val="center"/>
              <w:outlineLvl w:val="0"/>
              <w:rPr>
                <w:rFonts w:asciiTheme="minorHAnsi" w:hAnsiTheme="minorHAnsi"/>
                <w:b/>
                <w:bCs/>
                <w:color w:val="002776"/>
                <w:sz w:val="20"/>
              </w:rPr>
            </w:pPr>
          </w:p>
        </w:tc>
        <w:tc>
          <w:tcPr>
            <w:tcW w:w="441" w:type="pct"/>
            <w:tcBorders>
              <w:top w:val="single" w:sz="12" w:space="0" w:color="002776"/>
              <w:left w:val="nil"/>
              <w:right w:val="nil"/>
            </w:tcBorders>
            <w:shd w:val="clear" w:color="auto" w:fill="auto"/>
            <w:vAlign w:val="center"/>
          </w:tcPr>
          <w:p w:rsidR="003E2DCE" w:rsidRPr="00444981" w:rsidRDefault="003E2DCE" w:rsidP="00180687">
            <w:pPr>
              <w:jc w:val="center"/>
              <w:outlineLvl w:val="0"/>
              <w:rPr>
                <w:rFonts w:asciiTheme="minorHAnsi" w:hAnsiTheme="minorHAnsi"/>
                <w:b/>
                <w:bCs/>
                <w:color w:val="002776"/>
                <w:sz w:val="20"/>
              </w:rPr>
            </w:pPr>
          </w:p>
        </w:tc>
        <w:tc>
          <w:tcPr>
            <w:tcW w:w="441" w:type="pct"/>
            <w:tcBorders>
              <w:top w:val="single" w:sz="12" w:space="0" w:color="002776"/>
              <w:left w:val="nil"/>
              <w:right w:val="nil"/>
            </w:tcBorders>
            <w:shd w:val="clear" w:color="auto" w:fill="auto"/>
            <w:vAlign w:val="center"/>
          </w:tcPr>
          <w:p w:rsidR="003E2DCE" w:rsidRPr="00444981" w:rsidRDefault="003E2DCE" w:rsidP="00180687">
            <w:pPr>
              <w:jc w:val="center"/>
              <w:outlineLvl w:val="0"/>
              <w:rPr>
                <w:rFonts w:asciiTheme="minorHAnsi" w:hAnsiTheme="minorHAnsi"/>
                <w:b/>
                <w:bCs/>
                <w:color w:val="002776"/>
                <w:sz w:val="20"/>
              </w:rPr>
            </w:pPr>
          </w:p>
        </w:tc>
        <w:tc>
          <w:tcPr>
            <w:tcW w:w="422" w:type="pct"/>
            <w:tcBorders>
              <w:top w:val="single" w:sz="12" w:space="0" w:color="002776"/>
              <w:left w:val="nil"/>
              <w:right w:val="nil"/>
            </w:tcBorders>
            <w:shd w:val="clear" w:color="auto" w:fill="auto"/>
            <w:vAlign w:val="center"/>
          </w:tcPr>
          <w:p w:rsidR="003E2DCE" w:rsidRPr="00444981" w:rsidRDefault="003E2DCE" w:rsidP="00180687">
            <w:pPr>
              <w:jc w:val="center"/>
              <w:outlineLvl w:val="0"/>
              <w:rPr>
                <w:rFonts w:asciiTheme="minorHAnsi" w:hAnsiTheme="minorHAnsi"/>
                <w:b/>
                <w:bCs/>
                <w:color w:val="002776"/>
                <w:sz w:val="20"/>
              </w:rPr>
            </w:pPr>
          </w:p>
        </w:tc>
      </w:tr>
      <w:tr w:rsidR="005D1F2F" w:rsidRPr="002861E2" w:rsidTr="00DA4CA5">
        <w:trPr>
          <w:gridAfter w:val="1"/>
          <w:wAfter w:w="10" w:type="pct"/>
          <w:trHeight w:val="255"/>
        </w:trPr>
        <w:tc>
          <w:tcPr>
            <w:tcW w:w="1046" w:type="pct"/>
            <w:tcBorders>
              <w:top w:val="nil"/>
              <w:left w:val="nil"/>
              <w:bottom w:val="nil"/>
              <w:right w:val="nil"/>
            </w:tcBorders>
            <w:shd w:val="clear" w:color="auto" w:fill="auto"/>
            <w:vAlign w:val="center"/>
            <w:hideMark/>
          </w:tcPr>
          <w:p w:rsidR="005D1F2F" w:rsidRPr="00444981" w:rsidRDefault="005D1F2F" w:rsidP="00180687">
            <w:pPr>
              <w:ind w:left="108"/>
              <w:jc w:val="both"/>
              <w:outlineLvl w:val="0"/>
              <w:rPr>
                <w:rFonts w:asciiTheme="minorHAnsi" w:hAnsiTheme="minorHAnsi"/>
                <w:i/>
                <w:iCs/>
                <w:color w:val="000000"/>
                <w:sz w:val="20"/>
              </w:rPr>
            </w:pPr>
            <w:r>
              <w:rPr>
                <w:rFonts w:asciiTheme="minorHAnsi" w:hAnsiTheme="minorHAnsi"/>
                <w:i/>
                <w:iCs/>
                <w:color w:val="000000"/>
                <w:sz w:val="20"/>
              </w:rPr>
              <w:t>Private benefits</w:t>
            </w:r>
          </w:p>
        </w:tc>
        <w:tc>
          <w:tcPr>
            <w:tcW w:w="504" w:type="pct"/>
            <w:tcBorders>
              <w:top w:val="nil"/>
              <w:left w:val="nil"/>
              <w:bottom w:val="nil"/>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20"/>
              </w:rPr>
              <w:t>50%</w:t>
            </w:r>
          </w:p>
        </w:tc>
        <w:tc>
          <w:tcPr>
            <w:tcW w:w="455" w:type="pct"/>
            <w:tcBorders>
              <w:top w:val="nil"/>
              <w:left w:val="nil"/>
              <w:bottom w:val="nil"/>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50%</w:t>
            </w:r>
          </w:p>
        </w:tc>
        <w:tc>
          <w:tcPr>
            <w:tcW w:w="359" w:type="pct"/>
            <w:tcBorders>
              <w:top w:val="nil"/>
              <w:left w:val="nil"/>
              <w:bottom w:val="nil"/>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51%</w:t>
            </w:r>
          </w:p>
        </w:tc>
        <w:tc>
          <w:tcPr>
            <w:tcW w:w="441" w:type="pct"/>
            <w:tcBorders>
              <w:top w:val="nil"/>
              <w:left w:val="nil"/>
              <w:bottom w:val="nil"/>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39%</w:t>
            </w:r>
          </w:p>
        </w:tc>
        <w:tc>
          <w:tcPr>
            <w:tcW w:w="441" w:type="pct"/>
            <w:tcBorders>
              <w:top w:val="nil"/>
              <w:left w:val="nil"/>
              <w:bottom w:val="nil"/>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44%</w:t>
            </w:r>
          </w:p>
        </w:tc>
        <w:tc>
          <w:tcPr>
            <w:tcW w:w="439" w:type="pct"/>
            <w:tcBorders>
              <w:top w:val="nil"/>
              <w:left w:val="nil"/>
              <w:bottom w:val="nil"/>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48%</w:t>
            </w:r>
          </w:p>
        </w:tc>
        <w:tc>
          <w:tcPr>
            <w:tcW w:w="441" w:type="pct"/>
            <w:tcBorders>
              <w:top w:val="nil"/>
              <w:left w:val="nil"/>
              <w:bottom w:val="nil"/>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41%</w:t>
            </w:r>
          </w:p>
        </w:tc>
        <w:tc>
          <w:tcPr>
            <w:tcW w:w="441" w:type="pct"/>
            <w:tcBorders>
              <w:top w:val="nil"/>
              <w:left w:val="nil"/>
              <w:bottom w:val="nil"/>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45%</w:t>
            </w:r>
          </w:p>
        </w:tc>
        <w:tc>
          <w:tcPr>
            <w:tcW w:w="422" w:type="pct"/>
            <w:tcBorders>
              <w:top w:val="nil"/>
              <w:left w:val="nil"/>
              <w:bottom w:val="nil"/>
              <w:right w:val="nil"/>
            </w:tcBorders>
            <w:shd w:val="clear" w:color="auto" w:fill="auto"/>
            <w:vAlign w:val="center"/>
            <w:hideMark/>
          </w:tcPr>
          <w:p w:rsidR="005D1F2F" w:rsidRPr="00F3696D" w:rsidRDefault="005D1F2F" w:rsidP="00180687">
            <w:pPr>
              <w:jc w:val="center"/>
              <w:outlineLvl w:val="0"/>
              <w:rPr>
                <w:rFonts w:asciiTheme="minorHAnsi" w:hAnsiTheme="minorHAnsi"/>
                <w:b/>
                <w:color w:val="002776" w:themeColor="accent1"/>
                <w:sz w:val="18"/>
              </w:rPr>
            </w:pPr>
            <w:r w:rsidRPr="00F3696D">
              <w:rPr>
                <w:b/>
                <w:color w:val="002776" w:themeColor="accent1"/>
                <w:sz w:val="18"/>
                <w:szCs w:val="18"/>
              </w:rPr>
              <w:t>45%</w:t>
            </w:r>
          </w:p>
        </w:tc>
      </w:tr>
      <w:tr w:rsidR="005D1F2F" w:rsidRPr="002861E2" w:rsidTr="00DA4CA5">
        <w:trPr>
          <w:gridAfter w:val="1"/>
          <w:wAfter w:w="10" w:type="pct"/>
          <w:trHeight w:val="255"/>
        </w:trPr>
        <w:tc>
          <w:tcPr>
            <w:tcW w:w="1046" w:type="pct"/>
            <w:tcBorders>
              <w:top w:val="nil"/>
              <w:left w:val="nil"/>
              <w:bottom w:val="single" w:sz="4" w:space="0" w:color="002776" w:themeColor="accent1"/>
              <w:right w:val="nil"/>
            </w:tcBorders>
            <w:shd w:val="clear" w:color="auto" w:fill="auto"/>
            <w:noWrap/>
            <w:vAlign w:val="bottom"/>
            <w:hideMark/>
          </w:tcPr>
          <w:p w:rsidR="005D1F2F" w:rsidRPr="00444981" w:rsidRDefault="005D1F2F" w:rsidP="00180687">
            <w:pPr>
              <w:ind w:left="108"/>
              <w:outlineLvl w:val="0"/>
              <w:rPr>
                <w:rFonts w:asciiTheme="minorHAnsi" w:hAnsiTheme="minorHAnsi"/>
                <w:i/>
                <w:iCs/>
                <w:color w:val="000000"/>
                <w:sz w:val="20"/>
              </w:rPr>
            </w:pPr>
            <w:r>
              <w:rPr>
                <w:rFonts w:asciiTheme="minorHAnsi" w:hAnsiTheme="minorHAnsi"/>
                <w:i/>
                <w:iCs/>
                <w:color w:val="000000"/>
                <w:sz w:val="20"/>
              </w:rPr>
              <w:t>Public benefits</w:t>
            </w:r>
          </w:p>
        </w:tc>
        <w:tc>
          <w:tcPr>
            <w:tcW w:w="504" w:type="pct"/>
            <w:tcBorders>
              <w:top w:val="nil"/>
              <w:left w:val="nil"/>
              <w:bottom w:val="single" w:sz="4" w:space="0" w:color="002776" w:themeColor="accent1"/>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50%</w:t>
            </w:r>
          </w:p>
        </w:tc>
        <w:tc>
          <w:tcPr>
            <w:tcW w:w="455" w:type="pct"/>
            <w:tcBorders>
              <w:top w:val="nil"/>
              <w:left w:val="nil"/>
              <w:bottom w:val="single" w:sz="4" w:space="0" w:color="002776" w:themeColor="accent1"/>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50%</w:t>
            </w:r>
          </w:p>
        </w:tc>
        <w:tc>
          <w:tcPr>
            <w:tcW w:w="359" w:type="pct"/>
            <w:tcBorders>
              <w:top w:val="nil"/>
              <w:left w:val="nil"/>
              <w:bottom w:val="single" w:sz="4" w:space="0" w:color="002776" w:themeColor="accent1"/>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49%</w:t>
            </w:r>
          </w:p>
        </w:tc>
        <w:tc>
          <w:tcPr>
            <w:tcW w:w="441" w:type="pct"/>
            <w:tcBorders>
              <w:top w:val="nil"/>
              <w:left w:val="nil"/>
              <w:bottom w:val="single" w:sz="4" w:space="0" w:color="002776" w:themeColor="accent1"/>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61%</w:t>
            </w:r>
          </w:p>
        </w:tc>
        <w:tc>
          <w:tcPr>
            <w:tcW w:w="441" w:type="pct"/>
            <w:tcBorders>
              <w:top w:val="nil"/>
              <w:left w:val="nil"/>
              <w:bottom w:val="single" w:sz="4" w:space="0" w:color="002776" w:themeColor="accent1"/>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56%</w:t>
            </w:r>
          </w:p>
        </w:tc>
        <w:tc>
          <w:tcPr>
            <w:tcW w:w="439" w:type="pct"/>
            <w:tcBorders>
              <w:top w:val="nil"/>
              <w:left w:val="nil"/>
              <w:bottom w:val="single" w:sz="4" w:space="0" w:color="002776" w:themeColor="accent1"/>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52%</w:t>
            </w:r>
          </w:p>
        </w:tc>
        <w:tc>
          <w:tcPr>
            <w:tcW w:w="441" w:type="pct"/>
            <w:tcBorders>
              <w:top w:val="nil"/>
              <w:left w:val="nil"/>
              <w:bottom w:val="single" w:sz="4" w:space="0" w:color="002776" w:themeColor="accent1"/>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59%</w:t>
            </w:r>
          </w:p>
        </w:tc>
        <w:tc>
          <w:tcPr>
            <w:tcW w:w="441" w:type="pct"/>
            <w:tcBorders>
              <w:top w:val="nil"/>
              <w:left w:val="nil"/>
              <w:bottom w:val="single" w:sz="4" w:space="0" w:color="002776" w:themeColor="accent1"/>
              <w:right w:val="nil"/>
            </w:tcBorders>
            <w:shd w:val="clear" w:color="auto" w:fill="auto"/>
            <w:vAlign w:val="center"/>
            <w:hideMark/>
          </w:tcPr>
          <w:p w:rsidR="005D1F2F" w:rsidRPr="00AF4C12" w:rsidRDefault="005D1F2F" w:rsidP="00180687">
            <w:pPr>
              <w:jc w:val="center"/>
              <w:outlineLvl w:val="0"/>
              <w:rPr>
                <w:rFonts w:asciiTheme="minorHAnsi" w:hAnsiTheme="minorHAnsi"/>
                <w:color w:val="000000"/>
                <w:sz w:val="18"/>
              </w:rPr>
            </w:pPr>
            <w:r>
              <w:rPr>
                <w:color w:val="000000"/>
                <w:sz w:val="18"/>
                <w:szCs w:val="18"/>
              </w:rPr>
              <w:t>55%</w:t>
            </w:r>
          </w:p>
        </w:tc>
        <w:tc>
          <w:tcPr>
            <w:tcW w:w="422" w:type="pct"/>
            <w:tcBorders>
              <w:top w:val="nil"/>
              <w:left w:val="nil"/>
              <w:bottom w:val="single" w:sz="4" w:space="0" w:color="002776" w:themeColor="accent1"/>
              <w:right w:val="nil"/>
            </w:tcBorders>
            <w:shd w:val="clear" w:color="auto" w:fill="auto"/>
            <w:vAlign w:val="center"/>
            <w:hideMark/>
          </w:tcPr>
          <w:p w:rsidR="005D1F2F" w:rsidRPr="00F3696D" w:rsidRDefault="005D1F2F" w:rsidP="00180687">
            <w:pPr>
              <w:jc w:val="center"/>
              <w:outlineLvl w:val="0"/>
              <w:rPr>
                <w:rFonts w:asciiTheme="minorHAnsi" w:hAnsiTheme="minorHAnsi"/>
                <w:b/>
                <w:color w:val="002776" w:themeColor="accent1"/>
                <w:sz w:val="18"/>
              </w:rPr>
            </w:pPr>
            <w:r w:rsidRPr="00F3696D">
              <w:rPr>
                <w:b/>
                <w:color w:val="002776" w:themeColor="accent1"/>
                <w:sz w:val="18"/>
                <w:szCs w:val="18"/>
              </w:rPr>
              <w:t>55%</w:t>
            </w:r>
          </w:p>
        </w:tc>
      </w:tr>
      <w:tr w:rsidR="003E2DCE" w:rsidRPr="002861E2" w:rsidTr="00DA4CA5">
        <w:trPr>
          <w:gridAfter w:val="1"/>
          <w:wAfter w:w="10" w:type="pct"/>
          <w:trHeight w:val="270"/>
        </w:trPr>
        <w:tc>
          <w:tcPr>
            <w:tcW w:w="1046" w:type="pct"/>
            <w:tcBorders>
              <w:top w:val="single" w:sz="8" w:space="0" w:color="002776" w:themeColor="accent1"/>
              <w:left w:val="nil"/>
              <w:bottom w:val="nil"/>
              <w:right w:val="nil"/>
            </w:tcBorders>
            <w:shd w:val="clear" w:color="auto" w:fill="auto"/>
            <w:vAlign w:val="center"/>
          </w:tcPr>
          <w:p w:rsidR="003E2DCE" w:rsidRPr="00444981" w:rsidRDefault="003E2DCE" w:rsidP="00180687">
            <w:pPr>
              <w:jc w:val="both"/>
              <w:outlineLvl w:val="0"/>
              <w:rPr>
                <w:rFonts w:asciiTheme="minorHAnsi" w:hAnsiTheme="minorHAnsi"/>
                <w:b/>
                <w:iCs/>
                <w:color w:val="000000"/>
                <w:sz w:val="20"/>
              </w:rPr>
            </w:pPr>
            <w:r w:rsidRPr="00444981">
              <w:rPr>
                <w:rFonts w:asciiTheme="minorHAnsi" w:hAnsiTheme="minorHAnsi"/>
                <w:b/>
                <w:iCs/>
                <w:color w:val="002776" w:themeColor="accent1"/>
                <w:sz w:val="20"/>
              </w:rPr>
              <w:t>Postgraduate level</w:t>
            </w:r>
          </w:p>
        </w:tc>
        <w:tc>
          <w:tcPr>
            <w:tcW w:w="504" w:type="pct"/>
            <w:tcBorders>
              <w:top w:val="single" w:sz="8" w:space="0" w:color="002776" w:themeColor="accent1"/>
              <w:left w:val="nil"/>
              <w:bottom w:val="nil"/>
              <w:right w:val="nil"/>
            </w:tcBorders>
            <w:shd w:val="clear" w:color="auto" w:fill="auto"/>
            <w:vAlign w:val="center"/>
          </w:tcPr>
          <w:p w:rsidR="003E2DCE" w:rsidRPr="00D13CF9" w:rsidRDefault="003E2DCE" w:rsidP="00180687">
            <w:pPr>
              <w:jc w:val="center"/>
              <w:outlineLvl w:val="0"/>
              <w:rPr>
                <w:color w:val="000000"/>
                <w:sz w:val="18"/>
              </w:rPr>
            </w:pPr>
          </w:p>
        </w:tc>
        <w:tc>
          <w:tcPr>
            <w:tcW w:w="455" w:type="pct"/>
            <w:tcBorders>
              <w:top w:val="single" w:sz="8" w:space="0" w:color="002776" w:themeColor="accent1"/>
              <w:left w:val="nil"/>
              <w:bottom w:val="nil"/>
              <w:right w:val="nil"/>
            </w:tcBorders>
            <w:shd w:val="clear" w:color="auto" w:fill="auto"/>
            <w:vAlign w:val="center"/>
          </w:tcPr>
          <w:p w:rsidR="003E2DCE" w:rsidRPr="00D13CF9" w:rsidRDefault="003E2DCE" w:rsidP="00180687">
            <w:pPr>
              <w:jc w:val="center"/>
              <w:outlineLvl w:val="0"/>
              <w:rPr>
                <w:color w:val="000000"/>
                <w:sz w:val="18"/>
              </w:rPr>
            </w:pPr>
          </w:p>
        </w:tc>
        <w:tc>
          <w:tcPr>
            <w:tcW w:w="359" w:type="pct"/>
            <w:tcBorders>
              <w:top w:val="single" w:sz="8" w:space="0" w:color="002776" w:themeColor="accent1"/>
              <w:left w:val="nil"/>
              <w:bottom w:val="nil"/>
              <w:right w:val="nil"/>
            </w:tcBorders>
            <w:shd w:val="clear" w:color="auto" w:fill="auto"/>
            <w:vAlign w:val="center"/>
          </w:tcPr>
          <w:p w:rsidR="003E2DCE" w:rsidRPr="00D13CF9" w:rsidRDefault="003E2DCE" w:rsidP="00180687">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3E2DCE" w:rsidRPr="00D13CF9" w:rsidRDefault="003E2DCE" w:rsidP="00180687">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3E2DCE" w:rsidRPr="00D13CF9" w:rsidRDefault="003E2DCE" w:rsidP="00180687">
            <w:pPr>
              <w:jc w:val="center"/>
              <w:outlineLvl w:val="0"/>
              <w:rPr>
                <w:color w:val="000000"/>
                <w:sz w:val="18"/>
              </w:rPr>
            </w:pPr>
          </w:p>
        </w:tc>
        <w:tc>
          <w:tcPr>
            <w:tcW w:w="439" w:type="pct"/>
            <w:tcBorders>
              <w:top w:val="single" w:sz="8" w:space="0" w:color="002776" w:themeColor="accent1"/>
              <w:left w:val="nil"/>
              <w:bottom w:val="nil"/>
              <w:right w:val="nil"/>
            </w:tcBorders>
            <w:shd w:val="clear" w:color="auto" w:fill="auto"/>
            <w:vAlign w:val="center"/>
          </w:tcPr>
          <w:p w:rsidR="003E2DCE" w:rsidRPr="00D13CF9" w:rsidRDefault="003E2DCE" w:rsidP="00180687">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3E2DCE" w:rsidRPr="00D13CF9" w:rsidRDefault="003E2DCE" w:rsidP="00180687">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3E2DCE" w:rsidRPr="00D13CF9" w:rsidRDefault="003E2DCE" w:rsidP="00180687">
            <w:pPr>
              <w:jc w:val="center"/>
              <w:outlineLvl w:val="0"/>
              <w:rPr>
                <w:color w:val="000000"/>
                <w:sz w:val="18"/>
              </w:rPr>
            </w:pPr>
          </w:p>
        </w:tc>
        <w:tc>
          <w:tcPr>
            <w:tcW w:w="422" w:type="pct"/>
            <w:tcBorders>
              <w:top w:val="single" w:sz="8" w:space="0" w:color="002776" w:themeColor="accent1"/>
              <w:left w:val="nil"/>
              <w:bottom w:val="nil"/>
              <w:right w:val="nil"/>
            </w:tcBorders>
            <w:shd w:val="clear" w:color="auto" w:fill="auto"/>
            <w:vAlign w:val="center"/>
          </w:tcPr>
          <w:p w:rsidR="003E2DCE" w:rsidRPr="00F3696D" w:rsidRDefault="003E2DCE" w:rsidP="00180687">
            <w:pPr>
              <w:jc w:val="center"/>
              <w:outlineLvl w:val="0"/>
              <w:rPr>
                <w:b/>
                <w:color w:val="002776" w:themeColor="accent1"/>
                <w:sz w:val="18"/>
              </w:rPr>
            </w:pPr>
          </w:p>
        </w:tc>
      </w:tr>
      <w:tr w:rsidR="005D1F2F" w:rsidRPr="00444981" w:rsidTr="00DA4CA5">
        <w:trPr>
          <w:trHeight w:val="255"/>
        </w:trPr>
        <w:tc>
          <w:tcPr>
            <w:tcW w:w="1046" w:type="pct"/>
            <w:tcBorders>
              <w:top w:val="nil"/>
              <w:left w:val="nil"/>
              <w:bottom w:val="nil"/>
              <w:right w:val="nil"/>
            </w:tcBorders>
            <w:shd w:val="clear" w:color="auto" w:fill="auto"/>
            <w:vAlign w:val="center"/>
            <w:hideMark/>
          </w:tcPr>
          <w:p w:rsidR="005D1F2F" w:rsidRPr="00444981" w:rsidRDefault="005D1F2F" w:rsidP="00180687">
            <w:pPr>
              <w:ind w:left="108"/>
              <w:jc w:val="both"/>
              <w:outlineLvl w:val="0"/>
              <w:rPr>
                <w:rFonts w:asciiTheme="minorHAnsi" w:hAnsiTheme="minorHAnsi"/>
                <w:i/>
                <w:iCs/>
                <w:color w:val="000000"/>
                <w:sz w:val="20"/>
              </w:rPr>
            </w:pPr>
            <w:r>
              <w:rPr>
                <w:rFonts w:asciiTheme="minorHAnsi" w:hAnsiTheme="minorHAnsi"/>
                <w:i/>
                <w:iCs/>
                <w:color w:val="000000"/>
                <w:sz w:val="20"/>
              </w:rPr>
              <w:t>Private benefits</w:t>
            </w:r>
          </w:p>
        </w:tc>
        <w:tc>
          <w:tcPr>
            <w:tcW w:w="504" w:type="pct"/>
            <w:tcBorders>
              <w:top w:val="nil"/>
              <w:left w:val="nil"/>
              <w:bottom w:val="nil"/>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20"/>
              </w:rPr>
              <w:t>49%</w:t>
            </w:r>
          </w:p>
        </w:tc>
        <w:tc>
          <w:tcPr>
            <w:tcW w:w="455" w:type="pct"/>
            <w:tcBorders>
              <w:top w:val="nil"/>
              <w:left w:val="nil"/>
              <w:bottom w:val="nil"/>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51%</w:t>
            </w:r>
          </w:p>
        </w:tc>
        <w:tc>
          <w:tcPr>
            <w:tcW w:w="359" w:type="pct"/>
            <w:tcBorders>
              <w:top w:val="nil"/>
              <w:left w:val="nil"/>
              <w:bottom w:val="nil"/>
              <w:right w:val="nil"/>
            </w:tcBorders>
            <w:shd w:val="clear" w:color="auto" w:fill="auto"/>
            <w:vAlign w:val="center"/>
            <w:hideMark/>
          </w:tcPr>
          <w:p w:rsidR="005D1F2F" w:rsidRPr="00444981" w:rsidRDefault="005D1F2F" w:rsidP="002C4CD8">
            <w:pPr>
              <w:jc w:val="center"/>
              <w:outlineLvl w:val="0"/>
              <w:rPr>
                <w:rFonts w:asciiTheme="minorHAnsi" w:hAnsiTheme="minorHAnsi"/>
                <w:color w:val="000000"/>
                <w:sz w:val="18"/>
              </w:rPr>
            </w:pPr>
            <w:r>
              <w:rPr>
                <w:color w:val="000000"/>
                <w:sz w:val="18"/>
                <w:szCs w:val="18"/>
              </w:rPr>
              <w:t>5</w:t>
            </w:r>
            <w:r w:rsidR="00977C78">
              <w:rPr>
                <w:color w:val="000000"/>
                <w:sz w:val="18"/>
                <w:szCs w:val="18"/>
              </w:rPr>
              <w:t>2</w:t>
            </w:r>
            <w:r>
              <w:rPr>
                <w:color w:val="000000"/>
                <w:sz w:val="18"/>
                <w:szCs w:val="18"/>
              </w:rPr>
              <w:t>%</w:t>
            </w:r>
          </w:p>
        </w:tc>
        <w:tc>
          <w:tcPr>
            <w:tcW w:w="441" w:type="pct"/>
            <w:tcBorders>
              <w:top w:val="nil"/>
              <w:left w:val="nil"/>
              <w:bottom w:val="nil"/>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42%</w:t>
            </w:r>
          </w:p>
        </w:tc>
        <w:tc>
          <w:tcPr>
            <w:tcW w:w="441" w:type="pct"/>
            <w:tcBorders>
              <w:top w:val="nil"/>
              <w:left w:val="nil"/>
              <w:bottom w:val="nil"/>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44%</w:t>
            </w:r>
          </w:p>
        </w:tc>
        <w:tc>
          <w:tcPr>
            <w:tcW w:w="439" w:type="pct"/>
            <w:tcBorders>
              <w:top w:val="nil"/>
              <w:left w:val="nil"/>
              <w:bottom w:val="nil"/>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50%</w:t>
            </w:r>
          </w:p>
        </w:tc>
        <w:tc>
          <w:tcPr>
            <w:tcW w:w="441" w:type="pct"/>
            <w:tcBorders>
              <w:top w:val="nil"/>
              <w:left w:val="nil"/>
              <w:bottom w:val="nil"/>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48%</w:t>
            </w:r>
          </w:p>
        </w:tc>
        <w:tc>
          <w:tcPr>
            <w:tcW w:w="441" w:type="pct"/>
            <w:tcBorders>
              <w:top w:val="nil"/>
              <w:left w:val="nil"/>
              <w:bottom w:val="nil"/>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45%</w:t>
            </w:r>
          </w:p>
        </w:tc>
        <w:tc>
          <w:tcPr>
            <w:tcW w:w="432" w:type="pct"/>
            <w:gridSpan w:val="2"/>
            <w:tcBorders>
              <w:top w:val="nil"/>
              <w:left w:val="nil"/>
              <w:bottom w:val="nil"/>
              <w:right w:val="nil"/>
            </w:tcBorders>
            <w:shd w:val="clear" w:color="auto" w:fill="auto"/>
            <w:vAlign w:val="center"/>
            <w:hideMark/>
          </w:tcPr>
          <w:p w:rsidR="005D1F2F" w:rsidRPr="00F3696D" w:rsidRDefault="005D1F2F" w:rsidP="00180687">
            <w:pPr>
              <w:jc w:val="center"/>
              <w:outlineLvl w:val="0"/>
              <w:rPr>
                <w:rFonts w:asciiTheme="minorHAnsi" w:hAnsiTheme="minorHAnsi"/>
                <w:b/>
                <w:color w:val="002776" w:themeColor="accent1"/>
                <w:sz w:val="18"/>
              </w:rPr>
            </w:pPr>
            <w:r w:rsidRPr="00F3696D">
              <w:rPr>
                <w:b/>
                <w:color w:val="002776" w:themeColor="accent1"/>
                <w:sz w:val="18"/>
                <w:szCs w:val="18"/>
              </w:rPr>
              <w:t>4</w:t>
            </w:r>
            <w:r w:rsidR="00977C78">
              <w:rPr>
                <w:b/>
                <w:color w:val="002776" w:themeColor="accent1"/>
                <w:sz w:val="18"/>
                <w:szCs w:val="18"/>
              </w:rPr>
              <w:t>7</w:t>
            </w:r>
            <w:r w:rsidRPr="00F3696D">
              <w:rPr>
                <w:b/>
                <w:color w:val="002776" w:themeColor="accent1"/>
                <w:sz w:val="18"/>
                <w:szCs w:val="18"/>
              </w:rPr>
              <w:t>%</w:t>
            </w:r>
          </w:p>
        </w:tc>
      </w:tr>
      <w:tr w:rsidR="005D1F2F" w:rsidRPr="00444981" w:rsidTr="00DA4CA5">
        <w:trPr>
          <w:trHeight w:val="255"/>
        </w:trPr>
        <w:tc>
          <w:tcPr>
            <w:tcW w:w="1046" w:type="pct"/>
            <w:tcBorders>
              <w:top w:val="nil"/>
              <w:left w:val="nil"/>
              <w:bottom w:val="single" w:sz="4" w:space="0" w:color="002776" w:themeColor="accent1"/>
              <w:right w:val="nil"/>
            </w:tcBorders>
            <w:shd w:val="clear" w:color="auto" w:fill="auto"/>
            <w:noWrap/>
            <w:vAlign w:val="bottom"/>
            <w:hideMark/>
          </w:tcPr>
          <w:p w:rsidR="005D1F2F" w:rsidRPr="00444981" w:rsidRDefault="005D1F2F" w:rsidP="00180687">
            <w:pPr>
              <w:ind w:left="108"/>
              <w:outlineLvl w:val="0"/>
              <w:rPr>
                <w:rFonts w:asciiTheme="minorHAnsi" w:hAnsiTheme="minorHAnsi"/>
                <w:i/>
                <w:iCs/>
                <w:color w:val="000000"/>
                <w:sz w:val="20"/>
              </w:rPr>
            </w:pPr>
            <w:r>
              <w:rPr>
                <w:rFonts w:asciiTheme="minorHAnsi" w:hAnsiTheme="minorHAnsi"/>
                <w:i/>
                <w:iCs/>
                <w:color w:val="000000"/>
                <w:sz w:val="20"/>
              </w:rPr>
              <w:t>Public benefits</w:t>
            </w:r>
          </w:p>
        </w:tc>
        <w:tc>
          <w:tcPr>
            <w:tcW w:w="504" w:type="pct"/>
            <w:tcBorders>
              <w:top w:val="nil"/>
              <w:left w:val="nil"/>
              <w:bottom w:val="single" w:sz="4" w:space="0" w:color="002776" w:themeColor="accent1"/>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51%</w:t>
            </w:r>
          </w:p>
        </w:tc>
        <w:tc>
          <w:tcPr>
            <w:tcW w:w="455" w:type="pct"/>
            <w:tcBorders>
              <w:top w:val="nil"/>
              <w:left w:val="nil"/>
              <w:bottom w:val="single" w:sz="4" w:space="0" w:color="002776" w:themeColor="accent1"/>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49%</w:t>
            </w:r>
          </w:p>
        </w:tc>
        <w:tc>
          <w:tcPr>
            <w:tcW w:w="359" w:type="pct"/>
            <w:tcBorders>
              <w:top w:val="nil"/>
              <w:left w:val="nil"/>
              <w:bottom w:val="single" w:sz="4" w:space="0" w:color="002776" w:themeColor="accent1"/>
              <w:right w:val="nil"/>
            </w:tcBorders>
            <w:shd w:val="clear" w:color="auto" w:fill="auto"/>
            <w:vAlign w:val="center"/>
            <w:hideMark/>
          </w:tcPr>
          <w:p w:rsidR="005D1F2F" w:rsidRPr="00444981" w:rsidRDefault="005D1F2F" w:rsidP="002C4CD8">
            <w:pPr>
              <w:jc w:val="center"/>
              <w:outlineLvl w:val="0"/>
              <w:rPr>
                <w:rFonts w:asciiTheme="minorHAnsi" w:hAnsiTheme="minorHAnsi"/>
                <w:color w:val="000000"/>
                <w:sz w:val="18"/>
              </w:rPr>
            </w:pPr>
            <w:r>
              <w:rPr>
                <w:color w:val="000000"/>
                <w:sz w:val="18"/>
                <w:szCs w:val="18"/>
              </w:rPr>
              <w:t>4</w:t>
            </w:r>
            <w:r w:rsidR="00977C78">
              <w:rPr>
                <w:color w:val="000000"/>
                <w:sz w:val="18"/>
                <w:szCs w:val="18"/>
              </w:rPr>
              <w:t>8</w:t>
            </w:r>
            <w:r>
              <w:rPr>
                <w:color w:val="000000"/>
                <w:sz w:val="18"/>
                <w:szCs w:val="18"/>
              </w:rPr>
              <w:t>%</w:t>
            </w:r>
          </w:p>
        </w:tc>
        <w:tc>
          <w:tcPr>
            <w:tcW w:w="441" w:type="pct"/>
            <w:tcBorders>
              <w:top w:val="nil"/>
              <w:left w:val="nil"/>
              <w:bottom w:val="single" w:sz="4" w:space="0" w:color="002776" w:themeColor="accent1"/>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58%</w:t>
            </w:r>
          </w:p>
        </w:tc>
        <w:tc>
          <w:tcPr>
            <w:tcW w:w="441" w:type="pct"/>
            <w:tcBorders>
              <w:top w:val="nil"/>
              <w:left w:val="nil"/>
              <w:bottom w:val="single" w:sz="4" w:space="0" w:color="002776" w:themeColor="accent1"/>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56%</w:t>
            </w:r>
          </w:p>
        </w:tc>
        <w:tc>
          <w:tcPr>
            <w:tcW w:w="439" w:type="pct"/>
            <w:tcBorders>
              <w:top w:val="nil"/>
              <w:left w:val="nil"/>
              <w:bottom w:val="single" w:sz="4" w:space="0" w:color="002776" w:themeColor="accent1"/>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50%</w:t>
            </w:r>
          </w:p>
        </w:tc>
        <w:tc>
          <w:tcPr>
            <w:tcW w:w="441" w:type="pct"/>
            <w:tcBorders>
              <w:top w:val="nil"/>
              <w:left w:val="nil"/>
              <w:bottom w:val="single" w:sz="4" w:space="0" w:color="002776" w:themeColor="accent1"/>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52%</w:t>
            </w:r>
          </w:p>
        </w:tc>
        <w:tc>
          <w:tcPr>
            <w:tcW w:w="441" w:type="pct"/>
            <w:tcBorders>
              <w:top w:val="nil"/>
              <w:left w:val="nil"/>
              <w:bottom w:val="single" w:sz="4" w:space="0" w:color="002776" w:themeColor="accent1"/>
              <w:right w:val="nil"/>
            </w:tcBorders>
            <w:shd w:val="clear" w:color="auto" w:fill="auto"/>
            <w:vAlign w:val="center"/>
            <w:hideMark/>
          </w:tcPr>
          <w:p w:rsidR="005D1F2F" w:rsidRPr="00444981" w:rsidRDefault="005D1F2F" w:rsidP="00180687">
            <w:pPr>
              <w:jc w:val="center"/>
              <w:outlineLvl w:val="0"/>
              <w:rPr>
                <w:rFonts w:asciiTheme="minorHAnsi" w:hAnsiTheme="minorHAnsi"/>
                <w:color w:val="000000"/>
                <w:sz w:val="18"/>
              </w:rPr>
            </w:pPr>
            <w:r>
              <w:rPr>
                <w:color w:val="000000"/>
                <w:sz w:val="18"/>
                <w:szCs w:val="18"/>
              </w:rPr>
              <w:t>55%</w:t>
            </w:r>
          </w:p>
        </w:tc>
        <w:tc>
          <w:tcPr>
            <w:tcW w:w="432" w:type="pct"/>
            <w:gridSpan w:val="2"/>
            <w:tcBorders>
              <w:top w:val="nil"/>
              <w:left w:val="nil"/>
              <w:bottom w:val="single" w:sz="4" w:space="0" w:color="002776" w:themeColor="accent1"/>
              <w:right w:val="nil"/>
            </w:tcBorders>
            <w:shd w:val="clear" w:color="auto" w:fill="auto"/>
            <w:vAlign w:val="center"/>
            <w:hideMark/>
          </w:tcPr>
          <w:p w:rsidR="005D1F2F" w:rsidRPr="00F3696D" w:rsidRDefault="005D1F2F" w:rsidP="00180687">
            <w:pPr>
              <w:jc w:val="center"/>
              <w:outlineLvl w:val="0"/>
              <w:rPr>
                <w:rFonts w:asciiTheme="minorHAnsi" w:hAnsiTheme="minorHAnsi"/>
                <w:b/>
                <w:color w:val="002776" w:themeColor="accent1"/>
                <w:sz w:val="18"/>
              </w:rPr>
            </w:pPr>
            <w:r w:rsidRPr="00F3696D">
              <w:rPr>
                <w:b/>
                <w:color w:val="002776" w:themeColor="accent1"/>
                <w:sz w:val="18"/>
                <w:szCs w:val="18"/>
              </w:rPr>
              <w:t>5</w:t>
            </w:r>
            <w:r w:rsidR="00977C78">
              <w:rPr>
                <w:b/>
                <w:color w:val="002776" w:themeColor="accent1"/>
                <w:sz w:val="18"/>
                <w:szCs w:val="18"/>
              </w:rPr>
              <w:t>3</w:t>
            </w:r>
            <w:r w:rsidRPr="00F3696D">
              <w:rPr>
                <w:b/>
                <w:color w:val="002776" w:themeColor="accent1"/>
                <w:sz w:val="18"/>
                <w:szCs w:val="18"/>
              </w:rPr>
              <w:t>%</w:t>
            </w:r>
          </w:p>
        </w:tc>
      </w:tr>
    </w:tbl>
    <w:p w:rsidR="009C6C96" w:rsidRDefault="009C6C96" w:rsidP="009C6C96">
      <w:pPr>
        <w:pStyle w:val="Source"/>
      </w:pPr>
      <w:r w:rsidRPr="00444981">
        <w:t>Source: Deloitte Access Economics</w:t>
      </w:r>
      <w:r>
        <w:t xml:space="preserve"> RGEM CGE model</w:t>
      </w:r>
      <w:r w:rsidRPr="00444981">
        <w:t>, HILDA Survey, ABS Census</w:t>
      </w:r>
      <w:r>
        <w:t xml:space="preserve"> (2011)</w:t>
      </w:r>
      <w:r w:rsidRPr="00444981">
        <w:t xml:space="preserve">. </w:t>
      </w:r>
      <w:r>
        <w:t>Shares use NPV calculations at the 7% rate</w:t>
      </w:r>
    </w:p>
    <w:p w:rsidR="001A3B1A" w:rsidRPr="00682795" w:rsidRDefault="001A3B1A" w:rsidP="001A3B1A">
      <w:pPr>
        <w:pStyle w:val="Bullet1"/>
        <w:numPr>
          <w:ilvl w:val="0"/>
          <w:numId w:val="0"/>
        </w:numPr>
        <w:spacing w:before="240"/>
      </w:pPr>
      <w:r>
        <w:t>The average public-private benefits splits across disciplin</w:t>
      </w:r>
      <w:r w:rsidR="009056DA">
        <w:t xml:space="preserve">es, shown in the far right column of </w:t>
      </w:r>
      <w:r w:rsidR="009056DA">
        <w:fldChar w:fldCharType="begin"/>
      </w:r>
      <w:r w:rsidR="009056DA">
        <w:instrText xml:space="preserve"> REF _Ref458147458 \r \h </w:instrText>
      </w:r>
      <w:r w:rsidR="009056DA">
        <w:fldChar w:fldCharType="separate"/>
      </w:r>
      <w:r w:rsidR="00534F9F">
        <w:t>Table 5.2</w:t>
      </w:r>
      <w:r w:rsidR="009056DA">
        <w:fldChar w:fldCharType="end"/>
      </w:r>
      <w:r w:rsidR="009056DA">
        <w:t xml:space="preserve">, </w:t>
      </w:r>
      <w:r>
        <w:t xml:space="preserve">are calculated </w:t>
      </w:r>
      <w:r w:rsidR="00203A8F">
        <w:t xml:space="preserve">as an average of discipline-specific results, </w:t>
      </w:r>
      <w:r>
        <w:t>using weighti</w:t>
      </w:r>
      <w:r w:rsidR="00203A8F">
        <w:t>ngs</w:t>
      </w:r>
      <w:r>
        <w:t xml:space="preserve">. These </w:t>
      </w:r>
      <w:r w:rsidR="00203A8F">
        <w:t xml:space="preserve">weightings </w:t>
      </w:r>
      <w:r>
        <w:t xml:space="preserve">are based on the share of wages for different </w:t>
      </w:r>
      <w:r w:rsidR="009056DA">
        <w:t xml:space="preserve">disciplines within </w:t>
      </w:r>
      <w:r>
        <w:t xml:space="preserve">qualification </w:t>
      </w:r>
      <w:r w:rsidR="009056DA">
        <w:t>levels</w:t>
      </w:r>
      <w:r w:rsidR="007A6C35">
        <w:t>, and the highest qualification held (thus while there may be a large quantum of bachelor level graduates in a given discipline, their share of wages earned may be low if there is a high propensity for bachelor level graduates in that discipline to undertake postgraduate study)</w:t>
      </w:r>
      <w:r w:rsidR="009056DA">
        <w:t>.</w:t>
      </w:r>
      <w:r>
        <w:t xml:space="preserve"> </w:t>
      </w:r>
      <w:r w:rsidR="009056DA">
        <w:t xml:space="preserve">These shares are </w:t>
      </w:r>
      <w:r>
        <w:t xml:space="preserve">given in </w:t>
      </w:r>
      <w:r w:rsidR="009056DA">
        <w:fldChar w:fldCharType="begin"/>
      </w:r>
      <w:r w:rsidR="009056DA">
        <w:instrText xml:space="preserve"> REF _Ref458529791 \r \h </w:instrText>
      </w:r>
      <w:r w:rsidR="009056DA">
        <w:fldChar w:fldCharType="separate"/>
      </w:r>
      <w:r w:rsidR="00534F9F">
        <w:t>Table 5.3</w:t>
      </w:r>
      <w:r w:rsidR="009056DA">
        <w:fldChar w:fldCharType="end"/>
      </w:r>
      <w:r w:rsidR="009056DA">
        <w:t xml:space="preserve"> below</w:t>
      </w:r>
      <w:r w:rsidRPr="00682795">
        <w:t xml:space="preserve">. </w:t>
      </w:r>
    </w:p>
    <w:p w:rsidR="001A3B1A" w:rsidRDefault="001A3B1A" w:rsidP="009C6C96">
      <w:pPr>
        <w:pStyle w:val="CaptionTable"/>
        <w:numPr>
          <w:ilvl w:val="6"/>
          <w:numId w:val="8"/>
        </w:numPr>
        <w:ind w:left="0"/>
      </w:pPr>
      <w:bookmarkStart w:id="176" w:name="_Ref458529791"/>
      <w:bookmarkStart w:id="177" w:name="_Toc465961130"/>
      <w:r>
        <w:t xml:space="preserve">: </w:t>
      </w:r>
      <w:r w:rsidR="009056DA">
        <w:t>Share of wages earned, by discipline</w:t>
      </w:r>
      <w:r>
        <w:t xml:space="preserve">, </w:t>
      </w:r>
      <w:r w:rsidR="0075680D">
        <w:t>b</w:t>
      </w:r>
      <w:r>
        <w:t>achelor and postgraduate</w:t>
      </w:r>
      <w:bookmarkEnd w:id="176"/>
      <w:bookmarkEnd w:id="177"/>
    </w:p>
    <w:tbl>
      <w:tblPr>
        <w:tblStyle w:val="TableAE"/>
        <w:tblW w:w="8289" w:type="dxa"/>
        <w:tblLayout w:type="fixed"/>
        <w:tblLook w:val="04A0" w:firstRow="1" w:lastRow="0" w:firstColumn="1" w:lastColumn="0" w:noHBand="0" w:noVBand="1"/>
      </w:tblPr>
      <w:tblGrid>
        <w:gridCol w:w="1407"/>
        <w:gridCol w:w="1003"/>
        <w:gridCol w:w="778"/>
        <w:gridCol w:w="701"/>
        <w:gridCol w:w="837"/>
        <w:gridCol w:w="701"/>
        <w:gridCol w:w="559"/>
        <w:gridCol w:w="844"/>
        <w:gridCol w:w="559"/>
        <w:gridCol w:w="900"/>
      </w:tblGrid>
      <w:tr w:rsidR="004837F2" w:rsidRPr="00574710" w:rsidTr="00DA4CA5">
        <w:trPr>
          <w:cnfStyle w:val="100000000000" w:firstRow="1" w:lastRow="0" w:firstColumn="0" w:lastColumn="0" w:oddVBand="0" w:evenVBand="0" w:oddHBand="0" w:evenHBand="0" w:firstRowFirstColumn="0" w:firstRowLastColumn="0" w:lastRowFirstColumn="0" w:lastRowLastColumn="0"/>
          <w:trHeight w:val="540"/>
        </w:trPr>
        <w:tc>
          <w:tcPr>
            <w:tcW w:w="849" w:type="pct"/>
            <w:hideMark/>
          </w:tcPr>
          <w:p w:rsidR="004837F2" w:rsidRPr="00444981" w:rsidRDefault="004837F2" w:rsidP="009B2FBE">
            <w:pPr>
              <w:outlineLvl w:val="0"/>
              <w:rPr>
                <w:rFonts w:asciiTheme="minorHAnsi" w:hAnsiTheme="minorHAnsi"/>
                <w:color w:val="000000"/>
                <w:sz w:val="20"/>
              </w:rPr>
            </w:pPr>
            <w:r w:rsidRPr="00444981">
              <w:rPr>
                <w:rFonts w:asciiTheme="minorHAnsi" w:hAnsiTheme="minorHAnsi"/>
                <w:color w:val="000000"/>
                <w:sz w:val="20"/>
              </w:rPr>
              <w:t> </w:t>
            </w:r>
          </w:p>
        </w:tc>
        <w:tc>
          <w:tcPr>
            <w:tcW w:w="605" w:type="pct"/>
            <w:hideMark/>
          </w:tcPr>
          <w:p w:rsidR="004837F2" w:rsidRPr="00444981" w:rsidRDefault="004837F2" w:rsidP="009B2FBE">
            <w:pPr>
              <w:jc w:val="center"/>
              <w:outlineLvl w:val="0"/>
              <w:rPr>
                <w:rFonts w:asciiTheme="minorHAnsi" w:hAnsiTheme="minorHAnsi"/>
                <w:b/>
                <w:bCs/>
                <w:color w:val="002776"/>
                <w:sz w:val="20"/>
              </w:rPr>
            </w:pPr>
            <w:r w:rsidRPr="00444981">
              <w:rPr>
                <w:rFonts w:asciiTheme="minorHAnsi" w:hAnsiTheme="minorHAnsi"/>
                <w:b/>
                <w:bCs/>
                <w:color w:val="002776"/>
                <w:sz w:val="20"/>
              </w:rPr>
              <w:t>Medicine</w:t>
            </w:r>
          </w:p>
        </w:tc>
        <w:tc>
          <w:tcPr>
            <w:tcW w:w="469" w:type="pct"/>
            <w:hideMark/>
          </w:tcPr>
          <w:p w:rsidR="004837F2" w:rsidRPr="00444981" w:rsidRDefault="004837F2" w:rsidP="009B2FBE">
            <w:pPr>
              <w:jc w:val="center"/>
              <w:outlineLvl w:val="0"/>
              <w:rPr>
                <w:rFonts w:asciiTheme="minorHAnsi" w:hAnsiTheme="minorHAnsi"/>
                <w:b/>
                <w:bCs/>
                <w:color w:val="002776"/>
                <w:sz w:val="20"/>
              </w:rPr>
            </w:pPr>
            <w:r w:rsidRPr="00444981">
              <w:rPr>
                <w:rFonts w:asciiTheme="minorHAnsi" w:hAnsiTheme="minorHAnsi"/>
                <w:b/>
                <w:bCs/>
                <w:color w:val="002776"/>
                <w:sz w:val="20"/>
              </w:rPr>
              <w:t>Other Health</w:t>
            </w:r>
          </w:p>
        </w:tc>
        <w:tc>
          <w:tcPr>
            <w:tcW w:w="423" w:type="pct"/>
            <w:hideMark/>
          </w:tcPr>
          <w:p w:rsidR="004837F2" w:rsidRPr="00444981" w:rsidRDefault="004837F2" w:rsidP="009B2FBE">
            <w:pPr>
              <w:jc w:val="center"/>
              <w:outlineLvl w:val="0"/>
              <w:rPr>
                <w:rFonts w:asciiTheme="minorHAnsi" w:hAnsiTheme="minorHAnsi"/>
                <w:b/>
                <w:bCs/>
                <w:color w:val="002776"/>
                <w:sz w:val="20"/>
              </w:rPr>
            </w:pPr>
            <w:r w:rsidRPr="00444981">
              <w:rPr>
                <w:rFonts w:asciiTheme="minorHAnsi" w:hAnsiTheme="minorHAnsi"/>
                <w:b/>
                <w:bCs/>
                <w:color w:val="002776"/>
                <w:sz w:val="20"/>
              </w:rPr>
              <w:t>Educ</w:t>
            </w:r>
            <w:r>
              <w:rPr>
                <w:rFonts w:asciiTheme="minorHAnsi" w:hAnsiTheme="minorHAnsi"/>
                <w:b/>
                <w:bCs/>
                <w:color w:val="002776"/>
                <w:sz w:val="20"/>
              </w:rPr>
              <w:t>.</w:t>
            </w:r>
          </w:p>
        </w:tc>
        <w:tc>
          <w:tcPr>
            <w:tcW w:w="505" w:type="pct"/>
            <w:hideMark/>
          </w:tcPr>
          <w:p w:rsidR="004837F2" w:rsidRPr="00444981" w:rsidRDefault="004837F2" w:rsidP="009B2FBE">
            <w:pPr>
              <w:jc w:val="center"/>
              <w:outlineLvl w:val="0"/>
              <w:rPr>
                <w:rFonts w:asciiTheme="minorHAnsi" w:hAnsiTheme="minorHAnsi"/>
                <w:b/>
                <w:bCs/>
                <w:color w:val="002776"/>
                <w:sz w:val="20"/>
              </w:rPr>
            </w:pPr>
            <w:r w:rsidRPr="00444981">
              <w:rPr>
                <w:rFonts w:asciiTheme="minorHAnsi" w:hAnsiTheme="minorHAnsi"/>
                <w:b/>
                <w:bCs/>
                <w:color w:val="002776"/>
                <w:sz w:val="20"/>
              </w:rPr>
              <w:t>Eng</w:t>
            </w:r>
            <w:r>
              <w:rPr>
                <w:rFonts w:asciiTheme="minorHAnsi" w:hAnsiTheme="minorHAnsi"/>
                <w:b/>
                <w:bCs/>
                <w:color w:val="002776"/>
                <w:sz w:val="20"/>
              </w:rPr>
              <w:t>.</w:t>
            </w:r>
          </w:p>
        </w:tc>
        <w:tc>
          <w:tcPr>
            <w:tcW w:w="423" w:type="pct"/>
            <w:hideMark/>
          </w:tcPr>
          <w:p w:rsidR="004837F2" w:rsidRPr="00444981" w:rsidRDefault="004837F2" w:rsidP="009B2FBE">
            <w:pPr>
              <w:jc w:val="center"/>
              <w:outlineLvl w:val="0"/>
              <w:rPr>
                <w:rFonts w:asciiTheme="minorHAnsi" w:hAnsiTheme="minorHAnsi"/>
                <w:b/>
                <w:bCs/>
                <w:color w:val="002776"/>
                <w:sz w:val="20"/>
              </w:rPr>
            </w:pPr>
            <w:r w:rsidRPr="00444981">
              <w:rPr>
                <w:rFonts w:asciiTheme="minorHAnsi" w:hAnsiTheme="minorHAnsi"/>
                <w:b/>
                <w:bCs/>
                <w:color w:val="002776"/>
                <w:sz w:val="20"/>
              </w:rPr>
              <w:t>Bus</w:t>
            </w:r>
            <w:r>
              <w:rPr>
                <w:rFonts w:asciiTheme="minorHAnsi" w:hAnsiTheme="minorHAnsi"/>
                <w:b/>
                <w:bCs/>
                <w:color w:val="002776"/>
                <w:sz w:val="20"/>
              </w:rPr>
              <w:t>.</w:t>
            </w:r>
          </w:p>
        </w:tc>
        <w:tc>
          <w:tcPr>
            <w:tcW w:w="337" w:type="pct"/>
            <w:hideMark/>
          </w:tcPr>
          <w:p w:rsidR="004837F2" w:rsidRPr="00444981" w:rsidRDefault="004837F2" w:rsidP="009B2FBE">
            <w:pPr>
              <w:jc w:val="center"/>
              <w:outlineLvl w:val="0"/>
              <w:rPr>
                <w:rFonts w:asciiTheme="minorHAnsi" w:hAnsiTheme="minorHAnsi"/>
                <w:b/>
                <w:bCs/>
                <w:color w:val="002776"/>
                <w:sz w:val="20"/>
              </w:rPr>
            </w:pPr>
            <w:r w:rsidRPr="00444981">
              <w:rPr>
                <w:rFonts w:asciiTheme="minorHAnsi" w:hAnsiTheme="minorHAnsi"/>
                <w:b/>
                <w:bCs/>
                <w:color w:val="002776"/>
                <w:sz w:val="20"/>
              </w:rPr>
              <w:t>Arts</w:t>
            </w:r>
          </w:p>
        </w:tc>
        <w:tc>
          <w:tcPr>
            <w:tcW w:w="509" w:type="pct"/>
            <w:hideMark/>
          </w:tcPr>
          <w:p w:rsidR="004837F2" w:rsidRPr="00444981" w:rsidRDefault="004837F2" w:rsidP="009B2FBE">
            <w:pPr>
              <w:jc w:val="center"/>
              <w:outlineLvl w:val="0"/>
              <w:rPr>
                <w:rFonts w:asciiTheme="minorHAnsi" w:hAnsiTheme="minorHAnsi"/>
                <w:b/>
                <w:bCs/>
                <w:color w:val="002776"/>
                <w:sz w:val="20"/>
              </w:rPr>
            </w:pPr>
            <w:r w:rsidRPr="00444981">
              <w:rPr>
                <w:rFonts w:asciiTheme="minorHAnsi" w:hAnsiTheme="minorHAnsi"/>
                <w:b/>
                <w:bCs/>
                <w:color w:val="002776"/>
                <w:sz w:val="20"/>
              </w:rPr>
              <w:t>Science</w:t>
            </w:r>
          </w:p>
        </w:tc>
        <w:tc>
          <w:tcPr>
            <w:tcW w:w="337" w:type="pct"/>
            <w:hideMark/>
          </w:tcPr>
          <w:p w:rsidR="004837F2" w:rsidRPr="00444981" w:rsidRDefault="004837F2" w:rsidP="009B2FBE">
            <w:pPr>
              <w:jc w:val="center"/>
              <w:outlineLvl w:val="0"/>
              <w:rPr>
                <w:rFonts w:asciiTheme="minorHAnsi" w:hAnsiTheme="minorHAnsi"/>
                <w:b/>
                <w:bCs/>
                <w:color w:val="002776"/>
                <w:sz w:val="20"/>
              </w:rPr>
            </w:pPr>
            <w:r w:rsidRPr="00444981">
              <w:rPr>
                <w:rFonts w:asciiTheme="minorHAnsi" w:hAnsiTheme="minorHAnsi"/>
                <w:b/>
                <w:bCs/>
                <w:color w:val="002776"/>
                <w:sz w:val="20"/>
              </w:rPr>
              <w:t>IT</w:t>
            </w:r>
          </w:p>
        </w:tc>
        <w:tc>
          <w:tcPr>
            <w:tcW w:w="543" w:type="pct"/>
            <w:hideMark/>
          </w:tcPr>
          <w:p w:rsidR="004837F2" w:rsidRPr="00444981" w:rsidRDefault="004837F2" w:rsidP="009B2FBE">
            <w:pPr>
              <w:jc w:val="center"/>
              <w:outlineLvl w:val="0"/>
              <w:rPr>
                <w:rFonts w:asciiTheme="minorHAnsi" w:hAnsiTheme="minorHAnsi"/>
                <w:b/>
                <w:bCs/>
                <w:color w:val="002776"/>
                <w:sz w:val="20"/>
              </w:rPr>
            </w:pPr>
            <w:r>
              <w:rPr>
                <w:rFonts w:asciiTheme="minorHAnsi" w:hAnsiTheme="minorHAnsi"/>
                <w:b/>
                <w:bCs/>
                <w:color w:val="002776"/>
                <w:sz w:val="20"/>
              </w:rPr>
              <w:t>Total</w:t>
            </w:r>
          </w:p>
        </w:tc>
      </w:tr>
      <w:tr w:rsidR="004837F2" w:rsidRPr="00574710" w:rsidTr="00DA4CA5">
        <w:trPr>
          <w:trHeight w:val="320"/>
        </w:trPr>
        <w:tc>
          <w:tcPr>
            <w:tcW w:w="849" w:type="pct"/>
          </w:tcPr>
          <w:p w:rsidR="004837F2" w:rsidRPr="00444981" w:rsidRDefault="004837F2" w:rsidP="009B2FBE">
            <w:pPr>
              <w:outlineLvl w:val="0"/>
              <w:rPr>
                <w:rFonts w:asciiTheme="minorHAnsi" w:hAnsiTheme="minorHAnsi"/>
                <w:b/>
                <w:color w:val="000000"/>
                <w:sz w:val="20"/>
              </w:rPr>
            </w:pPr>
            <w:r w:rsidRPr="00444981">
              <w:rPr>
                <w:rFonts w:asciiTheme="minorHAnsi" w:hAnsiTheme="minorHAnsi"/>
                <w:b/>
                <w:color w:val="002776" w:themeColor="accent1"/>
                <w:sz w:val="20"/>
              </w:rPr>
              <w:t>Bachelor level</w:t>
            </w:r>
          </w:p>
        </w:tc>
        <w:tc>
          <w:tcPr>
            <w:tcW w:w="605" w:type="pct"/>
            <w:vAlign w:val="center"/>
          </w:tcPr>
          <w:p w:rsidR="004837F2" w:rsidRDefault="004837F2">
            <w:pPr>
              <w:jc w:val="center"/>
              <w:rPr>
                <w:color w:val="000000"/>
                <w:sz w:val="20"/>
              </w:rPr>
            </w:pPr>
            <w:r>
              <w:rPr>
                <w:color w:val="000000"/>
                <w:sz w:val="20"/>
              </w:rPr>
              <w:t>4%</w:t>
            </w:r>
          </w:p>
        </w:tc>
        <w:tc>
          <w:tcPr>
            <w:tcW w:w="469" w:type="pct"/>
            <w:vAlign w:val="center"/>
          </w:tcPr>
          <w:p w:rsidR="004837F2" w:rsidRDefault="004837F2">
            <w:pPr>
              <w:jc w:val="center"/>
              <w:rPr>
                <w:color w:val="000000"/>
                <w:sz w:val="20"/>
              </w:rPr>
            </w:pPr>
            <w:r>
              <w:rPr>
                <w:color w:val="000000"/>
                <w:sz w:val="20"/>
              </w:rPr>
              <w:t>13%</w:t>
            </w:r>
          </w:p>
        </w:tc>
        <w:tc>
          <w:tcPr>
            <w:tcW w:w="423" w:type="pct"/>
            <w:vAlign w:val="center"/>
          </w:tcPr>
          <w:p w:rsidR="004837F2" w:rsidRDefault="004837F2">
            <w:pPr>
              <w:jc w:val="center"/>
              <w:rPr>
                <w:color w:val="000000"/>
                <w:sz w:val="20"/>
              </w:rPr>
            </w:pPr>
            <w:r>
              <w:rPr>
                <w:color w:val="000000"/>
                <w:sz w:val="20"/>
              </w:rPr>
              <w:t>13%</w:t>
            </w:r>
          </w:p>
        </w:tc>
        <w:tc>
          <w:tcPr>
            <w:tcW w:w="505" w:type="pct"/>
            <w:vAlign w:val="center"/>
          </w:tcPr>
          <w:p w:rsidR="004837F2" w:rsidRDefault="004837F2">
            <w:pPr>
              <w:jc w:val="center"/>
              <w:rPr>
                <w:color w:val="000000"/>
                <w:sz w:val="20"/>
              </w:rPr>
            </w:pPr>
            <w:r>
              <w:rPr>
                <w:color w:val="000000"/>
                <w:sz w:val="20"/>
              </w:rPr>
              <w:t>14%</w:t>
            </w:r>
          </w:p>
        </w:tc>
        <w:tc>
          <w:tcPr>
            <w:tcW w:w="423" w:type="pct"/>
            <w:vAlign w:val="center"/>
          </w:tcPr>
          <w:p w:rsidR="004837F2" w:rsidRDefault="004837F2">
            <w:pPr>
              <w:jc w:val="center"/>
              <w:rPr>
                <w:color w:val="000000"/>
                <w:sz w:val="20"/>
              </w:rPr>
            </w:pPr>
            <w:r>
              <w:rPr>
                <w:color w:val="000000"/>
                <w:sz w:val="20"/>
              </w:rPr>
              <w:t>36%</w:t>
            </w:r>
          </w:p>
        </w:tc>
        <w:tc>
          <w:tcPr>
            <w:tcW w:w="337" w:type="pct"/>
            <w:vAlign w:val="center"/>
          </w:tcPr>
          <w:p w:rsidR="004837F2" w:rsidRDefault="004837F2">
            <w:pPr>
              <w:jc w:val="center"/>
              <w:rPr>
                <w:color w:val="000000"/>
                <w:sz w:val="20"/>
              </w:rPr>
            </w:pPr>
            <w:r>
              <w:rPr>
                <w:color w:val="000000"/>
                <w:sz w:val="20"/>
              </w:rPr>
              <w:t>6%</w:t>
            </w:r>
          </w:p>
        </w:tc>
        <w:tc>
          <w:tcPr>
            <w:tcW w:w="509" w:type="pct"/>
            <w:vAlign w:val="center"/>
          </w:tcPr>
          <w:p w:rsidR="004837F2" w:rsidRDefault="004837F2">
            <w:pPr>
              <w:jc w:val="center"/>
              <w:rPr>
                <w:color w:val="000000"/>
                <w:sz w:val="20"/>
              </w:rPr>
            </w:pPr>
            <w:r>
              <w:rPr>
                <w:color w:val="000000"/>
                <w:sz w:val="20"/>
              </w:rPr>
              <w:t>8%</w:t>
            </w:r>
          </w:p>
        </w:tc>
        <w:tc>
          <w:tcPr>
            <w:tcW w:w="337" w:type="pct"/>
            <w:vAlign w:val="center"/>
          </w:tcPr>
          <w:p w:rsidR="004837F2" w:rsidRDefault="004837F2">
            <w:pPr>
              <w:jc w:val="center"/>
              <w:rPr>
                <w:color w:val="000000"/>
                <w:sz w:val="20"/>
              </w:rPr>
            </w:pPr>
            <w:r>
              <w:rPr>
                <w:color w:val="000000"/>
                <w:sz w:val="20"/>
              </w:rPr>
              <w:t>6%</w:t>
            </w:r>
          </w:p>
        </w:tc>
        <w:tc>
          <w:tcPr>
            <w:tcW w:w="543" w:type="pct"/>
            <w:vAlign w:val="center"/>
          </w:tcPr>
          <w:p w:rsidR="004837F2" w:rsidRPr="00444981" w:rsidRDefault="004837F2" w:rsidP="009056DA">
            <w:pPr>
              <w:jc w:val="center"/>
              <w:outlineLvl w:val="0"/>
              <w:rPr>
                <w:rFonts w:asciiTheme="minorHAnsi" w:hAnsiTheme="minorHAnsi"/>
                <w:b/>
                <w:bCs/>
                <w:color w:val="002776"/>
                <w:sz w:val="20"/>
              </w:rPr>
            </w:pPr>
            <w:r>
              <w:rPr>
                <w:rFonts w:asciiTheme="minorHAnsi" w:hAnsiTheme="minorHAnsi"/>
                <w:b/>
                <w:bCs/>
                <w:color w:val="002776"/>
                <w:sz w:val="20"/>
              </w:rPr>
              <w:t>100%</w:t>
            </w:r>
          </w:p>
        </w:tc>
      </w:tr>
      <w:tr w:rsidR="004837F2" w:rsidRPr="002861E2" w:rsidTr="00DA4CA5">
        <w:trPr>
          <w:trHeight w:val="270"/>
        </w:trPr>
        <w:tc>
          <w:tcPr>
            <w:tcW w:w="849" w:type="pct"/>
          </w:tcPr>
          <w:p w:rsidR="004837F2" w:rsidRPr="00444981" w:rsidRDefault="004837F2" w:rsidP="009B2FBE">
            <w:pPr>
              <w:jc w:val="both"/>
              <w:outlineLvl w:val="0"/>
              <w:rPr>
                <w:rFonts w:asciiTheme="minorHAnsi" w:hAnsiTheme="minorHAnsi"/>
                <w:b/>
                <w:iCs/>
                <w:color w:val="000000"/>
                <w:sz w:val="20"/>
              </w:rPr>
            </w:pPr>
            <w:r w:rsidRPr="00444981">
              <w:rPr>
                <w:rFonts w:asciiTheme="minorHAnsi" w:hAnsiTheme="minorHAnsi"/>
                <w:b/>
                <w:iCs/>
                <w:color w:val="002776" w:themeColor="accent1"/>
                <w:sz w:val="20"/>
              </w:rPr>
              <w:t>Postgraduate level</w:t>
            </w:r>
          </w:p>
        </w:tc>
        <w:tc>
          <w:tcPr>
            <w:tcW w:w="605" w:type="pct"/>
            <w:vAlign w:val="center"/>
          </w:tcPr>
          <w:p w:rsidR="004837F2" w:rsidRDefault="004837F2">
            <w:pPr>
              <w:jc w:val="center"/>
              <w:rPr>
                <w:color w:val="000000"/>
                <w:sz w:val="18"/>
                <w:szCs w:val="18"/>
              </w:rPr>
            </w:pPr>
            <w:r>
              <w:rPr>
                <w:color w:val="000000"/>
                <w:sz w:val="18"/>
                <w:szCs w:val="18"/>
              </w:rPr>
              <w:t>5%</w:t>
            </w:r>
          </w:p>
        </w:tc>
        <w:tc>
          <w:tcPr>
            <w:tcW w:w="469" w:type="pct"/>
            <w:vAlign w:val="center"/>
          </w:tcPr>
          <w:p w:rsidR="004837F2" w:rsidRDefault="004837F2">
            <w:pPr>
              <w:jc w:val="center"/>
              <w:rPr>
                <w:color w:val="000000"/>
                <w:sz w:val="18"/>
                <w:szCs w:val="18"/>
              </w:rPr>
            </w:pPr>
            <w:r>
              <w:rPr>
                <w:color w:val="000000"/>
                <w:sz w:val="18"/>
                <w:szCs w:val="18"/>
              </w:rPr>
              <w:t>9%</w:t>
            </w:r>
          </w:p>
        </w:tc>
        <w:tc>
          <w:tcPr>
            <w:tcW w:w="423" w:type="pct"/>
            <w:vAlign w:val="center"/>
          </w:tcPr>
          <w:p w:rsidR="004837F2" w:rsidRDefault="004837F2">
            <w:pPr>
              <w:jc w:val="center"/>
              <w:rPr>
                <w:color w:val="000000"/>
                <w:sz w:val="18"/>
                <w:szCs w:val="18"/>
              </w:rPr>
            </w:pPr>
            <w:r>
              <w:rPr>
                <w:color w:val="000000"/>
                <w:sz w:val="18"/>
                <w:szCs w:val="18"/>
              </w:rPr>
              <w:t>15%</w:t>
            </w:r>
          </w:p>
        </w:tc>
        <w:tc>
          <w:tcPr>
            <w:tcW w:w="505" w:type="pct"/>
            <w:vAlign w:val="center"/>
          </w:tcPr>
          <w:p w:rsidR="004837F2" w:rsidRDefault="004837F2">
            <w:pPr>
              <w:jc w:val="center"/>
              <w:rPr>
                <w:color w:val="000000"/>
                <w:sz w:val="18"/>
                <w:szCs w:val="18"/>
              </w:rPr>
            </w:pPr>
            <w:r>
              <w:rPr>
                <w:color w:val="000000"/>
                <w:sz w:val="18"/>
                <w:szCs w:val="18"/>
              </w:rPr>
              <w:t>9%</w:t>
            </w:r>
          </w:p>
        </w:tc>
        <w:tc>
          <w:tcPr>
            <w:tcW w:w="423" w:type="pct"/>
            <w:vAlign w:val="center"/>
          </w:tcPr>
          <w:p w:rsidR="004837F2" w:rsidRDefault="004837F2">
            <w:pPr>
              <w:jc w:val="center"/>
              <w:rPr>
                <w:color w:val="000000"/>
                <w:sz w:val="18"/>
                <w:szCs w:val="18"/>
              </w:rPr>
            </w:pPr>
            <w:r>
              <w:rPr>
                <w:color w:val="000000"/>
                <w:sz w:val="18"/>
                <w:szCs w:val="18"/>
              </w:rPr>
              <w:t>42%</w:t>
            </w:r>
          </w:p>
        </w:tc>
        <w:tc>
          <w:tcPr>
            <w:tcW w:w="337" w:type="pct"/>
            <w:vAlign w:val="center"/>
          </w:tcPr>
          <w:p w:rsidR="004837F2" w:rsidRDefault="004837F2">
            <w:pPr>
              <w:jc w:val="center"/>
              <w:rPr>
                <w:color w:val="000000"/>
                <w:sz w:val="18"/>
                <w:szCs w:val="18"/>
              </w:rPr>
            </w:pPr>
            <w:r>
              <w:rPr>
                <w:color w:val="000000"/>
                <w:sz w:val="18"/>
                <w:szCs w:val="18"/>
              </w:rPr>
              <w:t>5%</w:t>
            </w:r>
          </w:p>
        </w:tc>
        <w:tc>
          <w:tcPr>
            <w:tcW w:w="509" w:type="pct"/>
            <w:vAlign w:val="center"/>
          </w:tcPr>
          <w:p w:rsidR="004837F2" w:rsidRDefault="004837F2">
            <w:pPr>
              <w:jc w:val="center"/>
              <w:rPr>
                <w:color w:val="000000"/>
                <w:sz w:val="18"/>
                <w:szCs w:val="18"/>
              </w:rPr>
            </w:pPr>
            <w:r>
              <w:rPr>
                <w:color w:val="000000"/>
                <w:sz w:val="18"/>
                <w:szCs w:val="18"/>
              </w:rPr>
              <w:t>9%</w:t>
            </w:r>
          </w:p>
        </w:tc>
        <w:tc>
          <w:tcPr>
            <w:tcW w:w="337" w:type="pct"/>
            <w:vAlign w:val="center"/>
          </w:tcPr>
          <w:p w:rsidR="004837F2" w:rsidRDefault="004837F2">
            <w:pPr>
              <w:jc w:val="center"/>
              <w:rPr>
                <w:color w:val="000000"/>
                <w:sz w:val="18"/>
                <w:szCs w:val="18"/>
              </w:rPr>
            </w:pPr>
            <w:r>
              <w:rPr>
                <w:color w:val="000000"/>
                <w:sz w:val="18"/>
                <w:szCs w:val="18"/>
              </w:rPr>
              <w:t>6%</w:t>
            </w:r>
          </w:p>
        </w:tc>
        <w:tc>
          <w:tcPr>
            <w:tcW w:w="543" w:type="pct"/>
            <w:vAlign w:val="center"/>
          </w:tcPr>
          <w:p w:rsidR="004837F2" w:rsidRPr="00444981" w:rsidRDefault="004837F2" w:rsidP="009B2FBE">
            <w:pPr>
              <w:jc w:val="center"/>
              <w:outlineLvl w:val="0"/>
              <w:rPr>
                <w:rFonts w:asciiTheme="minorHAnsi" w:hAnsiTheme="minorHAnsi"/>
                <w:b/>
                <w:bCs/>
                <w:color w:val="002776"/>
                <w:sz w:val="20"/>
              </w:rPr>
            </w:pPr>
            <w:r>
              <w:rPr>
                <w:rFonts w:asciiTheme="minorHAnsi" w:hAnsiTheme="minorHAnsi"/>
                <w:b/>
                <w:bCs/>
                <w:color w:val="002776"/>
                <w:sz w:val="20"/>
              </w:rPr>
              <w:t>100%</w:t>
            </w:r>
          </w:p>
        </w:tc>
      </w:tr>
    </w:tbl>
    <w:p w:rsidR="001A3B1A" w:rsidRDefault="009056DA" w:rsidP="009C6C96">
      <w:pPr>
        <w:pStyle w:val="Source"/>
      </w:pPr>
      <w:r w:rsidRPr="00444981">
        <w:t>Source: Deloitte Access Economics</w:t>
      </w:r>
      <w:r>
        <w:t xml:space="preserve"> RGEM CGE model</w:t>
      </w:r>
      <w:r w:rsidRPr="00444981">
        <w:t>, HILDA Survey, ABS Census</w:t>
      </w:r>
      <w:r>
        <w:t xml:space="preserve"> (2011)</w:t>
      </w:r>
      <w:r w:rsidRPr="00444981">
        <w:t>.</w:t>
      </w:r>
    </w:p>
    <w:p w:rsidR="009C6C96" w:rsidRDefault="009C6C96" w:rsidP="009C6C96">
      <w:pPr>
        <w:pStyle w:val="Heading3"/>
        <w:numPr>
          <w:ilvl w:val="2"/>
          <w:numId w:val="8"/>
        </w:numPr>
        <w:rPr>
          <w:rStyle w:val="Boldword"/>
          <w:b w:val="0"/>
          <w:color w:val="00A1DE"/>
          <w:sz w:val="28"/>
          <w:lang w:eastAsia="en-US"/>
        </w:rPr>
      </w:pPr>
      <w:r w:rsidRPr="001D3BF4">
        <w:rPr>
          <w:rStyle w:val="Boldword"/>
          <w:b w:val="0"/>
          <w:color w:val="00A1DE"/>
          <w:sz w:val="28"/>
          <w:lang w:eastAsia="en-US"/>
        </w:rPr>
        <w:t>Time profile of benefits</w:t>
      </w:r>
    </w:p>
    <w:p w:rsidR="009C6C96" w:rsidRPr="001D3BF4" w:rsidRDefault="009C6C96" w:rsidP="009C6C96">
      <w:pPr>
        <w:pStyle w:val="BodyText"/>
      </w:pPr>
      <w:r>
        <w:t>A key component of the empirical public and private benefits results is the time profile over which they accrue. This helps to understand the economic mechanisms that help to generate the benefits, the nature of the benefits themselves, and the possible variability of benefits under different circumstances.</w:t>
      </w:r>
    </w:p>
    <w:p w:rsidR="009C6C96" w:rsidRDefault="009C6C96" w:rsidP="009C0EF1">
      <w:pPr>
        <w:pStyle w:val="CaptionChart"/>
        <w:numPr>
          <w:ilvl w:val="7"/>
          <w:numId w:val="8"/>
        </w:numPr>
        <w:ind w:left="0"/>
        <w:rPr>
          <w:lang w:eastAsia="en-AU"/>
        </w:rPr>
      </w:pPr>
      <w:bookmarkStart w:id="178" w:name="_Ref458154985"/>
      <w:bookmarkStart w:id="179" w:name="_Toc465961157"/>
      <w:r>
        <w:rPr>
          <w:lang w:eastAsia="en-AU"/>
        </w:rPr>
        <w:lastRenderedPageBreak/>
        <w:t>: Public and private benefits profile, Engineering bachelor level</w:t>
      </w:r>
      <w:bookmarkEnd w:id="178"/>
      <w:bookmarkEnd w:id="179"/>
    </w:p>
    <w:p w:rsidR="009C6C96" w:rsidRDefault="009C6C96" w:rsidP="009C6C96">
      <w:pPr>
        <w:pStyle w:val="Source"/>
        <w:rPr>
          <w:lang w:eastAsia="en-AU"/>
        </w:rPr>
      </w:pPr>
      <w:r>
        <w:rPr>
          <w:noProof/>
          <w:lang w:eastAsia="en-AU"/>
        </w:rPr>
        <w:drawing>
          <wp:inline distT="0" distB="0" distL="0" distR="0" wp14:anchorId="7A9E0C76" wp14:editId="1C5112CA">
            <wp:extent cx="4924800" cy="2595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24800" cy="2595600"/>
                    </a:xfrm>
                    <a:prstGeom prst="rect">
                      <a:avLst/>
                    </a:prstGeom>
                    <a:noFill/>
                  </pic:spPr>
                </pic:pic>
              </a:graphicData>
            </a:graphic>
          </wp:inline>
        </w:drawing>
      </w:r>
      <w:r w:rsidRPr="00A67C56">
        <w:t xml:space="preserve"> </w:t>
      </w:r>
      <w:r w:rsidRPr="00444981">
        <w:t>Source: Deloitte Access Economics</w:t>
      </w:r>
      <w:r>
        <w:t xml:space="preserve"> RGEM CGE model</w:t>
      </w:r>
      <w:r w:rsidRPr="00444981">
        <w:t>, HILDA Survey, ABS Census</w:t>
      </w:r>
      <w:r>
        <w:t xml:space="preserve"> (2011)</w:t>
      </w:r>
      <w:r w:rsidRPr="00444981">
        <w:t>.</w:t>
      </w:r>
      <w:r>
        <w:t xml:space="preserve"> Annual benefits are expressed as shares of undiscounted total benefits over total working lifetime.</w:t>
      </w:r>
      <w:r>
        <w:rPr>
          <w:lang w:eastAsia="en-AU"/>
        </w:rPr>
        <w:t xml:space="preserve"> </w:t>
      </w:r>
    </w:p>
    <w:p w:rsidR="009C6C96" w:rsidRDefault="009C6C96" w:rsidP="009C0EF1">
      <w:pPr>
        <w:pStyle w:val="CaptionChart"/>
        <w:numPr>
          <w:ilvl w:val="7"/>
          <w:numId w:val="8"/>
        </w:numPr>
        <w:ind w:left="0"/>
        <w:rPr>
          <w:lang w:eastAsia="en-AU"/>
        </w:rPr>
      </w:pPr>
      <w:bookmarkStart w:id="180" w:name="_Toc465961158"/>
      <w:r>
        <w:rPr>
          <w:lang w:eastAsia="en-AU"/>
        </w:rPr>
        <w:t>: Public and private benefits profile, Arts bachelor level</w:t>
      </w:r>
      <w:bookmarkEnd w:id="180"/>
    </w:p>
    <w:p w:rsidR="009C6C96" w:rsidRDefault="009C6C96" w:rsidP="009C6C96">
      <w:pPr>
        <w:pStyle w:val="BodyText"/>
        <w:rPr>
          <w:lang w:eastAsia="en-AU"/>
        </w:rPr>
      </w:pPr>
      <w:r>
        <w:rPr>
          <w:noProof/>
          <w:lang w:eastAsia="en-AU"/>
        </w:rPr>
        <w:drawing>
          <wp:inline distT="0" distB="0" distL="0" distR="0" wp14:anchorId="6D4A960A" wp14:editId="616AE27C">
            <wp:extent cx="4914000" cy="2592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14000" cy="2592000"/>
                    </a:xfrm>
                    <a:prstGeom prst="rect">
                      <a:avLst/>
                    </a:prstGeom>
                    <a:noFill/>
                  </pic:spPr>
                </pic:pic>
              </a:graphicData>
            </a:graphic>
          </wp:inline>
        </w:drawing>
      </w:r>
    </w:p>
    <w:p w:rsidR="009C6C96" w:rsidRDefault="009C6C96" w:rsidP="009C6C96">
      <w:pPr>
        <w:pStyle w:val="Source"/>
        <w:rPr>
          <w:lang w:eastAsia="en-AU"/>
        </w:rPr>
      </w:pPr>
      <w:r w:rsidRPr="00444981">
        <w:t>Source: Deloitte Access Economics</w:t>
      </w:r>
      <w:r>
        <w:t xml:space="preserve"> RGEM CGE model</w:t>
      </w:r>
      <w:r w:rsidRPr="00444981">
        <w:t>, HILDA Survey, ABS Census</w:t>
      </w:r>
      <w:r>
        <w:t xml:space="preserve"> (2011)</w:t>
      </w:r>
      <w:r w:rsidRPr="00444981">
        <w:t>.</w:t>
      </w:r>
      <w:r>
        <w:t xml:space="preserve"> Annual benefits are expressed as shares of undiscounted total benefits over total working lifetime.</w:t>
      </w:r>
      <w:r w:rsidRPr="00EA0E96">
        <w:rPr>
          <w:lang w:eastAsia="en-AU"/>
        </w:rPr>
        <w:t xml:space="preserve"> </w:t>
      </w:r>
    </w:p>
    <w:p w:rsidR="009279D9" w:rsidRDefault="009C6C96" w:rsidP="009C6C96">
      <w:pPr>
        <w:pStyle w:val="Bullet1"/>
        <w:numPr>
          <w:ilvl w:val="0"/>
          <w:numId w:val="0"/>
        </w:numPr>
        <w:spacing w:before="240"/>
      </w:pPr>
      <w:r w:rsidRPr="00682795">
        <w:t xml:space="preserve">Charts 5.3 and 5.4 above illustrate the profile of annual benefits for engineering and arts respectively, as a share of total benefits across an individual’s working life. Besides the magnitude of benefits, these two disciplines differ in when these benefits accrue. The typical earnings differential between workers with an arts qualification and school leavers is quite flat over a career. Conversely, for engineering graduates the earnings premium grows over time until around age 47, after which it slopes back toward the end of a career. </w:t>
      </w:r>
      <w:r>
        <w:t>Similarly, benefits arising from a capital investment effect are lagged, given productive capital takes time to be accumulated.</w:t>
      </w:r>
      <w:r w:rsidR="003A3155">
        <w:t xml:space="preserve"> </w:t>
      </w:r>
    </w:p>
    <w:p w:rsidR="009C6C96" w:rsidRDefault="003A3155" w:rsidP="009C6C96">
      <w:pPr>
        <w:pStyle w:val="Bullet1"/>
        <w:numPr>
          <w:ilvl w:val="0"/>
          <w:numId w:val="0"/>
        </w:numPr>
        <w:spacing w:before="240"/>
      </w:pPr>
      <w:r>
        <w:lastRenderedPageBreak/>
        <w:t xml:space="preserve">As expressed in </w:t>
      </w:r>
      <w:r w:rsidRPr="003A3155">
        <w:t>Charts 5.3 and 5.4</w:t>
      </w:r>
      <w:r>
        <w:t xml:space="preserve">, the relative benefits during study are more negative for Arts bachelors than for Engineering. </w:t>
      </w:r>
      <w:r w:rsidR="001A5056">
        <w:t xml:space="preserve">The absolute dollar figures are in fact similar, but given the market benefits for an Arts degree is </w:t>
      </w:r>
      <w:r w:rsidR="00F9177B">
        <w:t>significantly</w:t>
      </w:r>
      <w:r w:rsidR="001A5056">
        <w:t xml:space="preserve"> lower than </w:t>
      </w:r>
      <w:r w:rsidR="00F9177B">
        <w:t>an Engineering degree, the negative benefits at the time of study</w:t>
      </w:r>
      <w:r w:rsidR="00F9177B" w:rsidRPr="00F9177B">
        <w:t xml:space="preserve"> </w:t>
      </w:r>
      <w:r w:rsidR="00F9177B">
        <w:t>are greater as a share of the total.</w:t>
      </w:r>
    </w:p>
    <w:p w:rsidR="009C6C96" w:rsidRPr="00682795" w:rsidRDefault="009C6C96" w:rsidP="009C6C96">
      <w:pPr>
        <w:pStyle w:val="Bullet1"/>
        <w:numPr>
          <w:ilvl w:val="0"/>
          <w:numId w:val="0"/>
        </w:numPr>
        <w:spacing w:before="240"/>
      </w:pPr>
      <w:r>
        <w:t xml:space="preserve">These different temporal benefit profiles mean that when different discount rates are applied, in net present value calculations, discipline results will shift relative to each other. </w:t>
      </w:r>
    </w:p>
    <w:p w:rsidR="009C6C96" w:rsidRDefault="009C6C96" w:rsidP="009C6C96">
      <w:pPr>
        <w:pStyle w:val="Heading3"/>
        <w:numPr>
          <w:ilvl w:val="2"/>
          <w:numId w:val="8"/>
        </w:numPr>
        <w:rPr>
          <w:lang w:eastAsia="en-AU"/>
        </w:rPr>
      </w:pPr>
      <w:r>
        <w:rPr>
          <w:lang w:eastAsia="en-AU"/>
        </w:rPr>
        <w:t xml:space="preserve">Simulated </w:t>
      </w:r>
      <w:r w:rsidR="00E5330A">
        <w:rPr>
          <w:lang w:eastAsia="en-AU"/>
        </w:rPr>
        <w:t xml:space="preserve">relative </w:t>
      </w:r>
      <w:r>
        <w:rPr>
          <w:lang w:eastAsia="en-AU"/>
        </w:rPr>
        <w:t>wage impacts</w:t>
      </w:r>
    </w:p>
    <w:p w:rsidR="006330EF" w:rsidRDefault="00E5330A" w:rsidP="00EF3617">
      <w:pPr>
        <w:pStyle w:val="BodyText"/>
        <w:rPr>
          <w:lang w:eastAsia="en-AU"/>
        </w:rPr>
      </w:pPr>
      <w:r>
        <w:rPr>
          <w:lang w:eastAsia="en-AU"/>
        </w:rPr>
        <w:t xml:space="preserve">As introduced in </w:t>
      </w:r>
      <w:r w:rsidR="009279D9">
        <w:rPr>
          <w:lang w:eastAsia="en-AU"/>
        </w:rPr>
        <w:t xml:space="preserve">Section </w:t>
      </w:r>
      <w:r>
        <w:rPr>
          <w:lang w:eastAsia="en-AU"/>
        </w:rPr>
        <w:t xml:space="preserve">3, changing the mix of qualification levels in the labour force has a relative scarcity effect, and a productivity uplift effect. </w:t>
      </w:r>
      <w:r w:rsidR="006330EF">
        <w:rPr>
          <w:lang w:eastAsia="en-AU"/>
        </w:rPr>
        <w:t xml:space="preserve">The relative scarcity effect suggests that the increase in wages for a group of upskilling individuals is offset by the reduction in wages for others already qualified in the workforce. </w:t>
      </w:r>
      <w:r w:rsidR="007B78DF">
        <w:rPr>
          <w:lang w:eastAsia="en-AU"/>
        </w:rPr>
        <w:t xml:space="preserve">The productivity uplift effect suggests that as the economy has increased its productive capacity, there will be upward pressure on wages across the economy. The empirical results contained in </w:t>
      </w:r>
      <w:r w:rsidR="009279D9">
        <w:rPr>
          <w:lang w:eastAsia="en-AU"/>
        </w:rPr>
        <w:t>S</w:t>
      </w:r>
      <w:r w:rsidR="007B78DF">
        <w:rPr>
          <w:lang w:eastAsia="en-AU"/>
        </w:rPr>
        <w:t>ection 5.1</w:t>
      </w:r>
      <w:r w:rsidR="00A73D61">
        <w:rPr>
          <w:lang w:eastAsia="en-AU"/>
        </w:rPr>
        <w:t>, along with other relevant literature,</w:t>
      </w:r>
      <w:r w:rsidR="007B78DF">
        <w:rPr>
          <w:lang w:eastAsia="en-AU"/>
        </w:rPr>
        <w:t xml:space="preserve"> suggest that the productivity effect is the stronger of the two, </w:t>
      </w:r>
      <w:r w:rsidR="0047464D">
        <w:rPr>
          <w:lang w:eastAsia="en-AU"/>
        </w:rPr>
        <w:t xml:space="preserve">given that </w:t>
      </w:r>
      <w:r w:rsidR="00A73D61">
        <w:rPr>
          <w:lang w:eastAsia="en-AU"/>
        </w:rPr>
        <w:t xml:space="preserve">those with equivalent skill levels do not see </w:t>
      </w:r>
      <w:r w:rsidR="001E610C">
        <w:rPr>
          <w:lang w:eastAsia="en-AU"/>
        </w:rPr>
        <w:t>statistically significant f</w:t>
      </w:r>
      <w:r w:rsidR="00B1661A">
        <w:rPr>
          <w:lang w:eastAsia="en-AU"/>
        </w:rPr>
        <w:t>alls in their wage as the share of higher education quali</w:t>
      </w:r>
      <w:r w:rsidR="00F9177B">
        <w:rPr>
          <w:lang w:eastAsia="en-AU"/>
        </w:rPr>
        <w:t>f</w:t>
      </w:r>
      <w:r w:rsidR="00B1661A">
        <w:rPr>
          <w:lang w:eastAsia="en-AU"/>
        </w:rPr>
        <w:t>ied workers increases.</w:t>
      </w:r>
    </w:p>
    <w:p w:rsidR="00943196" w:rsidRPr="00612FD8" w:rsidRDefault="00A73D61" w:rsidP="00943196">
      <w:pPr>
        <w:pStyle w:val="BodyText"/>
        <w:rPr>
          <w:lang w:eastAsia="en-AU"/>
        </w:rPr>
      </w:pPr>
      <w:r>
        <w:rPr>
          <w:lang w:eastAsia="en-AU"/>
        </w:rPr>
        <w:t xml:space="preserve">Table 5.5 </w:t>
      </w:r>
      <w:r w:rsidRPr="00612FD8">
        <w:rPr>
          <w:lang w:eastAsia="en-AU"/>
        </w:rPr>
        <w:t xml:space="preserve">reports the relevant </w:t>
      </w:r>
      <w:r w:rsidR="00B1661A" w:rsidRPr="00612FD8">
        <w:rPr>
          <w:lang w:eastAsia="en-AU"/>
        </w:rPr>
        <w:t xml:space="preserve">wage simulation </w:t>
      </w:r>
      <w:r w:rsidRPr="00612FD8">
        <w:rPr>
          <w:lang w:eastAsia="en-AU"/>
        </w:rPr>
        <w:t xml:space="preserve">results for </w:t>
      </w:r>
      <w:r w:rsidR="00B1661A" w:rsidRPr="00612FD8">
        <w:rPr>
          <w:lang w:eastAsia="en-AU"/>
        </w:rPr>
        <w:t xml:space="preserve">comparison </w:t>
      </w:r>
      <w:r w:rsidR="00916FA3" w:rsidRPr="00612FD8">
        <w:rPr>
          <w:lang w:eastAsia="en-AU"/>
        </w:rPr>
        <w:t xml:space="preserve">with </w:t>
      </w:r>
      <w:r w:rsidR="00B1661A" w:rsidRPr="00612FD8">
        <w:rPr>
          <w:lang w:eastAsia="en-AU"/>
        </w:rPr>
        <w:t xml:space="preserve">the empirical exercise in </w:t>
      </w:r>
      <w:r w:rsidR="009279D9">
        <w:rPr>
          <w:lang w:eastAsia="en-AU"/>
        </w:rPr>
        <w:t xml:space="preserve">Section </w:t>
      </w:r>
      <w:r w:rsidR="00B1661A" w:rsidRPr="00612FD8">
        <w:rPr>
          <w:lang w:eastAsia="en-AU"/>
        </w:rPr>
        <w:t xml:space="preserve">5.1. These show the </w:t>
      </w:r>
      <w:r w:rsidR="00B1661A" w:rsidRPr="00612FD8">
        <w:t>relative dominance of the productivity uplift</w:t>
      </w:r>
      <w:r w:rsidR="00B1661A" w:rsidRPr="00612FD8">
        <w:rPr>
          <w:lang w:eastAsia="en-AU"/>
        </w:rPr>
        <w:t xml:space="preserve"> effect as compared to the relative scarcity effect. </w:t>
      </w:r>
      <w:r w:rsidR="00943196" w:rsidRPr="00612FD8">
        <w:rPr>
          <w:lang w:eastAsia="en-AU"/>
        </w:rPr>
        <w:t>A result where only the relative scarcity was present would mean any rise in wages for the group receiving higher education would be completely offset by wage declines for others in the labour force.</w:t>
      </w:r>
      <w:r w:rsidR="00FF70FD">
        <w:rPr>
          <w:lang w:eastAsia="en-AU"/>
        </w:rPr>
        <w:t xml:space="preserve"> </w:t>
      </w:r>
    </w:p>
    <w:p w:rsidR="002C2BD6" w:rsidRDefault="00B1661A" w:rsidP="00612FD8">
      <w:pPr>
        <w:pStyle w:val="BodyText"/>
        <w:rPr>
          <w:lang w:eastAsia="en-AU"/>
        </w:rPr>
      </w:pPr>
      <w:r w:rsidRPr="00612FD8">
        <w:rPr>
          <w:lang w:eastAsia="en-AU"/>
        </w:rPr>
        <w:t xml:space="preserve">Overall, the wage simulations suggest a </w:t>
      </w:r>
      <w:r w:rsidRPr="00612FD8">
        <w:t xml:space="preserve">stronger </w:t>
      </w:r>
      <w:r w:rsidR="00612FD8" w:rsidRPr="00612FD8">
        <w:rPr>
          <w:lang w:eastAsia="en-AU"/>
        </w:rPr>
        <w:t xml:space="preserve">productivity uplift </w:t>
      </w:r>
      <w:r w:rsidRPr="00612FD8">
        <w:t>effect</w:t>
      </w:r>
      <w:r w:rsidRPr="00612FD8">
        <w:rPr>
          <w:lang w:eastAsia="en-AU"/>
        </w:rPr>
        <w:t xml:space="preserve"> than the </w:t>
      </w:r>
      <w:r w:rsidR="00612FD8" w:rsidRPr="00DA4CA5">
        <w:t xml:space="preserve">relative scarcity </w:t>
      </w:r>
      <w:r w:rsidRPr="00612FD8">
        <w:rPr>
          <w:lang w:eastAsia="en-AU"/>
        </w:rPr>
        <w:t xml:space="preserve">effect. </w:t>
      </w:r>
      <w:r w:rsidR="00997DE6" w:rsidRPr="00612FD8">
        <w:rPr>
          <w:lang w:eastAsia="en-AU"/>
        </w:rPr>
        <w:t xml:space="preserve">This is measured by the share of wage uplift offset by </w:t>
      </w:r>
      <w:r w:rsidR="00FF70FD">
        <w:rPr>
          <w:lang w:eastAsia="en-AU"/>
        </w:rPr>
        <w:t xml:space="preserve">the </w:t>
      </w:r>
      <w:r w:rsidR="00997DE6" w:rsidRPr="00612FD8">
        <w:rPr>
          <w:lang w:eastAsia="en-AU"/>
        </w:rPr>
        <w:t>fall in others' wages.</w:t>
      </w:r>
      <w:r w:rsidR="00FF70FD">
        <w:rPr>
          <w:lang w:eastAsia="en-AU"/>
        </w:rPr>
        <w:t xml:space="preserve"> 82% of the partial wage increment is retained as a productivity uplift, while 18% of the partial wage uplift increment is the relative scarcity effect. </w:t>
      </w:r>
    </w:p>
    <w:p w:rsidR="00FF70FD" w:rsidRDefault="00FF70FD" w:rsidP="00612FD8">
      <w:pPr>
        <w:pStyle w:val="BodyText"/>
        <w:rPr>
          <w:lang w:eastAsia="en-AU"/>
        </w:rPr>
      </w:pPr>
      <w:r>
        <w:rPr>
          <w:lang w:eastAsia="en-AU"/>
        </w:rPr>
        <w:t xml:space="preserve">As a simplistic example, if there were 1000 additional graduates, and the annual wage differential between school-leavers and higher education qualified individuals is $10,000, then the partial equilibrium increase in wages is $10 million. </w:t>
      </w:r>
      <w:r w:rsidR="002C2BD6">
        <w:rPr>
          <w:lang w:eastAsia="en-AU"/>
        </w:rPr>
        <w:t>The results of the CGE modelling indicates that the general equilibrium productivity uplift would be 82% of this, or $8.2 million. The difference of $1.8 million reflects that graduates are now relatively less scarce.</w:t>
      </w:r>
    </w:p>
    <w:p w:rsidR="00B1661A" w:rsidRDefault="00612FD8" w:rsidP="00612FD8">
      <w:pPr>
        <w:pStyle w:val="BodyText"/>
        <w:rPr>
          <w:lang w:eastAsia="en-AU"/>
        </w:rPr>
      </w:pPr>
      <w:r w:rsidRPr="00612FD8">
        <w:rPr>
          <w:lang w:eastAsia="en-AU"/>
        </w:rPr>
        <w:t>T</w:t>
      </w:r>
      <w:r w:rsidR="00B1661A" w:rsidRPr="00612FD8">
        <w:rPr>
          <w:lang w:eastAsia="en-AU"/>
        </w:rPr>
        <w:t xml:space="preserve">he CGE results are more conservative </w:t>
      </w:r>
      <w:r w:rsidR="00D77372" w:rsidRPr="00612FD8">
        <w:rPr>
          <w:lang w:eastAsia="en-AU"/>
        </w:rPr>
        <w:t>than the relevant empirical results,</w:t>
      </w:r>
      <w:r w:rsidR="00B1661A" w:rsidRPr="00612FD8">
        <w:rPr>
          <w:lang w:eastAsia="en-AU"/>
        </w:rPr>
        <w:t xml:space="preserve"> in terms of the effect of higher education on other</w:t>
      </w:r>
      <w:r w:rsidR="00D77372" w:rsidRPr="00612FD8">
        <w:rPr>
          <w:lang w:eastAsia="en-AU"/>
        </w:rPr>
        <w:t>s</w:t>
      </w:r>
      <w:r w:rsidR="00B1661A" w:rsidRPr="00612FD8">
        <w:rPr>
          <w:lang w:eastAsia="en-AU"/>
        </w:rPr>
        <w:t xml:space="preserve"> in the labour force. </w:t>
      </w:r>
      <w:r w:rsidR="00943196" w:rsidRPr="00612FD8">
        <w:rPr>
          <w:lang w:eastAsia="en-AU"/>
        </w:rPr>
        <w:t xml:space="preserve">The CGE results </w:t>
      </w:r>
      <w:r w:rsidR="00D77372" w:rsidRPr="00612FD8">
        <w:rPr>
          <w:lang w:eastAsia="en-AU"/>
        </w:rPr>
        <w:t>indicate</w:t>
      </w:r>
      <w:r w:rsidR="00943196" w:rsidRPr="00612FD8">
        <w:rPr>
          <w:lang w:eastAsia="en-AU"/>
        </w:rPr>
        <w:t xml:space="preserve"> </w:t>
      </w:r>
      <w:r w:rsidR="00D77372" w:rsidRPr="00612FD8">
        <w:rPr>
          <w:lang w:eastAsia="en-AU"/>
        </w:rPr>
        <w:t>that higher education</w:t>
      </w:r>
      <w:r w:rsidR="00943196" w:rsidRPr="00612FD8">
        <w:rPr>
          <w:lang w:eastAsia="en-AU"/>
        </w:rPr>
        <w:t xml:space="preserve"> will have</w:t>
      </w:r>
      <w:r w:rsidR="00943196">
        <w:rPr>
          <w:lang w:eastAsia="en-AU"/>
        </w:rPr>
        <w:t xml:space="preserve"> a small negative effect on wages for those </w:t>
      </w:r>
      <w:r w:rsidR="00D77372">
        <w:rPr>
          <w:lang w:eastAsia="en-AU"/>
        </w:rPr>
        <w:t xml:space="preserve">who already hold </w:t>
      </w:r>
      <w:r w:rsidR="00943196">
        <w:rPr>
          <w:lang w:eastAsia="en-AU"/>
        </w:rPr>
        <w:t xml:space="preserve">equivalent skills. The empirical econometric exercise suggests </w:t>
      </w:r>
      <w:r w:rsidR="00D77372">
        <w:rPr>
          <w:lang w:eastAsia="en-AU"/>
        </w:rPr>
        <w:t xml:space="preserve">higher education </w:t>
      </w:r>
      <w:r w:rsidR="00943196">
        <w:rPr>
          <w:lang w:eastAsia="en-AU"/>
        </w:rPr>
        <w:t>will have a slight positive effect on those wages. If the CGE simulations more closely ref</w:t>
      </w:r>
      <w:r w:rsidR="00997DE6">
        <w:rPr>
          <w:lang w:eastAsia="en-AU"/>
        </w:rPr>
        <w:t>lected the empirical results, the public benefits would be proportionally larger.</w:t>
      </w:r>
    </w:p>
    <w:p w:rsidR="00943196" w:rsidRDefault="00943196" w:rsidP="00EF3617">
      <w:pPr>
        <w:pStyle w:val="BodyText"/>
        <w:rPr>
          <w:lang w:eastAsia="en-AU"/>
        </w:rPr>
      </w:pPr>
      <w:r>
        <w:rPr>
          <w:lang w:eastAsia="en-AU"/>
        </w:rPr>
        <w:t>However, there is a lack of statistical strength</w:t>
      </w:r>
      <w:r w:rsidR="00997DE6">
        <w:rPr>
          <w:lang w:eastAsia="en-AU"/>
        </w:rPr>
        <w:t xml:space="preserve"> and conclusiveness </w:t>
      </w:r>
      <w:r>
        <w:rPr>
          <w:lang w:eastAsia="en-AU"/>
        </w:rPr>
        <w:t>in the econometric results, and the CGE simulations capture other important discipline-specific factors, such as differing rates of unemployment for different skill types. Given these considerations, no pre or post-model adjustments of the wage differential results have been made to further align the wage simulations and the empirical results.</w:t>
      </w:r>
    </w:p>
    <w:p w:rsidR="00EF3617" w:rsidRDefault="00EF3617" w:rsidP="005D1F2F">
      <w:pPr>
        <w:pStyle w:val="CaptionTable"/>
        <w:ind w:left="0"/>
      </w:pPr>
      <w:bookmarkStart w:id="181" w:name="_Toc465961131"/>
      <w:r>
        <w:lastRenderedPageBreak/>
        <w:t xml:space="preserve">: </w:t>
      </w:r>
      <w:r w:rsidR="00A73D61">
        <w:t>Productivity vs. relative scarcity - s</w:t>
      </w:r>
      <w:r w:rsidRPr="00EF3617">
        <w:t>hare of wage uplift offset by fall in others' wages</w:t>
      </w:r>
      <w:bookmarkEnd w:id="181"/>
    </w:p>
    <w:tbl>
      <w:tblPr>
        <w:tblW w:w="8046" w:type="dxa"/>
        <w:tblInd w:w="-108" w:type="dxa"/>
        <w:tblLayout w:type="fixed"/>
        <w:tblCellMar>
          <w:left w:w="0" w:type="dxa"/>
          <w:right w:w="0" w:type="dxa"/>
        </w:tblCellMar>
        <w:tblLook w:val="04A0" w:firstRow="1" w:lastRow="0" w:firstColumn="1" w:lastColumn="0" w:noHBand="0" w:noVBand="1"/>
      </w:tblPr>
      <w:tblGrid>
        <w:gridCol w:w="1684"/>
        <w:gridCol w:w="811"/>
        <w:gridCol w:w="732"/>
        <w:gridCol w:w="578"/>
        <w:gridCol w:w="710"/>
        <w:gridCol w:w="710"/>
        <w:gridCol w:w="706"/>
        <w:gridCol w:w="710"/>
        <w:gridCol w:w="710"/>
        <w:gridCol w:w="679"/>
        <w:gridCol w:w="16"/>
      </w:tblGrid>
      <w:tr w:rsidR="005D1F2F" w:rsidRPr="00574710" w:rsidTr="00DA4CA5">
        <w:trPr>
          <w:gridAfter w:val="1"/>
          <w:wAfter w:w="10" w:type="pct"/>
          <w:trHeight w:val="540"/>
        </w:trPr>
        <w:tc>
          <w:tcPr>
            <w:tcW w:w="1046" w:type="pct"/>
            <w:tcBorders>
              <w:top w:val="single" w:sz="12" w:space="0" w:color="002776"/>
              <w:left w:val="nil"/>
              <w:bottom w:val="single" w:sz="8" w:space="0" w:color="002776"/>
              <w:right w:val="nil"/>
            </w:tcBorders>
            <w:shd w:val="clear" w:color="auto" w:fill="auto"/>
            <w:hideMark/>
          </w:tcPr>
          <w:p w:rsidR="005D1F2F" w:rsidRPr="00444981" w:rsidRDefault="005D1F2F" w:rsidP="005D1F2F">
            <w:pPr>
              <w:outlineLvl w:val="0"/>
              <w:rPr>
                <w:rFonts w:asciiTheme="minorHAnsi" w:hAnsiTheme="minorHAnsi"/>
                <w:color w:val="000000"/>
                <w:sz w:val="20"/>
              </w:rPr>
            </w:pPr>
            <w:r w:rsidRPr="00444981">
              <w:rPr>
                <w:rFonts w:asciiTheme="minorHAnsi" w:hAnsiTheme="minorHAnsi"/>
                <w:color w:val="000000"/>
                <w:sz w:val="20"/>
              </w:rPr>
              <w:t> </w:t>
            </w:r>
          </w:p>
        </w:tc>
        <w:tc>
          <w:tcPr>
            <w:tcW w:w="504" w:type="pct"/>
            <w:tcBorders>
              <w:top w:val="single" w:sz="12" w:space="0" w:color="002776"/>
              <w:left w:val="nil"/>
              <w:bottom w:val="single" w:sz="8" w:space="0" w:color="002776"/>
              <w:right w:val="nil"/>
            </w:tcBorders>
            <w:shd w:val="clear" w:color="auto" w:fill="auto"/>
            <w:vAlign w:val="center"/>
            <w:hideMark/>
          </w:tcPr>
          <w:p w:rsidR="005D1F2F" w:rsidRPr="00444981" w:rsidRDefault="005D1F2F" w:rsidP="005D1F2F">
            <w:pPr>
              <w:jc w:val="center"/>
              <w:outlineLvl w:val="0"/>
              <w:rPr>
                <w:rFonts w:asciiTheme="minorHAnsi" w:hAnsiTheme="minorHAnsi"/>
                <w:b/>
                <w:bCs/>
                <w:color w:val="002776"/>
                <w:sz w:val="20"/>
              </w:rPr>
            </w:pPr>
            <w:r w:rsidRPr="00444981">
              <w:rPr>
                <w:rFonts w:asciiTheme="minorHAnsi" w:hAnsiTheme="minorHAnsi"/>
                <w:b/>
                <w:bCs/>
                <w:color w:val="002776"/>
                <w:sz w:val="20"/>
              </w:rPr>
              <w:t>Medicine</w:t>
            </w:r>
          </w:p>
        </w:tc>
        <w:tc>
          <w:tcPr>
            <w:tcW w:w="455" w:type="pct"/>
            <w:tcBorders>
              <w:top w:val="single" w:sz="12" w:space="0" w:color="002776"/>
              <w:left w:val="nil"/>
              <w:bottom w:val="single" w:sz="8" w:space="0" w:color="002776"/>
              <w:right w:val="nil"/>
            </w:tcBorders>
            <w:shd w:val="clear" w:color="auto" w:fill="auto"/>
            <w:vAlign w:val="center"/>
            <w:hideMark/>
          </w:tcPr>
          <w:p w:rsidR="005D1F2F" w:rsidRPr="00444981" w:rsidRDefault="005D1F2F" w:rsidP="005D1F2F">
            <w:pPr>
              <w:jc w:val="center"/>
              <w:outlineLvl w:val="0"/>
              <w:rPr>
                <w:rFonts w:asciiTheme="minorHAnsi" w:hAnsiTheme="minorHAnsi"/>
                <w:b/>
                <w:bCs/>
                <w:color w:val="002776"/>
                <w:sz w:val="20"/>
              </w:rPr>
            </w:pPr>
            <w:r w:rsidRPr="00444981">
              <w:rPr>
                <w:rFonts w:asciiTheme="minorHAnsi" w:hAnsiTheme="minorHAnsi"/>
                <w:b/>
                <w:bCs/>
                <w:color w:val="002776"/>
                <w:sz w:val="20"/>
              </w:rPr>
              <w:t>Other Health</w:t>
            </w:r>
          </w:p>
        </w:tc>
        <w:tc>
          <w:tcPr>
            <w:tcW w:w="359" w:type="pct"/>
            <w:tcBorders>
              <w:top w:val="single" w:sz="12" w:space="0" w:color="002776"/>
              <w:left w:val="nil"/>
              <w:bottom w:val="single" w:sz="8" w:space="0" w:color="002776"/>
              <w:right w:val="nil"/>
            </w:tcBorders>
            <w:shd w:val="clear" w:color="auto" w:fill="auto"/>
            <w:vAlign w:val="center"/>
            <w:hideMark/>
          </w:tcPr>
          <w:p w:rsidR="005D1F2F" w:rsidRPr="00444981" w:rsidRDefault="005D1F2F" w:rsidP="005D1F2F">
            <w:pPr>
              <w:jc w:val="center"/>
              <w:outlineLvl w:val="0"/>
              <w:rPr>
                <w:rFonts w:asciiTheme="minorHAnsi" w:hAnsiTheme="minorHAnsi"/>
                <w:b/>
                <w:bCs/>
                <w:color w:val="002776"/>
                <w:sz w:val="20"/>
              </w:rPr>
            </w:pPr>
            <w:r w:rsidRPr="00444981">
              <w:rPr>
                <w:rFonts w:asciiTheme="minorHAnsi" w:hAnsiTheme="minorHAnsi"/>
                <w:b/>
                <w:bCs/>
                <w:color w:val="002776"/>
                <w:sz w:val="20"/>
              </w:rPr>
              <w:t>Educ</w:t>
            </w:r>
            <w:r>
              <w:rPr>
                <w:rFonts w:asciiTheme="minorHAnsi" w:hAnsiTheme="minorHAnsi"/>
                <w:b/>
                <w:bCs/>
                <w:color w:val="002776"/>
                <w:sz w:val="20"/>
              </w:rPr>
              <w:t>.</w:t>
            </w:r>
          </w:p>
        </w:tc>
        <w:tc>
          <w:tcPr>
            <w:tcW w:w="441" w:type="pct"/>
            <w:tcBorders>
              <w:top w:val="single" w:sz="12" w:space="0" w:color="002776"/>
              <w:left w:val="nil"/>
              <w:bottom w:val="single" w:sz="8" w:space="0" w:color="002776"/>
              <w:right w:val="nil"/>
            </w:tcBorders>
            <w:shd w:val="clear" w:color="auto" w:fill="auto"/>
            <w:vAlign w:val="center"/>
            <w:hideMark/>
          </w:tcPr>
          <w:p w:rsidR="005D1F2F" w:rsidRPr="00444981" w:rsidRDefault="005D1F2F" w:rsidP="005D1F2F">
            <w:pPr>
              <w:jc w:val="center"/>
              <w:outlineLvl w:val="0"/>
              <w:rPr>
                <w:rFonts w:asciiTheme="minorHAnsi" w:hAnsiTheme="minorHAnsi"/>
                <w:b/>
                <w:bCs/>
                <w:color w:val="002776"/>
                <w:sz w:val="20"/>
              </w:rPr>
            </w:pPr>
            <w:r w:rsidRPr="00444981">
              <w:rPr>
                <w:rFonts w:asciiTheme="minorHAnsi" w:hAnsiTheme="minorHAnsi"/>
                <w:b/>
                <w:bCs/>
                <w:color w:val="002776"/>
                <w:sz w:val="20"/>
              </w:rPr>
              <w:t>Eng</w:t>
            </w:r>
            <w:r>
              <w:rPr>
                <w:rFonts w:asciiTheme="minorHAnsi" w:hAnsiTheme="minorHAnsi"/>
                <w:b/>
                <w:bCs/>
                <w:color w:val="002776"/>
                <w:sz w:val="20"/>
              </w:rPr>
              <w:t>.</w:t>
            </w:r>
          </w:p>
        </w:tc>
        <w:tc>
          <w:tcPr>
            <w:tcW w:w="441" w:type="pct"/>
            <w:tcBorders>
              <w:top w:val="single" w:sz="12" w:space="0" w:color="002776"/>
              <w:left w:val="nil"/>
              <w:bottom w:val="single" w:sz="8" w:space="0" w:color="002776"/>
              <w:right w:val="nil"/>
            </w:tcBorders>
            <w:shd w:val="clear" w:color="auto" w:fill="auto"/>
            <w:vAlign w:val="center"/>
            <w:hideMark/>
          </w:tcPr>
          <w:p w:rsidR="005D1F2F" w:rsidRPr="00444981" w:rsidRDefault="005D1F2F" w:rsidP="005D1F2F">
            <w:pPr>
              <w:jc w:val="center"/>
              <w:outlineLvl w:val="0"/>
              <w:rPr>
                <w:rFonts w:asciiTheme="minorHAnsi" w:hAnsiTheme="minorHAnsi"/>
                <w:b/>
                <w:bCs/>
                <w:color w:val="002776"/>
                <w:sz w:val="20"/>
              </w:rPr>
            </w:pPr>
            <w:r w:rsidRPr="00444981">
              <w:rPr>
                <w:rFonts w:asciiTheme="minorHAnsi" w:hAnsiTheme="minorHAnsi"/>
                <w:b/>
                <w:bCs/>
                <w:color w:val="002776"/>
                <w:sz w:val="20"/>
              </w:rPr>
              <w:t>Bus</w:t>
            </w:r>
            <w:r>
              <w:rPr>
                <w:rFonts w:asciiTheme="minorHAnsi" w:hAnsiTheme="minorHAnsi"/>
                <w:b/>
                <w:bCs/>
                <w:color w:val="002776"/>
                <w:sz w:val="20"/>
              </w:rPr>
              <w:t>.</w:t>
            </w:r>
          </w:p>
        </w:tc>
        <w:tc>
          <w:tcPr>
            <w:tcW w:w="439" w:type="pct"/>
            <w:tcBorders>
              <w:top w:val="single" w:sz="12" w:space="0" w:color="002776"/>
              <w:left w:val="nil"/>
              <w:bottom w:val="single" w:sz="8" w:space="0" w:color="002776"/>
              <w:right w:val="nil"/>
            </w:tcBorders>
            <w:shd w:val="clear" w:color="auto" w:fill="auto"/>
            <w:vAlign w:val="center"/>
            <w:hideMark/>
          </w:tcPr>
          <w:p w:rsidR="005D1F2F" w:rsidRPr="00444981" w:rsidRDefault="005D1F2F" w:rsidP="005D1F2F">
            <w:pPr>
              <w:jc w:val="center"/>
              <w:outlineLvl w:val="0"/>
              <w:rPr>
                <w:rFonts w:asciiTheme="minorHAnsi" w:hAnsiTheme="minorHAnsi"/>
                <w:b/>
                <w:bCs/>
                <w:color w:val="002776"/>
                <w:sz w:val="20"/>
              </w:rPr>
            </w:pPr>
            <w:r w:rsidRPr="00444981">
              <w:rPr>
                <w:rFonts w:asciiTheme="minorHAnsi" w:hAnsiTheme="minorHAnsi"/>
                <w:b/>
                <w:bCs/>
                <w:color w:val="002776"/>
                <w:sz w:val="20"/>
              </w:rPr>
              <w:t>Arts</w:t>
            </w:r>
          </w:p>
        </w:tc>
        <w:tc>
          <w:tcPr>
            <w:tcW w:w="441" w:type="pct"/>
            <w:tcBorders>
              <w:top w:val="single" w:sz="12" w:space="0" w:color="002776"/>
              <w:left w:val="nil"/>
              <w:bottom w:val="single" w:sz="8" w:space="0" w:color="002776"/>
              <w:right w:val="nil"/>
            </w:tcBorders>
            <w:shd w:val="clear" w:color="auto" w:fill="auto"/>
            <w:vAlign w:val="center"/>
            <w:hideMark/>
          </w:tcPr>
          <w:p w:rsidR="005D1F2F" w:rsidRPr="00444981" w:rsidRDefault="005D1F2F" w:rsidP="005D1F2F">
            <w:pPr>
              <w:jc w:val="center"/>
              <w:outlineLvl w:val="0"/>
              <w:rPr>
                <w:rFonts w:asciiTheme="minorHAnsi" w:hAnsiTheme="minorHAnsi"/>
                <w:b/>
                <w:bCs/>
                <w:color w:val="002776"/>
                <w:sz w:val="20"/>
              </w:rPr>
            </w:pPr>
            <w:r w:rsidRPr="00444981">
              <w:rPr>
                <w:rFonts w:asciiTheme="minorHAnsi" w:hAnsiTheme="minorHAnsi"/>
                <w:b/>
                <w:bCs/>
                <w:color w:val="002776"/>
                <w:sz w:val="20"/>
              </w:rPr>
              <w:t>Science</w:t>
            </w:r>
          </w:p>
        </w:tc>
        <w:tc>
          <w:tcPr>
            <w:tcW w:w="441" w:type="pct"/>
            <w:tcBorders>
              <w:top w:val="single" w:sz="12" w:space="0" w:color="002776"/>
              <w:left w:val="nil"/>
              <w:bottom w:val="single" w:sz="8" w:space="0" w:color="002776"/>
              <w:right w:val="nil"/>
            </w:tcBorders>
            <w:shd w:val="clear" w:color="auto" w:fill="auto"/>
            <w:vAlign w:val="center"/>
            <w:hideMark/>
          </w:tcPr>
          <w:p w:rsidR="005D1F2F" w:rsidRPr="00444981" w:rsidRDefault="005D1F2F" w:rsidP="005D1F2F">
            <w:pPr>
              <w:jc w:val="center"/>
              <w:outlineLvl w:val="0"/>
              <w:rPr>
                <w:rFonts w:asciiTheme="minorHAnsi" w:hAnsiTheme="minorHAnsi"/>
                <w:b/>
                <w:bCs/>
                <w:color w:val="002776"/>
                <w:sz w:val="20"/>
              </w:rPr>
            </w:pPr>
            <w:r w:rsidRPr="00444981">
              <w:rPr>
                <w:rFonts w:asciiTheme="minorHAnsi" w:hAnsiTheme="minorHAnsi"/>
                <w:b/>
                <w:bCs/>
                <w:color w:val="002776"/>
                <w:sz w:val="20"/>
              </w:rPr>
              <w:t>IT</w:t>
            </w:r>
          </w:p>
        </w:tc>
        <w:tc>
          <w:tcPr>
            <w:tcW w:w="422" w:type="pct"/>
            <w:tcBorders>
              <w:top w:val="single" w:sz="12" w:space="0" w:color="002776"/>
              <w:left w:val="nil"/>
              <w:bottom w:val="single" w:sz="8" w:space="0" w:color="002776"/>
              <w:right w:val="nil"/>
            </w:tcBorders>
            <w:shd w:val="clear" w:color="auto" w:fill="auto"/>
            <w:vAlign w:val="center"/>
            <w:hideMark/>
          </w:tcPr>
          <w:p w:rsidR="005D1F2F" w:rsidRPr="00444981" w:rsidRDefault="005D1F2F" w:rsidP="005D1F2F">
            <w:pPr>
              <w:jc w:val="center"/>
              <w:outlineLvl w:val="0"/>
              <w:rPr>
                <w:rFonts w:asciiTheme="minorHAnsi" w:hAnsiTheme="minorHAnsi"/>
                <w:b/>
                <w:bCs/>
                <w:color w:val="002776"/>
                <w:sz w:val="20"/>
              </w:rPr>
            </w:pPr>
            <w:r w:rsidRPr="00444981">
              <w:rPr>
                <w:rFonts w:asciiTheme="minorHAnsi" w:hAnsiTheme="minorHAnsi"/>
                <w:b/>
                <w:bCs/>
                <w:color w:val="002776"/>
                <w:sz w:val="20"/>
              </w:rPr>
              <w:t>Ave</w:t>
            </w:r>
            <w:r>
              <w:rPr>
                <w:rFonts w:asciiTheme="minorHAnsi" w:hAnsiTheme="minorHAnsi"/>
                <w:b/>
                <w:bCs/>
                <w:color w:val="002776"/>
                <w:sz w:val="20"/>
              </w:rPr>
              <w:t>.</w:t>
            </w:r>
          </w:p>
        </w:tc>
      </w:tr>
      <w:tr w:rsidR="00BB418B" w:rsidRPr="00574710" w:rsidTr="00977C78">
        <w:trPr>
          <w:gridAfter w:val="1"/>
          <w:wAfter w:w="10" w:type="pct"/>
          <w:trHeight w:val="236"/>
        </w:trPr>
        <w:tc>
          <w:tcPr>
            <w:tcW w:w="1046" w:type="pct"/>
            <w:tcBorders>
              <w:top w:val="single" w:sz="12" w:space="0" w:color="002776"/>
              <w:left w:val="nil"/>
              <w:right w:val="nil"/>
            </w:tcBorders>
            <w:shd w:val="clear" w:color="auto" w:fill="auto"/>
          </w:tcPr>
          <w:p w:rsidR="005D1F2F" w:rsidRPr="00444981" w:rsidRDefault="005D1F2F" w:rsidP="005D1F2F">
            <w:pPr>
              <w:outlineLvl w:val="0"/>
              <w:rPr>
                <w:rFonts w:asciiTheme="minorHAnsi" w:hAnsiTheme="minorHAnsi"/>
                <w:b/>
                <w:color w:val="000000"/>
                <w:sz w:val="20"/>
              </w:rPr>
            </w:pPr>
            <w:r w:rsidRPr="00444981">
              <w:rPr>
                <w:rFonts w:asciiTheme="minorHAnsi" w:hAnsiTheme="minorHAnsi"/>
                <w:b/>
                <w:color w:val="002776" w:themeColor="accent1"/>
                <w:sz w:val="20"/>
              </w:rPr>
              <w:t>Bachelor level</w:t>
            </w:r>
          </w:p>
        </w:tc>
        <w:tc>
          <w:tcPr>
            <w:tcW w:w="504" w:type="pct"/>
            <w:tcBorders>
              <w:top w:val="single" w:sz="12" w:space="0" w:color="002776"/>
              <w:left w:val="nil"/>
              <w:right w:val="nil"/>
            </w:tcBorders>
            <w:shd w:val="clear" w:color="auto" w:fill="auto"/>
          </w:tcPr>
          <w:p w:rsidR="005D1F2F" w:rsidRPr="00DA4CA5" w:rsidRDefault="005D1F2F" w:rsidP="005D1F2F">
            <w:pPr>
              <w:jc w:val="center"/>
              <w:rPr>
                <w:rFonts w:asciiTheme="minorHAnsi" w:hAnsiTheme="minorHAnsi"/>
                <w:sz w:val="20"/>
              </w:rPr>
            </w:pPr>
          </w:p>
        </w:tc>
        <w:tc>
          <w:tcPr>
            <w:tcW w:w="455" w:type="pct"/>
            <w:tcBorders>
              <w:top w:val="single" w:sz="12" w:space="0" w:color="002776"/>
              <w:left w:val="nil"/>
              <w:right w:val="nil"/>
            </w:tcBorders>
            <w:shd w:val="clear" w:color="auto" w:fill="auto"/>
          </w:tcPr>
          <w:p w:rsidR="005D1F2F" w:rsidRPr="00DA4CA5" w:rsidRDefault="005D1F2F" w:rsidP="005D1F2F">
            <w:pPr>
              <w:jc w:val="center"/>
              <w:rPr>
                <w:rFonts w:asciiTheme="minorHAnsi" w:hAnsiTheme="minorHAnsi"/>
                <w:sz w:val="20"/>
              </w:rPr>
            </w:pPr>
          </w:p>
        </w:tc>
        <w:tc>
          <w:tcPr>
            <w:tcW w:w="359" w:type="pct"/>
            <w:tcBorders>
              <w:top w:val="single" w:sz="12" w:space="0" w:color="002776"/>
              <w:left w:val="nil"/>
              <w:right w:val="nil"/>
            </w:tcBorders>
            <w:shd w:val="clear" w:color="auto" w:fill="auto"/>
          </w:tcPr>
          <w:p w:rsidR="005D1F2F" w:rsidRPr="00DA4CA5" w:rsidRDefault="005D1F2F" w:rsidP="005D1F2F">
            <w:pPr>
              <w:jc w:val="center"/>
              <w:rPr>
                <w:rFonts w:asciiTheme="minorHAnsi" w:hAnsiTheme="minorHAnsi"/>
                <w:sz w:val="20"/>
              </w:rPr>
            </w:pPr>
          </w:p>
        </w:tc>
        <w:tc>
          <w:tcPr>
            <w:tcW w:w="441" w:type="pct"/>
            <w:tcBorders>
              <w:top w:val="single" w:sz="12" w:space="0" w:color="002776"/>
              <w:left w:val="nil"/>
              <w:right w:val="nil"/>
            </w:tcBorders>
            <w:shd w:val="clear" w:color="auto" w:fill="auto"/>
          </w:tcPr>
          <w:p w:rsidR="005D1F2F" w:rsidRPr="00DA4CA5" w:rsidRDefault="005D1F2F" w:rsidP="005D1F2F">
            <w:pPr>
              <w:jc w:val="center"/>
              <w:rPr>
                <w:rFonts w:asciiTheme="minorHAnsi" w:hAnsiTheme="minorHAnsi"/>
                <w:sz w:val="20"/>
              </w:rPr>
            </w:pPr>
          </w:p>
        </w:tc>
        <w:tc>
          <w:tcPr>
            <w:tcW w:w="441" w:type="pct"/>
            <w:tcBorders>
              <w:top w:val="single" w:sz="12" w:space="0" w:color="002776"/>
              <w:left w:val="nil"/>
              <w:right w:val="nil"/>
            </w:tcBorders>
            <w:shd w:val="clear" w:color="auto" w:fill="auto"/>
          </w:tcPr>
          <w:p w:rsidR="005D1F2F" w:rsidRPr="00DA4CA5" w:rsidRDefault="005D1F2F" w:rsidP="005D1F2F">
            <w:pPr>
              <w:jc w:val="center"/>
              <w:rPr>
                <w:rFonts w:asciiTheme="minorHAnsi" w:hAnsiTheme="minorHAnsi"/>
                <w:sz w:val="20"/>
              </w:rPr>
            </w:pPr>
          </w:p>
        </w:tc>
        <w:tc>
          <w:tcPr>
            <w:tcW w:w="439" w:type="pct"/>
            <w:tcBorders>
              <w:top w:val="single" w:sz="12" w:space="0" w:color="002776"/>
              <w:left w:val="nil"/>
              <w:right w:val="nil"/>
            </w:tcBorders>
            <w:shd w:val="clear" w:color="auto" w:fill="auto"/>
          </w:tcPr>
          <w:p w:rsidR="005D1F2F" w:rsidRPr="00DA4CA5" w:rsidRDefault="005D1F2F" w:rsidP="005D1F2F">
            <w:pPr>
              <w:jc w:val="center"/>
              <w:rPr>
                <w:rFonts w:asciiTheme="minorHAnsi" w:hAnsiTheme="minorHAnsi"/>
                <w:sz w:val="20"/>
              </w:rPr>
            </w:pPr>
          </w:p>
        </w:tc>
        <w:tc>
          <w:tcPr>
            <w:tcW w:w="441" w:type="pct"/>
            <w:tcBorders>
              <w:top w:val="single" w:sz="12" w:space="0" w:color="002776"/>
              <w:left w:val="nil"/>
              <w:right w:val="nil"/>
            </w:tcBorders>
            <w:shd w:val="clear" w:color="auto" w:fill="auto"/>
          </w:tcPr>
          <w:p w:rsidR="005D1F2F" w:rsidRPr="00DA4CA5" w:rsidRDefault="005D1F2F" w:rsidP="005D1F2F">
            <w:pPr>
              <w:jc w:val="center"/>
              <w:rPr>
                <w:rFonts w:asciiTheme="minorHAnsi" w:hAnsiTheme="minorHAnsi"/>
                <w:sz w:val="20"/>
              </w:rPr>
            </w:pPr>
          </w:p>
        </w:tc>
        <w:tc>
          <w:tcPr>
            <w:tcW w:w="441" w:type="pct"/>
            <w:tcBorders>
              <w:top w:val="single" w:sz="12" w:space="0" w:color="002776"/>
              <w:left w:val="nil"/>
              <w:right w:val="nil"/>
            </w:tcBorders>
            <w:shd w:val="clear" w:color="auto" w:fill="auto"/>
          </w:tcPr>
          <w:p w:rsidR="005D1F2F" w:rsidRPr="00DA4CA5" w:rsidRDefault="005D1F2F" w:rsidP="005D1F2F">
            <w:pPr>
              <w:jc w:val="center"/>
              <w:rPr>
                <w:rFonts w:asciiTheme="minorHAnsi" w:hAnsiTheme="minorHAnsi"/>
                <w:sz w:val="20"/>
              </w:rPr>
            </w:pPr>
          </w:p>
        </w:tc>
        <w:tc>
          <w:tcPr>
            <w:tcW w:w="422" w:type="pct"/>
            <w:tcBorders>
              <w:top w:val="single" w:sz="12" w:space="0" w:color="002776"/>
              <w:left w:val="nil"/>
              <w:right w:val="nil"/>
            </w:tcBorders>
            <w:shd w:val="clear" w:color="auto" w:fill="auto"/>
            <w:vAlign w:val="center"/>
          </w:tcPr>
          <w:p w:rsidR="005D1F2F" w:rsidRPr="00DA4CA5" w:rsidRDefault="005D1F2F" w:rsidP="009B2FBE">
            <w:pPr>
              <w:jc w:val="center"/>
              <w:outlineLvl w:val="0"/>
              <w:rPr>
                <w:rFonts w:asciiTheme="minorHAnsi" w:hAnsiTheme="minorHAnsi"/>
                <w:b/>
                <w:color w:val="002776" w:themeColor="accent1"/>
                <w:sz w:val="18"/>
              </w:rPr>
            </w:pPr>
          </w:p>
        </w:tc>
      </w:tr>
      <w:tr w:rsidR="005D1F2F" w:rsidRPr="002861E2" w:rsidTr="00DA4CA5">
        <w:trPr>
          <w:gridAfter w:val="1"/>
          <w:wAfter w:w="10" w:type="pct"/>
          <w:trHeight w:val="255"/>
        </w:trPr>
        <w:tc>
          <w:tcPr>
            <w:tcW w:w="1046" w:type="pct"/>
            <w:tcBorders>
              <w:top w:val="nil"/>
              <w:left w:val="nil"/>
              <w:bottom w:val="nil"/>
              <w:right w:val="nil"/>
            </w:tcBorders>
            <w:shd w:val="clear" w:color="auto" w:fill="auto"/>
            <w:vAlign w:val="center"/>
            <w:hideMark/>
          </w:tcPr>
          <w:p w:rsidR="005D1F2F" w:rsidRPr="00444981" w:rsidRDefault="005D1F2F" w:rsidP="005D1F2F">
            <w:pPr>
              <w:ind w:left="108"/>
              <w:jc w:val="both"/>
              <w:outlineLvl w:val="0"/>
              <w:rPr>
                <w:rFonts w:asciiTheme="minorHAnsi" w:hAnsiTheme="minorHAnsi"/>
                <w:i/>
                <w:iCs/>
                <w:color w:val="000000"/>
                <w:sz w:val="20"/>
              </w:rPr>
            </w:pPr>
            <w:r>
              <w:rPr>
                <w:rFonts w:asciiTheme="minorHAnsi" w:hAnsiTheme="minorHAnsi"/>
                <w:i/>
                <w:iCs/>
                <w:color w:val="000000"/>
                <w:sz w:val="20"/>
              </w:rPr>
              <w:t>Productivity uplift</w:t>
            </w:r>
          </w:p>
        </w:tc>
        <w:tc>
          <w:tcPr>
            <w:tcW w:w="504"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68%</w:t>
            </w:r>
          </w:p>
        </w:tc>
        <w:tc>
          <w:tcPr>
            <w:tcW w:w="455"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70%</w:t>
            </w:r>
          </w:p>
        </w:tc>
        <w:tc>
          <w:tcPr>
            <w:tcW w:w="359"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71%</w:t>
            </w:r>
          </w:p>
        </w:tc>
        <w:tc>
          <w:tcPr>
            <w:tcW w:w="441"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88%</w:t>
            </w:r>
          </w:p>
        </w:tc>
        <w:tc>
          <w:tcPr>
            <w:tcW w:w="441"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88%</w:t>
            </w:r>
          </w:p>
        </w:tc>
        <w:tc>
          <w:tcPr>
            <w:tcW w:w="439"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85%</w:t>
            </w:r>
          </w:p>
        </w:tc>
        <w:tc>
          <w:tcPr>
            <w:tcW w:w="441"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86%</w:t>
            </w:r>
          </w:p>
        </w:tc>
        <w:tc>
          <w:tcPr>
            <w:tcW w:w="441"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88%</w:t>
            </w:r>
          </w:p>
        </w:tc>
        <w:tc>
          <w:tcPr>
            <w:tcW w:w="422" w:type="pct"/>
            <w:tcBorders>
              <w:top w:val="nil"/>
              <w:left w:val="nil"/>
              <w:bottom w:val="nil"/>
              <w:right w:val="nil"/>
            </w:tcBorders>
            <w:shd w:val="clear" w:color="auto" w:fill="auto"/>
            <w:vAlign w:val="center"/>
            <w:hideMark/>
          </w:tcPr>
          <w:p w:rsidR="005D1F2F" w:rsidRPr="00DA4CA5" w:rsidRDefault="005D1F2F" w:rsidP="005D1F2F">
            <w:pPr>
              <w:jc w:val="center"/>
              <w:outlineLvl w:val="0"/>
              <w:rPr>
                <w:rFonts w:asciiTheme="minorHAnsi" w:hAnsiTheme="minorHAnsi"/>
                <w:b/>
                <w:color w:val="002776" w:themeColor="accent1"/>
                <w:sz w:val="18"/>
              </w:rPr>
            </w:pPr>
            <w:r w:rsidRPr="00DA4CA5">
              <w:rPr>
                <w:rFonts w:asciiTheme="minorHAnsi" w:hAnsiTheme="minorHAnsi"/>
                <w:b/>
                <w:color w:val="002776" w:themeColor="accent1"/>
                <w:sz w:val="20"/>
              </w:rPr>
              <w:t>82</w:t>
            </w:r>
            <w:r w:rsidRPr="00DA4CA5">
              <w:rPr>
                <w:b/>
                <w:color w:val="002776" w:themeColor="accent1"/>
                <w:sz w:val="18"/>
              </w:rPr>
              <w:t>%</w:t>
            </w:r>
          </w:p>
        </w:tc>
      </w:tr>
      <w:tr w:rsidR="005D1F2F" w:rsidRPr="002861E2" w:rsidTr="00DA4CA5">
        <w:trPr>
          <w:gridAfter w:val="1"/>
          <w:wAfter w:w="10" w:type="pct"/>
          <w:trHeight w:val="255"/>
        </w:trPr>
        <w:tc>
          <w:tcPr>
            <w:tcW w:w="1046" w:type="pct"/>
            <w:tcBorders>
              <w:top w:val="nil"/>
              <w:left w:val="nil"/>
              <w:bottom w:val="single" w:sz="4" w:space="0" w:color="002776" w:themeColor="accent1"/>
              <w:right w:val="nil"/>
            </w:tcBorders>
            <w:shd w:val="clear" w:color="auto" w:fill="auto"/>
            <w:noWrap/>
            <w:vAlign w:val="bottom"/>
            <w:hideMark/>
          </w:tcPr>
          <w:p w:rsidR="005D1F2F" w:rsidRPr="00444981" w:rsidRDefault="005D1F2F" w:rsidP="005D1F2F">
            <w:pPr>
              <w:ind w:left="108"/>
              <w:outlineLvl w:val="0"/>
              <w:rPr>
                <w:rFonts w:asciiTheme="minorHAnsi" w:hAnsiTheme="minorHAnsi"/>
                <w:i/>
                <w:iCs/>
                <w:color w:val="000000"/>
                <w:sz w:val="20"/>
              </w:rPr>
            </w:pPr>
            <w:r>
              <w:rPr>
                <w:rFonts w:asciiTheme="minorHAnsi" w:hAnsiTheme="minorHAnsi"/>
                <w:i/>
                <w:iCs/>
                <w:color w:val="000000"/>
                <w:sz w:val="20"/>
              </w:rPr>
              <w:t xml:space="preserve">Relative scarcity </w:t>
            </w:r>
          </w:p>
        </w:tc>
        <w:tc>
          <w:tcPr>
            <w:tcW w:w="504"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32%</w:t>
            </w:r>
          </w:p>
        </w:tc>
        <w:tc>
          <w:tcPr>
            <w:tcW w:w="455"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30%</w:t>
            </w:r>
          </w:p>
        </w:tc>
        <w:tc>
          <w:tcPr>
            <w:tcW w:w="359"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29%</w:t>
            </w:r>
          </w:p>
        </w:tc>
        <w:tc>
          <w:tcPr>
            <w:tcW w:w="441"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12%</w:t>
            </w:r>
          </w:p>
        </w:tc>
        <w:tc>
          <w:tcPr>
            <w:tcW w:w="441"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12%</w:t>
            </w:r>
          </w:p>
        </w:tc>
        <w:tc>
          <w:tcPr>
            <w:tcW w:w="439"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15%</w:t>
            </w:r>
          </w:p>
        </w:tc>
        <w:tc>
          <w:tcPr>
            <w:tcW w:w="441"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14%</w:t>
            </w:r>
          </w:p>
        </w:tc>
        <w:tc>
          <w:tcPr>
            <w:tcW w:w="441"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12%</w:t>
            </w:r>
          </w:p>
        </w:tc>
        <w:tc>
          <w:tcPr>
            <w:tcW w:w="422"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outlineLvl w:val="0"/>
              <w:rPr>
                <w:rFonts w:asciiTheme="minorHAnsi" w:hAnsiTheme="minorHAnsi"/>
                <w:b/>
                <w:color w:val="002776" w:themeColor="accent1"/>
                <w:sz w:val="18"/>
              </w:rPr>
            </w:pPr>
            <w:r w:rsidRPr="00DA4CA5">
              <w:rPr>
                <w:rFonts w:asciiTheme="minorHAnsi" w:hAnsiTheme="minorHAnsi"/>
                <w:b/>
                <w:color w:val="002776" w:themeColor="accent1"/>
                <w:sz w:val="20"/>
              </w:rPr>
              <w:t>18</w:t>
            </w:r>
            <w:r w:rsidRPr="00DA4CA5">
              <w:rPr>
                <w:b/>
                <w:color w:val="002776" w:themeColor="accent1"/>
                <w:sz w:val="18"/>
              </w:rPr>
              <w:t>%</w:t>
            </w:r>
          </w:p>
        </w:tc>
      </w:tr>
      <w:tr w:rsidR="005D1F2F" w:rsidRPr="002861E2" w:rsidTr="00DA4CA5">
        <w:trPr>
          <w:gridAfter w:val="1"/>
          <w:wAfter w:w="10" w:type="pct"/>
          <w:trHeight w:val="270"/>
        </w:trPr>
        <w:tc>
          <w:tcPr>
            <w:tcW w:w="1046" w:type="pct"/>
            <w:tcBorders>
              <w:top w:val="single" w:sz="8" w:space="0" w:color="002776" w:themeColor="accent1"/>
              <w:left w:val="nil"/>
              <w:bottom w:val="nil"/>
              <w:right w:val="nil"/>
            </w:tcBorders>
            <w:shd w:val="clear" w:color="auto" w:fill="auto"/>
            <w:vAlign w:val="center"/>
          </w:tcPr>
          <w:p w:rsidR="005D1F2F" w:rsidRPr="00444981" w:rsidRDefault="005D1F2F" w:rsidP="005D1F2F">
            <w:pPr>
              <w:jc w:val="both"/>
              <w:outlineLvl w:val="0"/>
              <w:rPr>
                <w:rFonts w:asciiTheme="minorHAnsi" w:hAnsiTheme="minorHAnsi"/>
                <w:b/>
                <w:iCs/>
                <w:color w:val="000000"/>
                <w:sz w:val="20"/>
              </w:rPr>
            </w:pPr>
            <w:r w:rsidRPr="00444981">
              <w:rPr>
                <w:rFonts w:asciiTheme="minorHAnsi" w:hAnsiTheme="minorHAnsi"/>
                <w:b/>
                <w:iCs/>
                <w:color w:val="002776" w:themeColor="accent1"/>
                <w:sz w:val="20"/>
              </w:rPr>
              <w:t>Postgraduate level</w:t>
            </w:r>
          </w:p>
        </w:tc>
        <w:tc>
          <w:tcPr>
            <w:tcW w:w="504" w:type="pct"/>
            <w:tcBorders>
              <w:top w:val="single" w:sz="8" w:space="0" w:color="002776" w:themeColor="accent1"/>
              <w:left w:val="nil"/>
              <w:bottom w:val="nil"/>
              <w:right w:val="nil"/>
            </w:tcBorders>
            <w:shd w:val="clear" w:color="auto" w:fill="auto"/>
            <w:vAlign w:val="center"/>
          </w:tcPr>
          <w:p w:rsidR="005D1F2F" w:rsidRPr="00DA4CA5" w:rsidRDefault="005D1F2F" w:rsidP="005D1F2F">
            <w:pPr>
              <w:jc w:val="center"/>
              <w:outlineLvl w:val="0"/>
              <w:rPr>
                <w:color w:val="000000"/>
                <w:sz w:val="18"/>
              </w:rPr>
            </w:pPr>
          </w:p>
        </w:tc>
        <w:tc>
          <w:tcPr>
            <w:tcW w:w="455" w:type="pct"/>
            <w:tcBorders>
              <w:top w:val="single" w:sz="8" w:space="0" w:color="002776" w:themeColor="accent1"/>
              <w:left w:val="nil"/>
              <w:bottom w:val="nil"/>
              <w:right w:val="nil"/>
            </w:tcBorders>
            <w:shd w:val="clear" w:color="auto" w:fill="auto"/>
            <w:vAlign w:val="center"/>
          </w:tcPr>
          <w:p w:rsidR="005D1F2F" w:rsidRPr="00DA4CA5" w:rsidRDefault="005D1F2F" w:rsidP="005D1F2F">
            <w:pPr>
              <w:jc w:val="center"/>
              <w:outlineLvl w:val="0"/>
              <w:rPr>
                <w:color w:val="000000"/>
                <w:sz w:val="18"/>
              </w:rPr>
            </w:pPr>
          </w:p>
        </w:tc>
        <w:tc>
          <w:tcPr>
            <w:tcW w:w="359" w:type="pct"/>
            <w:tcBorders>
              <w:top w:val="single" w:sz="8" w:space="0" w:color="002776" w:themeColor="accent1"/>
              <w:left w:val="nil"/>
              <w:bottom w:val="nil"/>
              <w:right w:val="nil"/>
            </w:tcBorders>
            <w:shd w:val="clear" w:color="auto" w:fill="auto"/>
            <w:vAlign w:val="center"/>
          </w:tcPr>
          <w:p w:rsidR="005D1F2F" w:rsidRPr="00DA4CA5" w:rsidRDefault="005D1F2F" w:rsidP="005D1F2F">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5D1F2F" w:rsidRPr="00DA4CA5" w:rsidRDefault="005D1F2F" w:rsidP="005D1F2F">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5D1F2F" w:rsidRPr="00DA4CA5" w:rsidRDefault="005D1F2F" w:rsidP="005D1F2F">
            <w:pPr>
              <w:jc w:val="center"/>
              <w:outlineLvl w:val="0"/>
              <w:rPr>
                <w:color w:val="000000"/>
                <w:sz w:val="18"/>
              </w:rPr>
            </w:pPr>
          </w:p>
        </w:tc>
        <w:tc>
          <w:tcPr>
            <w:tcW w:w="439" w:type="pct"/>
            <w:tcBorders>
              <w:top w:val="single" w:sz="8" w:space="0" w:color="002776" w:themeColor="accent1"/>
              <w:left w:val="nil"/>
              <w:bottom w:val="nil"/>
              <w:right w:val="nil"/>
            </w:tcBorders>
            <w:shd w:val="clear" w:color="auto" w:fill="auto"/>
            <w:vAlign w:val="center"/>
          </w:tcPr>
          <w:p w:rsidR="005D1F2F" w:rsidRPr="00DA4CA5" w:rsidRDefault="005D1F2F" w:rsidP="005D1F2F">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5D1F2F" w:rsidRPr="00DA4CA5" w:rsidRDefault="005D1F2F" w:rsidP="005D1F2F">
            <w:pPr>
              <w:jc w:val="center"/>
              <w:outlineLvl w:val="0"/>
              <w:rPr>
                <w:color w:val="000000"/>
                <w:sz w:val="18"/>
              </w:rPr>
            </w:pPr>
          </w:p>
        </w:tc>
        <w:tc>
          <w:tcPr>
            <w:tcW w:w="441" w:type="pct"/>
            <w:tcBorders>
              <w:top w:val="single" w:sz="8" w:space="0" w:color="002776" w:themeColor="accent1"/>
              <w:left w:val="nil"/>
              <w:bottom w:val="nil"/>
              <w:right w:val="nil"/>
            </w:tcBorders>
            <w:shd w:val="clear" w:color="auto" w:fill="auto"/>
            <w:vAlign w:val="center"/>
          </w:tcPr>
          <w:p w:rsidR="005D1F2F" w:rsidRPr="00DA4CA5" w:rsidRDefault="005D1F2F" w:rsidP="005D1F2F">
            <w:pPr>
              <w:jc w:val="center"/>
              <w:outlineLvl w:val="0"/>
              <w:rPr>
                <w:color w:val="000000"/>
                <w:sz w:val="18"/>
              </w:rPr>
            </w:pPr>
          </w:p>
        </w:tc>
        <w:tc>
          <w:tcPr>
            <w:tcW w:w="422" w:type="pct"/>
            <w:tcBorders>
              <w:top w:val="single" w:sz="8" w:space="0" w:color="002776" w:themeColor="accent1"/>
              <w:left w:val="nil"/>
              <w:bottom w:val="nil"/>
              <w:right w:val="nil"/>
            </w:tcBorders>
            <w:shd w:val="clear" w:color="auto" w:fill="auto"/>
            <w:vAlign w:val="center"/>
          </w:tcPr>
          <w:p w:rsidR="005D1F2F" w:rsidRPr="00DA4CA5" w:rsidRDefault="005D1F2F" w:rsidP="009B2FBE">
            <w:pPr>
              <w:jc w:val="center"/>
              <w:outlineLvl w:val="0"/>
              <w:rPr>
                <w:b/>
                <w:color w:val="002776" w:themeColor="accent1"/>
                <w:sz w:val="18"/>
              </w:rPr>
            </w:pPr>
          </w:p>
        </w:tc>
      </w:tr>
      <w:tr w:rsidR="005D1F2F" w:rsidRPr="00444981" w:rsidTr="00DA4CA5">
        <w:trPr>
          <w:trHeight w:val="255"/>
        </w:trPr>
        <w:tc>
          <w:tcPr>
            <w:tcW w:w="1046" w:type="pct"/>
            <w:tcBorders>
              <w:top w:val="nil"/>
              <w:left w:val="nil"/>
              <w:bottom w:val="nil"/>
              <w:right w:val="nil"/>
            </w:tcBorders>
            <w:shd w:val="clear" w:color="auto" w:fill="auto"/>
            <w:vAlign w:val="center"/>
            <w:hideMark/>
          </w:tcPr>
          <w:p w:rsidR="005D1F2F" w:rsidRPr="00444981" w:rsidRDefault="005D1F2F" w:rsidP="005D1F2F">
            <w:pPr>
              <w:ind w:left="108"/>
              <w:jc w:val="both"/>
              <w:outlineLvl w:val="0"/>
              <w:rPr>
                <w:rFonts w:asciiTheme="minorHAnsi" w:hAnsiTheme="minorHAnsi"/>
                <w:i/>
                <w:iCs/>
                <w:color w:val="000000"/>
                <w:sz w:val="20"/>
              </w:rPr>
            </w:pPr>
            <w:r>
              <w:rPr>
                <w:rFonts w:asciiTheme="minorHAnsi" w:hAnsiTheme="minorHAnsi"/>
                <w:i/>
                <w:iCs/>
                <w:color w:val="000000"/>
                <w:sz w:val="20"/>
              </w:rPr>
              <w:t>Productivity uplift</w:t>
            </w:r>
          </w:p>
        </w:tc>
        <w:tc>
          <w:tcPr>
            <w:tcW w:w="504"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67%</w:t>
            </w:r>
          </w:p>
        </w:tc>
        <w:tc>
          <w:tcPr>
            <w:tcW w:w="455"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67%</w:t>
            </w:r>
          </w:p>
        </w:tc>
        <w:tc>
          <w:tcPr>
            <w:tcW w:w="359" w:type="pct"/>
            <w:tcBorders>
              <w:top w:val="nil"/>
              <w:left w:val="nil"/>
              <w:bottom w:val="nil"/>
              <w:right w:val="nil"/>
            </w:tcBorders>
            <w:shd w:val="clear" w:color="auto" w:fill="auto"/>
            <w:vAlign w:val="center"/>
            <w:hideMark/>
          </w:tcPr>
          <w:p w:rsidR="005D1F2F" w:rsidRPr="00DA4CA5" w:rsidRDefault="00977C78" w:rsidP="005D1F2F">
            <w:pPr>
              <w:jc w:val="center"/>
              <w:rPr>
                <w:rFonts w:asciiTheme="minorHAnsi" w:hAnsiTheme="minorHAnsi"/>
                <w:sz w:val="20"/>
              </w:rPr>
            </w:pPr>
            <w:r w:rsidRPr="00DA4CA5">
              <w:rPr>
                <w:rFonts w:asciiTheme="minorHAnsi" w:hAnsiTheme="minorHAnsi"/>
                <w:color w:val="000000"/>
                <w:sz w:val="20"/>
              </w:rPr>
              <w:t>66</w:t>
            </w:r>
            <w:r w:rsidR="005D1F2F" w:rsidRPr="00DA4CA5">
              <w:rPr>
                <w:rFonts w:asciiTheme="minorHAnsi" w:hAnsiTheme="minorHAnsi"/>
                <w:color w:val="000000"/>
                <w:sz w:val="20"/>
              </w:rPr>
              <w:t>%</w:t>
            </w:r>
          </w:p>
        </w:tc>
        <w:tc>
          <w:tcPr>
            <w:tcW w:w="441"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76%</w:t>
            </w:r>
          </w:p>
        </w:tc>
        <w:tc>
          <w:tcPr>
            <w:tcW w:w="441"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76%</w:t>
            </w:r>
          </w:p>
        </w:tc>
        <w:tc>
          <w:tcPr>
            <w:tcW w:w="439"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67%</w:t>
            </w:r>
          </w:p>
        </w:tc>
        <w:tc>
          <w:tcPr>
            <w:tcW w:w="441"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69%</w:t>
            </w:r>
          </w:p>
        </w:tc>
        <w:tc>
          <w:tcPr>
            <w:tcW w:w="441" w:type="pct"/>
            <w:tcBorders>
              <w:top w:val="nil"/>
              <w:left w:val="nil"/>
              <w:bottom w:val="nil"/>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74%</w:t>
            </w:r>
          </w:p>
        </w:tc>
        <w:tc>
          <w:tcPr>
            <w:tcW w:w="432" w:type="pct"/>
            <w:gridSpan w:val="2"/>
            <w:tcBorders>
              <w:top w:val="nil"/>
              <w:left w:val="nil"/>
              <w:bottom w:val="nil"/>
              <w:right w:val="nil"/>
            </w:tcBorders>
            <w:shd w:val="clear" w:color="auto" w:fill="auto"/>
            <w:vAlign w:val="center"/>
            <w:hideMark/>
          </w:tcPr>
          <w:p w:rsidR="005D1F2F" w:rsidRPr="00DA4CA5" w:rsidRDefault="005D1F2F" w:rsidP="005D1F2F">
            <w:pPr>
              <w:jc w:val="center"/>
              <w:outlineLvl w:val="0"/>
              <w:rPr>
                <w:rFonts w:asciiTheme="minorHAnsi" w:hAnsiTheme="minorHAnsi"/>
                <w:b/>
                <w:color w:val="002776" w:themeColor="accent1"/>
                <w:sz w:val="18"/>
              </w:rPr>
            </w:pPr>
            <w:r w:rsidRPr="00DA4CA5">
              <w:rPr>
                <w:rFonts w:asciiTheme="minorHAnsi" w:hAnsiTheme="minorHAnsi"/>
                <w:b/>
                <w:color w:val="002776" w:themeColor="accent1"/>
                <w:sz w:val="20"/>
              </w:rPr>
              <w:t>71</w:t>
            </w:r>
            <w:r w:rsidRPr="00DA4CA5">
              <w:rPr>
                <w:b/>
                <w:color w:val="002776" w:themeColor="accent1"/>
                <w:sz w:val="18"/>
              </w:rPr>
              <w:t>%</w:t>
            </w:r>
          </w:p>
        </w:tc>
      </w:tr>
      <w:tr w:rsidR="005D1F2F" w:rsidRPr="00444981" w:rsidTr="00DA4CA5">
        <w:trPr>
          <w:trHeight w:val="255"/>
        </w:trPr>
        <w:tc>
          <w:tcPr>
            <w:tcW w:w="1046" w:type="pct"/>
            <w:tcBorders>
              <w:top w:val="nil"/>
              <w:left w:val="nil"/>
              <w:bottom w:val="single" w:sz="4" w:space="0" w:color="002776" w:themeColor="accent1"/>
              <w:right w:val="nil"/>
            </w:tcBorders>
            <w:shd w:val="clear" w:color="auto" w:fill="auto"/>
            <w:noWrap/>
            <w:vAlign w:val="bottom"/>
            <w:hideMark/>
          </w:tcPr>
          <w:p w:rsidR="005D1F2F" w:rsidRPr="00444981" w:rsidRDefault="005D1F2F" w:rsidP="005D1F2F">
            <w:pPr>
              <w:ind w:left="108"/>
              <w:outlineLvl w:val="0"/>
              <w:rPr>
                <w:rFonts w:asciiTheme="minorHAnsi" w:hAnsiTheme="minorHAnsi"/>
                <w:i/>
                <w:iCs/>
                <w:color w:val="000000"/>
                <w:sz w:val="20"/>
              </w:rPr>
            </w:pPr>
            <w:r>
              <w:rPr>
                <w:rFonts w:asciiTheme="minorHAnsi" w:hAnsiTheme="minorHAnsi"/>
                <w:i/>
                <w:iCs/>
                <w:color w:val="000000"/>
                <w:sz w:val="20"/>
              </w:rPr>
              <w:t xml:space="preserve">Relative scarcity </w:t>
            </w:r>
          </w:p>
        </w:tc>
        <w:tc>
          <w:tcPr>
            <w:tcW w:w="504"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33%</w:t>
            </w:r>
          </w:p>
        </w:tc>
        <w:tc>
          <w:tcPr>
            <w:tcW w:w="455"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33%</w:t>
            </w:r>
          </w:p>
        </w:tc>
        <w:tc>
          <w:tcPr>
            <w:tcW w:w="359" w:type="pct"/>
            <w:tcBorders>
              <w:top w:val="nil"/>
              <w:left w:val="nil"/>
              <w:bottom w:val="single" w:sz="4" w:space="0" w:color="002776" w:themeColor="accent1"/>
              <w:right w:val="nil"/>
            </w:tcBorders>
            <w:shd w:val="clear" w:color="auto" w:fill="auto"/>
            <w:vAlign w:val="center"/>
            <w:hideMark/>
          </w:tcPr>
          <w:p w:rsidR="005D1F2F" w:rsidRPr="00DA4CA5" w:rsidRDefault="00977C78" w:rsidP="005D1F2F">
            <w:pPr>
              <w:jc w:val="center"/>
              <w:rPr>
                <w:rFonts w:asciiTheme="minorHAnsi" w:hAnsiTheme="minorHAnsi"/>
                <w:sz w:val="20"/>
              </w:rPr>
            </w:pPr>
            <w:r w:rsidRPr="00DA4CA5">
              <w:rPr>
                <w:rFonts w:asciiTheme="minorHAnsi" w:hAnsiTheme="minorHAnsi"/>
                <w:color w:val="000000"/>
                <w:sz w:val="20"/>
              </w:rPr>
              <w:t>34</w:t>
            </w:r>
            <w:r w:rsidR="005D1F2F" w:rsidRPr="00DA4CA5">
              <w:rPr>
                <w:rFonts w:asciiTheme="minorHAnsi" w:hAnsiTheme="minorHAnsi"/>
                <w:color w:val="000000"/>
                <w:sz w:val="20"/>
              </w:rPr>
              <w:t>%</w:t>
            </w:r>
          </w:p>
        </w:tc>
        <w:tc>
          <w:tcPr>
            <w:tcW w:w="441"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24%</w:t>
            </w:r>
          </w:p>
        </w:tc>
        <w:tc>
          <w:tcPr>
            <w:tcW w:w="441"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24%</w:t>
            </w:r>
          </w:p>
        </w:tc>
        <w:tc>
          <w:tcPr>
            <w:tcW w:w="439"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33%</w:t>
            </w:r>
          </w:p>
        </w:tc>
        <w:tc>
          <w:tcPr>
            <w:tcW w:w="441"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31%</w:t>
            </w:r>
          </w:p>
        </w:tc>
        <w:tc>
          <w:tcPr>
            <w:tcW w:w="441" w:type="pct"/>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rPr>
                <w:rFonts w:asciiTheme="minorHAnsi" w:hAnsiTheme="minorHAnsi"/>
                <w:sz w:val="20"/>
              </w:rPr>
            </w:pPr>
            <w:r w:rsidRPr="00DA4CA5">
              <w:rPr>
                <w:rFonts w:asciiTheme="minorHAnsi" w:hAnsiTheme="minorHAnsi"/>
                <w:color w:val="000000"/>
                <w:sz w:val="20"/>
              </w:rPr>
              <w:t>26%</w:t>
            </w:r>
          </w:p>
        </w:tc>
        <w:tc>
          <w:tcPr>
            <w:tcW w:w="432" w:type="pct"/>
            <w:gridSpan w:val="2"/>
            <w:tcBorders>
              <w:top w:val="nil"/>
              <w:left w:val="nil"/>
              <w:bottom w:val="single" w:sz="4" w:space="0" w:color="002776" w:themeColor="accent1"/>
              <w:right w:val="nil"/>
            </w:tcBorders>
            <w:shd w:val="clear" w:color="auto" w:fill="auto"/>
            <w:vAlign w:val="center"/>
            <w:hideMark/>
          </w:tcPr>
          <w:p w:rsidR="005D1F2F" w:rsidRPr="00DA4CA5" w:rsidRDefault="005D1F2F" w:rsidP="005D1F2F">
            <w:pPr>
              <w:jc w:val="center"/>
              <w:outlineLvl w:val="0"/>
              <w:rPr>
                <w:rFonts w:asciiTheme="minorHAnsi" w:hAnsiTheme="minorHAnsi"/>
                <w:b/>
                <w:color w:val="002776" w:themeColor="accent1"/>
                <w:sz w:val="18"/>
              </w:rPr>
            </w:pPr>
            <w:r w:rsidRPr="00DA4CA5">
              <w:rPr>
                <w:rFonts w:asciiTheme="minorHAnsi" w:hAnsiTheme="minorHAnsi"/>
                <w:b/>
                <w:color w:val="002776" w:themeColor="accent1"/>
                <w:sz w:val="20"/>
              </w:rPr>
              <w:t>29</w:t>
            </w:r>
            <w:r w:rsidRPr="00DA4CA5">
              <w:rPr>
                <w:b/>
                <w:color w:val="002776" w:themeColor="accent1"/>
                <w:sz w:val="18"/>
              </w:rPr>
              <w:t>%</w:t>
            </w:r>
          </w:p>
        </w:tc>
      </w:tr>
    </w:tbl>
    <w:p w:rsidR="009C6C96" w:rsidRPr="004D09A3" w:rsidRDefault="00EF3617" w:rsidP="005D1F2F">
      <w:pPr>
        <w:pStyle w:val="Source"/>
      </w:pPr>
      <w:r w:rsidRPr="00444981">
        <w:t xml:space="preserve">Source: Deloitte Access </w:t>
      </w:r>
      <w:r w:rsidRPr="004D09A3">
        <w:t xml:space="preserve">Economics RGEM CGE model, HILDA Survey, ABS Census (2011). Shares use </w:t>
      </w:r>
      <w:r w:rsidR="004D5625" w:rsidRPr="004D09A3">
        <w:t>NPV calculations at the 7% rate</w:t>
      </w:r>
    </w:p>
    <w:p w:rsidR="0087366B" w:rsidRPr="004D09A3" w:rsidRDefault="0087366B" w:rsidP="0087366B">
      <w:pPr>
        <w:pStyle w:val="Heading3"/>
        <w:numPr>
          <w:ilvl w:val="2"/>
          <w:numId w:val="41"/>
        </w:numPr>
        <w:rPr>
          <w:lang w:eastAsia="en-AU"/>
        </w:rPr>
      </w:pPr>
      <w:bookmarkStart w:id="182" w:name="_Ref461088734"/>
      <w:r w:rsidRPr="004D09A3">
        <w:rPr>
          <w:lang w:eastAsia="en-AU"/>
        </w:rPr>
        <w:t>Sensitivity analysis</w:t>
      </w:r>
      <w:bookmarkEnd w:id="182"/>
    </w:p>
    <w:p w:rsidR="0002225C" w:rsidRDefault="0002225C" w:rsidP="0002225C">
      <w:pPr>
        <w:pStyle w:val="BodyText"/>
        <w:rPr>
          <w:lang w:eastAsia="en-AU"/>
        </w:rPr>
      </w:pPr>
      <w:r w:rsidRPr="004D09A3">
        <w:rPr>
          <w:lang w:eastAsia="en-AU"/>
        </w:rPr>
        <w:t>In addition to the main scenarios considered for the combination of postgraduate and bachelor level disciplines</w:t>
      </w:r>
      <w:r>
        <w:rPr>
          <w:lang w:eastAsia="en-AU"/>
        </w:rPr>
        <w:t>, a number of additional sensitivities have been modelled</w:t>
      </w:r>
      <w:r w:rsidR="00335004">
        <w:rPr>
          <w:lang w:eastAsia="en-AU"/>
        </w:rPr>
        <w:t xml:space="preserve">. </w:t>
      </w:r>
      <w:r>
        <w:rPr>
          <w:lang w:eastAsia="en-AU"/>
        </w:rPr>
        <w:t xml:space="preserve"> </w:t>
      </w:r>
      <w:r w:rsidR="00335004">
        <w:rPr>
          <w:lang w:eastAsia="en-AU"/>
        </w:rPr>
        <w:t xml:space="preserve">These </w:t>
      </w:r>
      <w:r>
        <w:rPr>
          <w:lang w:eastAsia="en-AU"/>
        </w:rPr>
        <w:t xml:space="preserve">demonstrate how </w:t>
      </w:r>
      <w:r w:rsidR="00977C78">
        <w:rPr>
          <w:lang w:eastAsia="en-AU"/>
        </w:rPr>
        <w:t xml:space="preserve">uncertainty </w:t>
      </w:r>
      <w:r w:rsidR="00335004">
        <w:rPr>
          <w:lang w:eastAsia="en-AU"/>
        </w:rPr>
        <w:t>of existing relationships in the economy</w:t>
      </w:r>
      <w:r w:rsidR="00977C78">
        <w:rPr>
          <w:lang w:eastAsia="en-AU"/>
        </w:rPr>
        <w:t xml:space="preserve">, or </w:t>
      </w:r>
      <w:r>
        <w:rPr>
          <w:lang w:eastAsia="en-AU"/>
        </w:rPr>
        <w:t xml:space="preserve">changes </w:t>
      </w:r>
      <w:r w:rsidR="00977C78">
        <w:rPr>
          <w:lang w:eastAsia="en-AU"/>
        </w:rPr>
        <w:t>to</w:t>
      </w:r>
      <w:r>
        <w:rPr>
          <w:lang w:eastAsia="en-AU"/>
        </w:rPr>
        <w:t xml:space="preserve"> the fundamental structure of the economy</w:t>
      </w:r>
      <w:r w:rsidR="00335004">
        <w:rPr>
          <w:lang w:eastAsia="en-AU"/>
        </w:rPr>
        <w:t>,</w:t>
      </w:r>
      <w:r>
        <w:rPr>
          <w:lang w:eastAsia="en-AU"/>
        </w:rPr>
        <w:t xml:space="preserve"> could affect the public-private split of benefits</w:t>
      </w:r>
      <w:r w:rsidR="00335004">
        <w:rPr>
          <w:lang w:eastAsia="en-AU"/>
        </w:rPr>
        <w:t xml:space="preserve"> to higher education</w:t>
      </w:r>
      <w:r>
        <w:rPr>
          <w:lang w:eastAsia="en-AU"/>
        </w:rPr>
        <w:t xml:space="preserve">. </w:t>
      </w:r>
    </w:p>
    <w:p w:rsidR="0002225C" w:rsidRDefault="00977C78" w:rsidP="0002225C">
      <w:pPr>
        <w:pStyle w:val="BodyText"/>
        <w:rPr>
          <w:lang w:eastAsia="en-AU"/>
        </w:rPr>
      </w:pPr>
      <w:r>
        <w:rPr>
          <w:lang w:eastAsia="en-AU"/>
        </w:rPr>
        <w:t xml:space="preserve">Three graduate </w:t>
      </w:r>
      <w:r w:rsidR="00C222B8">
        <w:rPr>
          <w:lang w:eastAsia="en-AU"/>
        </w:rPr>
        <w:t>disciplines</w:t>
      </w:r>
      <w:r>
        <w:rPr>
          <w:lang w:eastAsia="en-AU"/>
        </w:rPr>
        <w:t xml:space="preserve"> have been considered – bachelor level education, engineering and business</w:t>
      </w:r>
      <w:r w:rsidR="00093E5B">
        <w:rPr>
          <w:lang w:eastAsia="en-AU"/>
        </w:rPr>
        <w:t xml:space="preserve">. </w:t>
      </w:r>
      <w:r w:rsidR="0002225C">
        <w:rPr>
          <w:lang w:eastAsia="en-AU"/>
        </w:rPr>
        <w:t>In particular, the following sensitivities have been examined:</w:t>
      </w:r>
    </w:p>
    <w:p w:rsidR="0002225C" w:rsidRPr="00BB418B" w:rsidRDefault="0002225C" w:rsidP="0002225C">
      <w:pPr>
        <w:pStyle w:val="Bullet1"/>
        <w:rPr>
          <w:b/>
        </w:rPr>
      </w:pPr>
      <w:r w:rsidRPr="00BB418B">
        <w:rPr>
          <w:b/>
          <w:color w:val="002776" w:themeColor="accent1"/>
        </w:rPr>
        <w:t>Increasing the unemployment rate:</w:t>
      </w:r>
      <w:r w:rsidRPr="00BB418B">
        <w:rPr>
          <w:b/>
        </w:rPr>
        <w:t xml:space="preserve"> </w:t>
      </w:r>
      <w:r>
        <w:t xml:space="preserve">a share of benefits </w:t>
      </w:r>
      <w:r w:rsidR="00C222B8">
        <w:t>derived</w:t>
      </w:r>
      <w:r>
        <w:t xml:space="preserve"> from higher education is attributable </w:t>
      </w:r>
      <w:r w:rsidR="00C222B8">
        <w:t>to</w:t>
      </w:r>
      <w:r>
        <w:t xml:space="preserve"> the lower unemployment rates for </w:t>
      </w:r>
      <w:r w:rsidR="00977C78">
        <w:t xml:space="preserve">higher education </w:t>
      </w:r>
      <w:r>
        <w:t>graduates</w:t>
      </w:r>
      <w:r w:rsidRPr="00DA4CA5">
        <w:rPr>
          <w:b/>
        </w:rPr>
        <w:t xml:space="preserve"> </w:t>
      </w:r>
      <w:r>
        <w:t xml:space="preserve">relative to </w:t>
      </w:r>
      <w:r w:rsidR="00977C78">
        <w:t xml:space="preserve">individuals with </w:t>
      </w:r>
      <w:r w:rsidR="00977C78" w:rsidRPr="004946FF">
        <w:t>no</w:t>
      </w:r>
      <w:r w:rsidR="00977C78">
        <w:t xml:space="preserve"> post</w:t>
      </w:r>
      <w:r w:rsidR="00977C78" w:rsidRPr="004946FF">
        <w:t>-</w:t>
      </w:r>
      <w:r>
        <w:t xml:space="preserve">school </w:t>
      </w:r>
      <w:r w:rsidR="00977C78" w:rsidRPr="004946FF">
        <w:t>qualification</w:t>
      </w:r>
      <w:r w:rsidR="00C222B8">
        <w:t>.</w:t>
      </w:r>
      <w:r>
        <w:t xml:space="preserve"> A stylised example considers the effect of increasing the baseline unemployment rate for bachelor education graduates </w:t>
      </w:r>
      <w:r w:rsidR="00977C78">
        <w:t>by 50% during</w:t>
      </w:r>
      <w:r>
        <w:t xml:space="preserve"> the </w:t>
      </w:r>
      <w:r w:rsidR="00977C78">
        <w:t>first five years of their working life</w:t>
      </w:r>
      <w:r>
        <w:t>.</w:t>
      </w:r>
    </w:p>
    <w:p w:rsidR="005D4D54" w:rsidRPr="00BB418B" w:rsidRDefault="0002225C" w:rsidP="006B1772">
      <w:pPr>
        <w:pStyle w:val="Bullet1"/>
        <w:rPr>
          <w:b/>
        </w:rPr>
      </w:pPr>
      <w:r>
        <w:rPr>
          <w:b/>
          <w:color w:val="002776" w:themeColor="accent1"/>
        </w:rPr>
        <w:t xml:space="preserve">Increasing the </w:t>
      </w:r>
      <w:r w:rsidR="005D4D54">
        <w:rPr>
          <w:b/>
          <w:color w:val="002776" w:themeColor="accent1"/>
        </w:rPr>
        <w:t xml:space="preserve">substitutability </w:t>
      </w:r>
      <w:r w:rsidR="007F636E">
        <w:rPr>
          <w:b/>
          <w:color w:val="002776" w:themeColor="accent1"/>
        </w:rPr>
        <w:t>between</w:t>
      </w:r>
      <w:r w:rsidR="005D4D54">
        <w:rPr>
          <w:b/>
          <w:color w:val="002776" w:themeColor="accent1"/>
        </w:rPr>
        <w:t xml:space="preserve"> skills</w:t>
      </w:r>
      <w:r w:rsidR="007F636E">
        <w:rPr>
          <w:b/>
          <w:color w:val="002776" w:themeColor="accent1"/>
        </w:rPr>
        <w:t xml:space="preserve"> and the primary factors of production</w:t>
      </w:r>
      <w:r w:rsidR="00D220DF">
        <w:rPr>
          <w:rStyle w:val="FootnoteReference"/>
          <w:b/>
          <w:color w:val="002776" w:themeColor="accent1"/>
        </w:rPr>
        <w:footnoteReference w:id="42"/>
      </w:r>
      <w:r w:rsidR="007F636E">
        <w:rPr>
          <w:b/>
          <w:color w:val="002776" w:themeColor="accent1"/>
        </w:rPr>
        <w:t xml:space="preserve">: </w:t>
      </w:r>
      <w:r w:rsidR="006B1772">
        <w:t>these parameters govern the ease with which skills can move between the sectors, and the ease with which industry can alter demand for the factors of production</w:t>
      </w:r>
      <w:r w:rsidR="00C222B8">
        <w:t xml:space="preserve"> (e.g. change capital for labour)</w:t>
      </w:r>
      <w:r w:rsidR="006B1772">
        <w:t xml:space="preserve">. </w:t>
      </w:r>
      <w:r w:rsidR="00977C78">
        <w:t>Given uncertainty over the true values of the parameters, upper and lower bounds have been tested</w:t>
      </w:r>
      <w:r w:rsidR="00093E5B">
        <w:t xml:space="preserve">. </w:t>
      </w:r>
    </w:p>
    <w:p w:rsidR="007F636E" w:rsidRPr="00BB418B" w:rsidRDefault="007F636E" w:rsidP="0002225C">
      <w:pPr>
        <w:pStyle w:val="Bullet1"/>
        <w:rPr>
          <w:b/>
        </w:rPr>
      </w:pPr>
      <w:r>
        <w:rPr>
          <w:b/>
          <w:color w:val="002776" w:themeColor="accent1"/>
        </w:rPr>
        <w:t xml:space="preserve">Decreasing the significance of the mining sector: </w:t>
      </w:r>
      <w:r w:rsidRPr="00BB418B">
        <w:t>as the</w:t>
      </w:r>
      <w:r w:rsidRPr="00BB418B">
        <w:rPr>
          <w:b/>
        </w:rPr>
        <w:t xml:space="preserve"> </w:t>
      </w:r>
      <w:r w:rsidRPr="00BB418B">
        <w:t>industr</w:t>
      </w:r>
      <w:r>
        <w:t>ial share of the standard CGE model is largely constant through time, it may not be reflective of the current and future Australian economy. A stylised example considers the effect of halving the mining sector’s significance in the economy – from 10% of output in 2011 to 5% of output by 2030 – on the benefits on engineering</w:t>
      </w:r>
      <w:r w:rsidR="00E01D1A">
        <w:t xml:space="preserve"> (only)</w:t>
      </w:r>
      <w:r>
        <w:t xml:space="preserve"> undergraduates. </w:t>
      </w:r>
    </w:p>
    <w:p w:rsidR="009248F6" w:rsidRPr="00DA4CA5" w:rsidRDefault="007F636E" w:rsidP="009248F6">
      <w:pPr>
        <w:pStyle w:val="BodyText"/>
      </w:pPr>
      <w:r w:rsidRPr="006B1772">
        <w:t>The effect of the</w:t>
      </w:r>
      <w:r w:rsidR="00977C78" w:rsidRPr="006B1772">
        <w:t xml:space="preserve"> </w:t>
      </w:r>
      <w:r w:rsidRPr="006B1772">
        <w:t xml:space="preserve">sensitivities </w:t>
      </w:r>
      <w:r>
        <w:t>on the split of private-public</w:t>
      </w:r>
      <w:r w:rsidR="006B1772">
        <w:t xml:space="preserve"> benefits are summarised in </w:t>
      </w:r>
      <w:r w:rsidR="006B1772">
        <w:fldChar w:fldCharType="begin"/>
      </w:r>
      <w:r w:rsidR="006B1772">
        <w:instrText xml:space="preserve"> REF _Ref460404652 \r \h </w:instrText>
      </w:r>
      <w:r w:rsidR="006B1772">
        <w:fldChar w:fldCharType="separate"/>
      </w:r>
      <w:r w:rsidR="00534F9F">
        <w:t>Chart 5.5</w:t>
      </w:r>
      <w:r w:rsidR="006B1772">
        <w:fldChar w:fldCharType="end"/>
      </w:r>
      <w:r>
        <w:t>.</w:t>
      </w:r>
      <w:r w:rsidR="006B1772">
        <w:t xml:space="preserve"> The results are given as </w:t>
      </w:r>
      <w:r w:rsidR="00093E5B">
        <w:t>percent</w:t>
      </w:r>
      <w:r w:rsidR="006B1772">
        <w:t xml:space="preserve">age point deviations in the private share of </w:t>
      </w:r>
      <w:r w:rsidR="00BB0104">
        <w:t>benefits</w:t>
      </w:r>
      <w:r w:rsidR="00506FDE">
        <w:t>,</w:t>
      </w:r>
      <w:r w:rsidR="00BB0104">
        <w:t xml:space="preserve"> </w:t>
      </w:r>
      <w:r w:rsidR="00506FDE">
        <w:t xml:space="preserve">for </w:t>
      </w:r>
      <w:r w:rsidR="00BB0104">
        <w:t>given a change in the sensitivity parameters</w:t>
      </w:r>
      <w:r w:rsidR="00BB0104" w:rsidRPr="00DA4CA5">
        <w:t xml:space="preserve">. </w:t>
      </w:r>
      <w:r w:rsidR="00977C78">
        <w:t xml:space="preserve">A </w:t>
      </w:r>
      <w:r w:rsidR="00977C78" w:rsidRPr="004946FF">
        <w:t>full</w:t>
      </w:r>
      <w:r w:rsidR="00977C78">
        <w:t xml:space="preserve"> description of all sensitivities and results is given in Appendix D.</w:t>
      </w:r>
    </w:p>
    <w:p w:rsidR="00977C78" w:rsidRPr="009C0EF1" w:rsidRDefault="00977C78" w:rsidP="00977C78">
      <w:pPr>
        <w:pStyle w:val="BodyText"/>
      </w:pPr>
      <w:r w:rsidRPr="009C0EF1">
        <w:lastRenderedPageBreak/>
        <w:t xml:space="preserve">Given our analysis, the private-benefit split of benefits are likely to lie within a five </w:t>
      </w:r>
      <w:r w:rsidR="00093E5B" w:rsidRPr="009C0EF1">
        <w:t>percent</w:t>
      </w:r>
      <w:r w:rsidRPr="009C0EF1">
        <w:t xml:space="preserve">age point band around the central results. The direction and </w:t>
      </w:r>
      <w:r w:rsidR="00E3273C" w:rsidRPr="009C0EF1">
        <w:t>precise</w:t>
      </w:r>
      <w:r w:rsidR="00E3273C" w:rsidRPr="005A0655">
        <w:t xml:space="preserve"> </w:t>
      </w:r>
      <w:r w:rsidRPr="009C0EF1">
        <w:t xml:space="preserve">magnitude of the effect are ambiguous, depending on the discipline </w:t>
      </w:r>
      <w:r w:rsidR="008D505F" w:rsidRPr="009C0EF1">
        <w:t>in question</w:t>
      </w:r>
      <w:r w:rsidRPr="009C0EF1">
        <w:t xml:space="preserve">. </w:t>
      </w:r>
    </w:p>
    <w:p w:rsidR="00E01D1A" w:rsidRDefault="00977C78" w:rsidP="00DA4CA5">
      <w:pPr>
        <w:pStyle w:val="BodyText"/>
      </w:pPr>
      <w:r>
        <w:t>For instance, a</w:t>
      </w:r>
      <w:r w:rsidR="00506FDE">
        <w:t xml:space="preserve"> 50%</w:t>
      </w:r>
      <w:r>
        <w:t xml:space="preserve"> increase in the unemployment rate for education graduates </w:t>
      </w:r>
      <w:r w:rsidR="00506FDE">
        <w:t xml:space="preserve">that lasts five-years </w:t>
      </w:r>
      <w:r>
        <w:t>(representing a 16% average increase</w:t>
      </w:r>
      <w:r w:rsidR="00E01D1A">
        <w:t xml:space="preserve"> </w:t>
      </w:r>
      <w:r w:rsidR="004D09A3">
        <w:t>in unemployment</w:t>
      </w:r>
      <w:r>
        <w:t xml:space="preserve"> over their working lives) leads to a one </w:t>
      </w:r>
      <w:r w:rsidR="00093E5B">
        <w:t>percent</w:t>
      </w:r>
      <w:r>
        <w:t xml:space="preserve">age point loss in the private share, which falls from 51% to 50%. In contrast, a similar shock leads to an </w:t>
      </w:r>
      <w:r w:rsidRPr="00D662D6">
        <w:t>increase</w:t>
      </w:r>
      <w:r>
        <w:t xml:space="preserve"> in the private share of benefits for engineering graduates, from 39% to 43%. </w:t>
      </w:r>
    </w:p>
    <w:p w:rsidR="00BB0104" w:rsidRPr="00BB0104" w:rsidRDefault="009248F6" w:rsidP="00DA4CA5">
      <w:pPr>
        <w:pStyle w:val="BodyText"/>
        <w:rPr>
          <w:szCs w:val="22"/>
        </w:rPr>
      </w:pPr>
      <w:r w:rsidRPr="009248F6">
        <w:t xml:space="preserve">Out of the </w:t>
      </w:r>
      <w:r w:rsidR="004D09A3">
        <w:t xml:space="preserve">tested </w:t>
      </w:r>
      <w:r w:rsidRPr="009248F6">
        <w:t xml:space="preserve">parameters, </w:t>
      </w:r>
      <w:r w:rsidRPr="009C0EF1">
        <w:rPr>
          <w:b/>
          <w:color w:val="002776" w:themeColor="accent1"/>
        </w:rPr>
        <w:t>the unemployment rate</w:t>
      </w:r>
      <w:r w:rsidRPr="009C0EF1">
        <w:rPr>
          <w:color w:val="002776" w:themeColor="accent1"/>
        </w:rPr>
        <w:t xml:space="preserve"> </w:t>
      </w:r>
      <w:r w:rsidRPr="009248F6">
        <w:t xml:space="preserve">is the most important factor </w:t>
      </w:r>
      <w:r w:rsidR="004D09A3">
        <w:t xml:space="preserve">driving </w:t>
      </w:r>
      <w:r w:rsidRPr="009248F6">
        <w:t>the private-public split</w:t>
      </w:r>
      <w:r w:rsidR="004D09A3">
        <w:t xml:space="preserve"> results</w:t>
      </w:r>
      <w:r w:rsidRPr="009248F6">
        <w:t xml:space="preserve">. </w:t>
      </w:r>
      <w:r w:rsidR="00BB0104">
        <w:t xml:space="preserve">While increasing the unemployment rate has the effect of decreasing the private benefits received by graduates (as the number of employed persons and the average wage decreases), it has a larger effect on </w:t>
      </w:r>
      <w:r w:rsidR="00BB0104" w:rsidRPr="00BB0104">
        <w:rPr>
          <w:szCs w:val="22"/>
        </w:rPr>
        <w:t xml:space="preserve">other skill categories. </w:t>
      </w:r>
      <w:r w:rsidR="00906F29">
        <w:rPr>
          <w:szCs w:val="22"/>
        </w:rPr>
        <w:t>C</w:t>
      </w:r>
      <w:r w:rsidR="00BB0104" w:rsidRPr="00BB0104">
        <w:rPr>
          <w:szCs w:val="22"/>
        </w:rPr>
        <w:t xml:space="preserve">onsistent with the </w:t>
      </w:r>
      <w:r w:rsidR="00BB0104" w:rsidRPr="00612FD8">
        <w:rPr>
          <w:szCs w:val="22"/>
        </w:rPr>
        <w:t xml:space="preserve">literature, the region-wide higher unemployment rate </w:t>
      </w:r>
      <w:r w:rsidR="00BB0104" w:rsidRPr="00DA4CA5">
        <w:rPr>
          <w:szCs w:val="22"/>
        </w:rPr>
        <w:t>depresses wages for other skills</w:t>
      </w:r>
      <w:r w:rsidR="00BB0104" w:rsidRPr="00612FD8">
        <w:rPr>
          <w:szCs w:val="22"/>
        </w:rPr>
        <w:t xml:space="preserve"> (</w:t>
      </w:r>
      <w:r w:rsidR="00BB0104" w:rsidRPr="00612FD8">
        <w:t>Blanchflower and Oswarld, 2005; Carroll, 2011</w:t>
      </w:r>
      <w:r w:rsidR="00BB0104" w:rsidRPr="00612FD8">
        <w:rPr>
          <w:szCs w:val="22"/>
        </w:rPr>
        <w:t>).</w:t>
      </w:r>
    </w:p>
    <w:p w:rsidR="00BB0104" w:rsidRDefault="009248F6" w:rsidP="00DA4CA5">
      <w:pPr>
        <w:pStyle w:val="BodyText"/>
      </w:pPr>
      <w:r>
        <w:t xml:space="preserve">In contrast, the </w:t>
      </w:r>
      <w:r w:rsidR="0096167D">
        <w:t xml:space="preserve">key results </w:t>
      </w:r>
      <w:r>
        <w:t>have muted responses</w:t>
      </w:r>
      <w:r w:rsidR="0096167D" w:rsidRPr="0096167D">
        <w:t xml:space="preserve"> </w:t>
      </w:r>
      <w:r w:rsidR="0096167D">
        <w:t xml:space="preserve">to changes in </w:t>
      </w:r>
      <w:r w:rsidR="008664F9" w:rsidRPr="00DA4CA5">
        <w:rPr>
          <w:b/>
          <w:color w:val="002776" w:themeColor="accent1"/>
        </w:rPr>
        <w:t xml:space="preserve">skills </w:t>
      </w:r>
      <w:r w:rsidR="0096167D" w:rsidRPr="00DA4CA5">
        <w:rPr>
          <w:b/>
          <w:color w:val="002776" w:themeColor="accent1"/>
        </w:rPr>
        <w:t>substitution</w:t>
      </w:r>
      <w:r w:rsidR="0096167D" w:rsidRPr="00DA4CA5">
        <w:rPr>
          <w:color w:val="002776" w:themeColor="accent1"/>
        </w:rPr>
        <w:t xml:space="preserve"> </w:t>
      </w:r>
      <w:r w:rsidR="0096167D" w:rsidRPr="00DA4CA5">
        <w:rPr>
          <w:b/>
          <w:color w:val="002776" w:themeColor="accent1"/>
        </w:rPr>
        <w:t>parameters</w:t>
      </w:r>
      <w:r>
        <w:t xml:space="preserve">, with </w:t>
      </w:r>
      <w:r w:rsidR="0096167D">
        <w:t xml:space="preserve">the direction of change </w:t>
      </w:r>
      <w:r>
        <w:t xml:space="preserve">depending on the disciplines targeted. Indeed, while </w:t>
      </w:r>
      <w:r w:rsidR="002F32F8">
        <w:t>increasing</w:t>
      </w:r>
      <w:r>
        <w:t xml:space="preserve"> the </w:t>
      </w:r>
      <w:r w:rsidR="000713BC">
        <w:t xml:space="preserve">substitutability </w:t>
      </w:r>
      <w:r w:rsidR="00906F29">
        <w:t xml:space="preserve">for </w:t>
      </w:r>
      <w:r w:rsidR="000713BC">
        <w:t>education</w:t>
      </w:r>
      <w:r w:rsidR="00906F29">
        <w:t xml:space="preserve"> graduates</w:t>
      </w:r>
      <w:r w:rsidR="000713BC">
        <w:t xml:space="preserve"> </w:t>
      </w:r>
      <w:r w:rsidR="002F32F8">
        <w:t xml:space="preserve">by 50% </w:t>
      </w:r>
      <w:r w:rsidR="000713BC" w:rsidRPr="00DA4CA5">
        <w:rPr>
          <w:i/>
        </w:rPr>
        <w:t>decreases</w:t>
      </w:r>
      <w:r w:rsidR="000713BC">
        <w:t xml:space="preserve"> the share of private</w:t>
      </w:r>
      <w:r>
        <w:t xml:space="preserve"> </w:t>
      </w:r>
      <w:r w:rsidR="000713BC">
        <w:t xml:space="preserve">benefits by </w:t>
      </w:r>
      <w:r w:rsidR="002F32F8">
        <w:t>2</w:t>
      </w:r>
      <w:r w:rsidR="000713BC">
        <w:t xml:space="preserve">%, </w:t>
      </w:r>
      <w:r w:rsidR="0096167D">
        <w:t>the same change</w:t>
      </w:r>
      <w:r w:rsidR="000713BC">
        <w:t xml:space="preserve"> </w:t>
      </w:r>
      <w:r w:rsidR="000713BC" w:rsidRPr="00DA4CA5">
        <w:rPr>
          <w:i/>
        </w:rPr>
        <w:t>increases</w:t>
      </w:r>
      <w:r w:rsidR="000713BC">
        <w:t xml:space="preserve"> the </w:t>
      </w:r>
      <w:r w:rsidR="0096167D">
        <w:t xml:space="preserve">private benefits </w:t>
      </w:r>
      <w:r w:rsidR="000713BC">
        <w:t xml:space="preserve">share by approximately </w:t>
      </w:r>
      <w:r w:rsidR="002F32F8">
        <w:t>2</w:t>
      </w:r>
      <w:r w:rsidR="000713BC">
        <w:t>% for both engineering and business.</w:t>
      </w:r>
    </w:p>
    <w:p w:rsidR="000713BC" w:rsidRDefault="000713BC" w:rsidP="00BB418B">
      <w:pPr>
        <w:pStyle w:val="BodyText"/>
      </w:pPr>
      <w:r w:rsidRPr="002F32F8">
        <w:t xml:space="preserve">The difference </w:t>
      </w:r>
      <w:r w:rsidR="00977C78" w:rsidRPr="002F32F8">
        <w:t xml:space="preserve">in results </w:t>
      </w:r>
      <w:r w:rsidRPr="002F32F8">
        <w:t xml:space="preserve">is driven by the relative capital intensity of the industries </w:t>
      </w:r>
      <w:r w:rsidR="00977C78" w:rsidRPr="002F32F8">
        <w:t>where</w:t>
      </w:r>
      <w:r w:rsidR="00B340C3" w:rsidRPr="002F32F8">
        <w:t xml:space="preserve"> </w:t>
      </w:r>
      <w:r w:rsidRPr="002F32F8">
        <w:t>the skills are likely to move into. By increasing the substitution</w:t>
      </w:r>
      <w:r w:rsidR="00906F29">
        <w:t xml:space="preserve"> </w:t>
      </w:r>
      <w:r w:rsidR="004D09A3">
        <w:t>of skills</w:t>
      </w:r>
      <w:r w:rsidRPr="002F32F8">
        <w:t>, education graduates</w:t>
      </w:r>
      <w:r w:rsidR="00D220DF" w:rsidRPr="002F32F8">
        <w:t xml:space="preserve"> are more likely to</w:t>
      </w:r>
      <w:r w:rsidRPr="002F32F8">
        <w:t xml:space="preserve"> </w:t>
      </w:r>
      <w:r w:rsidR="00977C78" w:rsidRPr="002F32F8">
        <w:t xml:space="preserve">be employed. </w:t>
      </w:r>
      <w:r w:rsidR="002F32F8" w:rsidRPr="002F32F8">
        <w:t xml:space="preserve">Education </w:t>
      </w:r>
      <w:r w:rsidR="002F32F8" w:rsidRPr="00DA4CA5">
        <w:t>students</w:t>
      </w:r>
      <w:r w:rsidR="00977C78" w:rsidRPr="00DA4CA5">
        <w:t xml:space="preserve"> </w:t>
      </w:r>
      <w:r w:rsidR="00D220DF" w:rsidRPr="002F32F8">
        <w:t>enter into</w:t>
      </w:r>
      <w:r w:rsidR="002F32F8" w:rsidRPr="002F32F8">
        <w:t xml:space="preserve"> sectors that are more </w:t>
      </w:r>
      <w:r w:rsidR="002F32F8" w:rsidRPr="00DA4CA5">
        <w:t>capital intensive, such as</w:t>
      </w:r>
      <w:r w:rsidR="002F32F8" w:rsidRPr="002F32F8">
        <w:t xml:space="preserve"> </w:t>
      </w:r>
      <w:r w:rsidR="00D220DF" w:rsidRPr="002F32F8">
        <w:t xml:space="preserve">business services, compared to government services. </w:t>
      </w:r>
      <w:r w:rsidR="002F32F8">
        <w:t>C</w:t>
      </w:r>
      <w:r w:rsidR="002F32F8" w:rsidRPr="002F32F8">
        <w:t>onversely, with an increase in skill substitutability,</w:t>
      </w:r>
      <w:r w:rsidR="00D220DF" w:rsidRPr="002F32F8">
        <w:t xml:space="preserve"> business and engineering</w:t>
      </w:r>
      <w:r w:rsidR="002F32F8" w:rsidRPr="00DA4CA5">
        <w:t xml:space="preserve"> </w:t>
      </w:r>
      <w:r w:rsidR="00D220DF" w:rsidRPr="002F32F8">
        <w:t xml:space="preserve">graduates are more likely to be employed in other government services, </w:t>
      </w:r>
      <w:r w:rsidR="002F32F8" w:rsidRPr="002F32F8">
        <w:t xml:space="preserve">which is relatively </w:t>
      </w:r>
      <w:r w:rsidR="00D220DF" w:rsidRPr="002F32F8">
        <w:t>less capital intensive.</w:t>
      </w:r>
    </w:p>
    <w:p w:rsidR="0096167D" w:rsidRPr="002F32F8" w:rsidRDefault="0096167D" w:rsidP="00BB418B">
      <w:pPr>
        <w:pStyle w:val="BodyText"/>
      </w:pPr>
      <w:r>
        <w:t xml:space="preserve">The mechanism </w:t>
      </w:r>
      <w:r w:rsidR="008664F9">
        <w:t xml:space="preserve">of </w:t>
      </w:r>
      <w:r w:rsidR="008664F9" w:rsidRPr="00DA4CA5">
        <w:rPr>
          <w:b/>
          <w:color w:val="002776" w:themeColor="accent1"/>
        </w:rPr>
        <w:t>factor substitution parameters</w:t>
      </w:r>
      <w:r w:rsidR="008664F9" w:rsidRPr="00DA4CA5">
        <w:rPr>
          <w:color w:val="002776" w:themeColor="accent1"/>
        </w:rPr>
        <w:t xml:space="preserve"> </w:t>
      </w:r>
      <w:r>
        <w:t>can be thought of as follows:</w:t>
      </w:r>
    </w:p>
    <w:p w:rsidR="00977C78" w:rsidRDefault="00747BF4" w:rsidP="00977C78">
      <w:pPr>
        <w:pStyle w:val="Bullet1"/>
      </w:pPr>
      <w:r>
        <w:t>a</w:t>
      </w:r>
      <w:r w:rsidR="00977C78">
        <w:t xml:space="preserve"> higher substitution parameter will lead to a higher use of the skilled labour as their supply increases and price falls (compared to the </w:t>
      </w:r>
      <w:r w:rsidR="008664F9">
        <w:t>central case</w:t>
      </w:r>
      <w:r w:rsidR="00977C78">
        <w:t>);</w:t>
      </w:r>
    </w:p>
    <w:p w:rsidR="00977C78" w:rsidRDefault="00747BF4" w:rsidP="00977C78">
      <w:pPr>
        <w:pStyle w:val="Bullet1"/>
      </w:pPr>
      <w:r>
        <w:t>t</w:t>
      </w:r>
      <w:r w:rsidR="00977C78">
        <w:t>his means more of the output increase for the industry can be facilitated by the skilled labour, and there</w:t>
      </w:r>
      <w:r w:rsidR="00A35A46">
        <w:t xml:space="preserve"> are</w:t>
      </w:r>
      <w:r w:rsidR="00977C78">
        <w:t xml:space="preserve"> fewer requirements for resources from elsewhere in the economy;</w:t>
      </w:r>
    </w:p>
    <w:p w:rsidR="008555E0" w:rsidRDefault="00747BF4" w:rsidP="00977C78">
      <w:pPr>
        <w:pStyle w:val="Bullet1"/>
      </w:pPr>
      <w:r>
        <w:t>c</w:t>
      </w:r>
      <w:r w:rsidR="00977C78">
        <w:t>onsequently, the</w:t>
      </w:r>
      <w:r w:rsidR="008664F9">
        <w:t xml:space="preserve"> additional graduates are</w:t>
      </w:r>
      <w:r w:rsidR="00977C78">
        <w:t xml:space="preserve"> </w:t>
      </w:r>
      <w:r w:rsidR="008664F9">
        <w:t>more concentrated in their typical sector, rather than being distributed across multiple sectors</w:t>
      </w:r>
      <w:r>
        <w:t>;</w:t>
      </w:r>
      <w:r w:rsidR="00B340C3">
        <w:t xml:space="preserve"> </w:t>
      </w:r>
    </w:p>
    <w:p w:rsidR="008555E0" w:rsidRDefault="00747BF4" w:rsidP="008555E0">
      <w:pPr>
        <w:pStyle w:val="Bullet1"/>
      </w:pPr>
      <w:r>
        <w:t>t</w:t>
      </w:r>
      <w:r w:rsidR="008555E0">
        <w:t xml:space="preserve">his means the demand uplift for other resources is more muted, </w:t>
      </w:r>
      <w:r>
        <w:t xml:space="preserve">with less growth in other </w:t>
      </w:r>
      <w:r w:rsidR="008555E0">
        <w:t>factor prices</w:t>
      </w:r>
      <w:r>
        <w:t>; and</w:t>
      </w:r>
      <w:r w:rsidR="008555E0">
        <w:t xml:space="preserve"> </w:t>
      </w:r>
    </w:p>
    <w:p w:rsidR="00747BF4" w:rsidRDefault="00747BF4" w:rsidP="008555E0">
      <w:pPr>
        <w:pStyle w:val="Bullet1"/>
      </w:pPr>
      <w:proofErr w:type="gramStart"/>
      <w:r>
        <w:t>smaller</w:t>
      </w:r>
      <w:proofErr w:type="gramEnd"/>
      <w:r>
        <w:t xml:space="preserve"> increases in other factor prices leads to smaller public benefits.</w:t>
      </w:r>
    </w:p>
    <w:p w:rsidR="008555E0" w:rsidRPr="008555E0" w:rsidRDefault="008555E0" w:rsidP="008555E0">
      <w:pPr>
        <w:pStyle w:val="BodyText"/>
      </w:pPr>
      <w:r w:rsidRPr="004D09A3">
        <w:t xml:space="preserve">In the extreme case, if the extra economic activity can be produced entirely by additional labour, there are no spillover benefits to other factors of production, meaning no public benefits, beyond </w:t>
      </w:r>
      <w:r w:rsidR="00747BF4" w:rsidRPr="004D09A3">
        <w:t xml:space="preserve">increased </w:t>
      </w:r>
      <w:r w:rsidRPr="004D09A3">
        <w:t xml:space="preserve">personal income taxation. This case is simplified also because there </w:t>
      </w:r>
      <w:r w:rsidR="00906F29" w:rsidRPr="004D09A3">
        <w:t>would normally be</w:t>
      </w:r>
      <w:r w:rsidRPr="004D09A3">
        <w:t xml:space="preserve"> second</w:t>
      </w:r>
      <w:r>
        <w:t xml:space="preserve">-round </w:t>
      </w:r>
      <w:r w:rsidR="00747BF4">
        <w:t>aggregate demand growth due to the increase in productivity, leading to higher factor prices in general</w:t>
      </w:r>
      <w:r>
        <w:t>.</w:t>
      </w:r>
    </w:p>
    <w:p w:rsidR="00977C78" w:rsidRDefault="00D220DF" w:rsidP="00DA4CA5">
      <w:pPr>
        <w:pStyle w:val="BodyText"/>
      </w:pPr>
      <w:r w:rsidRPr="008555E0">
        <w:lastRenderedPageBreak/>
        <w:t xml:space="preserve">More broadly, </w:t>
      </w:r>
      <w:r w:rsidR="008555E0">
        <w:t>t</w:t>
      </w:r>
      <w:r w:rsidR="00977C78" w:rsidRPr="008555E0">
        <w:t>here are fewer allocative efficiencies (and public benefit) to be gained from moving factors, and the gains are internalised by the skilled graduates.</w:t>
      </w:r>
      <w:r w:rsidR="008555E0">
        <w:t xml:space="preserve"> </w:t>
      </w:r>
      <w:r w:rsidR="00977C78" w:rsidRPr="008555E0">
        <w:t>The private-public share adjusts to the average levels seen for other disciplines.</w:t>
      </w:r>
    </w:p>
    <w:p w:rsidR="0002225C" w:rsidRPr="00BB418B" w:rsidRDefault="00977C78" w:rsidP="006B1772">
      <w:pPr>
        <w:pStyle w:val="BodyText"/>
      </w:pPr>
      <w:r w:rsidRPr="00DA4CA5">
        <w:t xml:space="preserve">The capital </w:t>
      </w:r>
      <w:r w:rsidR="00747BF4" w:rsidRPr="00DA4CA5">
        <w:t>intensity</w:t>
      </w:r>
      <w:r w:rsidRPr="00DA4CA5">
        <w:t xml:space="preserve"> also explains the direction of the results, depending on the capital intensity where the skills are likely to be employed, versus the capital intensity where additional resources are likely to be drawn from.</w:t>
      </w:r>
      <w:r w:rsidRPr="00DA4CA5">
        <w:rPr>
          <w:b/>
        </w:rPr>
        <w:t xml:space="preserve"> </w:t>
      </w:r>
      <w:r>
        <w:t xml:space="preserve">When the skill substitutability of education graduates is increased, more graduates will be employed in the government services sector, which can grow without drawing resources from other sectors. Given government services </w:t>
      </w:r>
      <w:r w:rsidR="005D6CB5">
        <w:t>are</w:t>
      </w:r>
      <w:r>
        <w:t xml:space="preserve"> relatively labour intensive</w:t>
      </w:r>
      <w:r w:rsidR="005D6CB5">
        <w:t>, with a lower value-</w:t>
      </w:r>
      <w:r>
        <w:t>added to worker ratio, there is likely to be a higher public ben</w:t>
      </w:r>
      <w:r w:rsidR="005D6CB5">
        <w:t>efit if resources are not drawn into government services</w:t>
      </w:r>
      <w:r>
        <w:t>.</w:t>
      </w:r>
      <w:r w:rsidR="00D220DF">
        <w:t xml:space="preserve"> </w:t>
      </w:r>
    </w:p>
    <w:p w:rsidR="007F636E" w:rsidRPr="00DA4CA5" w:rsidRDefault="006B1772" w:rsidP="009C0EF1">
      <w:pPr>
        <w:pStyle w:val="CaptionChart"/>
        <w:numPr>
          <w:ilvl w:val="7"/>
          <w:numId w:val="8"/>
        </w:numPr>
        <w:ind w:left="0"/>
      </w:pPr>
      <w:bookmarkStart w:id="183" w:name="_Ref460404652"/>
      <w:bookmarkStart w:id="184" w:name="_Toc465961159"/>
      <w:r>
        <w:rPr>
          <w:lang w:eastAsia="en-AU"/>
        </w:rPr>
        <w:t xml:space="preserve">: Summary of private share </w:t>
      </w:r>
      <w:r w:rsidR="00747BF4">
        <w:rPr>
          <w:lang w:eastAsia="en-AU"/>
        </w:rPr>
        <w:t xml:space="preserve">percentage point </w:t>
      </w:r>
      <w:r>
        <w:rPr>
          <w:lang w:eastAsia="en-AU"/>
        </w:rPr>
        <w:t>deviation</w:t>
      </w:r>
      <w:r w:rsidR="00747BF4">
        <w:rPr>
          <w:lang w:eastAsia="en-AU"/>
        </w:rPr>
        <w:t>s</w:t>
      </w:r>
      <w:r>
        <w:rPr>
          <w:lang w:eastAsia="en-AU"/>
        </w:rPr>
        <w:t xml:space="preserve"> for </w:t>
      </w:r>
      <w:r w:rsidR="00BD0CA3">
        <w:rPr>
          <w:lang w:eastAsia="en-AU"/>
        </w:rPr>
        <w:t xml:space="preserve">key </w:t>
      </w:r>
      <w:r>
        <w:rPr>
          <w:lang w:eastAsia="en-AU"/>
        </w:rPr>
        <w:t>sensitivities</w:t>
      </w:r>
      <w:bookmarkEnd w:id="183"/>
      <w:bookmarkEnd w:id="184"/>
    </w:p>
    <w:p w:rsidR="00977C78" w:rsidRDefault="005378A6" w:rsidP="00977C78">
      <w:pPr>
        <w:pStyle w:val="BodyText"/>
        <w:jc w:val="center"/>
        <w:rPr>
          <w:highlight w:val="lightGray"/>
          <w:lang w:eastAsia="en-AU"/>
        </w:rPr>
      </w:pPr>
      <w:r>
        <w:rPr>
          <w:noProof/>
          <w:lang w:eastAsia="en-AU"/>
        </w:rPr>
        <w:drawing>
          <wp:inline distT="0" distB="0" distL="0" distR="0" wp14:anchorId="5C7F9BC4" wp14:editId="26879D8C">
            <wp:extent cx="4508390" cy="4067096"/>
            <wp:effectExtent l="0" t="0" r="6985"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10691" cy="4069172"/>
                    </a:xfrm>
                    <a:prstGeom prst="rect">
                      <a:avLst/>
                    </a:prstGeom>
                    <a:noFill/>
                  </pic:spPr>
                </pic:pic>
              </a:graphicData>
            </a:graphic>
          </wp:inline>
        </w:drawing>
      </w:r>
    </w:p>
    <w:p w:rsidR="00705D51" w:rsidRPr="00705D51" w:rsidRDefault="006B1772" w:rsidP="00705D51">
      <w:pPr>
        <w:pStyle w:val="Source"/>
      </w:pPr>
      <w:r w:rsidRPr="00444981">
        <w:t>Source: Deloitte Access Economics</w:t>
      </w:r>
      <w:r>
        <w:t xml:space="preserve"> RGEM CGE model</w:t>
      </w:r>
      <w:r w:rsidRPr="00444981">
        <w:t xml:space="preserve">. </w:t>
      </w:r>
      <w:r>
        <w:t>Shares use NPV calculations at the 7% rate</w:t>
      </w:r>
    </w:p>
    <w:p w:rsidR="004D5625" w:rsidRDefault="004D5625" w:rsidP="004D5625">
      <w:pPr>
        <w:pStyle w:val="Heading2"/>
      </w:pPr>
      <w:bookmarkStart w:id="185" w:name="_Toc461018793"/>
      <w:bookmarkStart w:id="186" w:name="_Toc461083941"/>
      <w:bookmarkStart w:id="187" w:name="_Toc461103925"/>
      <w:bookmarkStart w:id="188" w:name="_Toc461018794"/>
      <w:bookmarkStart w:id="189" w:name="_Toc461083942"/>
      <w:bookmarkStart w:id="190" w:name="_Toc461103926"/>
      <w:bookmarkStart w:id="191" w:name="_Toc461018795"/>
      <w:bookmarkStart w:id="192" w:name="_Toc461083943"/>
      <w:bookmarkStart w:id="193" w:name="_Toc461103927"/>
      <w:bookmarkStart w:id="194" w:name="_Toc461018796"/>
      <w:bookmarkStart w:id="195" w:name="_Toc461083944"/>
      <w:bookmarkStart w:id="196" w:name="_Toc461103928"/>
      <w:bookmarkStart w:id="197" w:name="_Ref464125007"/>
      <w:bookmarkStart w:id="198" w:name="_Toc465961207"/>
      <w:bookmarkEnd w:id="185"/>
      <w:bookmarkEnd w:id="186"/>
      <w:bookmarkEnd w:id="187"/>
      <w:bookmarkEnd w:id="188"/>
      <w:bookmarkEnd w:id="189"/>
      <w:bookmarkEnd w:id="190"/>
      <w:bookmarkEnd w:id="191"/>
      <w:bookmarkEnd w:id="192"/>
      <w:bookmarkEnd w:id="193"/>
      <w:bookmarkEnd w:id="194"/>
      <w:bookmarkEnd w:id="195"/>
      <w:bookmarkEnd w:id="196"/>
      <w:r>
        <w:t>Extending beyond the core analytical framework of this study</w:t>
      </w:r>
      <w:bookmarkEnd w:id="197"/>
      <w:bookmarkEnd w:id="198"/>
    </w:p>
    <w:p w:rsidR="004D5625" w:rsidRPr="00D84A77" w:rsidRDefault="004D5625" w:rsidP="004D5625">
      <w:pPr>
        <w:spacing w:before="240"/>
        <w:jc w:val="both"/>
        <w:rPr>
          <w:lang w:eastAsia="en-AU"/>
        </w:rPr>
      </w:pPr>
      <w:r>
        <w:t xml:space="preserve">This section outlines the nature by which more complex market and non-market based measures of public benefits from higher education attainment may manifest. This is achieved through a systematic assessment of the nature of benefits captured by the CGE model framework, and the subsequent identification of potential additional benefits when </w:t>
      </w:r>
      <w:r>
        <w:lastRenderedPageBreak/>
        <w:t xml:space="preserve">compared to the taxonomy of benefits set out in Section </w:t>
      </w:r>
      <w:r>
        <w:fldChar w:fldCharType="begin"/>
      </w:r>
      <w:r>
        <w:instrText xml:space="preserve"> REF _Ref457422319 \r \h </w:instrText>
      </w:r>
      <w:r>
        <w:fldChar w:fldCharType="separate"/>
      </w:r>
      <w:r w:rsidR="00534F9F">
        <w:t>2</w:t>
      </w:r>
      <w:r>
        <w:fldChar w:fldCharType="end"/>
      </w:r>
      <w:r>
        <w:t xml:space="preserve">. </w:t>
      </w:r>
      <w:r>
        <w:rPr>
          <w:lang w:eastAsia="en-AU"/>
        </w:rPr>
        <w:t xml:space="preserve">This is the final stage of the methodology discussed in Section </w:t>
      </w:r>
      <w:r>
        <w:rPr>
          <w:lang w:eastAsia="en-AU"/>
        </w:rPr>
        <w:fldChar w:fldCharType="begin"/>
      </w:r>
      <w:r>
        <w:rPr>
          <w:lang w:eastAsia="en-AU"/>
        </w:rPr>
        <w:instrText xml:space="preserve"> REF _Ref454829395 \r \h  \* MERGEFORMAT </w:instrText>
      </w:r>
      <w:r>
        <w:rPr>
          <w:lang w:eastAsia="en-AU"/>
        </w:rPr>
      </w:r>
      <w:r>
        <w:rPr>
          <w:lang w:eastAsia="en-AU"/>
        </w:rPr>
        <w:fldChar w:fldCharType="separate"/>
      </w:r>
      <w:r w:rsidR="00534F9F">
        <w:rPr>
          <w:lang w:eastAsia="en-AU"/>
        </w:rPr>
        <w:t>3</w:t>
      </w:r>
      <w:r>
        <w:rPr>
          <w:lang w:eastAsia="en-AU"/>
        </w:rPr>
        <w:fldChar w:fldCharType="end"/>
      </w:r>
      <w:r>
        <w:rPr>
          <w:lang w:eastAsia="en-AU"/>
        </w:rPr>
        <w:t xml:space="preserve"> (see </w:t>
      </w:r>
      <w:r>
        <w:rPr>
          <w:lang w:eastAsia="en-AU"/>
        </w:rPr>
        <w:fldChar w:fldCharType="begin"/>
      </w:r>
      <w:r>
        <w:rPr>
          <w:lang w:eastAsia="en-AU"/>
        </w:rPr>
        <w:instrText xml:space="preserve"> REF _Ref458110395 \r \h </w:instrText>
      </w:r>
      <w:r>
        <w:rPr>
          <w:lang w:eastAsia="en-AU"/>
        </w:rPr>
      </w:r>
      <w:r>
        <w:rPr>
          <w:lang w:eastAsia="en-AU"/>
        </w:rPr>
        <w:fldChar w:fldCharType="separate"/>
      </w:r>
      <w:r w:rsidR="00534F9F">
        <w:rPr>
          <w:lang w:eastAsia="en-AU"/>
        </w:rPr>
        <w:t>Figure 5.3</w:t>
      </w:r>
      <w:r>
        <w:rPr>
          <w:lang w:eastAsia="en-AU"/>
        </w:rPr>
        <w:fldChar w:fldCharType="end"/>
      </w:r>
      <w:r>
        <w:rPr>
          <w:lang w:eastAsia="en-AU"/>
        </w:rPr>
        <w:t>).</w:t>
      </w:r>
    </w:p>
    <w:p w:rsidR="004D5625" w:rsidRPr="004F3B1D" w:rsidRDefault="004D5625" w:rsidP="004D5625">
      <w:pPr>
        <w:pStyle w:val="CaptionFigure"/>
        <w:ind w:hanging="3119"/>
        <w:rPr>
          <w:lang w:eastAsia="en-AU"/>
        </w:rPr>
      </w:pPr>
      <w:bookmarkStart w:id="199" w:name="_Ref458110395"/>
      <w:bookmarkStart w:id="200" w:name="_Toc465961116"/>
      <w:r w:rsidRPr="004F3B1D">
        <w:rPr>
          <w:lang w:eastAsia="en-AU"/>
        </w:rPr>
        <w:t>: Il</w:t>
      </w:r>
      <w:r>
        <w:rPr>
          <w:lang w:eastAsia="en-AU"/>
        </w:rPr>
        <w:t>lustrative summary of approach</w:t>
      </w:r>
      <w:bookmarkEnd w:id="199"/>
      <w:bookmarkEnd w:id="200"/>
    </w:p>
    <w:p w:rsidR="004D5625" w:rsidRPr="00295E4F" w:rsidRDefault="0076601A" w:rsidP="004D5625">
      <w:pPr>
        <w:pStyle w:val="Bullet1"/>
        <w:numPr>
          <w:ilvl w:val="0"/>
          <w:numId w:val="0"/>
        </w:numPr>
        <w:spacing w:before="240"/>
        <w:jc w:val="center"/>
      </w:pPr>
      <w:r w:rsidRPr="0076601A">
        <w:rPr>
          <w:noProof/>
        </w:rPr>
        <w:drawing>
          <wp:inline distT="0" distB="0" distL="0" distR="0" wp14:anchorId="3BB3DA8D" wp14:editId="7DD43321">
            <wp:extent cx="5220335" cy="2315705"/>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20335" cy="2315705"/>
                    </a:xfrm>
                    <a:prstGeom prst="rect">
                      <a:avLst/>
                    </a:prstGeom>
                    <a:noFill/>
                    <a:ln>
                      <a:noFill/>
                    </a:ln>
                  </pic:spPr>
                </pic:pic>
              </a:graphicData>
            </a:graphic>
          </wp:inline>
        </w:drawing>
      </w:r>
    </w:p>
    <w:p w:rsidR="004D5625" w:rsidRDefault="004D5625" w:rsidP="004D5625">
      <w:pPr>
        <w:pStyle w:val="Heading3"/>
        <w:numPr>
          <w:ilvl w:val="2"/>
          <w:numId w:val="35"/>
        </w:numPr>
      </w:pPr>
      <w:r w:rsidRPr="004D7B0F">
        <w:t>Market benefits from more complex productivity spillovers</w:t>
      </w:r>
    </w:p>
    <w:p w:rsidR="004D5625" w:rsidRDefault="004D5625" w:rsidP="004D5625">
      <w:pPr>
        <w:pStyle w:val="BodyText"/>
      </w:pPr>
      <w:r>
        <w:t xml:space="preserve">The original CGE modelling and analysis developed for this study illustrates the dynamic response of the economy to increased levels of labour productivity resulting from higher education attainment. </w:t>
      </w:r>
    </w:p>
    <w:p w:rsidR="004D5625" w:rsidRDefault="004D5625" w:rsidP="004D5625">
      <w:pPr>
        <w:pStyle w:val="BodyText"/>
      </w:pPr>
      <w:r>
        <w:t>The primary mechanism by which flow-on economic activity is stimulated in this framework is the accumulation of physical capital (including from overseas) in response to improved capital productivity, leading to higher rates of employment and total economic income. There are other more complex</w:t>
      </w:r>
      <w:r w:rsidRPr="004D7C26">
        <w:t xml:space="preserve"> </w:t>
      </w:r>
      <w:r>
        <w:t>ways in which market based spillover benefits may eventuate which are not captured in this framework. These are discussed in turn below.</w:t>
      </w:r>
    </w:p>
    <w:p w:rsidR="004D5625" w:rsidRDefault="004D5625" w:rsidP="004D5625">
      <w:pPr>
        <w:pStyle w:val="HeadingC"/>
      </w:pPr>
      <w:r>
        <w:t>Dynamically linking the higher education system to the labour market</w:t>
      </w:r>
    </w:p>
    <w:p w:rsidR="004D5625" w:rsidRPr="002541BA" w:rsidRDefault="004D5625" w:rsidP="004D5625">
      <w:pPr>
        <w:pStyle w:val="BodyText"/>
      </w:pPr>
      <w:r>
        <w:t>There are limitations of the current model framework in linking the training market to the broader labour market. These relate to Assumption 2 discussed in Section 5.2.1, and can be categorised as follows:</w:t>
      </w:r>
    </w:p>
    <w:p w:rsidR="004D5625" w:rsidRDefault="004D5625" w:rsidP="004D5625">
      <w:pPr>
        <w:pStyle w:val="Bullet1"/>
      </w:pPr>
      <w:r>
        <w:rPr>
          <w:b/>
        </w:rPr>
        <w:t>No e</w:t>
      </w:r>
      <w:r w:rsidRPr="004D7C26">
        <w:rPr>
          <w:b/>
        </w:rPr>
        <w:t xml:space="preserve">ndogenous skills </w:t>
      </w:r>
      <w:r>
        <w:rPr>
          <w:b/>
        </w:rPr>
        <w:t>supply</w:t>
      </w:r>
      <w:r>
        <w:t>: the</w:t>
      </w:r>
      <w:r w:rsidRPr="004D7C26">
        <w:t xml:space="preserve"> approach </w:t>
      </w:r>
      <w:r>
        <w:t xml:space="preserve">in the model treats skill levels as endowments - this </w:t>
      </w:r>
      <w:r w:rsidRPr="004D7C26">
        <w:t>excludes the possibility for growth in particular industries to further induce human capital accumulation</w:t>
      </w:r>
      <w:r>
        <w:t xml:space="preserve"> (further higher education)</w:t>
      </w:r>
      <w:r w:rsidRPr="004D7C26">
        <w:t>, through increased relative demand for skilled labour in the economy</w:t>
      </w:r>
      <w:r>
        <w:t>; and</w:t>
      </w:r>
    </w:p>
    <w:p w:rsidR="004D5625" w:rsidRDefault="004D5625" w:rsidP="004D5625">
      <w:pPr>
        <w:pStyle w:val="Bullet1"/>
      </w:pPr>
      <w:r>
        <w:rPr>
          <w:b/>
        </w:rPr>
        <w:t xml:space="preserve">Industry skills demand is </w:t>
      </w:r>
      <w:r w:rsidR="00506FDE">
        <w:rPr>
          <w:b/>
        </w:rPr>
        <w:t xml:space="preserve">linked </w:t>
      </w:r>
      <w:r>
        <w:rPr>
          <w:b/>
        </w:rPr>
        <w:t>to industry output demand</w:t>
      </w:r>
      <w:r>
        <w:t>: the</w:t>
      </w:r>
      <w:r w:rsidRPr="004D7C26">
        <w:t xml:space="preserve"> approach </w:t>
      </w:r>
      <w:r>
        <w:t xml:space="preserve">in the model assumes that skills requirements for a given level of industry output </w:t>
      </w:r>
      <w:r w:rsidR="00506FDE">
        <w:t>respond to relative prices in a highly structured way</w:t>
      </w:r>
      <w:r>
        <w:t>– the regulatory changes to early childhood workforce requirements is one counterexample</w:t>
      </w:r>
      <w:r w:rsidR="00506FDE">
        <w:t xml:space="preserve"> to this</w:t>
      </w:r>
      <w:r>
        <w:t>;</w:t>
      </w:r>
    </w:p>
    <w:p w:rsidR="004D5625" w:rsidRPr="00B807E1" w:rsidRDefault="004D5625" w:rsidP="004D5625">
      <w:pPr>
        <w:pStyle w:val="BodyText"/>
      </w:pPr>
      <w:r>
        <w:t xml:space="preserve">These two limitations may mean estimates of public market benefits for certain disciplines are more conservative or ‘biased’ than others. </w:t>
      </w:r>
      <w:r w:rsidRPr="00B807E1">
        <w:t>In particular, the qualifications and disciplines that are most affected by this ‘bias’ in the empirical analysis conducted here are those where the industries which graduates participate in are:</w:t>
      </w:r>
    </w:p>
    <w:p w:rsidR="004D5625" w:rsidRPr="00B807E1" w:rsidRDefault="004D5625" w:rsidP="004D5625">
      <w:pPr>
        <w:pStyle w:val="Bullet1"/>
      </w:pPr>
      <w:r w:rsidRPr="00B807E1">
        <w:lastRenderedPageBreak/>
        <w:t>proportionally more higher education labour-intensive in its production;</w:t>
      </w:r>
      <w:r w:rsidRPr="00B807E1">
        <w:rPr>
          <w:rStyle w:val="FootnoteReference"/>
        </w:rPr>
        <w:footnoteReference w:id="43"/>
      </w:r>
    </w:p>
    <w:p w:rsidR="004D5625" w:rsidRPr="00B807E1" w:rsidRDefault="004D5625" w:rsidP="004D5625">
      <w:pPr>
        <w:pStyle w:val="Bullet1"/>
      </w:pPr>
      <w:r w:rsidRPr="00B807E1">
        <w:t>currently, or in the near future, are expected to experience higher education skill shortages; and</w:t>
      </w:r>
    </w:p>
    <w:p w:rsidR="004D5625" w:rsidRPr="00B807E1" w:rsidRDefault="004D5625" w:rsidP="004D5625">
      <w:pPr>
        <w:pStyle w:val="Bullet1"/>
      </w:pPr>
      <w:proofErr w:type="gramStart"/>
      <w:r w:rsidRPr="00B807E1">
        <w:t>expected</w:t>
      </w:r>
      <w:proofErr w:type="gramEnd"/>
      <w:r w:rsidRPr="00B807E1">
        <w:t xml:space="preserve"> to experience secular structural growth and therefore generate increased demand for higher education qualifications. </w:t>
      </w:r>
    </w:p>
    <w:p w:rsidR="004D5625" w:rsidRDefault="004D5625" w:rsidP="004D5625">
      <w:pPr>
        <w:pStyle w:val="BodyText"/>
      </w:pPr>
      <w:r w:rsidRPr="00B807E1">
        <w:t xml:space="preserve">The analysis provided in Section </w:t>
      </w:r>
      <w:r w:rsidRPr="00B807E1">
        <w:fldChar w:fldCharType="begin"/>
      </w:r>
      <w:r w:rsidRPr="00B807E1">
        <w:instrText xml:space="preserve"> REF _Ref457333251 \r \h </w:instrText>
      </w:r>
      <w:r>
        <w:instrText xml:space="preserve"> \* MERGEFORMAT </w:instrText>
      </w:r>
      <w:r w:rsidRPr="00B807E1">
        <w:fldChar w:fldCharType="separate"/>
      </w:r>
      <w:r w:rsidR="00534F9F">
        <w:t>6</w:t>
      </w:r>
      <w:r w:rsidRPr="00B807E1">
        <w:fldChar w:fldCharType="end"/>
      </w:r>
      <w:r w:rsidRPr="00B807E1">
        <w:t xml:space="preserve"> of this report, in addition to the figures presented above, gives some indication of the qualifications and disciplines that are most affected by these systematic observations regarding the limits of the current CGE model framework. </w:t>
      </w:r>
    </w:p>
    <w:p w:rsidR="004D5625" w:rsidRDefault="004D5625" w:rsidP="004D5625">
      <w:pPr>
        <w:pStyle w:val="HeadingC"/>
      </w:pPr>
      <w:r>
        <w:t>Broader knowledge-based spillovers and the effect of technology</w:t>
      </w:r>
    </w:p>
    <w:p w:rsidR="004D5625" w:rsidRDefault="004D5625" w:rsidP="004D5625">
      <w:pPr>
        <w:pStyle w:val="BodyText"/>
      </w:pPr>
      <w:r>
        <w:t xml:space="preserve">The CGE model framework utilised in this study captures the technological relationship between different types of labour within industry including the relative substitutability between workers with different levels of qualifications and human capital. This relationship allows for the relative scarcity of different types of labour to be effectively captured in a dynamic economic framework, and total spillover wage effects from changes in the composition of labour skills to be directly estimated (see </w:t>
      </w:r>
      <w:r w:rsidR="00820905">
        <w:t>S</w:t>
      </w:r>
      <w:r>
        <w:t xml:space="preserve">ection </w:t>
      </w:r>
      <w:r>
        <w:fldChar w:fldCharType="begin"/>
      </w:r>
      <w:r>
        <w:instrText xml:space="preserve"> REF _Ref458153437 \r \h </w:instrText>
      </w:r>
      <w:r>
        <w:fldChar w:fldCharType="separate"/>
      </w:r>
      <w:r w:rsidR="00534F9F">
        <w:t>3.1.3</w:t>
      </w:r>
      <w:r>
        <w:fldChar w:fldCharType="end"/>
      </w:r>
      <w:r>
        <w:t xml:space="preserve">). </w:t>
      </w:r>
    </w:p>
    <w:p w:rsidR="004D5625" w:rsidRDefault="004D5625" w:rsidP="004D5625">
      <w:pPr>
        <w:pStyle w:val="BodyText"/>
      </w:pPr>
      <w:r>
        <w:t>Importantly however, increased levels of human capital can cause spillover returns to other workers in the economy through means other than changes to the relative scarcity of different workers and developmental spillovers from the increased accumulation of capital. Higher rates of educational attainment can affect the technology of industry and enhance the productivity of adjacent workers through knowledge spillover effects and improved rates of technological progress (Marginson, 2007). For example, as a person improves their human capital through higher rates of educational attainment, they affect the rates of human capital of the persons they work adjacently too by directly or indirectly sharing their knowledge and expertise (McMahon, 2004; Moretti, 2004).</w:t>
      </w:r>
    </w:p>
    <w:p w:rsidR="004D5625" w:rsidRDefault="004D5625" w:rsidP="004D5625">
      <w:pPr>
        <w:pStyle w:val="BodyText"/>
      </w:pPr>
      <w:r>
        <w:t>These ‘osmosis’-like effects of knowledge spillovers are inherently difficult to identify or measure in a detailed and systematic fashion. In general terms, it is likely that higher education qualifications and disciplines that are associated with industries and occupations that are more creative, collaborative and ‘knowledge-based’ will benefit more from these effects.</w:t>
      </w:r>
    </w:p>
    <w:p w:rsidR="004D5625" w:rsidRPr="0089473C" w:rsidRDefault="004D5625" w:rsidP="004D5625">
      <w:pPr>
        <w:pStyle w:val="BodyText"/>
      </w:pPr>
      <w:r>
        <w:t>In more tractable terms, there are a number of other notable phenomena that will affect the level of spillover benefits from higher education which are not effectively captured in the CGE model framework, these are outlined further below.</w:t>
      </w:r>
    </w:p>
    <w:p w:rsidR="004D5625" w:rsidRPr="00785CF0" w:rsidRDefault="004D5625" w:rsidP="004D5625">
      <w:pPr>
        <w:pStyle w:val="HeadingC"/>
        <w:rPr>
          <w:i/>
          <w:color w:val="00B0F0"/>
        </w:rPr>
      </w:pPr>
      <w:r w:rsidRPr="00785CF0">
        <w:rPr>
          <w:i/>
          <w:color w:val="00B0F0"/>
        </w:rPr>
        <w:t xml:space="preserve">Computerisation and </w:t>
      </w:r>
      <w:r>
        <w:rPr>
          <w:i/>
          <w:color w:val="00B0F0"/>
        </w:rPr>
        <w:t>digital disruption</w:t>
      </w:r>
    </w:p>
    <w:p w:rsidR="004D5625" w:rsidRDefault="004D5625" w:rsidP="004D5625">
      <w:pPr>
        <w:pStyle w:val="BodyText"/>
        <w:rPr>
          <w:rStyle w:val="Boldword"/>
          <w:rFonts w:cs="Arial"/>
          <w:b w:val="0"/>
          <w:color w:val="auto"/>
        </w:rPr>
      </w:pPr>
      <w:r w:rsidRPr="00C03B1E">
        <w:rPr>
          <w:lang w:eastAsia="en-AU"/>
        </w:rPr>
        <w:t xml:space="preserve">As </w:t>
      </w:r>
      <w:r>
        <w:rPr>
          <w:lang w:eastAsia="en-AU"/>
        </w:rPr>
        <w:t xml:space="preserve">digital disruption </w:t>
      </w:r>
      <w:r w:rsidR="00390FFA">
        <w:rPr>
          <w:lang w:eastAsia="en-AU"/>
        </w:rPr>
        <w:t>continues</w:t>
      </w:r>
      <w:r>
        <w:rPr>
          <w:lang w:eastAsia="en-AU"/>
        </w:rPr>
        <w:t xml:space="preserve"> to alter the way people communicate and interact in the workplace, and computerisation </w:t>
      </w:r>
      <w:r w:rsidR="00390FFA">
        <w:rPr>
          <w:lang w:eastAsia="en-AU"/>
        </w:rPr>
        <w:t>continues</w:t>
      </w:r>
      <w:r>
        <w:rPr>
          <w:lang w:eastAsia="en-AU"/>
        </w:rPr>
        <w:t xml:space="preserve"> to alter the skill requirements of workers</w:t>
      </w:r>
      <w:r w:rsidRPr="00C03B1E">
        <w:rPr>
          <w:lang w:eastAsia="en-AU"/>
        </w:rPr>
        <w:t>, the Australian economy will</w:t>
      </w:r>
      <w:r>
        <w:rPr>
          <w:lang w:eastAsia="en-AU"/>
        </w:rPr>
        <w:t xml:space="preserve"> require a workforce which not only has traditional ‘higher skills’, but </w:t>
      </w:r>
      <w:r>
        <w:rPr>
          <w:lang w:eastAsia="en-AU"/>
        </w:rPr>
        <w:lastRenderedPageBreak/>
        <w:t xml:space="preserve">also a workforce consisting of knowledge-workers that are </w:t>
      </w:r>
      <w:r w:rsidRPr="00425D36">
        <w:rPr>
          <w:rStyle w:val="Boldword"/>
          <w:b w:val="0"/>
          <w:color w:val="auto"/>
        </w:rPr>
        <w:t>creative, innovative and highly adaptable</w:t>
      </w:r>
      <w:r w:rsidRPr="00972A81">
        <w:rPr>
          <w:rStyle w:val="Boldword"/>
          <w:color w:val="auto"/>
        </w:rPr>
        <w:t xml:space="preserve"> </w:t>
      </w:r>
      <w:r>
        <w:rPr>
          <w:rStyle w:val="Boldword"/>
          <w:b w:val="0"/>
          <w:color w:val="auto"/>
        </w:rPr>
        <w:t>to the dynamic, technologically-changing nature of work in the future.</w:t>
      </w:r>
    </w:p>
    <w:p w:rsidR="004D5625" w:rsidRDefault="004D5625" w:rsidP="004D5625">
      <w:pPr>
        <w:pStyle w:val="BodyText"/>
        <w:rPr>
          <w:rStyle w:val="Boldword"/>
          <w:b w:val="0"/>
          <w:color w:val="auto"/>
        </w:rPr>
      </w:pPr>
      <w:r>
        <w:rPr>
          <w:rStyle w:val="Boldword"/>
          <w:b w:val="0"/>
          <w:color w:val="auto"/>
        </w:rPr>
        <w:t xml:space="preserve">As shown in </w:t>
      </w:r>
      <w:r w:rsidR="00820905">
        <w:rPr>
          <w:rStyle w:val="Boldword"/>
          <w:b w:val="0"/>
          <w:color w:val="auto"/>
        </w:rPr>
        <w:fldChar w:fldCharType="begin"/>
      </w:r>
      <w:r w:rsidR="00820905">
        <w:rPr>
          <w:rStyle w:val="Boldword"/>
          <w:b w:val="0"/>
          <w:color w:val="auto"/>
        </w:rPr>
        <w:instrText xml:space="preserve"> REF _Ref465944184 \r \h </w:instrText>
      </w:r>
      <w:r w:rsidR="00820905">
        <w:rPr>
          <w:rStyle w:val="Boldword"/>
          <w:b w:val="0"/>
          <w:color w:val="auto"/>
        </w:rPr>
      </w:r>
      <w:r w:rsidR="00820905">
        <w:rPr>
          <w:rStyle w:val="Boldword"/>
          <w:b w:val="0"/>
          <w:color w:val="auto"/>
        </w:rPr>
        <w:fldChar w:fldCharType="separate"/>
      </w:r>
      <w:r w:rsidR="00534F9F">
        <w:rPr>
          <w:rStyle w:val="Boldword"/>
          <w:b w:val="0"/>
          <w:color w:val="auto"/>
        </w:rPr>
        <w:t>Chart 5.6</w:t>
      </w:r>
      <w:r w:rsidR="00820905">
        <w:rPr>
          <w:rStyle w:val="Boldword"/>
          <w:b w:val="0"/>
          <w:color w:val="auto"/>
        </w:rPr>
        <w:fldChar w:fldCharType="end"/>
      </w:r>
      <w:r w:rsidR="005D6CB5">
        <w:rPr>
          <w:rStyle w:val="Boldword"/>
          <w:b w:val="0"/>
          <w:color w:val="auto"/>
        </w:rPr>
        <w:t xml:space="preserve"> </w:t>
      </w:r>
      <w:r>
        <w:rPr>
          <w:rStyle w:val="Boldword"/>
          <w:b w:val="0"/>
          <w:color w:val="auto"/>
        </w:rPr>
        <w:t xml:space="preserve">below, based on Frey and Osborne (2013), computerisation is likely to have a </w:t>
      </w:r>
      <w:r w:rsidR="005D6CB5">
        <w:rPr>
          <w:rStyle w:val="Boldword"/>
          <w:b w:val="0"/>
          <w:color w:val="auto"/>
        </w:rPr>
        <w:t>dramatic</w:t>
      </w:r>
      <w:r>
        <w:rPr>
          <w:rStyle w:val="Boldword"/>
          <w:b w:val="0"/>
          <w:color w:val="auto"/>
        </w:rPr>
        <w:t xml:space="preserve"> impact </w:t>
      </w:r>
      <w:r w:rsidR="005D6CB5">
        <w:rPr>
          <w:rStyle w:val="Boldword"/>
          <w:b w:val="0"/>
          <w:color w:val="auto"/>
        </w:rPr>
        <w:t xml:space="preserve">on labour demand </w:t>
      </w:r>
      <w:r>
        <w:rPr>
          <w:rStyle w:val="Boldword"/>
          <w:b w:val="0"/>
          <w:color w:val="auto"/>
        </w:rPr>
        <w:t>across a wide range of employment types. According to their estimates, 47% of total US employment is in the high risk category where occupational tasks are susceptible to being substituted with computer capital/technological automation.</w:t>
      </w:r>
    </w:p>
    <w:p w:rsidR="004D5625" w:rsidRPr="002800C0" w:rsidRDefault="004D5625" w:rsidP="004D5625">
      <w:pPr>
        <w:pStyle w:val="CaptionChart"/>
        <w:rPr>
          <w:color w:val="002060"/>
        </w:rPr>
      </w:pPr>
      <w:bookmarkStart w:id="201" w:name="_Ref457379874"/>
      <w:bookmarkStart w:id="202" w:name="_Toc457384129"/>
      <w:bookmarkStart w:id="203" w:name="_Ref465944184"/>
      <w:bookmarkStart w:id="204" w:name="_Toc465961160"/>
      <w:r w:rsidRPr="002800C0">
        <w:rPr>
          <w:rStyle w:val="Boldword"/>
          <w:b/>
          <w:color w:val="002060"/>
        </w:rPr>
        <w:t>: Probability of computerisation by occupation type</w:t>
      </w:r>
      <w:bookmarkEnd w:id="201"/>
      <w:r>
        <w:rPr>
          <w:rStyle w:val="Boldword"/>
          <w:b/>
          <w:color w:val="002060"/>
        </w:rPr>
        <w:t>, US labour market</w:t>
      </w:r>
      <w:bookmarkEnd w:id="202"/>
      <w:bookmarkEnd w:id="203"/>
      <w:bookmarkEnd w:id="204"/>
    </w:p>
    <w:p w:rsidR="004D5625" w:rsidRDefault="00D32561" w:rsidP="00DA4CA5">
      <w:pPr>
        <w:pStyle w:val="BodyText"/>
        <w:spacing w:before="120"/>
      </w:pPr>
      <w:r w:rsidRPr="00D32561">
        <w:t xml:space="preserve"> </w:t>
      </w:r>
      <w:r w:rsidRPr="00D32561">
        <w:rPr>
          <w:noProof/>
          <w:lang w:eastAsia="en-AU"/>
        </w:rPr>
        <w:drawing>
          <wp:inline distT="0" distB="0" distL="0" distR="0" wp14:anchorId="50BA6602" wp14:editId="19E83FA8">
            <wp:extent cx="5220335" cy="2959717"/>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20335" cy="2959717"/>
                    </a:xfrm>
                    <a:prstGeom prst="rect">
                      <a:avLst/>
                    </a:prstGeom>
                    <a:noFill/>
                    <a:ln>
                      <a:noFill/>
                    </a:ln>
                  </pic:spPr>
                </pic:pic>
              </a:graphicData>
            </a:graphic>
          </wp:inline>
        </w:drawing>
      </w:r>
    </w:p>
    <w:p w:rsidR="004D5625" w:rsidRPr="00972A81" w:rsidRDefault="004D5625" w:rsidP="004D5625">
      <w:pPr>
        <w:pStyle w:val="Source"/>
      </w:pPr>
      <w:r w:rsidRPr="002800C0">
        <w:t>Source: Frey and Osborne (2013)</w:t>
      </w:r>
    </w:p>
    <w:p w:rsidR="004D5625" w:rsidRDefault="004D5625" w:rsidP="004D5625">
      <w:pPr>
        <w:pStyle w:val="BodyText"/>
        <w:rPr>
          <w:rStyle w:val="Boldword"/>
          <w:b w:val="0"/>
          <w:color w:val="auto"/>
        </w:rPr>
      </w:pPr>
      <w:r>
        <w:rPr>
          <w:rStyle w:val="Boldword"/>
          <w:b w:val="0"/>
          <w:color w:val="auto"/>
        </w:rPr>
        <w:t>Commonly cited examples of computerisation are the advent of driverless cars, speech recognition, language translation, pattern recognition and computerised inventory management systems that mean a number of industries, from transportation to sales to office and administrative support, will have lower demand for workers with certain skills (for example, see Brynjolfsson and McAfee, 2011).</w:t>
      </w:r>
    </w:p>
    <w:p w:rsidR="004D5625" w:rsidRDefault="004D5625" w:rsidP="004D5625">
      <w:pPr>
        <w:pStyle w:val="BodyText"/>
      </w:pPr>
      <w:r>
        <w:t>The empirical analysis conducted for this study takes a static view of the nature of technology in the Australian economy and therefore does not meaningfully capture the impact of disruptive technological change like that outlined here</w:t>
      </w:r>
      <w:r w:rsidR="00390FFA" w:rsidRPr="00390FFA">
        <w:t xml:space="preserve"> </w:t>
      </w:r>
      <w:r w:rsidR="00390FFA">
        <w:t>(beyond that already reflected in the baseline results)</w:t>
      </w:r>
      <w:r>
        <w:t xml:space="preserve">. </w:t>
      </w:r>
    </w:p>
    <w:p w:rsidR="004D5625" w:rsidRDefault="004D5625" w:rsidP="004D5625">
      <w:pPr>
        <w:pStyle w:val="BodyText"/>
      </w:pPr>
      <w:r>
        <w:t xml:space="preserve">A defining feature of this phenomenon is that—unlike historical effects of technological progress—the effects of computerisation and digital disruption are not limited to workers completing more menial, routine and predominately manual tasks. Computerisation has the potential to significantly displace workers whose vocation includes more complex cognitive tasks, which are can be associated with higher degree qualifications (CEDA, 2014). For example, many service, sales, and administrative support roles are expected to be affected by computerisation and digital disruption, as outlined in </w:t>
      </w:r>
      <w:r>
        <w:rPr>
          <w:rStyle w:val="Boldword"/>
          <w:b w:val="0"/>
          <w:color w:val="auto"/>
        </w:rPr>
        <w:fldChar w:fldCharType="begin"/>
      </w:r>
      <w:r>
        <w:rPr>
          <w:rStyle w:val="Boldword"/>
          <w:b w:val="0"/>
          <w:color w:val="auto"/>
        </w:rPr>
        <w:instrText xml:space="preserve"> REF _Ref457379874 \r \h </w:instrText>
      </w:r>
      <w:r>
        <w:rPr>
          <w:rStyle w:val="Boldword"/>
          <w:b w:val="0"/>
          <w:color w:val="auto"/>
        </w:rPr>
      </w:r>
      <w:r>
        <w:rPr>
          <w:rStyle w:val="Boldword"/>
          <w:b w:val="0"/>
          <w:color w:val="auto"/>
        </w:rPr>
        <w:fldChar w:fldCharType="separate"/>
      </w:r>
      <w:r w:rsidR="00534F9F">
        <w:rPr>
          <w:rStyle w:val="Boldword"/>
          <w:b w:val="0"/>
          <w:color w:val="auto"/>
        </w:rPr>
        <w:t>Chart 5.6</w:t>
      </w:r>
      <w:r>
        <w:rPr>
          <w:rStyle w:val="Boldword"/>
          <w:b w:val="0"/>
          <w:color w:val="auto"/>
        </w:rPr>
        <w:fldChar w:fldCharType="end"/>
      </w:r>
      <w:r>
        <w:rPr>
          <w:rStyle w:val="Boldword"/>
          <w:b w:val="0"/>
          <w:color w:val="auto"/>
        </w:rPr>
        <w:t xml:space="preserve"> above.</w:t>
      </w:r>
    </w:p>
    <w:p w:rsidR="004D5625" w:rsidRDefault="004D5625" w:rsidP="004D5625">
      <w:pPr>
        <w:pStyle w:val="BodyText"/>
      </w:pPr>
      <w:r>
        <w:lastRenderedPageBreak/>
        <w:t>In general terms, the impact of computerisation and digital disruption implies that the spillover returns from certain higher education qualifications and disciplines will be relatively higher (compared to those estimated in the CGE model framework) for those whose graduates participate in industries that are less affected by this phenomena, as their inherent human capital gained through their qualification attainment will continue to have productive value to industry into the future.</w:t>
      </w:r>
    </w:p>
    <w:p w:rsidR="004D5625" w:rsidRDefault="004D5625" w:rsidP="004D5625">
      <w:pPr>
        <w:pStyle w:val="BodyText"/>
      </w:pPr>
      <w:r>
        <w:t>It should be noted though, that higher education can play a significant role in fostering the generation of knowledge-workers that can not only avoid being at risk of computerisation and automation, but through their creativity and innovation, take advantage of emerging technologies to augment their productivity, shedding away low-value, routine tasks and focussing on higher-value activities. Indeed, as identified by Deloitte Access Economics (2014) in their report on Australia’s innovation imperative, a key part of innovation is being able to take advantage of digital infrastructure that facilitate knowledge flows in order to connect ideas, innovate old ideas and create new ideas in order to generate further economic value.</w:t>
      </w:r>
    </w:p>
    <w:p w:rsidR="004D5625" w:rsidRDefault="004D5625" w:rsidP="004D5625">
      <w:pPr>
        <w:pStyle w:val="BodyText"/>
      </w:pPr>
      <w:r>
        <w:t>While the CGE model framework takes a static historical-based view of the Australian economy when assessed against this force of disruption, the implicit assumptions regarding the nature and form of higher education qualifications is similarly static and historically-based. Innovations to the content, delivery and form of higher education qualifications in the future may have profound effects on their relative value in terms of additional human capital, thereby affecting both the private and public returns that are generated in the context of a changing economic landscape (Deloitte Access Economics, 2015).</w:t>
      </w:r>
      <w:r w:rsidR="00390FFA">
        <w:t xml:space="preserve"> The longer</w:t>
      </w:r>
      <w:r w:rsidR="006E582C">
        <w:t>-</w:t>
      </w:r>
      <w:r w:rsidR="00390FFA">
        <w:t xml:space="preserve"> term nature of this means it is more of a foresighting or scenario analysis task than a forecasting exercise.</w:t>
      </w:r>
    </w:p>
    <w:p w:rsidR="004D5625" w:rsidRPr="00785CF0" w:rsidRDefault="004D5625" w:rsidP="004D5625">
      <w:pPr>
        <w:pStyle w:val="HeadingC"/>
        <w:rPr>
          <w:i/>
          <w:color w:val="00B0F0"/>
        </w:rPr>
      </w:pPr>
      <w:r w:rsidRPr="00785CF0">
        <w:rPr>
          <w:i/>
          <w:color w:val="00B0F0"/>
        </w:rPr>
        <w:t>Entrepreneurship and business ownership</w:t>
      </w:r>
    </w:p>
    <w:p w:rsidR="00390FFA" w:rsidRDefault="004D5625" w:rsidP="004D5625">
      <w:pPr>
        <w:pStyle w:val="BodyText"/>
      </w:pPr>
      <w:r>
        <w:t xml:space="preserve">As outlined above, the current CGE model framework takes industry technologies as given—that is, there is no inherent mechanism in the framework </w:t>
      </w:r>
      <w:r w:rsidR="002C4E75">
        <w:t xml:space="preserve">to </w:t>
      </w:r>
      <w:r>
        <w:t xml:space="preserve">explain how total factor productivity growth occurs endogenously over time. </w:t>
      </w:r>
    </w:p>
    <w:p w:rsidR="004D5625" w:rsidRDefault="004D5625" w:rsidP="004D5625">
      <w:pPr>
        <w:pStyle w:val="BodyText"/>
      </w:pPr>
      <w:r>
        <w:t xml:space="preserve">Technological progress is known to be determined by a range of factors, including rates of educational attainment and investments in research and development by firms and the government </w:t>
      </w:r>
      <w:r w:rsidR="004D4C3E">
        <w:t>(</w:t>
      </w:r>
      <w:r>
        <w:t xml:space="preserve">Elnrasi and Fox, 2014). Technological advancement is also affected by the presence of entrepreneurs and innovators, who play a critical role in developing new technologies, products and businesses which ultimately drive long-term economic growth </w:t>
      </w:r>
      <w:r w:rsidR="004D4C3E">
        <w:t>(</w:t>
      </w:r>
      <w:r>
        <w:t>Deloitte Access Economics</w:t>
      </w:r>
      <w:r w:rsidR="004D4C3E">
        <w:t>,</w:t>
      </w:r>
      <w:r>
        <w:t xml:space="preserve"> 2015).</w:t>
      </w:r>
    </w:p>
    <w:p w:rsidR="004D5625" w:rsidRDefault="004D5625" w:rsidP="004D5625">
      <w:pPr>
        <w:pStyle w:val="BodyText"/>
      </w:pPr>
      <w:r>
        <w:t xml:space="preserve">There is evidence to suggest that some higher education qualifications and disciplines are more likely to produce entrepreneurs and business owners. Indeed, certain higher education fields are able to encourage the development of skills and cognitive thinking required for business leadership or innovative commercial activities for students that graduate in these fields (often by design). </w:t>
      </w:r>
    </w:p>
    <w:p w:rsidR="004D5625" w:rsidRDefault="004D5625" w:rsidP="004D5625">
      <w:pPr>
        <w:pStyle w:val="BodyText"/>
      </w:pPr>
      <w:r>
        <w:t xml:space="preserve">As shown below in </w:t>
      </w:r>
      <w:r>
        <w:fldChar w:fldCharType="begin"/>
      </w:r>
      <w:r>
        <w:instrText xml:space="preserve"> REF _Ref457388146 \r \h </w:instrText>
      </w:r>
      <w:r>
        <w:fldChar w:fldCharType="separate"/>
      </w:r>
      <w:r w:rsidR="00534F9F">
        <w:t>Chart 5.7</w:t>
      </w:r>
      <w:r>
        <w:fldChar w:fldCharType="end"/>
      </w:r>
      <w:r>
        <w:t>, the manager occupation makes up the highest proportion of employed persons aged 15-64 in the non-school qualifications of agriculture and environment studies (25%) and in terms of management and commerce (22%). Other non-school qualification fields with noticeable proportions include information and communications technology (18%) and physical and natural sciences (16%).</w:t>
      </w:r>
    </w:p>
    <w:p w:rsidR="004D5625" w:rsidRDefault="004D5625" w:rsidP="004D5625">
      <w:pPr>
        <w:pStyle w:val="BodyText"/>
      </w:pPr>
      <w:r>
        <w:lastRenderedPageBreak/>
        <w:t>These indicators provide some evidence to suggest that certain higher education disciplines have a greater propensity to produce graduates who are entrepreneurs or business owners.  However, it should be noted that the manager occupation has only a very approximate equivalence to entrepreneurs or business owners. Further empirical research to expand on this evidence base for entrepreneurs or business owners specifically would allow for more tractable conclusions to be made here.</w:t>
      </w:r>
    </w:p>
    <w:p w:rsidR="004D5625" w:rsidRDefault="004D5625" w:rsidP="004D5625">
      <w:pPr>
        <w:pStyle w:val="CaptionChart"/>
      </w:pPr>
      <w:bookmarkStart w:id="205" w:name="_Toc457384130"/>
      <w:bookmarkStart w:id="206" w:name="_Ref457388146"/>
      <w:bookmarkStart w:id="207" w:name="_Toc465961161"/>
      <w:r>
        <w:t>: Proportion of employed persons aged 15-64 years in manager occupation, by main non-</w:t>
      </w:r>
      <w:bookmarkEnd w:id="205"/>
      <w:r>
        <w:t>school qualification field</w:t>
      </w:r>
      <w:bookmarkEnd w:id="206"/>
      <w:bookmarkEnd w:id="207"/>
    </w:p>
    <w:p w:rsidR="004D5625" w:rsidRPr="002800C0" w:rsidRDefault="004D5625" w:rsidP="004D5625">
      <w:pPr>
        <w:pStyle w:val="BodyText"/>
        <w:jc w:val="center"/>
      </w:pPr>
      <w:r>
        <w:rPr>
          <w:noProof/>
          <w:lang w:eastAsia="en-AU"/>
        </w:rPr>
        <w:drawing>
          <wp:inline distT="0" distB="0" distL="0" distR="0" wp14:anchorId="7DDEDD34" wp14:editId="69D9178A">
            <wp:extent cx="5266946" cy="26334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5295986" cy="2647992"/>
                    </a:xfrm>
                    <a:prstGeom prst="rect">
                      <a:avLst/>
                    </a:prstGeom>
                    <a:noFill/>
                    <a:ln>
                      <a:noFill/>
                    </a:ln>
                    <a:extLst>
                      <a:ext uri="{53640926-AAD7-44D8-BBD7-CCE9431645EC}">
                        <a14:shadowObscured xmlns:a14="http://schemas.microsoft.com/office/drawing/2010/main"/>
                      </a:ext>
                    </a:extLst>
                  </pic:spPr>
                </pic:pic>
              </a:graphicData>
            </a:graphic>
          </wp:inline>
        </w:drawing>
      </w:r>
    </w:p>
    <w:p w:rsidR="004D5625" w:rsidRDefault="004D5625" w:rsidP="004D5625">
      <w:pPr>
        <w:pStyle w:val="BodyText"/>
        <w:rPr>
          <w:sz w:val="18"/>
          <w:szCs w:val="18"/>
        </w:rPr>
      </w:pPr>
      <w:r w:rsidRPr="002800C0">
        <w:rPr>
          <w:sz w:val="18"/>
          <w:szCs w:val="18"/>
        </w:rPr>
        <w:t xml:space="preserve">Source: </w:t>
      </w:r>
      <w:r>
        <w:rPr>
          <w:sz w:val="18"/>
          <w:szCs w:val="18"/>
        </w:rPr>
        <w:t xml:space="preserve">ABS Cat. 4235.0 – Qualifications and Work, Australia, 2015. Note: Non-school qualifications here refers to all non-school qualifications, including </w:t>
      </w:r>
      <w:r w:rsidR="0075680D">
        <w:rPr>
          <w:sz w:val="18"/>
          <w:szCs w:val="18"/>
        </w:rPr>
        <w:t>p</w:t>
      </w:r>
      <w:r>
        <w:rPr>
          <w:sz w:val="18"/>
          <w:szCs w:val="18"/>
        </w:rPr>
        <w:t xml:space="preserve">ostgraduate </w:t>
      </w:r>
      <w:r w:rsidR="0075680D">
        <w:rPr>
          <w:sz w:val="18"/>
          <w:szCs w:val="18"/>
        </w:rPr>
        <w:t>d</w:t>
      </w:r>
      <w:r>
        <w:rPr>
          <w:sz w:val="18"/>
          <w:szCs w:val="18"/>
        </w:rPr>
        <w:t xml:space="preserve">egrees, </w:t>
      </w:r>
      <w:r w:rsidR="0075680D">
        <w:rPr>
          <w:sz w:val="18"/>
          <w:szCs w:val="18"/>
        </w:rPr>
        <w:t>m</w:t>
      </w:r>
      <w:r>
        <w:rPr>
          <w:sz w:val="18"/>
          <w:szCs w:val="18"/>
        </w:rPr>
        <w:t xml:space="preserve">aster </w:t>
      </w:r>
      <w:r w:rsidR="0075680D">
        <w:rPr>
          <w:sz w:val="18"/>
          <w:szCs w:val="18"/>
        </w:rPr>
        <w:t>d</w:t>
      </w:r>
      <w:r>
        <w:rPr>
          <w:sz w:val="18"/>
          <w:szCs w:val="18"/>
        </w:rPr>
        <w:t xml:space="preserve">egrees, </w:t>
      </w:r>
      <w:r w:rsidR="0075680D">
        <w:rPr>
          <w:sz w:val="18"/>
          <w:szCs w:val="18"/>
        </w:rPr>
        <w:t>g</w:t>
      </w:r>
      <w:r>
        <w:rPr>
          <w:sz w:val="18"/>
          <w:szCs w:val="18"/>
        </w:rPr>
        <w:t xml:space="preserve">raduate </w:t>
      </w:r>
      <w:r w:rsidR="0075680D">
        <w:rPr>
          <w:sz w:val="18"/>
          <w:szCs w:val="18"/>
        </w:rPr>
        <w:t>d</w:t>
      </w:r>
      <w:r>
        <w:rPr>
          <w:sz w:val="18"/>
          <w:szCs w:val="18"/>
        </w:rPr>
        <w:t xml:space="preserve">iplomas, </w:t>
      </w:r>
      <w:r w:rsidR="0075680D">
        <w:rPr>
          <w:sz w:val="18"/>
          <w:szCs w:val="18"/>
        </w:rPr>
        <w:t>g</w:t>
      </w:r>
      <w:r>
        <w:rPr>
          <w:sz w:val="18"/>
          <w:szCs w:val="18"/>
        </w:rPr>
        <w:t xml:space="preserve">raduate </w:t>
      </w:r>
      <w:r w:rsidR="0075680D">
        <w:rPr>
          <w:sz w:val="18"/>
          <w:szCs w:val="18"/>
        </w:rPr>
        <w:t>c</w:t>
      </w:r>
      <w:r>
        <w:rPr>
          <w:sz w:val="18"/>
          <w:szCs w:val="18"/>
        </w:rPr>
        <w:t xml:space="preserve">ertificates, </w:t>
      </w:r>
      <w:r w:rsidR="0075680D">
        <w:rPr>
          <w:sz w:val="18"/>
          <w:szCs w:val="18"/>
        </w:rPr>
        <w:t>b</w:t>
      </w:r>
      <w:r>
        <w:rPr>
          <w:sz w:val="18"/>
          <w:szCs w:val="18"/>
        </w:rPr>
        <w:t xml:space="preserve">achelor </w:t>
      </w:r>
      <w:r w:rsidR="0075680D">
        <w:rPr>
          <w:sz w:val="18"/>
          <w:szCs w:val="18"/>
        </w:rPr>
        <w:t>d</w:t>
      </w:r>
      <w:r>
        <w:rPr>
          <w:sz w:val="18"/>
          <w:szCs w:val="18"/>
        </w:rPr>
        <w:t>egrees, Advanced Diplomas, Diplomas, and Certification I, II, III and IV.</w:t>
      </w:r>
    </w:p>
    <w:p w:rsidR="004D5625" w:rsidRDefault="004D5625" w:rsidP="004D5625">
      <w:pPr>
        <w:pStyle w:val="BodyText"/>
      </w:pPr>
      <w:r>
        <w:t>In summary, the analysis of broader knowledge-based spillovers provided here indicate</w:t>
      </w:r>
      <w:r w:rsidR="004D4C3E">
        <w:t>s</w:t>
      </w:r>
      <w:r>
        <w:t xml:space="preserve"> several conditions under which public benefits from attainment of specific higher education qualif</w:t>
      </w:r>
      <w:r w:rsidR="00390FFA">
        <w:t xml:space="preserve">ications and disciplines may not be fully captured </w:t>
      </w:r>
      <w:r>
        <w:t>in the current CGE based empirical analysis.</w:t>
      </w:r>
      <w:r w:rsidR="00390FFA">
        <w:t xml:space="preserve"> </w:t>
      </w:r>
    </w:p>
    <w:p w:rsidR="004D5625" w:rsidRPr="00136D36" w:rsidRDefault="004D5625" w:rsidP="004D5625">
      <w:pPr>
        <w:pStyle w:val="BodyText"/>
      </w:pPr>
      <w:r w:rsidRPr="00136D36">
        <w:t>In particular, the qualifications and disciplines that are most affected by this ‘bias’ in the empirical analysis conducted here are those where the industries which graduates participate in are:</w:t>
      </w:r>
    </w:p>
    <w:p w:rsidR="004D5625" w:rsidRPr="00136D36" w:rsidRDefault="004D5625" w:rsidP="004D5625">
      <w:pPr>
        <w:pStyle w:val="Bullet1"/>
      </w:pPr>
      <w:r w:rsidRPr="00136D36">
        <w:t xml:space="preserve">least likely to be </w:t>
      </w:r>
      <w:r w:rsidR="005B1323">
        <w:t>replaced</w:t>
      </w:r>
      <w:r w:rsidRPr="00136D36">
        <w:t xml:space="preserve"> by computerisation and digital disruption into the future; and</w:t>
      </w:r>
    </w:p>
    <w:p w:rsidR="004D5625" w:rsidRPr="00136D36" w:rsidRDefault="004D5625" w:rsidP="004D5625">
      <w:pPr>
        <w:pStyle w:val="Bullet1"/>
      </w:pPr>
      <w:proofErr w:type="gramStart"/>
      <w:r w:rsidRPr="00136D36">
        <w:rPr>
          <w:szCs w:val="22"/>
        </w:rPr>
        <w:t>most</w:t>
      </w:r>
      <w:proofErr w:type="gramEnd"/>
      <w:r w:rsidRPr="00136D36">
        <w:rPr>
          <w:szCs w:val="22"/>
        </w:rPr>
        <w:t xml:space="preserve"> likely to produce entrepreneurs/business owners who more effectively harness and realise the economic benefits of technological progress</w:t>
      </w:r>
      <w:r w:rsidRPr="00136D36">
        <w:t>.</w:t>
      </w:r>
    </w:p>
    <w:p w:rsidR="004D5625" w:rsidRDefault="004D5625" w:rsidP="004D5625">
      <w:pPr>
        <w:pStyle w:val="Heading3"/>
      </w:pPr>
      <w:r>
        <w:t>Non-market benefits from higher education</w:t>
      </w:r>
    </w:p>
    <w:p w:rsidR="004D5625" w:rsidRDefault="004D5625" w:rsidP="004D5625">
      <w:pPr>
        <w:pStyle w:val="BodyText"/>
      </w:pPr>
      <w:r>
        <w:t xml:space="preserve">As outlined in Section </w:t>
      </w:r>
      <w:r>
        <w:fldChar w:fldCharType="begin"/>
      </w:r>
      <w:r>
        <w:instrText xml:space="preserve"> REF _Ref457422319 \r \h </w:instrText>
      </w:r>
      <w:r>
        <w:fldChar w:fldCharType="separate"/>
      </w:r>
      <w:r w:rsidR="00534F9F">
        <w:t>2</w:t>
      </w:r>
      <w:r>
        <w:fldChar w:fldCharType="end"/>
      </w:r>
      <w:r>
        <w:t xml:space="preserve"> of this report, non-market private and public benefits are also generated through higher education attainment. These benefits are defined as improvements to welfare that occur indirectly to the market mechanisms of the labour supply and demand, which characterise private and public market benefits. These benefits can be measured in pecuniary terms—in terms of the willingness to pay or the value of </w:t>
      </w:r>
      <w:r>
        <w:lastRenderedPageBreak/>
        <w:t>avoided costs (e.g. through measures like the value of a statistical life)—or in non-pecuniary terms, such as increased levels of happiness and civic engagement.</w:t>
      </w:r>
    </w:p>
    <w:p w:rsidR="004D5625" w:rsidRDefault="004D5625" w:rsidP="004D5625">
      <w:pPr>
        <w:pStyle w:val="BodyText"/>
      </w:pPr>
      <w:r>
        <w:t xml:space="preserve">A comprehensive review of the literature on the private and public benefits from higher education attainment has been undertaken as part of this study. A summary of the key findings from this review is provided below. </w:t>
      </w:r>
    </w:p>
    <w:p w:rsidR="004D5625" w:rsidRDefault="004D5625" w:rsidP="004D5625">
      <w:pPr>
        <w:pStyle w:val="HeadingC"/>
      </w:pPr>
      <w:r>
        <w:t>Findings from previous studies</w:t>
      </w:r>
    </w:p>
    <w:p w:rsidR="004D5625" w:rsidRPr="00785CF0" w:rsidRDefault="004D5625" w:rsidP="004D5625">
      <w:pPr>
        <w:pStyle w:val="HeadingC"/>
        <w:rPr>
          <w:i/>
          <w:color w:val="00B0F0"/>
        </w:rPr>
      </w:pPr>
      <w:r w:rsidRPr="00785CF0">
        <w:rPr>
          <w:i/>
          <w:color w:val="00B0F0"/>
        </w:rPr>
        <w:t xml:space="preserve">Personal health </w:t>
      </w:r>
    </w:p>
    <w:p w:rsidR="004D5625" w:rsidRDefault="004D5625" w:rsidP="004D5625">
      <w:pPr>
        <w:pStyle w:val="Bullet1"/>
      </w:pPr>
      <w:r>
        <w:t xml:space="preserve">An OECD (2014) report finds that 90% of Australian adults with tertiary education reported they were in good health, compared to 84% of those with upper- or post-secondary non-tertiary education, and 76% of those without upper secondary education (OECD, 2014). </w:t>
      </w:r>
    </w:p>
    <w:p w:rsidR="004D5625" w:rsidRDefault="004D5625" w:rsidP="004D5625">
      <w:pPr>
        <w:pStyle w:val="Bullet1"/>
      </w:pPr>
      <w:r>
        <w:t>While this correlation does not control for income effects and raises questions of causality (e.g. more economically well-off, healthier individuals receive higher levels of education), analysis conducted in other countries suggests that improvements in health follow education and that this holds true even when effects, such as income or parents’ education, are controlled for (McMahon, 2009).</w:t>
      </w:r>
    </w:p>
    <w:p w:rsidR="004D5625" w:rsidRDefault="004D5625" w:rsidP="004D5625">
      <w:pPr>
        <w:pStyle w:val="Bullet1"/>
      </w:pPr>
      <w:r>
        <w:t xml:space="preserve">Fletcher and Frisvold (2009) found that attending college is associated with an increase in the likelihood of accessing preventive care. </w:t>
      </w:r>
    </w:p>
    <w:p w:rsidR="004D5625" w:rsidRDefault="004D5625" w:rsidP="004D5625">
      <w:pPr>
        <w:pStyle w:val="Bullet1"/>
      </w:pPr>
      <w:r>
        <w:t>An analysis of Australian data has found that university graduates have an average Body Mass Index (BMI) 0.5 points lower than non-graduates (Savage and Norton, 2012).</w:t>
      </w:r>
    </w:p>
    <w:p w:rsidR="004D5625" w:rsidRDefault="004D5625" w:rsidP="004D5625">
      <w:pPr>
        <w:pStyle w:val="Bullet1"/>
      </w:pPr>
      <w:r>
        <w:t>Grossman  (2009) concluded that the value of education to own health is approximately 40% of value of the market benefits of education that graduates receive, while McMahon estimated the value of health benefits to represent 54% of the private market benefits of a university education (McMahon, 2009).</w:t>
      </w:r>
    </w:p>
    <w:p w:rsidR="004D5625" w:rsidRDefault="004D5625" w:rsidP="004D5625">
      <w:pPr>
        <w:pStyle w:val="Bullet1"/>
      </w:pPr>
      <w:r>
        <w:t>It is also estimated that those with university education live five to seven years longer in Western economies (Grossman, 2006). In value terms, McMahon (2009) estimates the additional longevity arising from a university education to be USD $484 per year of higher education in 2007.</w:t>
      </w:r>
    </w:p>
    <w:p w:rsidR="004D5625" w:rsidRPr="00785CF0" w:rsidRDefault="004D5625" w:rsidP="004D5625">
      <w:pPr>
        <w:pStyle w:val="HeadingC"/>
        <w:rPr>
          <w:i/>
          <w:color w:val="00B0F0"/>
        </w:rPr>
      </w:pPr>
      <w:r w:rsidRPr="00785CF0">
        <w:rPr>
          <w:i/>
          <w:color w:val="00B0F0"/>
        </w:rPr>
        <w:t>Personal wellbeing</w:t>
      </w:r>
    </w:p>
    <w:p w:rsidR="004D5625" w:rsidRDefault="004D5625" w:rsidP="004D5625">
      <w:pPr>
        <w:pStyle w:val="Bullet1"/>
      </w:pPr>
      <w:r>
        <w:t xml:space="preserve">Even when controlling for secondary effects such as health and income, education itself has been found to have a positive effect on happiness - a study conducted by Di Tella et al. (2003) found that a university education contributes directly to happiness. </w:t>
      </w:r>
    </w:p>
    <w:p w:rsidR="004D5625" w:rsidRDefault="004D5625" w:rsidP="004D5625">
      <w:pPr>
        <w:pStyle w:val="Bullet1"/>
      </w:pPr>
      <w:r>
        <w:t>An analysis of Australian data also found greater life satisfaction in university graduates (Savage and Norton, 2012). University graduates were found to have better workplace relationships, feel connected to their local community, and have higher acceptance of other religions and races than non-graduates. These relationships can have a positive effect on overall happiness, as well as benefit society via increased social cohesion and connectivity (Savage and Norton, 2012).</w:t>
      </w:r>
    </w:p>
    <w:p w:rsidR="004D5625" w:rsidRDefault="004D5625" w:rsidP="004D5625">
      <w:pPr>
        <w:pStyle w:val="Bullet1"/>
      </w:pPr>
      <w:r>
        <w:t>However, given the intricate links between the factors that influence happiness, some studies have found there to be no direct contribution aside from the secondary effects (Helliwell, 2003).</w:t>
      </w:r>
    </w:p>
    <w:p w:rsidR="004D5625" w:rsidRPr="00785CF0" w:rsidRDefault="004D5625" w:rsidP="004D5625">
      <w:pPr>
        <w:pStyle w:val="HeadingC"/>
        <w:rPr>
          <w:i/>
          <w:color w:val="00B0F0"/>
        </w:rPr>
      </w:pPr>
      <w:r w:rsidRPr="00785CF0">
        <w:rPr>
          <w:i/>
          <w:color w:val="00B0F0"/>
        </w:rPr>
        <w:lastRenderedPageBreak/>
        <w:t>Personal finance</w:t>
      </w:r>
    </w:p>
    <w:p w:rsidR="004D5625" w:rsidRDefault="004D5625" w:rsidP="004D5625">
      <w:pPr>
        <w:pStyle w:val="Bullet1"/>
      </w:pPr>
      <w:r>
        <w:t>Studies have also found that university graduates are able to more efficiently manage financial assets compared with those who did not complete higher education, even after controlling for income levels. McMahon estimates the total savings arising from the efficient choices made by university graduates to be equivalent to $856 in 2007 US</w:t>
      </w:r>
      <w:r w:rsidR="006E582C">
        <w:t>D</w:t>
      </w:r>
      <w:r>
        <w:t xml:space="preserve"> per year of college (McMahon, 2009).</w:t>
      </w:r>
    </w:p>
    <w:p w:rsidR="004D5625" w:rsidRPr="00785CF0" w:rsidRDefault="004D5625" w:rsidP="004D5625">
      <w:pPr>
        <w:pStyle w:val="HeadingC"/>
        <w:rPr>
          <w:i/>
          <w:color w:val="00B0F0"/>
        </w:rPr>
      </w:pPr>
      <w:r w:rsidRPr="00785CF0">
        <w:rPr>
          <w:i/>
          <w:color w:val="00B0F0"/>
        </w:rPr>
        <w:t>Civic participation</w:t>
      </w:r>
    </w:p>
    <w:p w:rsidR="004D5625" w:rsidRDefault="004D5625" w:rsidP="004D5625">
      <w:pPr>
        <w:pStyle w:val="Bullet1"/>
      </w:pPr>
      <w:r>
        <w:t>Research in the US indicates</w:t>
      </w:r>
      <w:r w:rsidRPr="002A5B55">
        <w:t xml:space="preserve"> that educational attainment has large and statistically significant effects on</w:t>
      </w:r>
      <w:r>
        <w:t xml:space="preserve"> </w:t>
      </w:r>
      <w:r w:rsidRPr="002A5B55">
        <w:t>subsequent voter participati</w:t>
      </w:r>
      <w:r>
        <w:t xml:space="preserve">on and support for free speech and </w:t>
      </w:r>
      <w:r w:rsidRPr="002A5B55">
        <w:t>that additional schooling</w:t>
      </w:r>
      <w:r>
        <w:t xml:space="preserve"> </w:t>
      </w:r>
      <w:r w:rsidRPr="002A5B55">
        <w:t>appears to increase the quality of civic knowledge as measured by the frequency of newspaper</w:t>
      </w:r>
      <w:r>
        <w:t xml:space="preserve"> readership (Dee, 2004).</w:t>
      </w:r>
    </w:p>
    <w:p w:rsidR="004D5625" w:rsidRDefault="004D5625" w:rsidP="004D5625">
      <w:pPr>
        <w:pStyle w:val="BodyText"/>
      </w:pPr>
      <w:r>
        <w:t>Overall, it is clear from this review that there is very limited research which considers how private or public non-market benefits may be expected to vary on the basis of qualification and discipline. Studies that find that higher education attainment generated non-market benefits (even after controlling for income benefits) do not consider how these returns might be affected by discipline of study or qualification level.</w:t>
      </w:r>
    </w:p>
    <w:p w:rsidR="004D5625" w:rsidRDefault="004D5625" w:rsidP="004D5625">
      <w:pPr>
        <w:pStyle w:val="BodyText"/>
      </w:pPr>
      <w:r>
        <w:t>At a conceptual level there is limited scope for a tractable exposition of the way in which private and public benefits might be expected to vary on the basis of higher education qualification or discipline. Non-market benefits are generally defined in very broad terms and relate to the concept of education and human capital only at an aggregate level (McMahon, 2004; Chapman and Lounkaew, 2011; Lomax-Smith, 2011).</w:t>
      </w:r>
    </w:p>
    <w:p w:rsidR="004D5625" w:rsidRDefault="004D5625" w:rsidP="004D5625">
      <w:pPr>
        <w:pStyle w:val="BodyText"/>
      </w:pPr>
      <w:r>
        <w:t>This study has identified one notable way in which non-market benefits may be expected to vary on the basis of qualification, which relates to industry specific flow-on non-market benefits that are not meaningfully captured in the CGE model framework. A systematic discussion of these effects is provided below, with possible implications for the findings provided here discussed in detail.</w:t>
      </w:r>
    </w:p>
    <w:p w:rsidR="004D5625" w:rsidRPr="00785CF0" w:rsidRDefault="004D5625" w:rsidP="004D5625">
      <w:pPr>
        <w:pStyle w:val="HeadingC"/>
        <w:rPr>
          <w:rStyle w:val="Boldword"/>
          <w:sz w:val="24"/>
          <w:lang w:eastAsia="en-US"/>
        </w:rPr>
      </w:pPr>
      <w:r>
        <w:t>Possible flow-on non-market benefits</w:t>
      </w:r>
    </w:p>
    <w:p w:rsidR="004D5625" w:rsidRDefault="004D5625" w:rsidP="004D5625">
      <w:pPr>
        <w:pStyle w:val="BodyText"/>
      </w:pPr>
      <w:r>
        <w:t xml:space="preserve">The CGE model framework developed as part of this study captures private and public market benefits from higher education attainment. These benefits are measured in terms of the incomes paid to the factors of production which are used to produce total economic output. </w:t>
      </w:r>
    </w:p>
    <w:p w:rsidR="004D5625" w:rsidRDefault="004D5625" w:rsidP="004D5625">
      <w:pPr>
        <w:pStyle w:val="BodyText"/>
      </w:pPr>
      <w:r>
        <w:t>In the context of the CGE model, it is also possible to consider how flow-on impacts from productivity benefits relate to overall welfare in the society. When the output of an industry increases due to higher levels of labour productivity the value of this additional industry specific output is equal to its hedonic value to society, as determined by the relative prices paid to factor incomes in the general equilibrium framework. That is, an increase in output in a particular industry is measured in terms of its value relative to other forms of output in the economy, in a context where all resources are utilised to maximise total welfare (given certain constraints).</w:t>
      </w:r>
    </w:p>
    <w:p w:rsidR="004D5625" w:rsidRDefault="004D5625" w:rsidP="004D5625">
      <w:pPr>
        <w:pStyle w:val="BodyText"/>
      </w:pPr>
      <w:r>
        <w:t xml:space="preserve">A key assumption in this CGE framework is the existence of idealised or frictionless markets and prices, where incomes paid to factors of production are equal to their marginal value towards producing total economic output and overall welfare. This assumption implies that </w:t>
      </w:r>
      <w:r>
        <w:lastRenderedPageBreak/>
        <w:t>any flow-on pecuniary benefits (which are valued by society) are ‘priced in’ to the value of goods and services produced in the economy, and ultimately to the incomes paid to factors of production, including wages paid to labour and the value of human capital generated through higher education attainment.</w:t>
      </w:r>
    </w:p>
    <w:p w:rsidR="004D5625" w:rsidRDefault="004D5625" w:rsidP="004D5625">
      <w:pPr>
        <w:pStyle w:val="BodyText"/>
      </w:pPr>
      <w:r>
        <w:t>In reality, the extent to which industries and sectors in the Australian economy can be considered to represent perfectly functioning markets is varied. The divergence of industries from this assumption may imply that there are particular non-market benefits that spillover from enhanced levels of human capital and productivity which are not captured in the value of additional economic output and incomes, as measured in the CGE model framework.</w:t>
      </w:r>
    </w:p>
    <w:p w:rsidR="004D5625" w:rsidRDefault="004D5625" w:rsidP="004D5625">
      <w:pPr>
        <w:pStyle w:val="BodyText"/>
      </w:pPr>
      <w:r>
        <w:t xml:space="preserve">The primary industries or sectors in the economy which are most divergent from this assumption are in the public or government sector. The existence of more rigid wage structures tied to public policy objectives implicit in the public sector limit the extent to which flow-on benefits to society (from improved government services, such as education or healthcare) can be dynamically captured in the CGE model framework’s characterisation of the sector. </w:t>
      </w:r>
    </w:p>
    <w:p w:rsidR="004D5625" w:rsidRDefault="004D5625" w:rsidP="004D5625">
      <w:pPr>
        <w:pStyle w:val="BodyText"/>
      </w:pPr>
      <w:r>
        <w:t>Take, as an example, the education sector. An increase in the proportion of workers in this industry with a higher education qualification may mean proportionally more higher education qualified staff working in schools. To the extent that higher education qualifications are associated with improved quality of the schooling system, the impact of this increase in human capital would be an improvement in the outcomes of the schooling system, which may be measured in terms of results on standardised tests, like the OECD Programme for International Student Assessment (PISA).</w:t>
      </w:r>
    </w:p>
    <w:p w:rsidR="004D5625" w:rsidRDefault="004D5625" w:rsidP="004D5625">
      <w:pPr>
        <w:pStyle w:val="BodyText"/>
      </w:pPr>
      <w:r>
        <w:t xml:space="preserve">It has been established that improved student outcomes for Australian students can have significant long-term impacts on economic growth and national income. For example, using a similar approach that developed for this study, Deloitte Access Economics have estimated that a 5% increase in average student PISA scores would result in a $12 billion increase in Australia’s GDP in the year 2066 (Deloitte Access Economics, </w:t>
      </w:r>
      <w:r w:rsidR="00961D72">
        <w:t>forthcoming</w:t>
      </w:r>
      <w:r>
        <w:t xml:space="preserve">). </w:t>
      </w:r>
    </w:p>
    <w:p w:rsidR="004D5625" w:rsidRDefault="004D5625" w:rsidP="004D5625">
      <w:pPr>
        <w:pStyle w:val="BodyText"/>
      </w:pPr>
      <w:r>
        <w:t>To some extent, the flow-on benefits that result from increased higher education attainment in the schooling system are captured in the market economy. Higher educated professionals in the schooling system receive higher levels of remuneration in recognition of their increased work value—including the value of their human capital towards generating learning outcomes for students. To the extent that the government allocates public funding towards uses of resources in the economy that generate public benefit, this flow-on benefit is ‘internalised’ in the market economy. Indeed, as the productivity or quality of the sector improves, governments may optimally invest further in the schooling system to realise greater social benefit, which is also captured in the flow-on economic benefits measured through the CGE model framework (in an fashion that is analogous to private industry investing in more in businesses due to increased labour productivity).</w:t>
      </w:r>
    </w:p>
    <w:p w:rsidR="004D5625" w:rsidRDefault="004D5625" w:rsidP="004D5625">
      <w:pPr>
        <w:pStyle w:val="BodyText"/>
      </w:pPr>
      <w:r>
        <w:t xml:space="preserve">Recognising the above observation, it is possible that significant quanta of flow-on benefits from higher education attainment in the education sector (or other public sectors of the economy) are not effectively captured in the market economy, and therefore in the CGE model framework. This is due to the inherent definition of public goods (that is, goods which are not optimally produced by the private market), as well as the fact that it is difficult to effectively measure the ‘quality’ of public sector industries in relation to the social outcomes </w:t>
      </w:r>
      <w:r>
        <w:lastRenderedPageBreak/>
        <w:t>that they generate. Further the effective prioritisation of public resources towards these factors is restricted by the limitations of government in raising revenue through taxation, and political considerations, among other factors.</w:t>
      </w:r>
    </w:p>
    <w:p w:rsidR="004D5625" w:rsidRDefault="004D5625" w:rsidP="004D5625">
      <w:pPr>
        <w:pStyle w:val="BodyText"/>
      </w:pPr>
      <w:r>
        <w:t>The observation that these non-market benefits are most prevalent in the public sector implies that the total public benefits for higher education qualifications and disciplines that are most intensively utilised by the public sector may be underestimated in the CGE model framework. However, it should be noted that the presence of flow-on non-market benefits is not necessarily restricted to the public sector. In more general terms, the existence of significant non-market spillover benefits is related to industry specific ‘market failure’ and ‘government failure’</w:t>
      </w:r>
      <w:r w:rsidR="00390FFA">
        <w:t xml:space="preserve"> (i.e. a market failure not fully addressed by government)</w:t>
      </w:r>
      <w:r>
        <w:t xml:space="preserve"> that is not captured in the CGE model framework.</w:t>
      </w:r>
    </w:p>
    <w:p w:rsidR="004D5625" w:rsidRDefault="004D5625" w:rsidP="004D5625">
      <w:pPr>
        <w:pStyle w:val="BodyText"/>
      </w:pPr>
      <w:r>
        <w:t xml:space="preserve">To illustrate this point, </w:t>
      </w:r>
      <w:r>
        <w:fldChar w:fldCharType="begin"/>
      </w:r>
      <w:r>
        <w:instrText xml:space="preserve"> REF _Ref458439128 \r \h </w:instrText>
      </w:r>
      <w:r>
        <w:fldChar w:fldCharType="separate"/>
      </w:r>
      <w:r w:rsidR="00534F9F">
        <w:t>Chart 5.8</w:t>
      </w:r>
      <w:r>
        <w:fldChar w:fldCharType="end"/>
      </w:r>
      <w:r>
        <w:t xml:space="preserve"> and </w:t>
      </w:r>
      <w:r w:rsidR="006E582C">
        <w:fldChar w:fldCharType="begin"/>
      </w:r>
      <w:r w:rsidR="006E582C">
        <w:instrText xml:space="preserve"> REF _Ref458439133 \r \h </w:instrText>
      </w:r>
      <w:r w:rsidR="006E582C">
        <w:fldChar w:fldCharType="separate"/>
      </w:r>
      <w:r w:rsidR="00534F9F">
        <w:t>Chart 5.9</w:t>
      </w:r>
      <w:r w:rsidR="006E582C">
        <w:fldChar w:fldCharType="end"/>
      </w:r>
      <w:r w:rsidR="006E582C">
        <w:t xml:space="preserve"> </w:t>
      </w:r>
      <w:r>
        <w:t>below show the variance in wage setting arrangements between sectors and industries in the Australian economy. In general terms, sectors and industries with a greater prevalence of individual wage setting agreements can be con</w:t>
      </w:r>
      <w:r w:rsidRPr="00F45CC2">
        <w:t>sidered to more closely align with the implicit assumptions of the CGE model framework, with respect to the perfect pricing mechanisms in the economy.</w:t>
      </w:r>
      <w:r w:rsidRPr="00F10013">
        <w:t xml:space="preserve"> </w:t>
      </w:r>
    </w:p>
    <w:p w:rsidR="004D5625" w:rsidRPr="00264AA1" w:rsidRDefault="004D5625" w:rsidP="00DA4CA5">
      <w:pPr>
        <w:pStyle w:val="CaptionChart"/>
      </w:pPr>
      <w:bookmarkStart w:id="208" w:name="_Ref458439128"/>
      <w:bookmarkStart w:id="209" w:name="_Toc465961162"/>
      <w:r>
        <w:t xml:space="preserve">: </w:t>
      </w:r>
      <w:r w:rsidRPr="00264AA1">
        <w:t xml:space="preserve">Wage setting by </w:t>
      </w:r>
      <w:r w:rsidR="00820905">
        <w:t>s</w:t>
      </w:r>
      <w:r w:rsidRPr="00264AA1">
        <w:t>ector</w:t>
      </w:r>
      <w:bookmarkEnd w:id="208"/>
      <w:bookmarkEnd w:id="209"/>
    </w:p>
    <w:p w:rsidR="004D5625" w:rsidRDefault="004D5625" w:rsidP="004D5625">
      <w:pPr>
        <w:jc w:val="center"/>
        <w:rPr>
          <w:szCs w:val="22"/>
        </w:rPr>
      </w:pPr>
      <w:r>
        <w:rPr>
          <w:noProof/>
          <w:szCs w:val="22"/>
          <w:lang w:eastAsia="en-AU"/>
        </w:rPr>
        <w:drawing>
          <wp:inline distT="0" distB="0" distL="0" distR="0" wp14:anchorId="4868E884" wp14:editId="7BACF28E">
            <wp:extent cx="4180869" cy="135784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77913" cy="1356881"/>
                    </a:xfrm>
                    <a:prstGeom prst="rect">
                      <a:avLst/>
                    </a:prstGeom>
                    <a:noFill/>
                  </pic:spPr>
                </pic:pic>
              </a:graphicData>
            </a:graphic>
          </wp:inline>
        </w:drawing>
      </w:r>
    </w:p>
    <w:p w:rsidR="004D5625" w:rsidRPr="00264AA1" w:rsidRDefault="004D5625" w:rsidP="004D5625">
      <w:pPr>
        <w:pStyle w:val="Source"/>
      </w:pPr>
      <w:r w:rsidRPr="00F10013">
        <w:t>Source:</w:t>
      </w:r>
      <w:r w:rsidRPr="00986E24">
        <w:t xml:space="preserve"> ABS Cat No. 6306, May 2014</w:t>
      </w:r>
    </w:p>
    <w:p w:rsidR="004D5625" w:rsidRPr="00264AA1" w:rsidRDefault="004D5625" w:rsidP="00DA4CA5">
      <w:pPr>
        <w:pStyle w:val="CaptionChart"/>
      </w:pPr>
      <w:bookmarkStart w:id="210" w:name="_Ref458439133"/>
      <w:bookmarkStart w:id="211" w:name="_Toc465961163"/>
      <w:r>
        <w:lastRenderedPageBreak/>
        <w:t xml:space="preserve">: </w:t>
      </w:r>
      <w:r w:rsidRPr="00264AA1">
        <w:t>Wage setting by ANZSIC-1</w:t>
      </w:r>
      <w:bookmarkEnd w:id="210"/>
      <w:r>
        <w:t xml:space="preserve"> Industry</w:t>
      </w:r>
      <w:bookmarkEnd w:id="211"/>
      <w:r>
        <w:t xml:space="preserve"> </w:t>
      </w:r>
    </w:p>
    <w:p w:rsidR="004D5625" w:rsidRPr="00264AA1" w:rsidRDefault="004D5625" w:rsidP="004D5625">
      <w:pPr>
        <w:jc w:val="center"/>
        <w:rPr>
          <w:szCs w:val="22"/>
        </w:rPr>
      </w:pPr>
      <w:r>
        <w:rPr>
          <w:noProof/>
          <w:szCs w:val="22"/>
          <w:lang w:eastAsia="en-AU"/>
        </w:rPr>
        <w:drawing>
          <wp:inline distT="0" distB="0" distL="0" distR="0" wp14:anchorId="34E2334A" wp14:editId="64D6618B">
            <wp:extent cx="3339544" cy="31290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39795" cy="3129280"/>
                    </a:xfrm>
                    <a:prstGeom prst="rect">
                      <a:avLst/>
                    </a:prstGeom>
                    <a:noFill/>
                  </pic:spPr>
                </pic:pic>
              </a:graphicData>
            </a:graphic>
          </wp:inline>
        </w:drawing>
      </w:r>
    </w:p>
    <w:p w:rsidR="004D5625" w:rsidRPr="00264AA1" w:rsidRDefault="004D5625" w:rsidP="004D5625">
      <w:pPr>
        <w:pStyle w:val="Source"/>
      </w:pPr>
      <w:r w:rsidRPr="00F10013">
        <w:t>Source:</w:t>
      </w:r>
      <w:r w:rsidRPr="00986E24">
        <w:t xml:space="preserve"> ABS Cat No. 6306, May 2014</w:t>
      </w:r>
    </w:p>
    <w:p w:rsidR="004D5625" w:rsidRDefault="004D5625" w:rsidP="004D5625">
      <w:pPr>
        <w:pStyle w:val="BodyText"/>
      </w:pPr>
      <w:r>
        <w:t xml:space="preserve">The above exposition of how non-market public benefits may vary on the basis of industry sector gives some indication of the how these benefits may vary on the basis of discipline. In particular, the relative public benefits in disciplines such as education, health and arts—where graduates are more likely to be employed in the public sector—may be underestimated in the central empirical analysis developed here through the use of the CGE model framework. </w:t>
      </w:r>
    </w:p>
    <w:p w:rsidR="009C6C96" w:rsidRDefault="004D5625" w:rsidP="009C6C96">
      <w:pPr>
        <w:pStyle w:val="BodyText"/>
      </w:pPr>
      <w:r>
        <w:t>In practice, an analysis that would seek to comprehensively capture all possible non-market flow-on benefits for all disciplines and qualifications as outlined here would be highly complex. The tractability of such an exercise is limited by a dearth of consistent measures that relate ‘quality’ in these sectors of the economy and the value of the outcomes that they produce for society. As such, a qualitative assessment to inform and complement any policy implications that follow from the findings of this study is considered appropriate.</w:t>
      </w:r>
    </w:p>
    <w:p w:rsidR="009C6C96" w:rsidRDefault="009C6C96" w:rsidP="009C6C96">
      <w:pPr>
        <w:pStyle w:val="Heading1"/>
        <w:numPr>
          <w:ilvl w:val="0"/>
          <w:numId w:val="8"/>
        </w:numPr>
      </w:pPr>
      <w:bookmarkStart w:id="212" w:name="_Ref457333251"/>
      <w:bookmarkStart w:id="213" w:name="_Toc465961208"/>
      <w:bookmarkStart w:id="214" w:name="_Ref454883461"/>
      <w:r>
        <w:lastRenderedPageBreak/>
        <w:t>A dynamic view of the benefits to higher education</w:t>
      </w:r>
      <w:bookmarkEnd w:id="212"/>
      <w:bookmarkEnd w:id="213"/>
    </w:p>
    <w:p w:rsidR="009C6C96" w:rsidRPr="00AF24B4" w:rsidRDefault="009C6C96" w:rsidP="009C6C96">
      <w:pPr>
        <w:pStyle w:val="BodyText"/>
      </w:pPr>
      <w:r w:rsidRPr="00AF24B4">
        <w:t xml:space="preserve">The </w:t>
      </w:r>
      <w:r>
        <w:t xml:space="preserve">key empirical </w:t>
      </w:r>
      <w:r w:rsidRPr="00AF24B4">
        <w:t xml:space="preserve">results </w:t>
      </w:r>
      <w:r>
        <w:t xml:space="preserve">presented in </w:t>
      </w:r>
      <w:r w:rsidR="00CF18B4">
        <w:t>Sections</w:t>
      </w:r>
      <w:r>
        <w:t xml:space="preserve"> 4 and 5 are based on observed, historical relationships between the </w:t>
      </w:r>
      <w:r w:rsidR="009873BB">
        <w:t xml:space="preserve">tertiary </w:t>
      </w:r>
      <w:r>
        <w:t xml:space="preserve">education system and the labour force, and the labour force relative to the economy overall. This </w:t>
      </w:r>
      <w:r w:rsidR="00CF18B4">
        <w:t>section</w:t>
      </w:r>
      <w:r>
        <w:t xml:space="preserve"> explores how some of the key features of these relationships may change in the future, and the implications of these for the estimates of private and public benefits of higher education.</w:t>
      </w:r>
    </w:p>
    <w:p w:rsidR="009C6C96" w:rsidRDefault="009C6C96" w:rsidP="009C6C96">
      <w:pPr>
        <w:pStyle w:val="Heading2"/>
        <w:numPr>
          <w:ilvl w:val="1"/>
          <w:numId w:val="8"/>
        </w:numPr>
      </w:pPr>
      <w:bookmarkStart w:id="215" w:name="_Ref458438641"/>
      <w:bookmarkStart w:id="216" w:name="_Toc465961209"/>
      <w:r>
        <w:t xml:space="preserve">Structural reform in the </w:t>
      </w:r>
      <w:r w:rsidR="00A514D7">
        <w:t>tertiary</w:t>
      </w:r>
      <w:r>
        <w:t xml:space="preserve"> education sector</w:t>
      </w:r>
      <w:bookmarkEnd w:id="215"/>
      <w:bookmarkEnd w:id="216"/>
    </w:p>
    <w:p w:rsidR="009C6C96" w:rsidRDefault="009C6C96" w:rsidP="009C6C96">
      <w:pPr>
        <w:pStyle w:val="BodyText"/>
      </w:pPr>
      <w:r>
        <w:t xml:space="preserve">The demand-driven system reforms introduced </w:t>
      </w:r>
      <w:r w:rsidR="00F117D5">
        <w:t>over</w:t>
      </w:r>
      <w:r>
        <w:t xml:space="preserve"> 2010 to 2012 may have had an impact on the relative public and private benefits of higher education by influencing: </w:t>
      </w:r>
    </w:p>
    <w:p w:rsidR="009C6C96" w:rsidRDefault="009C6C96" w:rsidP="009C6C96">
      <w:pPr>
        <w:pStyle w:val="Bullet1"/>
      </w:pPr>
      <w:r>
        <w:t xml:space="preserve">the relative scarcity of university graduates; </w:t>
      </w:r>
    </w:p>
    <w:p w:rsidR="009C6C96" w:rsidRDefault="009C6C96" w:rsidP="009C6C96">
      <w:pPr>
        <w:pStyle w:val="Bullet1"/>
      </w:pPr>
      <w:r>
        <w:t xml:space="preserve">the skill mix within the economy; </w:t>
      </w:r>
    </w:p>
    <w:p w:rsidR="009C6C96" w:rsidRDefault="009C6C96" w:rsidP="009C6C96">
      <w:pPr>
        <w:pStyle w:val="Bullet1"/>
      </w:pPr>
      <w:r>
        <w:t xml:space="preserve">the take-up of alternative pathways; </w:t>
      </w:r>
      <w:r w:rsidR="00F117D5">
        <w:t>and/</w:t>
      </w:r>
      <w:r>
        <w:t>or</w:t>
      </w:r>
    </w:p>
    <w:p w:rsidR="009C6C96" w:rsidRDefault="009C6C96" w:rsidP="009C6C96">
      <w:pPr>
        <w:pStyle w:val="Bullet1"/>
      </w:pPr>
      <w:proofErr w:type="gramStart"/>
      <w:r>
        <w:t>the</w:t>
      </w:r>
      <w:proofErr w:type="gramEnd"/>
      <w:r>
        <w:t xml:space="preserve"> </w:t>
      </w:r>
      <w:r w:rsidR="00F117D5">
        <w:t xml:space="preserve">market shares of </w:t>
      </w:r>
      <w:r>
        <w:t xml:space="preserve">provider </w:t>
      </w:r>
      <w:r w:rsidR="00F117D5">
        <w:t>types</w:t>
      </w:r>
      <w:r>
        <w:t xml:space="preserve">.  </w:t>
      </w:r>
    </w:p>
    <w:p w:rsidR="009C6C96" w:rsidRDefault="009C6C96" w:rsidP="009C6C96">
      <w:pPr>
        <w:pStyle w:val="BodyText"/>
      </w:pPr>
      <w:r>
        <w:t xml:space="preserve">Each of these hypotheses are explored in this section, supported by data on the scale and degree of changes in commencements in higher education since 2012. </w:t>
      </w:r>
    </w:p>
    <w:p w:rsidR="009C6C96" w:rsidRPr="00D332CD" w:rsidRDefault="009C6C96" w:rsidP="009C6C96">
      <w:pPr>
        <w:pStyle w:val="BodyText"/>
        <w:rPr>
          <w:rStyle w:val="Boldword"/>
        </w:rPr>
      </w:pPr>
      <w:r w:rsidRPr="00A46D42">
        <w:rPr>
          <w:rStyle w:val="Boldword"/>
        </w:rPr>
        <w:t xml:space="preserve">Relative scarcity of university graduates </w:t>
      </w:r>
    </w:p>
    <w:p w:rsidR="009C6C96" w:rsidRDefault="009C6C96" w:rsidP="009C6C96">
      <w:pPr>
        <w:pStyle w:val="BodyText"/>
      </w:pPr>
      <w:r>
        <w:t>The number of undergraduate and postgraduate commencements has increased since the introduction of the demand-driven system (4.8% and 5.3% average annual growth, respectively between 2012 and 2014), although it was generally trending upwards before 2012 (</w:t>
      </w:r>
      <w:r>
        <w:fldChar w:fldCharType="begin"/>
      </w:r>
      <w:r>
        <w:instrText xml:space="preserve"> REF _Ref458095950 \r \h </w:instrText>
      </w:r>
      <w:r>
        <w:fldChar w:fldCharType="separate"/>
      </w:r>
      <w:r w:rsidR="00534F9F">
        <w:t>Chart 6.1</w:t>
      </w:r>
      <w:r>
        <w:fldChar w:fldCharType="end"/>
      </w:r>
      <w:r>
        <w:t xml:space="preserve">). </w:t>
      </w:r>
    </w:p>
    <w:p w:rsidR="009C6C96" w:rsidRPr="0070316A" w:rsidRDefault="009C6C96" w:rsidP="009C0EF1">
      <w:pPr>
        <w:pStyle w:val="CaptionChart"/>
        <w:numPr>
          <w:ilvl w:val="7"/>
          <w:numId w:val="8"/>
        </w:numPr>
        <w:ind w:left="0"/>
        <w:rPr>
          <w:rStyle w:val="Boldword"/>
          <w:b/>
          <w:bCs w:val="0"/>
          <w:color w:val="002776" w:themeColor="accent1"/>
          <w:szCs w:val="20"/>
        </w:rPr>
      </w:pPr>
      <w:bookmarkStart w:id="217" w:name="_Ref458095950"/>
      <w:bookmarkStart w:id="218" w:name="_Toc465961164"/>
      <w:r>
        <w:rPr>
          <w:rStyle w:val="Boldword"/>
          <w:b/>
          <w:color w:val="002776" w:themeColor="accent1"/>
        </w:rPr>
        <w:lastRenderedPageBreak/>
        <w:t>: Undergraduate and postgraduate commencements</w:t>
      </w:r>
      <w:bookmarkEnd w:id="217"/>
      <w:bookmarkEnd w:id="218"/>
    </w:p>
    <w:p w:rsidR="009C6C96" w:rsidRDefault="00EB3210" w:rsidP="009C6C96">
      <w:pPr>
        <w:pStyle w:val="BodyText"/>
        <w:jc w:val="center"/>
      </w:pPr>
      <w:r>
        <w:rPr>
          <w:noProof/>
          <w:lang w:eastAsia="en-AU"/>
        </w:rPr>
        <w:drawing>
          <wp:inline distT="0" distB="0" distL="0" distR="0" wp14:anchorId="0F68EC2A" wp14:editId="4738B27E">
            <wp:extent cx="4664075" cy="2737485"/>
            <wp:effectExtent l="0" t="0" r="3175"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64075" cy="2737485"/>
                    </a:xfrm>
                    <a:prstGeom prst="rect">
                      <a:avLst/>
                    </a:prstGeom>
                    <a:noFill/>
                  </pic:spPr>
                </pic:pic>
              </a:graphicData>
            </a:graphic>
          </wp:inline>
        </w:drawing>
      </w:r>
    </w:p>
    <w:p w:rsidR="009C6C96" w:rsidRDefault="009C6C96" w:rsidP="009C6C96">
      <w:pPr>
        <w:pStyle w:val="Source"/>
        <w:rPr>
          <w:rStyle w:val="Boldword"/>
          <w:b w:val="0"/>
          <w:color w:val="auto"/>
          <w:sz w:val="18"/>
          <w:lang w:eastAsia="en-US"/>
        </w:rPr>
      </w:pPr>
      <w:r>
        <w:rPr>
          <w:rStyle w:val="Boldword"/>
          <w:b w:val="0"/>
          <w:color w:val="auto"/>
          <w:sz w:val="18"/>
          <w:lang w:eastAsia="en-US"/>
        </w:rPr>
        <w:t>Source: Higher Education UCube. Note: Only includes domestic students.</w:t>
      </w:r>
    </w:p>
    <w:p w:rsidR="009C6C96" w:rsidRDefault="009C6C96" w:rsidP="009C6C96">
      <w:pPr>
        <w:pStyle w:val="BodyText"/>
      </w:pPr>
      <w:r w:rsidRPr="00900227">
        <w:t>However</w:t>
      </w:r>
      <w:r>
        <w:t xml:space="preserve">, </w:t>
      </w:r>
      <w:r w:rsidRPr="00900227">
        <w:t>whether</w:t>
      </w:r>
      <w:r>
        <w:t xml:space="preserve"> this increase in commencements has translated into a decrease in the relative scarcity of university graduates in the labour market (and population more generally) is dependent on whether higher education completion rates have changed over this period. Unfortunately, this cannot be presently observed, as data for 2015 and 2016 (when those who commenced in 2012 would be likely completing their studies) is not yet available. </w:t>
      </w:r>
    </w:p>
    <w:p w:rsidR="009C6C96" w:rsidRDefault="009C6C96" w:rsidP="009C6C96">
      <w:pPr>
        <w:pStyle w:val="BodyText"/>
        <w:rPr>
          <w:rStyle w:val="Boldword"/>
        </w:rPr>
      </w:pPr>
      <w:r>
        <w:rPr>
          <w:rStyle w:val="Boldword"/>
        </w:rPr>
        <w:t>Skill mix within the economy</w:t>
      </w:r>
    </w:p>
    <w:p w:rsidR="009C6C96" w:rsidRDefault="009C6C96" w:rsidP="009C6C96">
      <w:pPr>
        <w:pStyle w:val="BodyText"/>
        <w:rPr>
          <w:rStyle w:val="Boldword"/>
          <w:b w:val="0"/>
          <w:color w:val="auto"/>
        </w:rPr>
      </w:pPr>
      <w:r>
        <w:rPr>
          <w:rStyle w:val="Boldword"/>
          <w:b w:val="0"/>
          <w:color w:val="auto"/>
        </w:rPr>
        <w:t>Examining higher education commencements since 2001, the relative shares of each field of education has not changed dramatically (</w:t>
      </w:r>
      <w:r>
        <w:rPr>
          <w:rStyle w:val="Boldword"/>
          <w:b w:val="0"/>
          <w:color w:val="auto"/>
        </w:rPr>
        <w:fldChar w:fldCharType="begin"/>
      </w:r>
      <w:r>
        <w:rPr>
          <w:rStyle w:val="Boldword"/>
          <w:b w:val="0"/>
          <w:color w:val="auto"/>
        </w:rPr>
        <w:instrText xml:space="preserve"> REF _Ref458086704 \r \h </w:instrText>
      </w:r>
      <w:r>
        <w:rPr>
          <w:rStyle w:val="Boldword"/>
          <w:b w:val="0"/>
          <w:color w:val="auto"/>
        </w:rPr>
      </w:r>
      <w:r>
        <w:rPr>
          <w:rStyle w:val="Boldword"/>
          <w:b w:val="0"/>
          <w:color w:val="auto"/>
        </w:rPr>
        <w:fldChar w:fldCharType="separate"/>
      </w:r>
      <w:r w:rsidR="00534F9F">
        <w:rPr>
          <w:rStyle w:val="Boldword"/>
          <w:b w:val="0"/>
          <w:color w:val="auto"/>
        </w:rPr>
        <w:t>Chart 6.2</w:t>
      </w:r>
      <w:r>
        <w:rPr>
          <w:rStyle w:val="Boldword"/>
          <w:b w:val="0"/>
          <w:color w:val="auto"/>
        </w:rPr>
        <w:fldChar w:fldCharType="end"/>
      </w:r>
      <w:r>
        <w:rPr>
          <w:rStyle w:val="Boldword"/>
          <w:b w:val="0"/>
          <w:color w:val="auto"/>
        </w:rPr>
        <w:t>). Whil</w:t>
      </w:r>
      <w:r w:rsidR="00D77B81">
        <w:rPr>
          <w:rStyle w:val="Boldword"/>
          <w:b w:val="0"/>
          <w:color w:val="auto"/>
        </w:rPr>
        <w:t>e</w:t>
      </w:r>
      <w:r>
        <w:rPr>
          <w:rStyle w:val="Boldword"/>
          <w:b w:val="0"/>
          <w:color w:val="auto"/>
        </w:rPr>
        <w:t xml:space="preserve"> there have been increases in the share of total enrolments in Health (from 11% in 2001 to 18% in 2014) and declines in Management and Commerce (from 19% in 2001 to </w:t>
      </w:r>
      <w:r w:rsidR="00D77372">
        <w:rPr>
          <w:rStyle w:val="Boldword"/>
          <w:b w:val="0"/>
          <w:color w:val="auto"/>
        </w:rPr>
        <w:t xml:space="preserve">16% in 2013, rebounding to </w:t>
      </w:r>
      <w:r>
        <w:rPr>
          <w:rStyle w:val="Boldword"/>
          <w:b w:val="0"/>
          <w:color w:val="auto"/>
        </w:rPr>
        <w:t xml:space="preserve">17% in 2014), these shifts and trends were already occurring before the introduction of the demand driven system in 2012. </w:t>
      </w:r>
    </w:p>
    <w:p w:rsidR="009C6C96" w:rsidRPr="0082418C" w:rsidRDefault="00A601B6" w:rsidP="009C0EF1">
      <w:pPr>
        <w:pStyle w:val="CaptionChart"/>
        <w:numPr>
          <w:ilvl w:val="7"/>
          <w:numId w:val="8"/>
        </w:numPr>
        <w:ind w:left="0"/>
        <w:rPr>
          <w:rStyle w:val="Boldword"/>
          <w:b/>
          <w:bCs w:val="0"/>
          <w:color w:val="002776" w:themeColor="accent1"/>
          <w:szCs w:val="20"/>
        </w:rPr>
      </w:pPr>
      <w:bookmarkStart w:id="219" w:name="_Ref458086704"/>
      <w:bookmarkStart w:id="220" w:name="_Toc465961165"/>
      <w:r>
        <w:rPr>
          <w:rStyle w:val="Boldword"/>
          <w:b/>
          <w:color w:val="002776" w:themeColor="accent1"/>
        </w:rPr>
        <w:lastRenderedPageBreak/>
        <w:t>: Field of education shares of b</w:t>
      </w:r>
      <w:r w:rsidR="009C6C96" w:rsidRPr="0082418C">
        <w:rPr>
          <w:rStyle w:val="Boldword"/>
          <w:b/>
          <w:color w:val="002776" w:themeColor="accent1"/>
        </w:rPr>
        <w:t>achelor commencements</w:t>
      </w:r>
      <w:bookmarkEnd w:id="219"/>
      <w:bookmarkEnd w:id="220"/>
    </w:p>
    <w:p w:rsidR="009C6C96" w:rsidRDefault="005D6CB5" w:rsidP="009C6C96">
      <w:pPr>
        <w:pStyle w:val="Source"/>
        <w:jc w:val="center"/>
        <w:rPr>
          <w:rStyle w:val="Boldword"/>
          <w:b w:val="0"/>
          <w:color w:val="auto"/>
        </w:rPr>
      </w:pPr>
      <w:r>
        <w:rPr>
          <w:noProof/>
          <w:sz w:val="22"/>
          <w:lang w:eastAsia="en-AU"/>
        </w:rPr>
        <w:drawing>
          <wp:inline distT="0" distB="0" distL="0" distR="0" wp14:anchorId="65245E31" wp14:editId="3F3E7683">
            <wp:extent cx="5572125" cy="310896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72125" cy="3108960"/>
                    </a:xfrm>
                    <a:prstGeom prst="rect">
                      <a:avLst/>
                    </a:prstGeom>
                    <a:noFill/>
                  </pic:spPr>
                </pic:pic>
              </a:graphicData>
            </a:graphic>
          </wp:inline>
        </w:drawing>
      </w:r>
    </w:p>
    <w:p w:rsidR="009C6C96" w:rsidRDefault="009C6C96" w:rsidP="009C6C96">
      <w:pPr>
        <w:pStyle w:val="Source"/>
        <w:rPr>
          <w:rStyle w:val="Boldword"/>
          <w:b w:val="0"/>
          <w:color w:val="auto"/>
          <w:sz w:val="18"/>
          <w:lang w:eastAsia="en-US"/>
        </w:rPr>
      </w:pPr>
      <w:r>
        <w:rPr>
          <w:rStyle w:val="Boldword"/>
          <w:b w:val="0"/>
          <w:color w:val="auto"/>
          <w:sz w:val="18"/>
          <w:lang w:eastAsia="en-US"/>
        </w:rPr>
        <w:t>Source: Higher Education UCube. Note: Only includes domestic students.</w:t>
      </w:r>
    </w:p>
    <w:p w:rsidR="009C6C96" w:rsidRPr="0082418C" w:rsidRDefault="009C6C96" w:rsidP="009C6C96">
      <w:pPr>
        <w:pStyle w:val="BodyText"/>
        <w:rPr>
          <w:rStyle w:val="Boldword"/>
          <w:b w:val="0"/>
          <w:color w:val="auto"/>
        </w:rPr>
      </w:pPr>
      <w:r w:rsidRPr="0082418C">
        <w:rPr>
          <w:rStyle w:val="Boldword"/>
          <w:b w:val="0"/>
          <w:color w:val="auto"/>
        </w:rPr>
        <w:t xml:space="preserve">Broadly, this suggests that </w:t>
      </w:r>
      <w:r>
        <w:rPr>
          <w:rStyle w:val="Boldword"/>
          <w:b w:val="0"/>
          <w:color w:val="auto"/>
        </w:rPr>
        <w:t>the introduction of the demand driven system has not changed the fields students are choosing to enrol in (and suggests if these patterns of enrolment continue to hold, that the current skills mix in the economy will not change over time as a result of the introduction of the demand-driven system).</w:t>
      </w:r>
    </w:p>
    <w:p w:rsidR="009C6C96" w:rsidRPr="008773AB" w:rsidRDefault="009C6C96" w:rsidP="009C6C96">
      <w:pPr>
        <w:pStyle w:val="BodyText"/>
        <w:rPr>
          <w:rStyle w:val="Boldword"/>
        </w:rPr>
      </w:pPr>
      <w:r w:rsidRPr="008773AB">
        <w:rPr>
          <w:rStyle w:val="Boldword"/>
        </w:rPr>
        <w:t xml:space="preserve">Take-up of alternative pathways </w:t>
      </w:r>
    </w:p>
    <w:p w:rsidR="009C6C96" w:rsidRDefault="009C6C96" w:rsidP="009C6C96">
      <w:pPr>
        <w:pStyle w:val="BodyText"/>
        <w:rPr>
          <w:rStyle w:val="Boldword"/>
          <w:b w:val="0"/>
          <w:color w:val="auto"/>
        </w:rPr>
      </w:pPr>
      <w:r>
        <w:rPr>
          <w:rStyle w:val="Boldword"/>
          <w:b w:val="0"/>
          <w:color w:val="auto"/>
        </w:rPr>
        <w:t xml:space="preserve">The introduction of the demand driven system is thought to have driven some learners into enrolling into higher education qualifications rather than VET qualifications. </w:t>
      </w:r>
      <w:r>
        <w:rPr>
          <w:rStyle w:val="Boldword"/>
          <w:b w:val="0"/>
          <w:color w:val="auto"/>
        </w:rPr>
        <w:fldChar w:fldCharType="begin"/>
      </w:r>
      <w:r>
        <w:rPr>
          <w:rStyle w:val="Boldword"/>
          <w:b w:val="0"/>
          <w:color w:val="auto"/>
        </w:rPr>
        <w:instrText xml:space="preserve"> REF _Ref458086404 \r \h </w:instrText>
      </w:r>
      <w:r>
        <w:rPr>
          <w:rStyle w:val="Boldword"/>
          <w:b w:val="0"/>
          <w:color w:val="auto"/>
        </w:rPr>
      </w:r>
      <w:r>
        <w:rPr>
          <w:rStyle w:val="Boldword"/>
          <w:b w:val="0"/>
          <w:color w:val="auto"/>
        </w:rPr>
        <w:fldChar w:fldCharType="separate"/>
      </w:r>
      <w:r w:rsidR="00534F9F">
        <w:rPr>
          <w:rStyle w:val="Boldword"/>
          <w:b w:val="0"/>
          <w:color w:val="auto"/>
        </w:rPr>
        <w:t>Chart 6.3</w:t>
      </w:r>
      <w:r>
        <w:rPr>
          <w:rStyle w:val="Boldword"/>
          <w:b w:val="0"/>
          <w:color w:val="auto"/>
        </w:rPr>
        <w:fldChar w:fldCharType="end"/>
      </w:r>
      <w:r>
        <w:rPr>
          <w:rStyle w:val="Boldword"/>
          <w:b w:val="0"/>
          <w:color w:val="auto"/>
        </w:rPr>
        <w:t xml:space="preserve"> shows the number of commencements in </w:t>
      </w:r>
      <w:r w:rsidR="0075680D">
        <w:rPr>
          <w:rStyle w:val="Boldword"/>
          <w:b w:val="0"/>
          <w:color w:val="auto"/>
        </w:rPr>
        <w:t>s</w:t>
      </w:r>
      <w:r>
        <w:rPr>
          <w:rStyle w:val="Boldword"/>
          <w:b w:val="0"/>
          <w:color w:val="auto"/>
        </w:rPr>
        <w:t>ub-</w:t>
      </w:r>
      <w:r w:rsidR="0075680D">
        <w:rPr>
          <w:rStyle w:val="Boldword"/>
          <w:b w:val="0"/>
          <w:color w:val="auto"/>
        </w:rPr>
        <w:t>b</w:t>
      </w:r>
      <w:r>
        <w:rPr>
          <w:rStyle w:val="Boldword"/>
          <w:b w:val="0"/>
          <w:color w:val="auto"/>
        </w:rPr>
        <w:t>achelor degrees (defined as undergraduate other degrees)</w:t>
      </w:r>
      <w:r w:rsidR="00A514D7">
        <w:rPr>
          <w:rStyle w:val="Boldword"/>
          <w:b w:val="0"/>
          <w:color w:val="auto"/>
        </w:rPr>
        <w:t xml:space="preserve">, </w:t>
      </w:r>
      <w:r w:rsidR="0075680D">
        <w:rPr>
          <w:rStyle w:val="Boldword"/>
          <w:b w:val="0"/>
          <w:color w:val="auto"/>
        </w:rPr>
        <w:t>b</w:t>
      </w:r>
      <w:r w:rsidR="00A514D7">
        <w:rPr>
          <w:rStyle w:val="Boldword"/>
          <w:b w:val="0"/>
          <w:color w:val="auto"/>
        </w:rPr>
        <w:t>achelor degrees</w:t>
      </w:r>
      <w:r>
        <w:rPr>
          <w:rStyle w:val="Boldword"/>
          <w:b w:val="0"/>
          <w:color w:val="auto"/>
        </w:rPr>
        <w:t xml:space="preserve"> and VET Diploma or higher qualifications between 2003 and 2014. </w:t>
      </w:r>
    </w:p>
    <w:p w:rsidR="009C6C96" w:rsidRDefault="009C6C96" w:rsidP="009C6C96">
      <w:pPr>
        <w:pStyle w:val="BodyText"/>
        <w:rPr>
          <w:rStyle w:val="Boldword"/>
          <w:b w:val="0"/>
          <w:color w:val="auto"/>
        </w:rPr>
      </w:pPr>
      <w:r>
        <w:rPr>
          <w:rStyle w:val="Boldword"/>
          <w:b w:val="0"/>
          <w:color w:val="auto"/>
        </w:rPr>
        <w:t xml:space="preserve">The quantum of VET Diploma or higher commencements is far greater than </w:t>
      </w:r>
      <w:r w:rsidR="0075680D">
        <w:rPr>
          <w:rStyle w:val="Boldword"/>
          <w:b w:val="0"/>
          <w:color w:val="auto"/>
        </w:rPr>
        <w:t>s</w:t>
      </w:r>
      <w:r>
        <w:rPr>
          <w:rStyle w:val="Boldword"/>
          <w:b w:val="0"/>
          <w:color w:val="auto"/>
        </w:rPr>
        <w:t>ub-</w:t>
      </w:r>
      <w:r w:rsidR="0075680D">
        <w:rPr>
          <w:rStyle w:val="Boldword"/>
          <w:b w:val="0"/>
          <w:color w:val="auto"/>
        </w:rPr>
        <w:t>b</w:t>
      </w:r>
      <w:r>
        <w:rPr>
          <w:rStyle w:val="Boldword"/>
          <w:b w:val="0"/>
          <w:color w:val="auto"/>
        </w:rPr>
        <w:t xml:space="preserve">achelor degrees, both before and after the introduction of the demand-driven system. The number of </w:t>
      </w:r>
      <w:r w:rsidR="0075680D">
        <w:rPr>
          <w:rStyle w:val="Boldword"/>
          <w:b w:val="0"/>
          <w:color w:val="auto"/>
        </w:rPr>
        <w:t>s</w:t>
      </w:r>
      <w:r>
        <w:rPr>
          <w:rStyle w:val="Boldword"/>
          <w:b w:val="0"/>
          <w:color w:val="auto"/>
        </w:rPr>
        <w:t>ub-</w:t>
      </w:r>
      <w:r w:rsidR="0075680D">
        <w:rPr>
          <w:rStyle w:val="Boldword"/>
          <w:b w:val="0"/>
          <w:color w:val="auto"/>
        </w:rPr>
        <w:t>b</w:t>
      </w:r>
      <w:r>
        <w:rPr>
          <w:rStyle w:val="Boldword"/>
          <w:b w:val="0"/>
          <w:color w:val="auto"/>
        </w:rPr>
        <w:t xml:space="preserve">achelor degree commencements has remained steady over the period, </w:t>
      </w:r>
      <w:r w:rsidR="00A514D7">
        <w:rPr>
          <w:rStyle w:val="Boldword"/>
          <w:b w:val="0"/>
          <w:color w:val="auto"/>
        </w:rPr>
        <w:t xml:space="preserve">and the growth in bachelor degrees has continued at broadly the same pace set from 2008. </w:t>
      </w:r>
      <w:r>
        <w:rPr>
          <w:rStyle w:val="Boldword"/>
          <w:b w:val="0"/>
          <w:color w:val="auto"/>
        </w:rPr>
        <w:t xml:space="preserve">VET Diploma or higher commencements have fluctuated over the period, and decreased since 2012. </w:t>
      </w:r>
    </w:p>
    <w:p w:rsidR="009C6C96" w:rsidRPr="00CE1B00" w:rsidRDefault="009C6C96" w:rsidP="009C0EF1">
      <w:pPr>
        <w:pStyle w:val="CaptionChart"/>
        <w:numPr>
          <w:ilvl w:val="7"/>
          <w:numId w:val="8"/>
        </w:numPr>
        <w:ind w:left="0"/>
        <w:rPr>
          <w:rStyle w:val="Boldword"/>
          <w:b/>
          <w:bCs w:val="0"/>
          <w:color w:val="002776" w:themeColor="accent1"/>
          <w:szCs w:val="20"/>
        </w:rPr>
      </w:pPr>
      <w:bookmarkStart w:id="221" w:name="_Ref458086404"/>
      <w:bookmarkStart w:id="222" w:name="_Toc465961166"/>
      <w:r w:rsidRPr="00CE1B00">
        <w:rPr>
          <w:rStyle w:val="Boldword"/>
          <w:b/>
          <w:color w:val="002776" w:themeColor="accent1"/>
        </w:rPr>
        <w:lastRenderedPageBreak/>
        <w:t xml:space="preserve">: Comparison of </w:t>
      </w:r>
      <w:r w:rsidR="0075680D">
        <w:rPr>
          <w:rStyle w:val="Boldword"/>
          <w:b/>
          <w:color w:val="002776" w:themeColor="accent1"/>
        </w:rPr>
        <w:t>b</w:t>
      </w:r>
      <w:r w:rsidR="00A514D7">
        <w:rPr>
          <w:rStyle w:val="Boldword"/>
          <w:b/>
          <w:color w:val="002776" w:themeColor="accent1"/>
        </w:rPr>
        <w:t xml:space="preserve">achelor, </w:t>
      </w:r>
      <w:r w:rsidR="0075680D">
        <w:rPr>
          <w:rStyle w:val="Boldword"/>
          <w:b/>
          <w:color w:val="002776" w:themeColor="accent1"/>
        </w:rPr>
        <w:t>s</w:t>
      </w:r>
      <w:r>
        <w:rPr>
          <w:rStyle w:val="Boldword"/>
          <w:b/>
          <w:color w:val="002776" w:themeColor="accent1"/>
        </w:rPr>
        <w:t>ub-</w:t>
      </w:r>
      <w:r w:rsidR="0075680D">
        <w:rPr>
          <w:rStyle w:val="Boldword"/>
          <w:b/>
          <w:color w:val="002776" w:themeColor="accent1"/>
        </w:rPr>
        <w:t>b</w:t>
      </w:r>
      <w:r>
        <w:rPr>
          <w:rStyle w:val="Boldword"/>
          <w:b/>
          <w:color w:val="002776" w:themeColor="accent1"/>
        </w:rPr>
        <w:t xml:space="preserve">achelor and VET Diploma or higher </w:t>
      </w:r>
      <w:r w:rsidRPr="00CE1B00">
        <w:rPr>
          <w:rStyle w:val="Boldword"/>
          <w:b/>
          <w:color w:val="002776" w:themeColor="accent1"/>
        </w:rPr>
        <w:t>commencements</w:t>
      </w:r>
      <w:bookmarkEnd w:id="221"/>
      <w:bookmarkEnd w:id="222"/>
    </w:p>
    <w:p w:rsidR="009C6C96" w:rsidRDefault="00A514D7" w:rsidP="009C6C96">
      <w:pPr>
        <w:pStyle w:val="BodyText"/>
        <w:jc w:val="center"/>
        <w:rPr>
          <w:rStyle w:val="Boldword"/>
          <w:b w:val="0"/>
          <w:color w:val="auto"/>
        </w:rPr>
      </w:pPr>
      <w:r>
        <w:rPr>
          <w:noProof/>
          <w:lang w:eastAsia="en-AU"/>
        </w:rPr>
        <w:drawing>
          <wp:inline distT="0" distB="0" distL="0" distR="0" wp14:anchorId="5A554AF7" wp14:editId="1529DB98">
            <wp:extent cx="4785995" cy="2664460"/>
            <wp:effectExtent l="0" t="0" r="0" b="254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85995" cy="2664460"/>
                    </a:xfrm>
                    <a:prstGeom prst="rect">
                      <a:avLst/>
                    </a:prstGeom>
                    <a:noFill/>
                  </pic:spPr>
                </pic:pic>
              </a:graphicData>
            </a:graphic>
          </wp:inline>
        </w:drawing>
      </w:r>
    </w:p>
    <w:p w:rsidR="009C6C96" w:rsidRPr="00CE1B00" w:rsidRDefault="009C6C96" w:rsidP="009C6C96">
      <w:pPr>
        <w:pStyle w:val="Source"/>
        <w:rPr>
          <w:rStyle w:val="Boldword"/>
          <w:b w:val="0"/>
          <w:color w:val="auto"/>
          <w:sz w:val="18"/>
          <w:lang w:eastAsia="en-US"/>
        </w:rPr>
      </w:pPr>
      <w:r w:rsidRPr="00CE1B00">
        <w:rPr>
          <w:rStyle w:val="Boldword"/>
          <w:b w:val="0"/>
          <w:color w:val="auto"/>
          <w:sz w:val="18"/>
          <w:lang w:eastAsia="en-US"/>
        </w:rPr>
        <w:t xml:space="preserve">Source: </w:t>
      </w:r>
      <w:r>
        <w:rPr>
          <w:rStyle w:val="Boldword"/>
          <w:b w:val="0"/>
          <w:color w:val="auto"/>
          <w:sz w:val="18"/>
          <w:lang w:eastAsia="en-US"/>
        </w:rPr>
        <w:t xml:space="preserve">Higher Education </w:t>
      </w:r>
      <w:r w:rsidRPr="00CE1B00">
        <w:rPr>
          <w:rStyle w:val="Boldword"/>
          <w:b w:val="0"/>
          <w:color w:val="auto"/>
          <w:sz w:val="18"/>
          <w:lang w:eastAsia="en-US"/>
        </w:rPr>
        <w:t>UCube, NCVER VOCSTATS</w:t>
      </w:r>
      <w:r>
        <w:rPr>
          <w:rStyle w:val="Boldword"/>
          <w:b w:val="0"/>
          <w:color w:val="auto"/>
          <w:sz w:val="18"/>
          <w:lang w:eastAsia="en-US"/>
        </w:rPr>
        <w:t xml:space="preserve">. Note: Sub-bachelor is the ‘Undergraduate Other’ category; only includes domestic higher education students, and government-funded VET. </w:t>
      </w:r>
    </w:p>
    <w:p w:rsidR="009C6C96" w:rsidRDefault="009C6C96" w:rsidP="009C6C96">
      <w:pPr>
        <w:pStyle w:val="BodyText"/>
        <w:rPr>
          <w:rStyle w:val="Boldword"/>
          <w:b w:val="0"/>
          <w:color w:val="auto"/>
        </w:rPr>
      </w:pPr>
      <w:r>
        <w:rPr>
          <w:rStyle w:val="Boldword"/>
          <w:b w:val="0"/>
          <w:color w:val="auto"/>
        </w:rPr>
        <w:t xml:space="preserve">However, it should be noted that there are a number of other factors that may have driven changes in VET commencements, and may limit the extent to which these changes can be attributed to the demand-driven system. These factors include: </w:t>
      </w:r>
    </w:p>
    <w:p w:rsidR="009C6C96" w:rsidRDefault="009C6C96" w:rsidP="009C6C96">
      <w:pPr>
        <w:pStyle w:val="Bullet1"/>
        <w:rPr>
          <w:rStyle w:val="Boldword"/>
          <w:b w:val="0"/>
          <w:color w:val="auto"/>
        </w:rPr>
      </w:pPr>
      <w:r>
        <w:rPr>
          <w:rStyle w:val="Boldword"/>
          <w:b w:val="0"/>
          <w:color w:val="auto"/>
        </w:rPr>
        <w:t>the impacts of deregulation of the VET system in some jurisdictions;</w:t>
      </w:r>
    </w:p>
    <w:p w:rsidR="009C6C96" w:rsidRDefault="009C6C96" w:rsidP="009C6C96">
      <w:pPr>
        <w:pStyle w:val="Bullet1"/>
        <w:rPr>
          <w:rStyle w:val="Boldword"/>
          <w:b w:val="0"/>
          <w:color w:val="auto"/>
        </w:rPr>
      </w:pPr>
      <w:r>
        <w:rPr>
          <w:rStyle w:val="Boldword"/>
          <w:b w:val="0"/>
          <w:color w:val="auto"/>
        </w:rPr>
        <w:t>stagnation in levels of government-subsidies; and</w:t>
      </w:r>
    </w:p>
    <w:p w:rsidR="009C6C96" w:rsidRDefault="009C6C96" w:rsidP="009C6C96">
      <w:pPr>
        <w:pStyle w:val="Bullet1"/>
        <w:rPr>
          <w:rStyle w:val="Boldword"/>
          <w:b w:val="0"/>
          <w:color w:val="auto"/>
        </w:rPr>
      </w:pPr>
      <w:proofErr w:type="gramStart"/>
      <w:r>
        <w:rPr>
          <w:rStyle w:val="Boldword"/>
          <w:b w:val="0"/>
          <w:color w:val="auto"/>
        </w:rPr>
        <w:t>the</w:t>
      </w:r>
      <w:proofErr w:type="gramEnd"/>
      <w:r>
        <w:rPr>
          <w:rStyle w:val="Boldword"/>
          <w:b w:val="0"/>
          <w:color w:val="auto"/>
        </w:rPr>
        <w:t xml:space="preserve"> introduction of VET FEE-HELP for Diploma and above level and some Certificate IV level qualifications. </w:t>
      </w:r>
    </w:p>
    <w:p w:rsidR="009C6C96" w:rsidRPr="001E722D" w:rsidRDefault="009C6C96" w:rsidP="009C6C96">
      <w:pPr>
        <w:pStyle w:val="BodyText"/>
        <w:rPr>
          <w:rStyle w:val="Boldword"/>
        </w:rPr>
      </w:pPr>
      <w:r w:rsidRPr="001E722D">
        <w:rPr>
          <w:rStyle w:val="Boldword"/>
        </w:rPr>
        <w:t>Changing provider mix</w:t>
      </w:r>
    </w:p>
    <w:p w:rsidR="009C6C96" w:rsidRDefault="009C6C96" w:rsidP="009C6C96">
      <w:pPr>
        <w:pStyle w:val="BodyText"/>
        <w:rPr>
          <w:rStyle w:val="Boldword"/>
          <w:b w:val="0"/>
          <w:color w:val="auto"/>
        </w:rPr>
      </w:pPr>
      <w:r>
        <w:rPr>
          <w:rStyle w:val="Boldword"/>
          <w:b w:val="0"/>
          <w:color w:val="auto"/>
        </w:rPr>
        <w:fldChar w:fldCharType="begin"/>
      </w:r>
      <w:r>
        <w:rPr>
          <w:rStyle w:val="Boldword"/>
          <w:b w:val="0"/>
          <w:color w:val="auto"/>
        </w:rPr>
        <w:instrText xml:space="preserve"> REF _Ref458099735 \r \h </w:instrText>
      </w:r>
      <w:r>
        <w:rPr>
          <w:rStyle w:val="Boldword"/>
          <w:b w:val="0"/>
          <w:color w:val="auto"/>
        </w:rPr>
      </w:r>
      <w:r>
        <w:rPr>
          <w:rStyle w:val="Boldword"/>
          <w:b w:val="0"/>
          <w:color w:val="auto"/>
        </w:rPr>
        <w:fldChar w:fldCharType="separate"/>
      </w:r>
      <w:r w:rsidR="00534F9F">
        <w:rPr>
          <w:rStyle w:val="Boldword"/>
          <w:b w:val="0"/>
          <w:color w:val="auto"/>
        </w:rPr>
        <w:t>Chart 6.4</w:t>
      </w:r>
      <w:r>
        <w:rPr>
          <w:rStyle w:val="Boldword"/>
          <w:b w:val="0"/>
          <w:color w:val="auto"/>
        </w:rPr>
        <w:fldChar w:fldCharType="end"/>
      </w:r>
      <w:r>
        <w:rPr>
          <w:rStyle w:val="Boldword"/>
          <w:b w:val="0"/>
          <w:color w:val="auto"/>
        </w:rPr>
        <w:t xml:space="preserve"> illustrates the mix of commencements by provider groupings. Since 2012, the Group of 8 (Go8) share of commencements has fallen from 24% to 22%, whilst Australian Technology Network (ATN), Innovative Research Universities (IRU), </w:t>
      </w:r>
      <w:proofErr w:type="gramStart"/>
      <w:r>
        <w:rPr>
          <w:rStyle w:val="Boldword"/>
          <w:b w:val="0"/>
          <w:color w:val="auto"/>
        </w:rPr>
        <w:t>Other</w:t>
      </w:r>
      <w:proofErr w:type="gramEnd"/>
      <w:r>
        <w:rPr>
          <w:rStyle w:val="Boldword"/>
          <w:b w:val="0"/>
          <w:color w:val="auto"/>
        </w:rPr>
        <w:t xml:space="preserve"> and NUHEPs have each increased their shares by approximately one </w:t>
      </w:r>
      <w:r w:rsidR="006E582C">
        <w:rPr>
          <w:rStyle w:val="Boldword"/>
          <w:b w:val="0"/>
          <w:color w:val="auto"/>
        </w:rPr>
        <w:t>percent</w:t>
      </w:r>
      <w:r>
        <w:rPr>
          <w:rStyle w:val="Boldword"/>
          <w:b w:val="0"/>
          <w:color w:val="auto"/>
        </w:rPr>
        <w:t xml:space="preserve">age point. </w:t>
      </w:r>
    </w:p>
    <w:p w:rsidR="009C6C96" w:rsidRPr="001E722D" w:rsidRDefault="009C6C96" w:rsidP="009C0EF1">
      <w:pPr>
        <w:pStyle w:val="CaptionChart"/>
        <w:numPr>
          <w:ilvl w:val="7"/>
          <w:numId w:val="8"/>
        </w:numPr>
        <w:ind w:left="0"/>
        <w:rPr>
          <w:rStyle w:val="Boldword"/>
          <w:b/>
          <w:bCs w:val="0"/>
          <w:color w:val="002776" w:themeColor="accent1"/>
          <w:szCs w:val="20"/>
        </w:rPr>
      </w:pPr>
      <w:bookmarkStart w:id="223" w:name="_Ref458099735"/>
      <w:bookmarkStart w:id="224" w:name="_Toc465961167"/>
      <w:r w:rsidRPr="00CE1B00">
        <w:rPr>
          <w:rStyle w:val="Boldword"/>
          <w:b/>
          <w:color w:val="002776" w:themeColor="accent1"/>
        </w:rPr>
        <w:lastRenderedPageBreak/>
        <w:t xml:space="preserve">: Comparison of </w:t>
      </w:r>
      <w:r>
        <w:rPr>
          <w:rStyle w:val="Boldword"/>
          <w:b/>
          <w:color w:val="002776" w:themeColor="accent1"/>
        </w:rPr>
        <w:t>provider mix, by commencements</w:t>
      </w:r>
      <w:bookmarkEnd w:id="223"/>
      <w:bookmarkEnd w:id="224"/>
    </w:p>
    <w:p w:rsidR="009C6C96" w:rsidRDefault="007E52FF" w:rsidP="00024D74">
      <w:pPr>
        <w:pStyle w:val="Bullet1"/>
        <w:numPr>
          <w:ilvl w:val="0"/>
          <w:numId w:val="0"/>
        </w:numPr>
        <w:ind w:left="360" w:hanging="360"/>
        <w:jc w:val="center"/>
        <w:rPr>
          <w:rStyle w:val="Boldword"/>
          <w:b w:val="0"/>
          <w:color w:val="auto"/>
        </w:rPr>
      </w:pPr>
      <w:r>
        <w:rPr>
          <w:noProof/>
        </w:rPr>
        <w:drawing>
          <wp:inline distT="0" distB="0" distL="0" distR="0" wp14:anchorId="01DA2559" wp14:editId="28D7739E">
            <wp:extent cx="4859020" cy="30480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59020" cy="3048000"/>
                    </a:xfrm>
                    <a:prstGeom prst="rect">
                      <a:avLst/>
                    </a:prstGeom>
                    <a:noFill/>
                  </pic:spPr>
                </pic:pic>
              </a:graphicData>
            </a:graphic>
          </wp:inline>
        </w:drawing>
      </w:r>
    </w:p>
    <w:p w:rsidR="009C6C96" w:rsidRDefault="009C6C96" w:rsidP="009C6C96">
      <w:pPr>
        <w:pStyle w:val="Source"/>
        <w:rPr>
          <w:rStyle w:val="Boldword"/>
          <w:b w:val="0"/>
          <w:color w:val="auto"/>
          <w:sz w:val="18"/>
          <w:lang w:eastAsia="en-US"/>
        </w:rPr>
      </w:pPr>
      <w:r>
        <w:rPr>
          <w:rStyle w:val="Boldword"/>
          <w:b w:val="0"/>
          <w:color w:val="auto"/>
          <w:sz w:val="18"/>
          <w:lang w:eastAsia="en-US"/>
        </w:rPr>
        <w:t>Source: Higher Education UCube. Note: Only includes domestic students</w:t>
      </w:r>
      <w:r w:rsidR="00BD0CA3">
        <w:rPr>
          <w:rStyle w:val="Boldword"/>
          <w:b w:val="0"/>
          <w:color w:val="auto"/>
          <w:sz w:val="18"/>
          <w:lang w:eastAsia="en-US"/>
        </w:rPr>
        <w:t>, all education levels</w:t>
      </w:r>
      <w:r>
        <w:rPr>
          <w:rStyle w:val="Boldword"/>
          <w:b w:val="0"/>
          <w:color w:val="auto"/>
          <w:sz w:val="18"/>
          <w:lang w:eastAsia="en-US"/>
        </w:rPr>
        <w:t>.</w:t>
      </w:r>
    </w:p>
    <w:p w:rsidR="009C6C96" w:rsidRDefault="009C6C96" w:rsidP="009C6C96">
      <w:pPr>
        <w:pStyle w:val="BodyText"/>
        <w:rPr>
          <w:rStyle w:val="Boldword"/>
          <w:b w:val="0"/>
          <w:color w:val="auto"/>
        </w:rPr>
      </w:pPr>
      <w:r>
        <w:rPr>
          <w:rStyle w:val="Boldword"/>
          <w:b w:val="0"/>
          <w:color w:val="auto"/>
        </w:rPr>
        <w:t xml:space="preserve">The decreasing share of commencements at Go8 universities continues the trend pre-2012, as NUHEPs has grown from 2004 to 7% of all commencements in 2014. Whilst the shares of commencements for some provider groups are decreasing, this does not necessarily imply that the quantum of commencements at each provider group is decreasing. </w:t>
      </w:r>
    </w:p>
    <w:p w:rsidR="00A514D7" w:rsidRPr="001B0D93" w:rsidRDefault="00A514D7" w:rsidP="009C6C96">
      <w:pPr>
        <w:pStyle w:val="BodyText"/>
        <w:rPr>
          <w:rStyle w:val="Boldword"/>
          <w:b w:val="0"/>
          <w:color w:val="auto"/>
        </w:rPr>
      </w:pPr>
      <w:r>
        <w:rPr>
          <w:rStyle w:val="Boldword"/>
          <w:b w:val="0"/>
          <w:color w:val="auto"/>
        </w:rPr>
        <w:t xml:space="preserve">The demand-driven system has stimulated growth in certain segments of the higher education system. </w:t>
      </w:r>
      <w:r w:rsidR="001B0D93">
        <w:rPr>
          <w:rStyle w:val="Boldword"/>
          <w:b w:val="0"/>
          <w:color w:val="auto"/>
        </w:rPr>
        <w:t xml:space="preserve">However, the system-wide perspectives presented here </w:t>
      </w:r>
      <w:r>
        <w:rPr>
          <w:rStyle w:val="Boldword"/>
          <w:b w:val="0"/>
          <w:color w:val="auto"/>
        </w:rPr>
        <w:t xml:space="preserve">suggest that in recent years the structural make-up of the tertiary education sector has not changed to the </w:t>
      </w:r>
      <w:r w:rsidR="001B0D93">
        <w:rPr>
          <w:rStyle w:val="Boldword"/>
          <w:b w:val="0"/>
          <w:color w:val="auto"/>
        </w:rPr>
        <w:t>extent that average public and private benefits of higher education would have materially changed due to these reforms.</w:t>
      </w:r>
    </w:p>
    <w:p w:rsidR="009C6C96" w:rsidRDefault="009C6C96" w:rsidP="009C6C96">
      <w:pPr>
        <w:pStyle w:val="Heading2"/>
        <w:numPr>
          <w:ilvl w:val="1"/>
          <w:numId w:val="8"/>
        </w:numPr>
      </w:pPr>
      <w:bookmarkStart w:id="225" w:name="_Ref458438624"/>
      <w:bookmarkStart w:id="226" w:name="_Toc465961210"/>
      <w:r>
        <w:t>Evolving linkages between education and the workforce</w:t>
      </w:r>
      <w:bookmarkEnd w:id="225"/>
      <w:bookmarkEnd w:id="226"/>
    </w:p>
    <w:p w:rsidR="009C6C96" w:rsidRPr="0065425A" w:rsidRDefault="009C6C96" w:rsidP="009C6C96">
      <w:pPr>
        <w:pStyle w:val="BodyText"/>
      </w:pPr>
      <w:r>
        <w:t xml:space="preserve">Another dynamic component of the public benefits framework is the sectors in which different graduates work. It is often a secondary consideration that graduates from particular discipline do not enter a unique industry corresponding to that field of education. In fact, there is a complex mapping between education fields and industries, as shown in Figure 6.1 below. This mapping is fully characterised in the CGE model, but this is assumed to be static over time. </w:t>
      </w:r>
    </w:p>
    <w:p w:rsidR="009C6C96" w:rsidRPr="001853C5" w:rsidRDefault="009C6C96" w:rsidP="009C6C96">
      <w:pPr>
        <w:pStyle w:val="CaptionFigure"/>
        <w:numPr>
          <w:ilvl w:val="8"/>
          <w:numId w:val="8"/>
        </w:numPr>
        <w:ind w:left="0"/>
      </w:pPr>
      <w:bookmarkStart w:id="227" w:name="_Ref458159256"/>
      <w:bookmarkStart w:id="228" w:name="_Toc465961117"/>
      <w:r>
        <w:lastRenderedPageBreak/>
        <w:t>:</w:t>
      </w:r>
      <w:bookmarkStart w:id="229" w:name="_Toc457656475"/>
      <w:r>
        <w:t xml:space="preserve"> Mapping of higher education disciplines to industry, 2011</w:t>
      </w:r>
      <w:bookmarkEnd w:id="227"/>
      <w:bookmarkEnd w:id="229"/>
      <w:bookmarkEnd w:id="228"/>
    </w:p>
    <w:p w:rsidR="009C6C96" w:rsidRDefault="009C6C96" w:rsidP="009C6C96">
      <w:pPr>
        <w:pStyle w:val="BodyText"/>
        <w:jc w:val="center"/>
      </w:pPr>
      <w:r w:rsidRPr="000D0033">
        <w:rPr>
          <w:noProof/>
          <w:lang w:eastAsia="en-AU"/>
        </w:rPr>
        <w:drawing>
          <wp:inline distT="0" distB="0" distL="0" distR="0" wp14:anchorId="6C7B3549" wp14:editId="4DB82DE6">
            <wp:extent cx="4149306" cy="2941464"/>
            <wp:effectExtent l="0" t="0" r="381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52201" cy="2943516"/>
                    </a:xfrm>
                    <a:prstGeom prst="rect">
                      <a:avLst/>
                    </a:prstGeom>
                    <a:noFill/>
                    <a:ln>
                      <a:noFill/>
                    </a:ln>
                    <a:effectLst/>
                    <a:extLst/>
                  </pic:spPr>
                </pic:pic>
              </a:graphicData>
            </a:graphic>
          </wp:inline>
        </w:drawing>
      </w:r>
    </w:p>
    <w:p w:rsidR="009C6C96" w:rsidRDefault="009C6C96" w:rsidP="009C6C96">
      <w:pPr>
        <w:pStyle w:val="Source"/>
        <w:ind w:firstLine="851"/>
      </w:pPr>
      <w:r>
        <w:t xml:space="preserve">Source: ABS Census of Population and Housing, 2011. The width of the bar represents the share of the Australian labour force </w:t>
      </w:r>
    </w:p>
    <w:p w:rsidR="009C6C96" w:rsidRDefault="009C6C96" w:rsidP="009C6C96">
      <w:pPr>
        <w:pStyle w:val="BodyText"/>
      </w:pPr>
      <w:r>
        <w:t>There is a relative lack of data on the dynamics of the mapping between education and industry of work. The most reliable data source for this kind of information is the ABS Census. This measures the stock of the labour force, rather than the flows into different parts. Given a typical career is over 40 years, measuring incremental changes in stocks between five-year census’ will not reveal large movements in labour force composition.</w:t>
      </w:r>
    </w:p>
    <w:p w:rsidR="009C6C96" w:rsidRPr="001853C5" w:rsidRDefault="009C6C96" w:rsidP="009C0EF1">
      <w:pPr>
        <w:pStyle w:val="CaptionChart"/>
        <w:numPr>
          <w:ilvl w:val="7"/>
          <w:numId w:val="8"/>
        </w:numPr>
        <w:ind w:left="0"/>
      </w:pPr>
      <w:bookmarkStart w:id="230" w:name="_Toc465961168"/>
      <w:r>
        <w:t>: Shifts in discipline to industry mapping – Bus/Law, Engineering, IT, Science</w:t>
      </w:r>
      <w:bookmarkEnd w:id="230"/>
    </w:p>
    <w:p w:rsidR="009C6C96" w:rsidRDefault="009C6C96" w:rsidP="004F0085">
      <w:pPr>
        <w:pStyle w:val="BodyText"/>
        <w:ind w:left="-426"/>
        <w:jc w:val="center"/>
      </w:pPr>
      <w:r>
        <w:rPr>
          <w:noProof/>
          <w:lang w:eastAsia="en-AU"/>
        </w:rPr>
        <w:drawing>
          <wp:inline distT="0" distB="0" distL="0" distR="0" wp14:anchorId="2DC5BE7A" wp14:editId="162913B5">
            <wp:extent cx="5800954" cy="290047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00019" cy="2900010"/>
                    </a:xfrm>
                    <a:prstGeom prst="rect">
                      <a:avLst/>
                    </a:prstGeom>
                    <a:noFill/>
                  </pic:spPr>
                </pic:pic>
              </a:graphicData>
            </a:graphic>
          </wp:inline>
        </w:drawing>
      </w:r>
    </w:p>
    <w:p w:rsidR="009C6C96" w:rsidRDefault="009C6C96" w:rsidP="009C6C96">
      <w:pPr>
        <w:pStyle w:val="Source"/>
        <w:ind w:firstLine="851"/>
      </w:pPr>
      <w:r>
        <w:t>Source: ABS Census of Population and Housing, 2006 &amp; 2011</w:t>
      </w:r>
    </w:p>
    <w:p w:rsidR="009C6C96" w:rsidRDefault="009C6C96" w:rsidP="009C6C96">
      <w:pPr>
        <w:pStyle w:val="BodyText"/>
      </w:pPr>
      <w:r>
        <w:lastRenderedPageBreak/>
        <w:t xml:space="preserve">That noted, Charts 6.5 and 6.6 show how industry of employment has changed for the major education disciplines. Engineering, IT, and Science have all shifted away from manufacturing, in line with the decline of this sector overall (see Section 6.4). For Engineering and Science graduates, </w:t>
      </w:r>
      <w:r w:rsidR="001B0D93">
        <w:t>manufacturing employment</w:t>
      </w:r>
      <w:r>
        <w:t xml:space="preserve"> has been displaced by employment in the mining sector. To a lesser extent, there has been a shift away from government services, toward business services within those disciplines. The sectoral shifts by health and education graduates have been relatively minor, but Society, culture and visual arts graduates have shifted away from government services to recreational and business services. </w:t>
      </w:r>
    </w:p>
    <w:p w:rsidR="009C6C96" w:rsidRDefault="009C6C96" w:rsidP="009C6C96">
      <w:pPr>
        <w:pStyle w:val="BodyText"/>
      </w:pPr>
      <w:r>
        <w:t>Over longer time scales</w:t>
      </w:r>
      <w:r w:rsidR="001B0D93">
        <w:t>, say 20</w:t>
      </w:r>
      <w:r w:rsidR="00CF18B4">
        <w:t xml:space="preserve"> to </w:t>
      </w:r>
      <w:r w:rsidR="001B0D93">
        <w:t>30 years</w:t>
      </w:r>
      <w:r>
        <w:t xml:space="preserve">, these mapping shifts can become more pronounced, and this </w:t>
      </w:r>
      <w:r w:rsidR="001B0D93">
        <w:t>may</w:t>
      </w:r>
      <w:r>
        <w:t xml:space="preserve"> alter the relative public and private benefits. For example, if engineering students are increasingly employed in the financial services sector for their generic analytical ability, rather than being employed in the manufacturing sector, this </w:t>
      </w:r>
      <w:r w:rsidR="001B0D93">
        <w:t xml:space="preserve">will affect </w:t>
      </w:r>
      <w:r>
        <w:t xml:space="preserve">the typical capital intensity associated with engineering graduates, which </w:t>
      </w:r>
      <w:r w:rsidR="001B0D93">
        <w:t>may</w:t>
      </w:r>
      <w:r>
        <w:t xml:space="preserve"> then affect the magnitude of public benefits</w:t>
      </w:r>
      <w:r w:rsidR="001B0D93">
        <w:t xml:space="preserve"> to some degree</w:t>
      </w:r>
      <w:r>
        <w:t>.</w:t>
      </w:r>
      <w:r w:rsidR="001B0D93">
        <w:t xml:space="preserve"> This may be offset by </w:t>
      </w:r>
      <w:r w:rsidR="00DC411A">
        <w:t xml:space="preserve">the </w:t>
      </w:r>
      <w:r w:rsidR="001B0D93">
        <w:t xml:space="preserve">higher wages </w:t>
      </w:r>
      <w:r w:rsidR="00DC411A">
        <w:t xml:space="preserve">(assumedly, if workers are drawn to his sector) </w:t>
      </w:r>
      <w:r w:rsidR="001B0D93">
        <w:t xml:space="preserve">in the financial services sector </w:t>
      </w:r>
      <w:r w:rsidR="00DC411A">
        <w:t>resulting in greater income tax receipts.</w:t>
      </w:r>
    </w:p>
    <w:p w:rsidR="001B0D93" w:rsidRDefault="001B0D93" w:rsidP="009C6C96">
      <w:pPr>
        <w:pStyle w:val="BodyText"/>
      </w:pPr>
      <w:r>
        <w:t>Overall, the observed pace of these changes in recent years has been sufficiently slow</w:t>
      </w:r>
      <w:r w:rsidR="00DC411A">
        <w:t xml:space="preserve">, and certain effects likely to be sufficiently offsetting, </w:t>
      </w:r>
      <w:r>
        <w:t xml:space="preserve">that </w:t>
      </w:r>
      <w:r w:rsidR="00DC411A">
        <w:t xml:space="preserve">the effect of education-labour market dynamics is not likely to materially affect the validity of the estimates presented in </w:t>
      </w:r>
      <w:r w:rsidR="00CF18B4">
        <w:t>Section</w:t>
      </w:r>
      <w:r w:rsidR="00DC411A">
        <w:t xml:space="preserve"> 4.</w:t>
      </w:r>
    </w:p>
    <w:p w:rsidR="009C6C96" w:rsidRPr="001853C5" w:rsidRDefault="009C6C96" w:rsidP="009C0EF1">
      <w:pPr>
        <w:pStyle w:val="CaptionChart"/>
        <w:numPr>
          <w:ilvl w:val="7"/>
          <w:numId w:val="8"/>
        </w:numPr>
        <w:ind w:left="0"/>
      </w:pPr>
      <w:bookmarkStart w:id="231" w:name="_Toc457656476"/>
      <w:bookmarkStart w:id="232" w:name="_Toc465961169"/>
      <w:r>
        <w:t>: Shifts in discipline to industry mapping</w:t>
      </w:r>
      <w:bookmarkEnd w:id="231"/>
      <w:r>
        <w:t xml:space="preserve"> - Education, Art, Health</w:t>
      </w:r>
      <w:bookmarkEnd w:id="232"/>
    </w:p>
    <w:p w:rsidR="009C6C96" w:rsidRDefault="009C6C96" w:rsidP="004F0085">
      <w:pPr>
        <w:pStyle w:val="BodyText"/>
        <w:ind w:left="-567"/>
        <w:jc w:val="center"/>
      </w:pPr>
      <w:r>
        <w:rPr>
          <w:noProof/>
          <w:lang w:eastAsia="en-AU"/>
        </w:rPr>
        <w:drawing>
          <wp:inline distT="0" distB="0" distL="0" distR="0" wp14:anchorId="40E5C1DF" wp14:editId="494B6DEA">
            <wp:extent cx="5099905" cy="2763787"/>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12291" cy="2770499"/>
                    </a:xfrm>
                    <a:prstGeom prst="rect">
                      <a:avLst/>
                    </a:prstGeom>
                    <a:noFill/>
                  </pic:spPr>
                </pic:pic>
              </a:graphicData>
            </a:graphic>
          </wp:inline>
        </w:drawing>
      </w:r>
    </w:p>
    <w:p w:rsidR="009C6C96" w:rsidRPr="001853C5" w:rsidRDefault="009C6C96" w:rsidP="009C6C96">
      <w:pPr>
        <w:pStyle w:val="Source"/>
        <w:ind w:firstLine="851"/>
      </w:pPr>
      <w:r>
        <w:t>Source: ABS Census of Population and Housing, 2006 &amp; 2011</w:t>
      </w:r>
    </w:p>
    <w:p w:rsidR="009C6C96" w:rsidRDefault="009C6C96" w:rsidP="009C6C96">
      <w:pPr>
        <w:pStyle w:val="Heading2"/>
        <w:numPr>
          <w:ilvl w:val="1"/>
          <w:numId w:val="8"/>
        </w:numPr>
      </w:pPr>
      <w:bookmarkStart w:id="233" w:name="_Ref458438655"/>
      <w:bookmarkStart w:id="234" w:name="_Ref458438918"/>
      <w:bookmarkStart w:id="235" w:name="_Toc465961211"/>
      <w:r>
        <w:t>Short-term skills mismatch and industry cycles</w:t>
      </w:r>
      <w:bookmarkEnd w:id="233"/>
      <w:bookmarkEnd w:id="234"/>
      <w:bookmarkEnd w:id="235"/>
    </w:p>
    <w:p w:rsidR="009C6C96" w:rsidRDefault="009C6C96" w:rsidP="009C6C96">
      <w:pPr>
        <w:pStyle w:val="BodyText"/>
      </w:pPr>
      <w:r>
        <w:t xml:space="preserve">Short-term skills mismatches and volatility in employment at a sector specific-level may mean individuals are drawn into sectors that may use more of their generic cognitive ability and demographic advantages, rather than their qualification.  This can be thought of as a form of </w:t>
      </w:r>
      <w:r>
        <w:lastRenderedPageBreak/>
        <w:t xml:space="preserve">‘qualification underutilisation’, and </w:t>
      </w:r>
      <w:r w:rsidR="00DC411A">
        <w:t>could</w:t>
      </w:r>
      <w:r>
        <w:t xml:space="preserve"> lower both the private and public returns to education. </w:t>
      </w:r>
    </w:p>
    <w:p w:rsidR="009C6C96" w:rsidRDefault="009C6C96" w:rsidP="009C6C96">
      <w:pPr>
        <w:pStyle w:val="BodyText"/>
      </w:pPr>
      <w:r>
        <w:t>Cyclical skills mismatches can be measured by large changes in the unemployment rate for those with a particular qualification. Charts 6.7 and 6.8 show the largest movements in qualification unemployment levels at the four-digit ASCED qualification level, which contains 83 categories. This shows major upticks in Architecture unemployment (albeit from a low base), while unemployment levels in curriculum and education studies</w:t>
      </w:r>
      <w:r>
        <w:rPr>
          <w:rStyle w:val="FootnoteReference"/>
        </w:rPr>
        <w:footnoteReference w:id="44"/>
      </w:r>
      <w:r>
        <w:t xml:space="preserve"> have fallen significantly.</w:t>
      </w:r>
    </w:p>
    <w:p w:rsidR="009C6C96" w:rsidRDefault="009C6C96" w:rsidP="009C0EF1">
      <w:pPr>
        <w:pStyle w:val="CaptionChart"/>
        <w:numPr>
          <w:ilvl w:val="7"/>
          <w:numId w:val="8"/>
        </w:numPr>
        <w:ind w:left="0"/>
      </w:pPr>
      <w:bookmarkStart w:id="236" w:name="_Toc465961170"/>
      <w:r>
        <w:t>: 2006-2011 Greatest increase in unemployment, by detailed field of study</w:t>
      </w:r>
      <w:bookmarkEnd w:id="236"/>
    </w:p>
    <w:p w:rsidR="009C6C96" w:rsidRDefault="009C6C96" w:rsidP="009C6C96">
      <w:pPr>
        <w:pStyle w:val="BodyText"/>
        <w:jc w:val="center"/>
      </w:pPr>
      <w:r>
        <w:rPr>
          <w:noProof/>
          <w:lang w:eastAsia="en-AU"/>
        </w:rPr>
        <w:drawing>
          <wp:inline distT="0" distB="0" distL="0" distR="0" wp14:anchorId="6DC4850B" wp14:editId="2730EB70">
            <wp:extent cx="4252823" cy="2284152"/>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55797" cy="2285749"/>
                    </a:xfrm>
                    <a:prstGeom prst="rect">
                      <a:avLst/>
                    </a:prstGeom>
                    <a:noFill/>
                  </pic:spPr>
                </pic:pic>
              </a:graphicData>
            </a:graphic>
          </wp:inline>
        </w:drawing>
      </w:r>
    </w:p>
    <w:p w:rsidR="009C6C96" w:rsidRDefault="009C6C96" w:rsidP="009C6C96">
      <w:pPr>
        <w:pStyle w:val="Source"/>
        <w:ind w:left="851" w:firstLine="851"/>
      </w:pPr>
      <w:r>
        <w:t>Source: ABS Census of Population and Housing, 2011 and 2006</w:t>
      </w:r>
    </w:p>
    <w:p w:rsidR="009C6C96" w:rsidRDefault="009C6C96" w:rsidP="009C0EF1">
      <w:pPr>
        <w:pStyle w:val="CaptionChart"/>
        <w:numPr>
          <w:ilvl w:val="7"/>
          <w:numId w:val="8"/>
        </w:numPr>
        <w:ind w:left="0"/>
      </w:pPr>
      <w:bookmarkStart w:id="237" w:name="_Toc465961171"/>
      <w:r>
        <w:t>: 2006-2011 Greatest reduction in unemployment, by detailed field of study</w:t>
      </w:r>
      <w:bookmarkEnd w:id="237"/>
    </w:p>
    <w:p w:rsidR="009C6C96" w:rsidRDefault="009C6C96" w:rsidP="009C6C96">
      <w:pPr>
        <w:pStyle w:val="Source"/>
        <w:jc w:val="center"/>
      </w:pPr>
      <w:r>
        <w:rPr>
          <w:noProof/>
          <w:lang w:eastAsia="en-AU"/>
        </w:rPr>
        <w:drawing>
          <wp:inline distT="0" distB="0" distL="0" distR="0" wp14:anchorId="1AC4E5A8" wp14:editId="0EAB19D4">
            <wp:extent cx="4321834" cy="2321217"/>
            <wp:effectExtent l="0" t="0" r="254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24858" cy="2322841"/>
                    </a:xfrm>
                    <a:prstGeom prst="rect">
                      <a:avLst/>
                    </a:prstGeom>
                    <a:noFill/>
                  </pic:spPr>
                </pic:pic>
              </a:graphicData>
            </a:graphic>
          </wp:inline>
        </w:drawing>
      </w:r>
    </w:p>
    <w:p w:rsidR="009C6C96" w:rsidRDefault="009C6C96" w:rsidP="009C6C96">
      <w:pPr>
        <w:pStyle w:val="Source"/>
        <w:ind w:left="851" w:firstLine="851"/>
      </w:pPr>
      <w:r w:rsidRPr="00226E8E">
        <w:t>Source: ABS Census of Population and Housing, 2011 and 2006</w:t>
      </w:r>
    </w:p>
    <w:p w:rsidR="009C6C96" w:rsidRDefault="009C6C96" w:rsidP="009C6C96">
      <w:pPr>
        <w:pStyle w:val="BodyText"/>
      </w:pPr>
      <w:r>
        <w:t xml:space="preserve">Chart 6.9 shows the unemployment rate recorded for individuals who have finished their studies within the previous 12 months. This is a good measure of the overall skills take-up for </w:t>
      </w:r>
      <w:r>
        <w:lastRenderedPageBreak/>
        <w:t xml:space="preserve">certain disciplines, in terms of the flow of training by discipline, rather than the stock. This shows graduates from the education and health disciplines are relatively quickly adopted into the workforce, compared to the IT and Food &amp; Hospitality sectors. It is important to note that this measure is from the ABS Survey of Education and Work, and does not distinguish between higher education and VET level qualifications. </w:t>
      </w:r>
    </w:p>
    <w:p w:rsidR="009C6C96" w:rsidRDefault="009C6C96" w:rsidP="009C0EF1">
      <w:pPr>
        <w:pStyle w:val="CaptionChart"/>
        <w:numPr>
          <w:ilvl w:val="7"/>
          <w:numId w:val="8"/>
        </w:numPr>
        <w:ind w:left="0"/>
      </w:pPr>
      <w:bookmarkStart w:id="238" w:name="_Toc465961172"/>
      <w:r>
        <w:t>: unemployment rate within 12 months of completing qualification</w:t>
      </w:r>
      <w:bookmarkEnd w:id="238"/>
    </w:p>
    <w:p w:rsidR="009C6C96" w:rsidRDefault="009C6C96" w:rsidP="009C6C96">
      <w:pPr>
        <w:pStyle w:val="BodyText"/>
        <w:jc w:val="center"/>
      </w:pPr>
      <w:r>
        <w:rPr>
          <w:noProof/>
          <w:lang w:eastAsia="en-AU"/>
        </w:rPr>
        <w:drawing>
          <wp:inline distT="0" distB="0" distL="0" distR="0" wp14:anchorId="550A8B8B" wp14:editId="10982FD0">
            <wp:extent cx="4754880" cy="2981843"/>
            <wp:effectExtent l="0" t="0" r="762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53915" cy="2981238"/>
                    </a:xfrm>
                    <a:prstGeom prst="rect">
                      <a:avLst/>
                    </a:prstGeom>
                    <a:noFill/>
                  </pic:spPr>
                </pic:pic>
              </a:graphicData>
            </a:graphic>
          </wp:inline>
        </w:drawing>
      </w:r>
    </w:p>
    <w:p w:rsidR="009C6C96" w:rsidRDefault="009C6C96" w:rsidP="009C6C96">
      <w:pPr>
        <w:pStyle w:val="Source"/>
        <w:ind w:left="851" w:firstLine="851"/>
      </w:pPr>
      <w:r>
        <w:t>Source: ABS survey of Education and Work, 2015</w:t>
      </w:r>
    </w:p>
    <w:p w:rsidR="00DC411A" w:rsidRDefault="00DC411A" w:rsidP="00DC411A">
      <w:pPr>
        <w:pStyle w:val="BodyText"/>
      </w:pPr>
      <w:r>
        <w:t xml:space="preserve">Chart 6.9 shows the unemployment rate recorded for individuals who have finished their studies within the previous 12 months. This is a good measure of the overall skills take-up for certain disciplines, in terms of the flow of training by discipline, rather than the stock. </w:t>
      </w:r>
    </w:p>
    <w:p w:rsidR="009C6C96" w:rsidRPr="00027F2A" w:rsidRDefault="009C6C96" w:rsidP="009C6C96">
      <w:pPr>
        <w:pStyle w:val="Heading2"/>
        <w:numPr>
          <w:ilvl w:val="1"/>
          <w:numId w:val="8"/>
        </w:numPr>
      </w:pPr>
      <w:bookmarkStart w:id="239" w:name="_Toc465961212"/>
      <w:r>
        <w:t>Projected structural change in the economy</w:t>
      </w:r>
      <w:bookmarkEnd w:id="239"/>
    </w:p>
    <w:p w:rsidR="001740CE" w:rsidRPr="001740CE" w:rsidRDefault="009C6C96" w:rsidP="001740CE">
      <w:pPr>
        <w:pStyle w:val="BodyText"/>
      </w:pPr>
      <w:r>
        <w:t xml:space="preserve">Another dynamic factor that will be consequential for relative public and private benefits is longer-term structural change in the economy. </w:t>
      </w:r>
      <w:r w:rsidR="001740CE">
        <w:rPr>
          <w:szCs w:val="22"/>
        </w:rPr>
        <w:t>I</w:t>
      </w:r>
      <w:r w:rsidR="001740CE" w:rsidRPr="00B807E1">
        <w:rPr>
          <w:szCs w:val="22"/>
        </w:rPr>
        <w:t xml:space="preserve">t has been well established that the underlying structural growth in the Australian economy will see an increase in demand for workers with higher education qualifications. </w:t>
      </w:r>
    </w:p>
    <w:p w:rsidR="001740CE" w:rsidRPr="00B807E1" w:rsidRDefault="001740CE" w:rsidP="001740CE">
      <w:pPr>
        <w:pStyle w:val="Default"/>
        <w:spacing w:before="240"/>
        <w:jc w:val="both"/>
        <w:rPr>
          <w:sz w:val="22"/>
          <w:szCs w:val="22"/>
          <w:lang w:eastAsia="en-US"/>
        </w:rPr>
      </w:pPr>
      <w:r w:rsidRPr="00B807E1">
        <w:rPr>
          <w:sz w:val="22"/>
          <w:szCs w:val="22"/>
          <w:lang w:eastAsia="en-US"/>
        </w:rPr>
        <w:t>Deloitte Access Economics has estimated that around 3.8 million new university qualifications (2.5 million new undergraduate qualifications and 1.3 million new postgraduate qualifications) will need to enter Australia’s knowledge economy over the period 2015–2025 to meet this demand. This means that on average, Australia will need approximately 227,000 new undergraduate qualifications and 115,000 new postgraduate qualifications each year over this period (Deloitte Access Economics, 2015).</w:t>
      </w:r>
      <w:r w:rsidRPr="00B807E1">
        <w:rPr>
          <w:rStyle w:val="FootnoteReference"/>
          <w:lang w:eastAsia="en-US"/>
        </w:rPr>
        <w:footnoteReference w:id="45"/>
      </w:r>
    </w:p>
    <w:p w:rsidR="001740CE" w:rsidRPr="00B807E1" w:rsidRDefault="001740CE" w:rsidP="001740CE">
      <w:pPr>
        <w:pStyle w:val="BodyText"/>
        <w:rPr>
          <w:szCs w:val="22"/>
        </w:rPr>
      </w:pPr>
      <w:r w:rsidRPr="00B807E1">
        <w:rPr>
          <w:szCs w:val="22"/>
        </w:rPr>
        <w:lastRenderedPageBreak/>
        <w:t xml:space="preserve">The top five industries projected to need the largest increases in skilled graduates over the next 10 years are outlined in </w:t>
      </w:r>
      <w:r w:rsidRPr="00B807E1">
        <w:rPr>
          <w:szCs w:val="22"/>
        </w:rPr>
        <w:fldChar w:fldCharType="begin"/>
      </w:r>
      <w:r w:rsidRPr="00B807E1">
        <w:rPr>
          <w:szCs w:val="22"/>
        </w:rPr>
        <w:instrText xml:space="preserve"> REF _Ref458117957 \r \h </w:instrText>
      </w:r>
      <w:r>
        <w:rPr>
          <w:szCs w:val="22"/>
        </w:rPr>
        <w:instrText xml:space="preserve"> \* MERGEFORMAT </w:instrText>
      </w:r>
      <w:r w:rsidRPr="00B807E1">
        <w:rPr>
          <w:szCs w:val="22"/>
        </w:rPr>
      </w:r>
      <w:r w:rsidRPr="00B807E1">
        <w:rPr>
          <w:szCs w:val="22"/>
        </w:rPr>
        <w:fldChar w:fldCharType="separate"/>
      </w:r>
      <w:r w:rsidR="00534F9F">
        <w:rPr>
          <w:szCs w:val="22"/>
        </w:rPr>
        <w:t>Chart 6.10</w:t>
      </w:r>
      <w:r w:rsidRPr="00B807E1">
        <w:rPr>
          <w:szCs w:val="22"/>
        </w:rPr>
        <w:fldChar w:fldCharType="end"/>
      </w:r>
      <w:r w:rsidRPr="00B807E1">
        <w:rPr>
          <w:szCs w:val="22"/>
        </w:rPr>
        <w:t xml:space="preserve"> below. The growing demand in qualifications from these industries largely aligns with the underlying structural growth in the Australian economy, with a shift in the economy towards these industries in place of mining and manufacturing (among other sectors).</w:t>
      </w:r>
    </w:p>
    <w:p w:rsidR="001740CE" w:rsidRPr="00B807E1" w:rsidRDefault="001740CE" w:rsidP="001740CE">
      <w:pPr>
        <w:pStyle w:val="CaptionChart"/>
      </w:pPr>
      <w:bookmarkStart w:id="240" w:name="_Ref458117957"/>
      <w:bookmarkStart w:id="241" w:name="_Toc465961173"/>
      <w:r w:rsidRPr="00B807E1">
        <w:t>: Five industries with the largest demand for new university qualifications</w:t>
      </w:r>
      <w:bookmarkEnd w:id="240"/>
      <w:bookmarkEnd w:id="241"/>
    </w:p>
    <w:p w:rsidR="001740CE" w:rsidRPr="00B807E1" w:rsidRDefault="001740CE" w:rsidP="001740CE">
      <w:pPr>
        <w:pStyle w:val="BodyText"/>
        <w:jc w:val="center"/>
      </w:pPr>
      <w:r w:rsidRPr="00B807E1">
        <w:rPr>
          <w:noProof/>
          <w:lang w:eastAsia="en-AU"/>
        </w:rPr>
        <w:drawing>
          <wp:inline distT="0" distB="0" distL="0" distR="0" wp14:anchorId="396EE9A6" wp14:editId="6F0649C9">
            <wp:extent cx="4213997" cy="272874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215804" cy="2729913"/>
                    </a:xfrm>
                    <a:prstGeom prst="rect">
                      <a:avLst/>
                    </a:prstGeom>
                  </pic:spPr>
                </pic:pic>
              </a:graphicData>
            </a:graphic>
          </wp:inline>
        </w:drawing>
      </w:r>
    </w:p>
    <w:p w:rsidR="001740CE" w:rsidRPr="00B807E1" w:rsidRDefault="001740CE" w:rsidP="001740CE">
      <w:pPr>
        <w:pStyle w:val="Source"/>
      </w:pPr>
      <w:r w:rsidRPr="00B807E1">
        <w:t>Source: Deloitte Access Economics, 2015</w:t>
      </w:r>
    </w:p>
    <w:p w:rsidR="009C6C96" w:rsidRDefault="001740CE" w:rsidP="009C6C96">
      <w:pPr>
        <w:pStyle w:val="BodyText"/>
      </w:pPr>
      <w:r>
        <w:t xml:space="preserve">The CGE model used to understand the public and private benefits has some forward-looking components, but does not incorporate the full range of observable longer term trends, such as population aging, and other longer-term ‘megatrends’. </w:t>
      </w:r>
      <w:r w:rsidR="009C6C96">
        <w:fldChar w:fldCharType="begin"/>
      </w:r>
      <w:r w:rsidR="009C6C96">
        <w:instrText xml:space="preserve"> REF _Ref458087286 \r \h </w:instrText>
      </w:r>
      <w:r w:rsidR="009C6C96">
        <w:fldChar w:fldCharType="separate"/>
      </w:r>
      <w:r w:rsidR="00534F9F">
        <w:t>Chart 6.11</w:t>
      </w:r>
      <w:r w:rsidR="009C6C96">
        <w:fldChar w:fldCharType="end"/>
      </w:r>
      <w:r w:rsidR="009C6C96">
        <w:t xml:space="preserve"> below shows the industry mix of employment</w:t>
      </w:r>
      <w:r>
        <w:t xml:space="preserve"> over the past 30 years, and for the next 10 years</w:t>
      </w:r>
      <w:r w:rsidR="009C6C96">
        <w:t>:</w:t>
      </w:r>
    </w:p>
    <w:p w:rsidR="009C6C96" w:rsidRDefault="009C6C96" w:rsidP="009C6C96">
      <w:pPr>
        <w:pStyle w:val="Bullet1"/>
      </w:pPr>
      <w:proofErr w:type="gramStart"/>
      <w:r>
        <w:t>the</w:t>
      </w:r>
      <w:proofErr w:type="gramEnd"/>
      <w:r>
        <w:t xml:space="preserve"> manufacturing sector in 1986 employed 1.1 million people, or 16% of those employed in Australia. By 2026 this is expected to be 730,000, or 5% of those employed;</w:t>
      </w:r>
    </w:p>
    <w:p w:rsidR="009C6C96" w:rsidRDefault="009C6C96" w:rsidP="009C6C96">
      <w:pPr>
        <w:pStyle w:val="Bullet1"/>
      </w:pPr>
      <w:proofErr w:type="gramStart"/>
      <w:r>
        <w:t>the</w:t>
      </w:r>
      <w:proofErr w:type="gramEnd"/>
      <w:r>
        <w:t xml:space="preserve"> health sector in 1986 employed 570,000 people, or 8% of those employed in Australia. By 2026 this is expected to be 2.1 million, or 15% of employment – this will be the largest sector of the economy by employment;</w:t>
      </w:r>
    </w:p>
    <w:p w:rsidR="009C6C96" w:rsidRDefault="009C6C96" w:rsidP="009C6C96">
      <w:pPr>
        <w:pStyle w:val="Bullet1"/>
      </w:pPr>
      <w:r>
        <w:t>the mining sector workforce has grown from 110,000 in 1986 to 230,000 in 2016, yet remains less than 2% of overall employment – this is expected to plateau over the next 10 years; and</w:t>
      </w:r>
    </w:p>
    <w:p w:rsidR="009C6C96" w:rsidRDefault="009C6C96" w:rsidP="009C6C96">
      <w:pPr>
        <w:pStyle w:val="Bullet1"/>
      </w:pPr>
      <w:proofErr w:type="gramStart"/>
      <w:r>
        <w:t>the</w:t>
      </w:r>
      <w:proofErr w:type="gramEnd"/>
      <w:r>
        <w:t xml:space="preserve"> business services sector has added a million employees over the past 30 years, and is projected to add another 400,000 in the next 10 – by that stage it will represent 13% of the total employment in Australia. </w:t>
      </w:r>
    </w:p>
    <w:p w:rsidR="009C6C96" w:rsidRDefault="009C6C96" w:rsidP="004F0085">
      <w:pPr>
        <w:pStyle w:val="BodyText"/>
      </w:pPr>
      <w:r w:rsidRPr="00FD1CEB">
        <w:t>This longer-term variation in the sectoral mix of the economy will alter the key economic relationships that drive public and private market benefits.</w:t>
      </w:r>
    </w:p>
    <w:p w:rsidR="009C6C96" w:rsidRDefault="009C6C96" w:rsidP="009C0EF1">
      <w:pPr>
        <w:pStyle w:val="CaptionChart"/>
        <w:numPr>
          <w:ilvl w:val="7"/>
          <w:numId w:val="8"/>
        </w:numPr>
        <w:ind w:left="0"/>
      </w:pPr>
      <w:bookmarkStart w:id="242" w:name="_Ref458087286"/>
      <w:bookmarkStart w:id="243" w:name="_Toc465961174"/>
      <w:r>
        <w:lastRenderedPageBreak/>
        <w:t xml:space="preserve">: </w:t>
      </w:r>
      <w:r w:rsidRPr="00F4005F">
        <w:t>Industry mix of employment, 1985-86 to 2025-26</w:t>
      </w:r>
      <w:bookmarkEnd w:id="242"/>
      <w:bookmarkEnd w:id="243"/>
    </w:p>
    <w:p w:rsidR="009C6C96" w:rsidRDefault="009C6C96" w:rsidP="009C6C96">
      <w:pPr>
        <w:rPr>
          <w:sz w:val="20"/>
        </w:rPr>
      </w:pPr>
      <w:r>
        <w:rPr>
          <w:noProof/>
          <w:lang w:eastAsia="en-AU"/>
        </w:rPr>
        <w:drawing>
          <wp:inline distT="0" distB="0" distL="0" distR="0" wp14:anchorId="5F49A4F8" wp14:editId="274AAF2A">
            <wp:extent cx="5046415" cy="4524292"/>
            <wp:effectExtent l="0" t="0" r="190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55444" cy="4532387"/>
                    </a:xfrm>
                    <a:prstGeom prst="rect">
                      <a:avLst/>
                    </a:prstGeom>
                    <a:noFill/>
                  </pic:spPr>
                </pic:pic>
              </a:graphicData>
            </a:graphic>
          </wp:inline>
        </w:drawing>
      </w:r>
      <w:r w:rsidRPr="00F4005F">
        <w:rPr>
          <w:sz w:val="20"/>
          <w:lang w:eastAsia="en-AU"/>
        </w:rPr>
        <w:t xml:space="preserve"> </w:t>
      </w:r>
    </w:p>
    <w:p w:rsidR="004F5DDB" w:rsidRDefault="009C6C96" w:rsidP="009C6C96">
      <w:pPr>
        <w:pStyle w:val="Source"/>
      </w:pPr>
      <w:r>
        <w:t xml:space="preserve">Source: Deloitte Access Economics. </w:t>
      </w:r>
      <w:r w:rsidR="00C36033">
        <w:t>Percent</w:t>
      </w:r>
      <w:r>
        <w:t>age point change of labour share</w:t>
      </w:r>
      <w:r w:rsidR="004F0085">
        <w:t xml:space="preserve"> from 1986 to 2026</w:t>
      </w:r>
      <w:r>
        <w:t xml:space="preserve"> in parentheses.</w:t>
      </w:r>
    </w:p>
    <w:p w:rsidR="009C6C96" w:rsidRPr="00027F2A" w:rsidRDefault="009C6C96" w:rsidP="009C6C96">
      <w:pPr>
        <w:pStyle w:val="Heading2"/>
        <w:numPr>
          <w:ilvl w:val="1"/>
          <w:numId w:val="8"/>
        </w:numPr>
      </w:pPr>
      <w:bookmarkStart w:id="244" w:name="_Toc465961213"/>
      <w:r>
        <w:t>Implications</w:t>
      </w:r>
      <w:bookmarkEnd w:id="244"/>
    </w:p>
    <w:p w:rsidR="00DC411A" w:rsidRDefault="00DC411A" w:rsidP="00DC411A">
      <w:pPr>
        <w:pStyle w:val="BodyText"/>
      </w:pPr>
      <w:bookmarkStart w:id="245" w:name="_Ref457566161"/>
      <w:bookmarkStart w:id="246" w:name="_Ref457742890"/>
      <w:bookmarkEnd w:id="214"/>
      <w:r>
        <w:t>The primary estimates in this analysis are from HILDA, which were observed in a pre-DDS policy environment. Furthermore:</w:t>
      </w:r>
    </w:p>
    <w:p w:rsidR="00DC411A" w:rsidRDefault="006F2548" w:rsidP="00DC411A">
      <w:pPr>
        <w:pStyle w:val="Bullet1"/>
      </w:pPr>
      <w:r>
        <w:t>s</w:t>
      </w:r>
      <w:r w:rsidR="00DC411A">
        <w:t>hort term fluctuations in demand and industry cycles will cause differentials in employment and wage outcomes</w:t>
      </w:r>
      <w:r>
        <w:t>;</w:t>
      </w:r>
    </w:p>
    <w:p w:rsidR="00DC411A" w:rsidRDefault="006F2548" w:rsidP="00DC411A">
      <w:pPr>
        <w:pStyle w:val="Bullet1"/>
      </w:pPr>
      <w:r>
        <w:t>l</w:t>
      </w:r>
      <w:r w:rsidR="00DC411A">
        <w:t>onger term sectoral change in the economy will shift industry demand at a longer timescale still</w:t>
      </w:r>
      <w:r>
        <w:t>; and</w:t>
      </w:r>
    </w:p>
    <w:p w:rsidR="00DC411A" w:rsidRDefault="006F2548" w:rsidP="00DC411A">
      <w:pPr>
        <w:pStyle w:val="Bullet1"/>
      </w:pPr>
      <w:proofErr w:type="gramStart"/>
      <w:r>
        <w:t>h</w:t>
      </w:r>
      <w:r w:rsidR="00DC411A">
        <w:t>ow</w:t>
      </w:r>
      <w:proofErr w:type="gramEnd"/>
      <w:r w:rsidR="00DC411A">
        <w:t xml:space="preserve"> graduates sort into industries in the economy may change over time, albeit over the longer term</w:t>
      </w:r>
      <w:r>
        <w:t>.</w:t>
      </w:r>
    </w:p>
    <w:p w:rsidR="00DC411A" w:rsidRDefault="00DC411A" w:rsidP="00DC411A">
      <w:pPr>
        <w:pStyle w:val="BodyText"/>
      </w:pPr>
      <w:r w:rsidRPr="004F5DDB">
        <w:t xml:space="preserve">These dynamic effects </w:t>
      </w:r>
      <w:r w:rsidR="004F5DDB" w:rsidRPr="004F5DDB">
        <w:t>could foreseeably</w:t>
      </w:r>
      <w:r w:rsidRPr="004F5DDB">
        <w:t xml:space="preserve"> impact the public and private relativities of market benefits to higher education</w:t>
      </w:r>
      <w:r w:rsidR="004F5DDB" w:rsidRPr="004F5DDB">
        <w:t xml:space="preserve"> for certain disciplines</w:t>
      </w:r>
      <w:r w:rsidRPr="004F5DDB">
        <w:t>. Any policy design using this evidence base will therefore need to consider these dynamic factors.</w:t>
      </w:r>
      <w:r w:rsidR="004F5DDB" w:rsidRPr="004F5DDB">
        <w:t xml:space="preserve"> </w:t>
      </w:r>
      <w:r w:rsidRPr="004F5DDB">
        <w:t>However</w:t>
      </w:r>
      <w:r w:rsidR="00390FFA" w:rsidRPr="004F5DDB">
        <w:t>,</w:t>
      </w:r>
      <w:r w:rsidRPr="004F5DDB">
        <w:t xml:space="preserve"> </w:t>
      </w:r>
      <w:r w:rsidR="004F5DDB" w:rsidRPr="004F5DDB">
        <w:t xml:space="preserve">based on the analysis presented in this </w:t>
      </w:r>
      <w:r w:rsidR="00356108">
        <w:t>section</w:t>
      </w:r>
      <w:r w:rsidR="00390FFA" w:rsidRPr="004F5DDB">
        <w:t xml:space="preserve">, </w:t>
      </w:r>
      <w:r w:rsidRPr="004F5DDB">
        <w:t xml:space="preserve">it seems unlikely </w:t>
      </w:r>
      <w:r w:rsidR="00390FFA" w:rsidRPr="004F5DDB">
        <w:t xml:space="preserve">that public and private benefit splits </w:t>
      </w:r>
      <w:r w:rsidR="004F5DDB" w:rsidRPr="004F5DDB">
        <w:t xml:space="preserve">overall could shift significantly </w:t>
      </w:r>
      <w:r w:rsidRPr="004F5DDB">
        <w:t>from curren</w:t>
      </w:r>
      <w:r w:rsidR="00E87598" w:rsidRPr="004F5DDB">
        <w:t xml:space="preserve">t estimates in the next </w:t>
      </w:r>
      <w:r w:rsidR="00C36033">
        <w:t>five</w:t>
      </w:r>
      <w:r w:rsidR="00C36033" w:rsidRPr="004F5DDB">
        <w:t xml:space="preserve"> </w:t>
      </w:r>
      <w:r w:rsidR="00E87598" w:rsidRPr="004F5DDB">
        <w:t>years.</w:t>
      </w:r>
      <w:r w:rsidRPr="004F5DDB">
        <w:t xml:space="preserve"> </w:t>
      </w:r>
      <w:r w:rsidR="004F5DDB" w:rsidRPr="004F5DDB">
        <w:t>Longer</w:t>
      </w:r>
      <w:r w:rsidR="00C36033">
        <w:t>-</w:t>
      </w:r>
      <w:r w:rsidR="004F5DDB" w:rsidRPr="004F5DDB">
        <w:t xml:space="preserve">term, </w:t>
      </w:r>
      <w:r w:rsidRPr="004F5DDB">
        <w:t xml:space="preserve">employment growth forecasts over </w:t>
      </w:r>
      <w:r w:rsidR="00E87598" w:rsidRPr="004F5DDB">
        <w:t xml:space="preserve">the next </w:t>
      </w:r>
      <w:r w:rsidRPr="004F5DDB">
        <w:t>10 years</w:t>
      </w:r>
      <w:r w:rsidR="004F5DDB" w:rsidRPr="004F5DDB">
        <w:t xml:space="preserve"> suggest that</w:t>
      </w:r>
      <w:r w:rsidRPr="004F5DDB">
        <w:t xml:space="preserve"> </w:t>
      </w:r>
      <w:r w:rsidR="00390FFA" w:rsidRPr="004F5DDB">
        <w:t>certain dis</w:t>
      </w:r>
      <w:r w:rsidR="004F5DDB" w:rsidRPr="004F5DDB">
        <w:t>ciplines, particularly the health sector</w:t>
      </w:r>
      <w:r w:rsidR="00F52FAE">
        <w:t>,</w:t>
      </w:r>
      <w:r w:rsidR="004F5DDB" w:rsidRPr="004F5DDB">
        <w:t xml:space="preserve"> will </w:t>
      </w:r>
      <w:r w:rsidR="00F52FAE">
        <w:t>be characterised by</w:t>
      </w:r>
      <w:r w:rsidR="004F5DDB">
        <w:t xml:space="preserve"> greater public benefits from </w:t>
      </w:r>
      <w:r w:rsidR="00F52FAE">
        <w:t xml:space="preserve">higher education. This will </w:t>
      </w:r>
      <w:r w:rsidR="00F52FAE">
        <w:lastRenderedPageBreak/>
        <w:t>have the effect of moving estimated public/private benefits splits for these disciplines closer to the current average.</w:t>
      </w:r>
    </w:p>
    <w:p w:rsidR="006F2548" w:rsidRPr="004F5DDB" w:rsidRDefault="00182F60" w:rsidP="00DC411A">
      <w:pPr>
        <w:pStyle w:val="BodyText"/>
      </w:pPr>
      <w:r>
        <w:t>The uncertainty associated with these dynamics is explored t</w:t>
      </w:r>
      <w:r w:rsidR="006F2548">
        <w:t xml:space="preserve">hrough the sensitivity testing of key parameters, discussed in Section </w:t>
      </w:r>
      <w:r w:rsidR="006F2548">
        <w:fldChar w:fldCharType="begin"/>
      </w:r>
      <w:r w:rsidR="006F2548">
        <w:instrText xml:space="preserve"> REF _Ref461088734 \r \h </w:instrText>
      </w:r>
      <w:r w:rsidR="006F2548">
        <w:fldChar w:fldCharType="separate"/>
      </w:r>
      <w:r w:rsidR="00534F9F">
        <w:t>5.3.1</w:t>
      </w:r>
      <w:r w:rsidR="006F2548">
        <w:fldChar w:fldCharType="end"/>
      </w:r>
      <w:r w:rsidR="006F2548">
        <w:t xml:space="preserve">, and </w:t>
      </w:r>
      <w:r w:rsidR="006F2548">
        <w:fldChar w:fldCharType="begin"/>
      </w:r>
      <w:r w:rsidR="006F2548">
        <w:instrText xml:space="preserve"> REF _Ref461002154 \r \h </w:instrText>
      </w:r>
      <w:r w:rsidR="006F2548">
        <w:fldChar w:fldCharType="separate"/>
      </w:r>
      <w:r w:rsidR="00534F9F">
        <w:t>Appendix D</w:t>
      </w:r>
      <w:r w:rsidR="006F2548">
        <w:fldChar w:fldCharType="end"/>
      </w:r>
      <w:r>
        <w:t>.</w:t>
      </w:r>
      <w:r w:rsidR="006F2548">
        <w:t xml:space="preserve"> </w:t>
      </w:r>
      <w:r w:rsidR="009D0CF1">
        <w:t>While the public and private shares of market benefits to higher education will be affected by change</w:t>
      </w:r>
      <w:r w:rsidR="00E105A9">
        <w:t>s</w:t>
      </w:r>
      <w:r w:rsidR="009D0CF1">
        <w:t xml:space="preserve"> in the relationships within the labour market, the broad relativities </w:t>
      </w:r>
      <w:r w:rsidR="00D34152">
        <w:t>are expected to persist within a five percentage point band over the medium term.</w:t>
      </w:r>
      <w:r w:rsidR="009D0CF1">
        <w:t xml:space="preserve"> </w:t>
      </w:r>
    </w:p>
    <w:p w:rsidR="004D7B0F" w:rsidRDefault="00B14443" w:rsidP="004D7B0F">
      <w:pPr>
        <w:pStyle w:val="Heading1"/>
        <w:spacing w:before="0"/>
        <w:rPr>
          <w:lang w:eastAsia="en-AU"/>
        </w:rPr>
      </w:pPr>
      <w:bookmarkStart w:id="247" w:name="_Ref459196513"/>
      <w:bookmarkStart w:id="248" w:name="_Toc465961214"/>
      <w:r>
        <w:rPr>
          <w:lang w:eastAsia="en-AU"/>
        </w:rPr>
        <w:lastRenderedPageBreak/>
        <w:t>I</w:t>
      </w:r>
      <w:r w:rsidR="00E22741">
        <w:rPr>
          <w:lang w:eastAsia="en-AU"/>
        </w:rPr>
        <w:t xml:space="preserve">mplications </w:t>
      </w:r>
      <w:bookmarkEnd w:id="245"/>
      <w:bookmarkEnd w:id="246"/>
      <w:r w:rsidR="004D5625">
        <w:rPr>
          <w:lang w:eastAsia="en-AU"/>
        </w:rPr>
        <w:t xml:space="preserve">of this </w:t>
      </w:r>
      <w:r>
        <w:rPr>
          <w:lang w:eastAsia="en-AU"/>
        </w:rPr>
        <w:t>research</w:t>
      </w:r>
      <w:bookmarkEnd w:id="247"/>
      <w:bookmarkEnd w:id="248"/>
    </w:p>
    <w:p w:rsidR="00121C05" w:rsidRDefault="00B20E3F" w:rsidP="00D84A77">
      <w:pPr>
        <w:pStyle w:val="BodyText"/>
        <w:rPr>
          <w:lang w:eastAsia="en-AU"/>
        </w:rPr>
      </w:pPr>
      <w:r>
        <w:rPr>
          <w:lang w:eastAsia="en-AU"/>
        </w:rPr>
        <w:t xml:space="preserve">The analysis and findings presented in this study represent a significant </w:t>
      </w:r>
      <w:r w:rsidR="00C22826">
        <w:rPr>
          <w:lang w:eastAsia="en-AU"/>
        </w:rPr>
        <w:t xml:space="preserve">extension </w:t>
      </w:r>
      <w:r>
        <w:rPr>
          <w:lang w:eastAsia="en-AU"/>
        </w:rPr>
        <w:t xml:space="preserve">on the existing empirical research base </w:t>
      </w:r>
      <w:r w:rsidR="008875E2">
        <w:rPr>
          <w:lang w:eastAsia="en-AU"/>
        </w:rPr>
        <w:t>regarding the private and public benefits from higher education.</w:t>
      </w:r>
      <w:r w:rsidR="00121C05">
        <w:rPr>
          <w:lang w:eastAsia="en-AU"/>
        </w:rPr>
        <w:t xml:space="preserve"> In particular, previous studies have not </w:t>
      </w:r>
      <w:r w:rsidR="00B67AC6">
        <w:rPr>
          <w:lang w:eastAsia="en-AU"/>
        </w:rPr>
        <w:t xml:space="preserve">systematically </w:t>
      </w:r>
      <w:r w:rsidR="00121C05">
        <w:rPr>
          <w:lang w:eastAsia="en-AU"/>
        </w:rPr>
        <w:t xml:space="preserve">considered the </w:t>
      </w:r>
      <w:r w:rsidR="00D34152">
        <w:rPr>
          <w:lang w:eastAsia="en-AU"/>
        </w:rPr>
        <w:t xml:space="preserve">attributable </w:t>
      </w:r>
      <w:r w:rsidR="00D41FFF">
        <w:rPr>
          <w:lang w:eastAsia="en-AU"/>
        </w:rPr>
        <w:t xml:space="preserve">private and public returns to higher education at a qualification and discipline level, including </w:t>
      </w:r>
      <w:r w:rsidR="00121C05">
        <w:rPr>
          <w:lang w:eastAsia="en-AU"/>
        </w:rPr>
        <w:t xml:space="preserve">flow-on </w:t>
      </w:r>
      <w:r w:rsidR="00D41FFF">
        <w:rPr>
          <w:lang w:eastAsia="en-AU"/>
        </w:rPr>
        <w:t xml:space="preserve">productivity </w:t>
      </w:r>
      <w:r w:rsidR="00121C05">
        <w:rPr>
          <w:lang w:eastAsia="en-AU"/>
        </w:rPr>
        <w:t xml:space="preserve">benefits </w:t>
      </w:r>
      <w:r w:rsidR="00D41FFF">
        <w:rPr>
          <w:lang w:eastAsia="en-AU"/>
        </w:rPr>
        <w:t>to the broader economy.</w:t>
      </w:r>
    </w:p>
    <w:p w:rsidR="00D41FFF" w:rsidRDefault="008875E2" w:rsidP="00D84A77">
      <w:pPr>
        <w:pStyle w:val="BodyText"/>
        <w:rPr>
          <w:lang w:eastAsia="en-AU"/>
        </w:rPr>
      </w:pPr>
      <w:r>
        <w:rPr>
          <w:lang w:eastAsia="en-AU"/>
        </w:rPr>
        <w:t xml:space="preserve">While the empirical method employed here is more comprehensive and detailed in its scope than previous studies, it is not completely exhaustive in its measurement of all the possible private and public benefits from higher education that have been identified conceptually. The nature and quanta of these additional benefits may have implications on the </w:t>
      </w:r>
      <w:r w:rsidR="009F615F">
        <w:rPr>
          <w:lang w:eastAsia="en-AU"/>
        </w:rPr>
        <w:t xml:space="preserve">empirical </w:t>
      </w:r>
      <w:r>
        <w:rPr>
          <w:lang w:eastAsia="en-AU"/>
        </w:rPr>
        <w:t xml:space="preserve">findings developed here. </w:t>
      </w:r>
      <w:r w:rsidR="00D41FFF">
        <w:rPr>
          <w:lang w:eastAsia="en-AU"/>
        </w:rPr>
        <w:t xml:space="preserve">These </w:t>
      </w:r>
      <w:r w:rsidR="001635AA">
        <w:rPr>
          <w:lang w:eastAsia="en-AU"/>
        </w:rPr>
        <w:t xml:space="preserve">implications </w:t>
      </w:r>
      <w:r w:rsidR="00D41FFF">
        <w:rPr>
          <w:lang w:eastAsia="en-AU"/>
        </w:rPr>
        <w:t xml:space="preserve">are discussed in </w:t>
      </w:r>
      <w:r w:rsidR="009F615F">
        <w:rPr>
          <w:lang w:eastAsia="en-AU"/>
        </w:rPr>
        <w:t>the following section through a structured analysis of the complex market and non-market mechanisms that fall outside of the CGE model framework.</w:t>
      </w:r>
    </w:p>
    <w:p w:rsidR="00390FFA" w:rsidRPr="00390FFA" w:rsidRDefault="00390FFA" w:rsidP="00390FFA">
      <w:pPr>
        <w:pStyle w:val="Heading2"/>
      </w:pPr>
      <w:bookmarkStart w:id="249" w:name="_Toc465961215"/>
      <w:bookmarkStart w:id="250" w:name="_Toc452492925"/>
      <w:r w:rsidRPr="00390FFA">
        <w:t>Implications of the key findings</w:t>
      </w:r>
      <w:bookmarkEnd w:id="249"/>
    </w:p>
    <w:p w:rsidR="00110A90" w:rsidRDefault="00110A90" w:rsidP="00110A90">
      <w:pPr>
        <w:pStyle w:val="BodyText"/>
      </w:pPr>
      <w:r>
        <w:t>The findings from this analysis present a number of implications for higher education research and policy in Australia.</w:t>
      </w:r>
    </w:p>
    <w:p w:rsidR="00396C53" w:rsidRDefault="00396C53" w:rsidP="001740CE">
      <w:pPr>
        <w:pStyle w:val="HeadingC"/>
      </w:pPr>
      <w:r>
        <w:t>Private benefits</w:t>
      </w:r>
    </w:p>
    <w:p w:rsidR="00110A90" w:rsidRDefault="00110A90" w:rsidP="00110A90">
      <w:pPr>
        <w:pStyle w:val="BodyText"/>
      </w:pPr>
      <w:r>
        <w:t xml:space="preserve">The evidence presented here suggests that private returns to higher education vary on the basis of qualification and discipline. However—in contrast to recent studies by Norton (2012) and Daly et al., (2015)—there is also evidence of variation in the returns to higher education that can be explained by qualification specific effects, relative to variations in the demographic and ability characteristics. </w:t>
      </w:r>
    </w:p>
    <w:p w:rsidR="00110A90" w:rsidRDefault="00110A90" w:rsidP="00110A90">
      <w:pPr>
        <w:pStyle w:val="BodyText"/>
      </w:pPr>
      <w:r>
        <w:t xml:space="preserve">This implies that simple comparisons of average earnings for higher education degree holders compared to those without any post-school education overstate the actual private benefits from these qualifications in absolute and relative terms (i.e. between qualification levels and disciplines). Overall, the findings from this study represent more robust </w:t>
      </w:r>
      <w:r w:rsidR="00D34152">
        <w:rPr>
          <w:i/>
        </w:rPr>
        <w:t>attributable</w:t>
      </w:r>
      <w:r w:rsidR="00D34152">
        <w:t xml:space="preserve"> </w:t>
      </w:r>
      <w:r>
        <w:t>estimates of the return to</w:t>
      </w:r>
      <w:r w:rsidR="007A78E9">
        <w:t xml:space="preserve"> higher education, </w:t>
      </w:r>
      <w:r w:rsidR="00C22826">
        <w:t xml:space="preserve">providing </w:t>
      </w:r>
      <w:r w:rsidR="007A78E9">
        <w:t xml:space="preserve">a more appropriate basis upon which to determine the rates of contribution that students should make towards their education (as </w:t>
      </w:r>
      <w:r w:rsidR="00C22826">
        <w:t>they</w:t>
      </w:r>
      <w:r w:rsidR="007A78E9">
        <w:t xml:space="preserve"> account for the benefits associated with the qualification itself, removing the effects of other confounding factors).</w:t>
      </w:r>
    </w:p>
    <w:p w:rsidR="00396C53" w:rsidRDefault="00396C53" w:rsidP="001740CE">
      <w:pPr>
        <w:pStyle w:val="HeadingC"/>
      </w:pPr>
      <w:r>
        <w:t>Public benefits</w:t>
      </w:r>
      <w:r w:rsidR="00C22826">
        <w:t xml:space="preserve"> and their ratio to private benefits </w:t>
      </w:r>
    </w:p>
    <w:p w:rsidR="00110A90" w:rsidRDefault="00110A90" w:rsidP="00110A90">
      <w:pPr>
        <w:pStyle w:val="BodyText"/>
      </w:pPr>
      <w:r>
        <w:t>This study also finds variation in the ratio between private and public benefits from higher education on the basis of qualification and discipline. This is in contrast to the conclusion made by Lomax-Smith (2011), following the research findings of Chapman and Lounkaew (2011; and 2015). This variation in relative private and public benefits follows from the manner in which public benefits are estimated—through (1) net receipts to government (e.g. through taxation revenue); and (2) flow on productivity effects to industry output from enhanced labour productivity.</w:t>
      </w:r>
    </w:p>
    <w:p w:rsidR="00110A90" w:rsidRDefault="00110A90" w:rsidP="00110A90">
      <w:pPr>
        <w:pStyle w:val="BodyText"/>
      </w:pPr>
      <w:r>
        <w:lastRenderedPageBreak/>
        <w:t xml:space="preserve">As outlined in Section </w:t>
      </w:r>
      <w:r>
        <w:fldChar w:fldCharType="begin"/>
      </w:r>
      <w:r>
        <w:instrText xml:space="preserve"> REF _Ref458426194 \r \h </w:instrText>
      </w:r>
      <w:r>
        <w:fldChar w:fldCharType="separate"/>
      </w:r>
      <w:r w:rsidR="00534F9F">
        <w:t>1</w:t>
      </w:r>
      <w:r>
        <w:fldChar w:fldCharType="end"/>
      </w:r>
      <w:r>
        <w:t xml:space="preserve"> of this report, </w:t>
      </w:r>
      <w:r w:rsidR="001740CE">
        <w:t>existing</w:t>
      </w:r>
      <w:r>
        <w:t xml:space="preserve"> funding policy intends to apportion the contribution between private and public sources of funding (i.e. between students and the government) towards the average cost of a higher education program in direct proportion to the benefits that result from higher education attainment—at a discipline level for bachelor degree programs. </w:t>
      </w:r>
    </w:p>
    <w:p w:rsidR="00110A90" w:rsidRDefault="00110A90" w:rsidP="00110A90">
      <w:pPr>
        <w:pStyle w:val="BodyText"/>
      </w:pPr>
      <w:r>
        <w:t>Currently, the relative quanta of these private and public contributions varies on a discipline basis with an overall average split of private to public contributions of approximately 4</w:t>
      </w:r>
      <w:r w:rsidR="00831B0F">
        <w:t>2</w:t>
      </w:r>
      <w:r>
        <w:t>% private to 5</w:t>
      </w:r>
      <w:r w:rsidR="00831B0F">
        <w:t>8</w:t>
      </w:r>
      <w:r>
        <w:t>% public</w:t>
      </w:r>
      <w:r w:rsidR="00831B0F">
        <w:t>, with this subject to changes in overall composition</w:t>
      </w:r>
      <w:r>
        <w:t>.</w:t>
      </w:r>
      <w:r w:rsidR="006151C1">
        <w:t xml:space="preserve"> </w:t>
      </w:r>
    </w:p>
    <w:p w:rsidR="00E10258" w:rsidRDefault="00390FFA" w:rsidP="00E177A4">
      <w:pPr>
        <w:pStyle w:val="BodyText"/>
      </w:pPr>
      <w:r>
        <w:t xml:space="preserve">Further, </w:t>
      </w:r>
      <w:r w:rsidR="006151C1">
        <w:t xml:space="preserve">on a discipline basis, the evidence developed through this study indicates that the relative private and public benefits </w:t>
      </w:r>
      <w:r w:rsidR="006151C1" w:rsidRPr="00626640">
        <w:rPr>
          <w:rStyle w:val="Boldword"/>
          <w:b w:val="0"/>
          <w:color w:val="auto"/>
        </w:rPr>
        <w:t>do not vary</w:t>
      </w:r>
      <w:r w:rsidR="008E7DC2" w:rsidRPr="00626640">
        <w:rPr>
          <w:rStyle w:val="Boldword"/>
          <w:b w:val="0"/>
          <w:color w:val="auto"/>
        </w:rPr>
        <w:t xml:space="preserve"> greatly</w:t>
      </w:r>
      <w:r w:rsidR="00E615A9" w:rsidRPr="00626640">
        <w:rPr>
          <w:rStyle w:val="Boldword"/>
          <w:b w:val="0"/>
          <w:color w:val="auto"/>
        </w:rPr>
        <w:t xml:space="preserve"> on the basis of discipline</w:t>
      </w:r>
      <w:r w:rsidR="008E7DC2" w:rsidRPr="00717923">
        <w:rPr>
          <w:rStyle w:val="Boldword"/>
          <w:b w:val="0"/>
          <w:color w:val="auto"/>
        </w:rPr>
        <w:t>, and do not vary</w:t>
      </w:r>
      <w:r w:rsidR="006151C1" w:rsidRPr="00717923">
        <w:rPr>
          <w:rStyle w:val="Boldword"/>
          <w:b w:val="0"/>
          <w:color w:val="auto"/>
        </w:rPr>
        <w:t xml:space="preserve"> to the same extent as current contribution rates</w:t>
      </w:r>
      <w:r w:rsidR="006151C1">
        <w:t>.</w:t>
      </w:r>
      <w:r w:rsidR="008E7DC2">
        <w:t xml:space="preserve"> </w:t>
      </w:r>
      <w:r w:rsidR="006151C1">
        <w:t>For example, the current contribution proportions for</w:t>
      </w:r>
      <w:r w:rsidR="00E10258">
        <w:t xml:space="preserve"> </w:t>
      </w:r>
      <w:r w:rsidR="006151C1">
        <w:t>the funding cluster of</w:t>
      </w:r>
      <w:r w:rsidR="00E10258">
        <w:t>:</w:t>
      </w:r>
    </w:p>
    <w:p w:rsidR="006151C1" w:rsidRDefault="006151C1" w:rsidP="001740CE">
      <w:pPr>
        <w:pStyle w:val="Bullet1"/>
      </w:pPr>
      <w:r w:rsidRPr="001740CE">
        <w:rPr>
          <w:rStyle w:val="Boldword"/>
        </w:rPr>
        <w:t>law, accounting, administration, economics, and commerce</w:t>
      </w:r>
      <w:r>
        <w:t xml:space="preserve"> is 84% private and 16% public;</w:t>
      </w:r>
      <w:r w:rsidR="00E10258">
        <w:t xml:space="preserve"> and</w:t>
      </w:r>
    </w:p>
    <w:p w:rsidR="006151C1" w:rsidRDefault="00E10258" w:rsidP="001740CE">
      <w:pPr>
        <w:pStyle w:val="Bullet1"/>
      </w:pPr>
      <w:proofErr w:type="gramStart"/>
      <w:r w:rsidRPr="001740CE">
        <w:rPr>
          <w:rStyle w:val="Boldword"/>
        </w:rPr>
        <w:t>dentistry</w:t>
      </w:r>
      <w:proofErr w:type="gramEnd"/>
      <w:r w:rsidRPr="001740CE">
        <w:rPr>
          <w:rStyle w:val="Boldword"/>
        </w:rPr>
        <w:t>, medicine or veterinary science</w:t>
      </w:r>
      <w:r>
        <w:t xml:space="preserve"> is 32% private and 68% public.</w:t>
      </w:r>
    </w:p>
    <w:p w:rsidR="00E10258" w:rsidRDefault="00B72383" w:rsidP="00E177A4">
      <w:pPr>
        <w:pStyle w:val="BodyText"/>
      </w:pPr>
      <w:r>
        <w:t>I</w:t>
      </w:r>
      <w:r w:rsidR="006151C1">
        <w:t>n comparison, the results of this study suggest that for</w:t>
      </w:r>
      <w:r w:rsidR="00E10258">
        <w:t xml:space="preserve"> the:</w:t>
      </w:r>
    </w:p>
    <w:p w:rsidR="006151C1" w:rsidRDefault="006151C1" w:rsidP="001740CE">
      <w:pPr>
        <w:pStyle w:val="Bullet1"/>
      </w:pPr>
      <w:r w:rsidRPr="001740CE">
        <w:rPr>
          <w:rStyle w:val="Boldword"/>
        </w:rPr>
        <w:t>business</w:t>
      </w:r>
      <w:r>
        <w:t xml:space="preserve"> field of education, 4</w:t>
      </w:r>
      <w:r w:rsidR="00B72383">
        <w:t>4</w:t>
      </w:r>
      <w:r w:rsidR="00D63C0D">
        <w:t>%</w:t>
      </w:r>
      <w:r>
        <w:t xml:space="preserve"> of benefits</w:t>
      </w:r>
      <w:r w:rsidR="00E10258">
        <w:t xml:space="preserve"> are private and 5</w:t>
      </w:r>
      <w:r w:rsidR="00B72383">
        <w:t>6</w:t>
      </w:r>
      <w:r w:rsidR="00E10258">
        <w:t xml:space="preserve">% are public; and </w:t>
      </w:r>
    </w:p>
    <w:p w:rsidR="006151C1" w:rsidRDefault="00E10258" w:rsidP="001740CE">
      <w:pPr>
        <w:pStyle w:val="Bullet1"/>
      </w:pPr>
      <w:proofErr w:type="gramStart"/>
      <w:r w:rsidRPr="001740CE">
        <w:rPr>
          <w:rStyle w:val="Boldword"/>
        </w:rPr>
        <w:t>medicine</w:t>
      </w:r>
      <w:proofErr w:type="gramEnd"/>
      <w:r>
        <w:t xml:space="preserve"> field of education, 5</w:t>
      </w:r>
      <w:r w:rsidR="00B72383">
        <w:t>0</w:t>
      </w:r>
      <w:r>
        <w:t xml:space="preserve">% of the benefits are private and </w:t>
      </w:r>
      <w:r w:rsidR="00B72383">
        <w:t>50</w:t>
      </w:r>
      <w:r>
        <w:t>% are public.</w:t>
      </w:r>
    </w:p>
    <w:p w:rsidR="00E615A9" w:rsidRDefault="008E7DC2" w:rsidP="001740CE">
      <w:pPr>
        <w:pStyle w:val="BodyText"/>
      </w:pPr>
      <w:r>
        <w:t xml:space="preserve">Overall, the </w:t>
      </w:r>
      <w:r w:rsidR="005F7DC1">
        <w:t xml:space="preserve">ratio of private to public benefits </w:t>
      </w:r>
      <w:r w:rsidR="00B72383">
        <w:t xml:space="preserve">for bachelor level </w:t>
      </w:r>
      <w:r w:rsidR="005F7DC1">
        <w:t>ranges from 39:61 to 51:49, with a weighted average of 45:55.</w:t>
      </w:r>
      <w:r w:rsidR="00D63C0D">
        <w:rPr>
          <w:rStyle w:val="FootnoteReference"/>
        </w:rPr>
        <w:footnoteReference w:id="46"/>
      </w:r>
      <w:r w:rsidR="005F7DC1">
        <w:t xml:space="preserve"> This range is relatively </w:t>
      </w:r>
      <w:r w:rsidR="00D63C0D">
        <w:t>narrow</w:t>
      </w:r>
      <w:r w:rsidR="005F7DC1">
        <w:t>, and falls within the overall range of sensitivity estim</w:t>
      </w:r>
      <w:r w:rsidR="00E615A9">
        <w:t>ated by McMahon (2004) of 40:60</w:t>
      </w:r>
      <w:r w:rsidR="005F7DC1">
        <w:t>–60:</w:t>
      </w:r>
      <w:r w:rsidR="00E615A9">
        <w:t>40 (noting the difference</w:t>
      </w:r>
      <w:r w:rsidR="00A12D5C">
        <w:t>s</w:t>
      </w:r>
      <w:r w:rsidR="00E615A9">
        <w:t xml:space="preserve"> in McMahon’s empirical approach</w:t>
      </w:r>
      <w:r w:rsidR="00A12D5C">
        <w:t xml:space="preserve"> to this study’s </w:t>
      </w:r>
      <w:r w:rsidR="00D63C0D">
        <w:t>methodology</w:t>
      </w:r>
      <w:r w:rsidR="00E615A9">
        <w:t xml:space="preserve">). </w:t>
      </w:r>
    </w:p>
    <w:p w:rsidR="00390FFA" w:rsidRDefault="00390FFA" w:rsidP="00390FFA">
      <w:pPr>
        <w:pStyle w:val="BodyText"/>
      </w:pPr>
      <w:r>
        <w:t xml:space="preserve">Like any modelling approach, the analysis here relies on a simulation of the real world, and is therefore not without its limitations. In particular, where some fields of education might be expected to generate significant non-market flow-on benefits (beyond those captured in this study’s analysis), the relative public benefits presented in this study are likely to be underestimated (as discussed </w:t>
      </w:r>
      <w:r w:rsidRPr="00626640">
        <w:t xml:space="preserve">in Section </w:t>
      </w:r>
      <w:r w:rsidR="00626640" w:rsidRPr="00C13EAE">
        <w:fldChar w:fldCharType="begin"/>
      </w:r>
      <w:r w:rsidR="00626640" w:rsidRPr="00C13EAE">
        <w:instrText xml:space="preserve"> REF _Ref464125007 \r \h </w:instrText>
      </w:r>
      <w:r w:rsidR="00626640">
        <w:instrText xml:space="preserve"> \* MERGEFORMAT </w:instrText>
      </w:r>
      <w:r w:rsidR="00626640" w:rsidRPr="00C13EAE">
        <w:fldChar w:fldCharType="separate"/>
      </w:r>
      <w:r w:rsidR="00534F9F">
        <w:t>5.4</w:t>
      </w:r>
      <w:r w:rsidR="00626640" w:rsidRPr="00C13EAE">
        <w:fldChar w:fldCharType="end"/>
      </w:r>
      <w:r>
        <w:t xml:space="preserve"> of this report).</w:t>
      </w:r>
    </w:p>
    <w:p w:rsidR="00390FFA" w:rsidRDefault="00390FFA" w:rsidP="00390FFA">
      <w:pPr>
        <w:pStyle w:val="BodyText"/>
      </w:pPr>
      <w:r>
        <w:t xml:space="preserve">While it is not possible to tractably determine the quantum of these omitted benefits, they are most likely to be present in disciplines where graduates tend to be employed in the public sector (i.e. Education, Medicine, Health and Arts). Notably, these fields of education are also those that are estimated to have the </w:t>
      </w:r>
      <w:r w:rsidRPr="001740CE">
        <w:rPr>
          <w:i/>
        </w:rPr>
        <w:t>largest relative</w:t>
      </w:r>
      <w:r>
        <w:t xml:space="preserve"> </w:t>
      </w:r>
      <w:r>
        <w:rPr>
          <w:i/>
        </w:rPr>
        <w:t xml:space="preserve">private benefit </w:t>
      </w:r>
      <w:r>
        <w:t xml:space="preserve">(or </w:t>
      </w:r>
      <w:r w:rsidRPr="001740CE">
        <w:rPr>
          <w:i/>
        </w:rPr>
        <w:t>smallest relative</w:t>
      </w:r>
      <w:r>
        <w:t xml:space="preserve"> </w:t>
      </w:r>
      <w:r>
        <w:rPr>
          <w:i/>
        </w:rPr>
        <w:t>public benefit</w:t>
      </w:r>
      <w:r>
        <w:t xml:space="preserve">) in this study’s central empirical analysis. This implies that the range of relative private and public benefits may in fact be </w:t>
      </w:r>
      <w:r>
        <w:rPr>
          <w:i/>
        </w:rPr>
        <w:t>narrower</w:t>
      </w:r>
      <w:r>
        <w:t xml:space="preserve"> than is implied by this study’s central empirical results.</w:t>
      </w:r>
    </w:p>
    <w:p w:rsidR="008D505F" w:rsidRDefault="008D505F" w:rsidP="00390FFA">
      <w:pPr>
        <w:pStyle w:val="BodyText"/>
      </w:pPr>
      <w:r w:rsidRPr="008D505F">
        <w:t xml:space="preserve">In addition to the main scenarios considered for the combination of postgraduate and bachelor level disciplines, a number of additional sensitivities </w:t>
      </w:r>
      <w:r>
        <w:t>were</w:t>
      </w:r>
      <w:r w:rsidRPr="008D505F">
        <w:t xml:space="preserve"> modelled.  These demonstrate how uncertainty of existing relationships in the economy, or changes to the fundamental structure of the economy, could affect the public-private split of benefits to higher education. Given our analysis, the private-benefit split of benefits are likely to</w:t>
      </w:r>
      <w:r w:rsidRPr="00DA4CA5">
        <w:rPr>
          <w:b/>
          <w:color w:val="002776" w:themeColor="accent1"/>
        </w:rPr>
        <w:t xml:space="preserve"> </w:t>
      </w:r>
      <w:r w:rsidRPr="00C13EAE">
        <w:t xml:space="preserve">lie </w:t>
      </w:r>
      <w:r w:rsidRPr="00C13EAE">
        <w:lastRenderedPageBreak/>
        <w:t>within a five percentage point band</w:t>
      </w:r>
      <w:r w:rsidRPr="00DA4CA5">
        <w:rPr>
          <w:b/>
          <w:color w:val="002776" w:themeColor="accent1"/>
        </w:rPr>
        <w:t xml:space="preserve"> </w:t>
      </w:r>
      <w:r w:rsidRPr="008D505F">
        <w:t xml:space="preserve">around the central results. The direction and </w:t>
      </w:r>
      <w:r w:rsidR="00E3273C">
        <w:t xml:space="preserve">precise </w:t>
      </w:r>
      <w:r w:rsidRPr="008D505F">
        <w:t>magnitude of the effect are ambiguo</w:t>
      </w:r>
      <w:r>
        <w:t>us, depending on the discipline in question.</w:t>
      </w:r>
    </w:p>
    <w:p w:rsidR="00390FFA" w:rsidRDefault="00D63C0D" w:rsidP="00390FFA">
      <w:pPr>
        <w:pStyle w:val="Heading2"/>
      </w:pPr>
      <w:bookmarkStart w:id="251" w:name="_Toc461018806"/>
      <w:bookmarkStart w:id="252" w:name="_Toc461083954"/>
      <w:bookmarkStart w:id="253" w:name="_Toc461103938"/>
      <w:bookmarkStart w:id="254" w:name="_Toc461018807"/>
      <w:bookmarkStart w:id="255" w:name="_Toc461083955"/>
      <w:bookmarkStart w:id="256" w:name="_Toc461103939"/>
      <w:bookmarkStart w:id="257" w:name="_Toc465961216"/>
      <w:bookmarkEnd w:id="251"/>
      <w:bookmarkEnd w:id="252"/>
      <w:bookmarkEnd w:id="253"/>
      <w:bookmarkEnd w:id="254"/>
      <w:bookmarkEnd w:id="255"/>
      <w:bookmarkEnd w:id="256"/>
      <w:r>
        <w:t xml:space="preserve">Final </w:t>
      </w:r>
      <w:r w:rsidR="004D3753">
        <w:t>observations</w:t>
      </w:r>
      <w:bookmarkEnd w:id="257"/>
      <w:r>
        <w:t xml:space="preserve"> </w:t>
      </w:r>
    </w:p>
    <w:p w:rsidR="00E615A9" w:rsidRDefault="00E615A9" w:rsidP="00390FFA">
      <w:pPr>
        <w:pStyle w:val="BodyText"/>
      </w:pPr>
      <w:r>
        <w:t xml:space="preserve">The approach that has been employed </w:t>
      </w:r>
      <w:r w:rsidR="00D63C0D">
        <w:t>in</w:t>
      </w:r>
      <w:r>
        <w:t xml:space="preserve"> this study is the most comprehensive and rigorous quantitative methodology available to estimate private and public benefits from higher education. </w:t>
      </w:r>
    </w:p>
    <w:p w:rsidR="00E10258" w:rsidRDefault="00E10258" w:rsidP="001740CE">
      <w:pPr>
        <w:pStyle w:val="BodyText"/>
      </w:pPr>
      <w:r>
        <w:t>It should be noted that there is not a perfect concordance between the fields of education used to estimate private and public benefits in this study, and the current CSP funding clusters and HECS-HELP contribution bands.</w:t>
      </w:r>
      <w:r w:rsidR="00E177A4">
        <w:t xml:space="preserve"> This limits the extent to which the results developed as part of this study can be compared directly to the current </w:t>
      </w:r>
      <w:r w:rsidR="00D63C0D">
        <w:t xml:space="preserve">Government </w:t>
      </w:r>
      <w:r w:rsidR="00E177A4">
        <w:t>and student contribution rates.</w:t>
      </w:r>
    </w:p>
    <w:p w:rsidR="00E10258" w:rsidRDefault="00E10258" w:rsidP="001740CE">
      <w:pPr>
        <w:pStyle w:val="BodyText"/>
      </w:pPr>
      <w:r>
        <w:t xml:space="preserve">The </w:t>
      </w:r>
      <w:r w:rsidR="00E177A4">
        <w:t xml:space="preserve">specific </w:t>
      </w:r>
      <w:r>
        <w:t xml:space="preserve">fields of education </w:t>
      </w:r>
      <w:r w:rsidR="00E177A4">
        <w:t>presented in</w:t>
      </w:r>
      <w:r>
        <w:t xml:space="preserve"> this study </w:t>
      </w:r>
      <w:r w:rsidR="00E177A4">
        <w:t>have been determined on the basis of data availability—namely, based on the fields of education included in the HILDA dataset which have a sufficient number of observations for the purpose of estimation. In practice, a different approach to clustering or grouping disciplines for the purpose of estimation may provide different empirical results. Further research may be conducted to determine how disciplines may be grouped together on the basis of similar private to public benefit ratios.</w:t>
      </w:r>
    </w:p>
    <w:p w:rsidR="00070088" w:rsidRDefault="00F451BB" w:rsidP="00F451BB">
      <w:pPr>
        <w:pStyle w:val="BodyText"/>
      </w:pPr>
      <w:r>
        <w:t>This study also finds that relative private and public benefits for post-graduate higher education programs (excluding higher degree research) largely correspond to the relative benefits for bachelor degree</w:t>
      </w:r>
      <w:r w:rsidR="005031D6">
        <w:t xml:space="preserve">s—with the notable exception of the Arts field of education, where employment patterns differ between undergraduate and postgraduate cohorts. </w:t>
      </w:r>
    </w:p>
    <w:p w:rsidR="005031D6" w:rsidRDefault="007A1D7E" w:rsidP="00F451BB">
      <w:pPr>
        <w:pStyle w:val="BodyText"/>
      </w:pPr>
      <w:r>
        <w:t>While the estimates developed in this study for sub-bachelor qualifications are not statistically significant, there is little evidence to suggest that relative private and public benefits would systematically differ from those estimated for bachelor qualifications</w:t>
      </w:r>
      <w:r w:rsidR="00070088">
        <w:t>. Similarly, while there is tentative evidence that private benefits from higher education qualifications may differ on the basis of provider, there is no evidence to suggest that private and public benefits would differ systematically on this basis—</w:t>
      </w:r>
      <w:r>
        <w:t xml:space="preserve">as was concluded in the 2014 Deloitte Access Economics </w:t>
      </w:r>
      <w:r w:rsidR="00070088">
        <w:t xml:space="preserve">study: </w:t>
      </w:r>
      <w:r w:rsidR="00070088" w:rsidRPr="001740CE">
        <w:rPr>
          <w:i/>
        </w:rPr>
        <w:t>Funding implications in expanding access to Commonwealth supported higher education places</w:t>
      </w:r>
      <w:r w:rsidR="00070088">
        <w:t>.</w:t>
      </w:r>
    </w:p>
    <w:p w:rsidR="00070088" w:rsidRDefault="00070088" w:rsidP="00F451BB">
      <w:pPr>
        <w:pStyle w:val="BodyText"/>
      </w:pPr>
      <w:r>
        <w:t>The implications for funding discussed here are reliant—in part—on the premise that funding policy intends to apportion the contribution between private and public sources of funding towards the average cost of a higher education program in direct proportion to the benefits that result from higher education attainment. It should be noted that other approaches to funding arrangements for higher education may follow from the empirical evidence developed as part of this study.</w:t>
      </w:r>
    </w:p>
    <w:bookmarkEnd w:id="250"/>
    <w:p w:rsidR="00DC5205" w:rsidRDefault="00DC5205" w:rsidP="00B807E1">
      <w:pPr>
        <w:pStyle w:val="Bullet1"/>
        <w:numPr>
          <w:ilvl w:val="0"/>
          <w:numId w:val="0"/>
        </w:numPr>
        <w:ind w:left="360" w:hanging="360"/>
      </w:pPr>
      <w:r>
        <w:br w:type="page"/>
      </w:r>
    </w:p>
    <w:p w:rsidR="00DC5205" w:rsidRPr="00C374F4" w:rsidRDefault="00C374F4" w:rsidP="002320EB">
      <w:pPr>
        <w:pStyle w:val="HeadingA"/>
        <w:jc w:val="both"/>
        <w:rPr>
          <w:sz w:val="48"/>
          <w:szCs w:val="48"/>
          <w:lang w:eastAsia="en-AU"/>
        </w:rPr>
      </w:pPr>
      <w:bookmarkStart w:id="258" w:name="_Toc465961217"/>
      <w:r w:rsidRPr="00C374F4">
        <w:rPr>
          <w:sz w:val="48"/>
          <w:szCs w:val="48"/>
          <w:lang w:eastAsia="en-AU"/>
        </w:rPr>
        <w:lastRenderedPageBreak/>
        <w:t>References</w:t>
      </w:r>
      <w:bookmarkEnd w:id="258"/>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 xml:space="preserve">Acemoglu, D and Angrist, J 2010, ‘Human-Capital Externalities? Evidence from Compulsory Schooling Laws’, </w:t>
      </w:r>
      <w:r w:rsidRPr="0090425A">
        <w:rPr>
          <w:rFonts w:asciiTheme="minorHAnsi" w:hAnsiTheme="minorHAnsi"/>
          <w:i/>
          <w:sz w:val="22"/>
        </w:rPr>
        <w:t>NBER Macroeconomics Annual</w:t>
      </w:r>
      <w:r w:rsidRPr="0090425A">
        <w:rPr>
          <w:rFonts w:asciiTheme="minorHAnsi" w:hAnsiTheme="minorHAnsi"/>
          <w:sz w:val="22"/>
        </w:rPr>
        <w:t xml:space="preserve">, </w:t>
      </w:r>
      <w:r>
        <w:rPr>
          <w:rFonts w:asciiTheme="minorHAnsi" w:hAnsiTheme="minorHAnsi"/>
          <w:sz w:val="22"/>
        </w:rPr>
        <w:t>15(1),</w:t>
      </w:r>
      <w:r w:rsidRPr="0090425A">
        <w:rPr>
          <w:rFonts w:asciiTheme="minorHAnsi" w:hAnsiTheme="minorHAnsi"/>
          <w:sz w:val="22"/>
        </w:rPr>
        <w:t xml:space="preserve"> 9–59.</w:t>
      </w:r>
    </w:p>
    <w:p w:rsidR="00B858C3" w:rsidRDefault="00B858C3" w:rsidP="00B858C3">
      <w:pPr>
        <w:pStyle w:val="NormalWeb"/>
        <w:ind w:left="480" w:hanging="480"/>
        <w:rPr>
          <w:rFonts w:asciiTheme="minorHAnsi" w:hAnsiTheme="minorHAnsi"/>
          <w:sz w:val="22"/>
        </w:rPr>
      </w:pPr>
      <w:r>
        <w:rPr>
          <w:rFonts w:asciiTheme="minorHAnsi" w:hAnsiTheme="minorHAnsi"/>
          <w:sz w:val="22"/>
        </w:rPr>
        <w:t xml:space="preserve">Appiah, E and McMahon, WW 2002, ‘The social outcomes of education and feedbacks on growth in Africa’, Journal of Development Studies, 38(4), 27-68.  </w:t>
      </w:r>
    </w:p>
    <w:p w:rsidR="00B858C3" w:rsidRDefault="00B858C3" w:rsidP="00B858C3">
      <w:pPr>
        <w:pStyle w:val="Reference"/>
        <w:rPr>
          <w:rFonts w:asciiTheme="minorHAnsi" w:hAnsiTheme="minorHAnsi"/>
        </w:rPr>
      </w:pPr>
      <w:r>
        <w:rPr>
          <w:shd w:val="clear" w:color="auto" w:fill="FFFFFF"/>
        </w:rPr>
        <w:t xml:space="preserve">Chapman, B. (1997), ‘Conceptual issues and the Australian experience with income contingent charges for higher education,’ </w:t>
      </w:r>
      <w:r w:rsidRPr="0015159C">
        <w:rPr>
          <w:i/>
          <w:shd w:val="clear" w:color="auto" w:fill="FFFFFF"/>
        </w:rPr>
        <w:t>The Economic Journal</w:t>
      </w:r>
      <w:r>
        <w:rPr>
          <w:shd w:val="clear" w:color="auto" w:fill="FFFFFF"/>
        </w:rPr>
        <w:t>, 107: 738–751</w:t>
      </w:r>
    </w:p>
    <w:p w:rsidR="00B858C3" w:rsidRDefault="00B858C3" w:rsidP="00B858C3">
      <w:pPr>
        <w:pStyle w:val="NormalWeb"/>
        <w:ind w:left="480" w:hanging="480"/>
        <w:rPr>
          <w:rFonts w:asciiTheme="minorHAnsi" w:hAnsiTheme="minorHAnsi"/>
          <w:sz w:val="22"/>
        </w:rPr>
      </w:pPr>
      <w:r>
        <w:rPr>
          <w:rFonts w:asciiTheme="minorHAnsi" w:hAnsiTheme="minorHAnsi"/>
          <w:sz w:val="22"/>
        </w:rPr>
        <w:t xml:space="preserve">Chapman, B and Lounkaew, K 2011, </w:t>
      </w:r>
      <w:r w:rsidRPr="0015159C">
        <w:rPr>
          <w:rFonts w:asciiTheme="minorHAnsi" w:hAnsiTheme="minorHAnsi"/>
          <w:i/>
          <w:sz w:val="22"/>
        </w:rPr>
        <w:t>Higher education base funding review: The value of externalities for Australian higher education</w:t>
      </w:r>
      <w:r>
        <w:rPr>
          <w:rFonts w:asciiTheme="minorHAnsi" w:hAnsiTheme="minorHAnsi"/>
          <w:sz w:val="22"/>
        </w:rPr>
        <w:t>, Report commissions for Lomax-Smith 2011 Base Funding Review</w:t>
      </w:r>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 xml:space="preserve">Chapman, B and Lounkaew, K 2015, ‘Measuring the value of externalities from higher education’, </w:t>
      </w:r>
      <w:r w:rsidRPr="0090425A">
        <w:rPr>
          <w:rFonts w:asciiTheme="minorHAnsi" w:hAnsiTheme="minorHAnsi"/>
          <w:i/>
          <w:sz w:val="22"/>
        </w:rPr>
        <w:t>Higher Education</w:t>
      </w:r>
      <w:r w:rsidRPr="0090425A">
        <w:rPr>
          <w:rFonts w:asciiTheme="minorHAnsi" w:hAnsiTheme="minorHAnsi"/>
          <w:sz w:val="22"/>
        </w:rPr>
        <w:t xml:space="preserve">, </w:t>
      </w:r>
      <w:r>
        <w:rPr>
          <w:rFonts w:asciiTheme="minorHAnsi" w:hAnsiTheme="minorHAnsi"/>
          <w:sz w:val="22"/>
        </w:rPr>
        <w:t xml:space="preserve">70(5), </w:t>
      </w:r>
      <w:r w:rsidRPr="0090425A">
        <w:rPr>
          <w:rFonts w:asciiTheme="minorHAnsi" w:hAnsiTheme="minorHAnsi"/>
          <w:sz w:val="22"/>
        </w:rPr>
        <w:t>767–785.</w:t>
      </w:r>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Clarke, A and Skuterud, M 2013, ‘Why do immigrant workers in Australia perform better than those in Canada? Is it the immigrants or their labour markets?</w:t>
      </w:r>
      <w:proofErr w:type="gramStart"/>
      <w:r w:rsidRPr="0090425A">
        <w:rPr>
          <w:rFonts w:asciiTheme="minorHAnsi" w:hAnsiTheme="minorHAnsi"/>
          <w:sz w:val="22"/>
        </w:rPr>
        <w:t>’,</w:t>
      </w:r>
      <w:proofErr w:type="gramEnd"/>
      <w:r w:rsidRPr="0090425A">
        <w:rPr>
          <w:rFonts w:asciiTheme="minorHAnsi" w:hAnsiTheme="minorHAnsi"/>
          <w:sz w:val="22"/>
        </w:rPr>
        <w:t xml:space="preserve"> </w:t>
      </w:r>
      <w:r w:rsidRPr="0090425A">
        <w:rPr>
          <w:rFonts w:asciiTheme="minorHAnsi" w:hAnsiTheme="minorHAnsi"/>
          <w:i/>
          <w:iCs/>
          <w:sz w:val="22"/>
        </w:rPr>
        <w:t>Canadian Journal of Economics</w:t>
      </w:r>
      <w:r>
        <w:rPr>
          <w:rFonts w:asciiTheme="minorHAnsi" w:hAnsiTheme="minorHAnsi"/>
          <w:sz w:val="22"/>
        </w:rPr>
        <w:t xml:space="preserve">, 46(4) </w:t>
      </w:r>
      <w:r w:rsidRPr="0090425A">
        <w:rPr>
          <w:rFonts w:asciiTheme="minorHAnsi" w:hAnsiTheme="minorHAnsi"/>
          <w:sz w:val="22"/>
        </w:rPr>
        <w:t>1431–1462.</w:t>
      </w:r>
    </w:p>
    <w:p w:rsidR="00B858C3" w:rsidRDefault="00B858C3" w:rsidP="00B858C3">
      <w:pPr>
        <w:pStyle w:val="NormalWeb"/>
        <w:ind w:left="480" w:hanging="480"/>
        <w:rPr>
          <w:rFonts w:asciiTheme="minorHAnsi" w:hAnsiTheme="minorHAnsi"/>
          <w:sz w:val="22"/>
        </w:rPr>
      </w:pPr>
      <w:r w:rsidRPr="0090425A">
        <w:rPr>
          <w:rFonts w:asciiTheme="minorHAnsi" w:hAnsiTheme="minorHAnsi"/>
          <w:sz w:val="22"/>
        </w:rPr>
        <w:t xml:space="preserve">Deloitte Access Economics 2014, </w:t>
      </w:r>
      <w:r w:rsidRPr="00490ACA">
        <w:rPr>
          <w:rFonts w:asciiTheme="minorHAnsi" w:hAnsiTheme="minorHAnsi"/>
          <w:i/>
          <w:sz w:val="22"/>
        </w:rPr>
        <w:t>Funding implications in expanding access to Commonwealth supported higher education places</w:t>
      </w:r>
      <w:r w:rsidRPr="0090425A">
        <w:rPr>
          <w:rFonts w:asciiTheme="minorHAnsi" w:hAnsiTheme="minorHAnsi"/>
          <w:sz w:val="22"/>
        </w:rPr>
        <w:t>, report prepared for the Commonwealth Department of Education</w:t>
      </w:r>
    </w:p>
    <w:p w:rsidR="00B858C3" w:rsidRDefault="00B858C3" w:rsidP="00B858C3">
      <w:pPr>
        <w:pStyle w:val="NormalWeb"/>
        <w:ind w:left="480" w:hanging="480"/>
        <w:rPr>
          <w:rFonts w:asciiTheme="minorHAnsi" w:hAnsiTheme="minorHAnsi"/>
          <w:sz w:val="22"/>
        </w:rPr>
      </w:pPr>
      <w:r w:rsidRPr="00795586">
        <w:rPr>
          <w:rFonts w:asciiTheme="minorHAnsi" w:hAnsiTheme="minorHAnsi"/>
          <w:sz w:val="22"/>
        </w:rPr>
        <w:t xml:space="preserve">Deloitte Access Economics 2015, </w:t>
      </w:r>
      <w:proofErr w:type="gramStart"/>
      <w:r w:rsidRPr="00490ACA">
        <w:rPr>
          <w:rFonts w:asciiTheme="minorHAnsi" w:hAnsiTheme="minorHAnsi"/>
          <w:i/>
          <w:sz w:val="22"/>
        </w:rPr>
        <w:t>The</w:t>
      </w:r>
      <w:proofErr w:type="gramEnd"/>
      <w:r w:rsidRPr="00490ACA">
        <w:rPr>
          <w:rFonts w:asciiTheme="minorHAnsi" w:hAnsiTheme="minorHAnsi"/>
          <w:i/>
          <w:sz w:val="22"/>
        </w:rPr>
        <w:t xml:space="preserve"> importance of universities to Australia’s prosperity</w:t>
      </w:r>
      <w:r>
        <w:rPr>
          <w:rFonts w:asciiTheme="minorHAnsi" w:hAnsiTheme="minorHAnsi"/>
          <w:sz w:val="22"/>
        </w:rPr>
        <w:t>,</w:t>
      </w:r>
      <w:r w:rsidRPr="00795586">
        <w:rPr>
          <w:rFonts w:asciiTheme="minorHAnsi" w:hAnsiTheme="minorHAnsi"/>
          <w:sz w:val="22"/>
        </w:rPr>
        <w:t xml:space="preserve"> report prepared for </w:t>
      </w:r>
      <w:r>
        <w:rPr>
          <w:rFonts w:asciiTheme="minorHAnsi" w:hAnsiTheme="minorHAnsi"/>
          <w:sz w:val="22"/>
        </w:rPr>
        <w:t>Universities Australia</w:t>
      </w:r>
      <w:r w:rsidRPr="00795586">
        <w:rPr>
          <w:rFonts w:asciiTheme="minorHAnsi" w:hAnsiTheme="minorHAnsi"/>
          <w:sz w:val="22"/>
        </w:rPr>
        <w:t>.</w:t>
      </w:r>
    </w:p>
    <w:p w:rsidR="00B858C3" w:rsidRPr="00490ACA" w:rsidRDefault="00B858C3" w:rsidP="00B858C3">
      <w:pPr>
        <w:pStyle w:val="NormalWeb"/>
        <w:ind w:left="480" w:hanging="480"/>
        <w:rPr>
          <w:rFonts w:asciiTheme="minorHAnsi" w:hAnsiTheme="minorHAnsi"/>
          <w:sz w:val="22"/>
        </w:rPr>
      </w:pPr>
      <w:r>
        <w:rPr>
          <w:rFonts w:asciiTheme="minorHAnsi" w:hAnsiTheme="minorHAnsi"/>
          <w:sz w:val="22"/>
        </w:rPr>
        <w:t xml:space="preserve">Deloitte Access Economics 2016, </w:t>
      </w:r>
      <w:proofErr w:type="gramStart"/>
      <w:r w:rsidRPr="00490ACA">
        <w:rPr>
          <w:rFonts w:asciiTheme="minorHAnsi" w:hAnsiTheme="minorHAnsi"/>
          <w:i/>
          <w:sz w:val="22"/>
        </w:rPr>
        <w:t>The</w:t>
      </w:r>
      <w:proofErr w:type="gramEnd"/>
      <w:r w:rsidRPr="00490ACA">
        <w:rPr>
          <w:rFonts w:asciiTheme="minorHAnsi" w:hAnsiTheme="minorHAnsi"/>
          <w:i/>
          <w:sz w:val="22"/>
        </w:rPr>
        <w:t xml:space="preserve"> economic impact of improving schooling quality</w:t>
      </w:r>
      <w:r>
        <w:rPr>
          <w:rFonts w:asciiTheme="minorHAnsi" w:hAnsiTheme="minorHAnsi"/>
          <w:i/>
          <w:sz w:val="22"/>
        </w:rPr>
        <w:t>,</w:t>
      </w:r>
      <w:r>
        <w:rPr>
          <w:rFonts w:asciiTheme="minorHAnsi" w:hAnsiTheme="minorHAnsi"/>
          <w:sz w:val="22"/>
        </w:rPr>
        <w:t xml:space="preserve"> forthcoming report for Commonwealth Department of Education and Training</w:t>
      </w:r>
    </w:p>
    <w:p w:rsidR="00B858C3" w:rsidRPr="00490ACA" w:rsidRDefault="00B858C3" w:rsidP="00B858C3">
      <w:pPr>
        <w:pStyle w:val="NormalWeb"/>
        <w:ind w:left="480" w:hanging="480"/>
        <w:rPr>
          <w:rFonts w:asciiTheme="minorHAnsi" w:hAnsiTheme="minorHAnsi"/>
          <w:sz w:val="22"/>
        </w:rPr>
      </w:pPr>
      <w:r>
        <w:rPr>
          <w:rFonts w:asciiTheme="minorHAnsi" w:hAnsiTheme="minorHAnsi"/>
          <w:sz w:val="22"/>
        </w:rPr>
        <w:t xml:space="preserve">Department of Education and Training 2015, </w:t>
      </w:r>
      <w:r w:rsidRPr="00490ACA">
        <w:rPr>
          <w:rFonts w:asciiTheme="minorHAnsi" w:hAnsiTheme="minorHAnsi"/>
          <w:i/>
          <w:sz w:val="22"/>
        </w:rPr>
        <w:t>Higher Education in Australia: A review of reviews from Dawkins to today</w:t>
      </w:r>
      <w:r>
        <w:rPr>
          <w:rFonts w:asciiTheme="minorHAnsi" w:hAnsiTheme="minorHAnsi"/>
          <w:i/>
          <w:sz w:val="22"/>
        </w:rPr>
        <w:t xml:space="preserve">, </w:t>
      </w:r>
      <w:r w:rsidRPr="00490ACA">
        <w:rPr>
          <w:rFonts w:asciiTheme="minorHAnsi" w:hAnsiTheme="minorHAnsi"/>
          <w:sz w:val="22"/>
        </w:rPr>
        <w:t>Department of Education and Training</w:t>
      </w:r>
      <w:r w:rsidRPr="00490ACA">
        <w:rPr>
          <w:rFonts w:asciiTheme="minorHAnsi" w:hAnsiTheme="minorHAnsi"/>
          <w:i/>
          <w:sz w:val="22"/>
        </w:rPr>
        <w:t xml:space="preserve">, </w:t>
      </w:r>
      <w:r w:rsidRPr="00490ACA">
        <w:rPr>
          <w:rFonts w:asciiTheme="minorHAnsi" w:hAnsiTheme="minorHAnsi"/>
          <w:sz w:val="22"/>
        </w:rPr>
        <w:t>Canberra 2015</w:t>
      </w:r>
    </w:p>
    <w:p w:rsidR="00B858C3" w:rsidRPr="00D537F2" w:rsidRDefault="00B858C3" w:rsidP="00B858C3">
      <w:pPr>
        <w:pStyle w:val="NormalWeb"/>
        <w:ind w:left="480" w:hanging="480"/>
        <w:rPr>
          <w:rFonts w:asciiTheme="minorHAnsi" w:hAnsiTheme="minorHAnsi"/>
          <w:sz w:val="22"/>
        </w:rPr>
      </w:pPr>
      <w:r>
        <w:rPr>
          <w:rFonts w:asciiTheme="minorHAnsi" w:hAnsiTheme="minorHAnsi"/>
          <w:sz w:val="22"/>
        </w:rPr>
        <w:t xml:space="preserve">Department of Education and Training 2016, </w:t>
      </w:r>
      <w:r w:rsidRPr="00490ACA">
        <w:rPr>
          <w:rFonts w:asciiTheme="minorHAnsi" w:hAnsiTheme="minorHAnsi"/>
          <w:i/>
          <w:sz w:val="22"/>
        </w:rPr>
        <w:t>Driving innovation, fairness and excellence in Australian education</w:t>
      </w:r>
      <w:r>
        <w:rPr>
          <w:rFonts w:asciiTheme="minorHAnsi" w:hAnsiTheme="minorHAnsi"/>
          <w:i/>
          <w:sz w:val="22"/>
        </w:rPr>
        <w:t>,</w:t>
      </w:r>
      <w:r>
        <w:rPr>
          <w:rFonts w:asciiTheme="minorHAnsi" w:hAnsiTheme="minorHAnsi"/>
          <w:sz w:val="22"/>
        </w:rPr>
        <w:t xml:space="preserve"> Discussion paper, Department of Education and Training</w:t>
      </w:r>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 xml:space="preserve">Elnasri, A and Fox, KJ 2014, </w:t>
      </w:r>
      <w:proofErr w:type="gramStart"/>
      <w:r w:rsidRPr="0090425A">
        <w:rPr>
          <w:rFonts w:asciiTheme="minorHAnsi" w:hAnsiTheme="minorHAnsi"/>
          <w:i/>
          <w:sz w:val="22"/>
        </w:rPr>
        <w:t>The</w:t>
      </w:r>
      <w:proofErr w:type="gramEnd"/>
      <w:r w:rsidRPr="0090425A">
        <w:rPr>
          <w:rFonts w:asciiTheme="minorHAnsi" w:hAnsiTheme="minorHAnsi"/>
          <w:i/>
          <w:sz w:val="22"/>
        </w:rPr>
        <w:t xml:space="preserve"> contribution of research and innovation to productivity and economic growth</w:t>
      </w:r>
      <w:r w:rsidRPr="0090425A">
        <w:rPr>
          <w:rFonts w:asciiTheme="minorHAnsi" w:hAnsiTheme="minorHAnsi"/>
          <w:sz w:val="22"/>
        </w:rPr>
        <w:t xml:space="preserve">, UNSW, Australian School of Business Research Paper. </w:t>
      </w:r>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Fryer, Roland G, J 2016, ‘</w:t>
      </w:r>
      <w:proofErr w:type="gramStart"/>
      <w:r w:rsidRPr="0090425A">
        <w:rPr>
          <w:rFonts w:asciiTheme="minorHAnsi" w:hAnsiTheme="minorHAnsi"/>
          <w:sz w:val="22"/>
        </w:rPr>
        <w:t>The</w:t>
      </w:r>
      <w:proofErr w:type="gramEnd"/>
      <w:r w:rsidRPr="0090425A">
        <w:rPr>
          <w:rFonts w:asciiTheme="minorHAnsi" w:hAnsiTheme="minorHAnsi"/>
          <w:sz w:val="22"/>
        </w:rPr>
        <w:t xml:space="preserve"> Production of Human Capital in Developed Countries: Evidence from 196 Randomized Field Experiments’, </w:t>
      </w:r>
      <w:r w:rsidRPr="0090425A">
        <w:rPr>
          <w:rFonts w:asciiTheme="minorHAnsi" w:hAnsiTheme="minorHAnsi"/>
          <w:i/>
          <w:iCs/>
          <w:sz w:val="22"/>
        </w:rPr>
        <w:t>NBER Working Paper</w:t>
      </w:r>
      <w:r w:rsidRPr="0090425A">
        <w:rPr>
          <w:rFonts w:asciiTheme="minorHAnsi" w:hAnsiTheme="minorHAnsi"/>
          <w:sz w:val="22"/>
        </w:rPr>
        <w:t>.</w:t>
      </w:r>
    </w:p>
    <w:p w:rsidR="00B858C3" w:rsidRPr="00534C1F" w:rsidRDefault="00B858C3" w:rsidP="00B858C3">
      <w:pPr>
        <w:pStyle w:val="NormalWeb"/>
        <w:ind w:left="480" w:hanging="480"/>
        <w:rPr>
          <w:rFonts w:asciiTheme="minorHAnsi" w:hAnsiTheme="minorHAnsi"/>
          <w:sz w:val="22"/>
        </w:rPr>
      </w:pPr>
      <w:r>
        <w:rPr>
          <w:rFonts w:asciiTheme="minorHAnsi" w:hAnsiTheme="minorHAnsi"/>
          <w:sz w:val="22"/>
        </w:rPr>
        <w:t xml:space="preserve">Grossman, M and Kaestner, R 1997, ‘Effects of education on health, </w:t>
      </w:r>
      <w:r>
        <w:rPr>
          <w:rFonts w:asciiTheme="minorHAnsi" w:hAnsiTheme="minorHAnsi"/>
          <w:i/>
          <w:sz w:val="22"/>
        </w:rPr>
        <w:t>The Social Benefits of Education</w:t>
      </w:r>
      <w:r>
        <w:rPr>
          <w:rFonts w:asciiTheme="minorHAnsi" w:hAnsiTheme="minorHAnsi"/>
          <w:sz w:val="22"/>
        </w:rPr>
        <w:t xml:space="preserve">, Ann Arbor: University of Michigan Press. </w:t>
      </w:r>
    </w:p>
    <w:p w:rsidR="00B858C3" w:rsidRDefault="00B858C3" w:rsidP="00B858C3">
      <w:pPr>
        <w:pStyle w:val="NormalWeb"/>
        <w:ind w:left="480" w:hanging="480"/>
        <w:rPr>
          <w:rFonts w:asciiTheme="minorHAnsi" w:hAnsiTheme="minorHAnsi"/>
          <w:sz w:val="22"/>
        </w:rPr>
      </w:pPr>
      <w:r>
        <w:rPr>
          <w:rFonts w:asciiTheme="minorHAnsi" w:hAnsiTheme="minorHAnsi"/>
          <w:sz w:val="22"/>
        </w:rPr>
        <w:lastRenderedPageBreak/>
        <w:t>Heckman, J and Klenow, P 1997, ‘Human capital policy’, Working paper, Economics Department, University of Chicago.</w:t>
      </w:r>
    </w:p>
    <w:p w:rsidR="00B858C3" w:rsidRDefault="00B858C3" w:rsidP="00B858C3">
      <w:pPr>
        <w:pStyle w:val="NormalWeb"/>
        <w:ind w:left="480" w:hanging="480"/>
        <w:rPr>
          <w:rFonts w:asciiTheme="minorHAnsi" w:hAnsiTheme="minorHAnsi"/>
          <w:sz w:val="22"/>
        </w:rPr>
      </w:pPr>
      <w:r>
        <w:rPr>
          <w:rFonts w:asciiTheme="minorHAnsi" w:hAnsiTheme="minorHAnsi"/>
          <w:sz w:val="22"/>
        </w:rPr>
        <w:t xml:space="preserve">Jackson, K 2001, ‘The Higher Education Contribution Scheme’, Parliament of Australia </w:t>
      </w:r>
      <w:hyperlink r:id="rId46" w:history="1">
        <w:r w:rsidRPr="009254F8">
          <w:rPr>
            <w:rStyle w:val="Hyperlink"/>
            <w:rFonts w:asciiTheme="minorHAnsi" w:hAnsiTheme="minorHAnsi"/>
          </w:rPr>
          <w:t>http://www.aph.gov.au/About_Parliament/Parliamentary_Departments/Parliamentary_Library/Publications_Archive/archive/hecs</w:t>
        </w:r>
      </w:hyperlink>
      <w:hyperlink r:id="rId47" w:history="1">
        <w:r w:rsidRPr="009254F8">
          <w:rPr>
            <w:rStyle w:val="Hyperlink"/>
            <w:rFonts w:asciiTheme="minorHAnsi" w:hAnsiTheme="minorHAnsi"/>
          </w:rPr>
          <w:t>http://www.aph.gov.au/About_Parliament/Parliamentary_Departments/Parliamentary_Library/Publications_Archive/archive/hecs</w:t>
        </w:r>
      </w:hyperlink>
      <w:r>
        <w:rPr>
          <w:rFonts w:asciiTheme="minorHAnsi" w:hAnsiTheme="minorHAnsi"/>
          <w:sz w:val="22"/>
        </w:rPr>
        <w:t xml:space="preserve"> [Accessed 18 July 2016]</w:t>
      </w:r>
    </w:p>
    <w:p w:rsidR="00B858C3" w:rsidRDefault="00B858C3" w:rsidP="00B858C3">
      <w:pPr>
        <w:pStyle w:val="NormalWeb"/>
        <w:ind w:left="480" w:hanging="480"/>
        <w:rPr>
          <w:rFonts w:asciiTheme="minorHAnsi" w:hAnsiTheme="minorHAnsi"/>
          <w:sz w:val="22"/>
        </w:rPr>
      </w:pPr>
      <w:r>
        <w:rPr>
          <w:rFonts w:asciiTheme="minorHAnsi" w:hAnsiTheme="minorHAnsi"/>
          <w:sz w:val="22"/>
        </w:rPr>
        <w:t xml:space="preserve">Kemp, D and Norton, A 2014, Review of the demand driven funding system, report for the Commonwealth Department of Education </w:t>
      </w:r>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 xml:space="preserve">Leigh, A 2008, ‘Returns to education in Australia’, </w:t>
      </w:r>
      <w:r w:rsidRPr="0090425A">
        <w:rPr>
          <w:rFonts w:asciiTheme="minorHAnsi" w:hAnsiTheme="minorHAnsi"/>
          <w:i/>
          <w:iCs/>
          <w:sz w:val="22"/>
        </w:rPr>
        <w:t>Economic Papers</w:t>
      </w:r>
      <w:r w:rsidRPr="0090425A">
        <w:rPr>
          <w:rFonts w:asciiTheme="minorHAnsi" w:hAnsiTheme="minorHAnsi"/>
          <w:sz w:val="22"/>
        </w:rPr>
        <w:t xml:space="preserve">, </w:t>
      </w:r>
      <w:r>
        <w:rPr>
          <w:rFonts w:asciiTheme="minorHAnsi" w:hAnsiTheme="minorHAnsi"/>
          <w:sz w:val="22"/>
        </w:rPr>
        <w:t>27(3)</w:t>
      </w:r>
      <w:r w:rsidRPr="0090425A">
        <w:rPr>
          <w:rFonts w:asciiTheme="minorHAnsi" w:hAnsiTheme="minorHAnsi"/>
          <w:sz w:val="22"/>
        </w:rPr>
        <w:t>, 233–249.</w:t>
      </w:r>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 xml:space="preserve">Leigh, A and Ryan, C 2008, ‘Estimating returns to education using different natural experiment techniques’, </w:t>
      </w:r>
      <w:r w:rsidRPr="0090425A">
        <w:rPr>
          <w:rFonts w:asciiTheme="minorHAnsi" w:hAnsiTheme="minorHAnsi"/>
          <w:i/>
          <w:iCs/>
          <w:sz w:val="22"/>
        </w:rPr>
        <w:t>Economics of Education Review</w:t>
      </w:r>
      <w:r w:rsidRPr="0090425A">
        <w:rPr>
          <w:rFonts w:asciiTheme="minorHAnsi" w:hAnsiTheme="minorHAnsi"/>
          <w:sz w:val="22"/>
        </w:rPr>
        <w:t>, vol. 27, no. 2, pp. 149–160.</w:t>
      </w:r>
    </w:p>
    <w:p w:rsidR="00B858C3" w:rsidRDefault="00B858C3" w:rsidP="00B858C3">
      <w:pPr>
        <w:pStyle w:val="NormalWeb"/>
        <w:ind w:left="480" w:hanging="480"/>
        <w:rPr>
          <w:rFonts w:asciiTheme="minorHAnsi" w:hAnsiTheme="minorHAnsi"/>
          <w:sz w:val="22"/>
        </w:rPr>
      </w:pPr>
      <w:r>
        <w:rPr>
          <w:rFonts w:asciiTheme="minorHAnsi" w:hAnsiTheme="minorHAnsi"/>
          <w:sz w:val="22"/>
        </w:rPr>
        <w:t>Lochner, L 1999, ‘Education, work and crime: theory and evidence’, mimeo, University of Rochester.</w:t>
      </w:r>
    </w:p>
    <w:p w:rsidR="00B858C3" w:rsidRDefault="00B858C3" w:rsidP="00B858C3">
      <w:pPr>
        <w:pStyle w:val="NormalWeb"/>
        <w:ind w:left="480" w:hanging="480"/>
        <w:rPr>
          <w:rFonts w:asciiTheme="minorHAnsi" w:hAnsiTheme="minorHAnsi"/>
          <w:sz w:val="22"/>
        </w:rPr>
      </w:pPr>
      <w:r>
        <w:rPr>
          <w:rFonts w:asciiTheme="minorHAnsi" w:hAnsiTheme="minorHAnsi"/>
          <w:sz w:val="22"/>
        </w:rPr>
        <w:t>Lomax-Smith J 2011</w:t>
      </w:r>
      <w:r w:rsidRPr="008B382C">
        <w:rPr>
          <w:rFonts w:asciiTheme="minorHAnsi" w:hAnsiTheme="minorHAnsi"/>
          <w:i/>
          <w:sz w:val="22"/>
        </w:rPr>
        <w:t>, Higher education base funding review: Final report</w:t>
      </w:r>
      <w:r>
        <w:rPr>
          <w:rFonts w:asciiTheme="minorHAnsi" w:hAnsiTheme="minorHAnsi"/>
          <w:sz w:val="22"/>
        </w:rPr>
        <w:t xml:space="preserve">, report for the Department of Education, Employment and Workplace Relations </w:t>
      </w:r>
    </w:p>
    <w:p w:rsidR="00B858C3" w:rsidRDefault="00B858C3" w:rsidP="00B858C3">
      <w:pPr>
        <w:pStyle w:val="NormalWeb"/>
        <w:ind w:left="480" w:hanging="480"/>
        <w:rPr>
          <w:rFonts w:asciiTheme="minorHAnsi" w:hAnsiTheme="minorHAnsi"/>
          <w:sz w:val="22"/>
        </w:rPr>
      </w:pPr>
      <w:r w:rsidRPr="00D537F2">
        <w:rPr>
          <w:rFonts w:asciiTheme="minorHAnsi" w:hAnsiTheme="minorHAnsi"/>
          <w:sz w:val="22"/>
        </w:rPr>
        <w:t>Marginson, S 2007, ‘</w:t>
      </w:r>
      <w:proofErr w:type="gramStart"/>
      <w:r w:rsidRPr="00D537F2">
        <w:rPr>
          <w:rFonts w:asciiTheme="minorHAnsi" w:hAnsiTheme="minorHAnsi"/>
          <w:sz w:val="22"/>
        </w:rPr>
        <w:t>The</w:t>
      </w:r>
      <w:proofErr w:type="gramEnd"/>
      <w:r w:rsidRPr="00D537F2">
        <w:rPr>
          <w:rFonts w:asciiTheme="minorHAnsi" w:hAnsiTheme="minorHAnsi"/>
          <w:sz w:val="22"/>
        </w:rPr>
        <w:t xml:space="preserve"> public/private divide in higher education: A global revision’, </w:t>
      </w:r>
      <w:r w:rsidRPr="00D537F2">
        <w:rPr>
          <w:rFonts w:asciiTheme="minorHAnsi" w:hAnsiTheme="minorHAnsi"/>
          <w:i/>
          <w:sz w:val="22"/>
        </w:rPr>
        <w:t>Higher Education</w:t>
      </w:r>
      <w:r w:rsidRPr="00D537F2">
        <w:rPr>
          <w:rFonts w:asciiTheme="minorHAnsi" w:hAnsiTheme="minorHAnsi"/>
          <w:sz w:val="22"/>
        </w:rPr>
        <w:t xml:space="preserve">, </w:t>
      </w:r>
      <w:r>
        <w:rPr>
          <w:rFonts w:asciiTheme="minorHAnsi" w:hAnsiTheme="minorHAnsi"/>
          <w:sz w:val="22"/>
        </w:rPr>
        <w:t>53(3)</w:t>
      </w:r>
      <w:r w:rsidRPr="00D537F2">
        <w:rPr>
          <w:rFonts w:asciiTheme="minorHAnsi" w:hAnsiTheme="minorHAnsi"/>
          <w:sz w:val="22"/>
        </w:rPr>
        <w:t>, 307–333.</w:t>
      </w:r>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 xml:space="preserve">Marginson, S 2012, </w:t>
      </w:r>
      <w:r w:rsidRPr="0090425A">
        <w:rPr>
          <w:rFonts w:asciiTheme="minorHAnsi" w:hAnsiTheme="minorHAnsi"/>
          <w:i/>
          <w:sz w:val="22"/>
        </w:rPr>
        <w:t>The problem of public good(s) in higher education</w:t>
      </w:r>
      <w:r w:rsidRPr="0090425A">
        <w:rPr>
          <w:rFonts w:asciiTheme="minorHAnsi" w:hAnsiTheme="minorHAnsi"/>
          <w:sz w:val="22"/>
        </w:rPr>
        <w:t>, Presentation delivered at the 41</w:t>
      </w:r>
      <w:r w:rsidRPr="0090425A">
        <w:rPr>
          <w:rFonts w:asciiTheme="minorHAnsi" w:hAnsiTheme="minorHAnsi"/>
          <w:sz w:val="22"/>
          <w:vertAlign w:val="superscript"/>
        </w:rPr>
        <w:t>st</w:t>
      </w:r>
      <w:r w:rsidRPr="0090425A">
        <w:rPr>
          <w:rFonts w:asciiTheme="minorHAnsi" w:hAnsiTheme="minorHAnsi"/>
          <w:sz w:val="22"/>
        </w:rPr>
        <w:t xml:space="preserve"> Australian Conference of Economists, Melbourne, 8-12 July 2012. </w:t>
      </w:r>
    </w:p>
    <w:p w:rsidR="00B858C3" w:rsidRDefault="00B858C3" w:rsidP="00B858C3">
      <w:pPr>
        <w:pStyle w:val="NormalWeb"/>
        <w:ind w:left="480" w:hanging="480"/>
        <w:rPr>
          <w:rFonts w:asciiTheme="minorHAnsi" w:hAnsiTheme="minorHAnsi"/>
          <w:sz w:val="22"/>
        </w:rPr>
      </w:pPr>
      <w:r>
        <w:rPr>
          <w:rFonts w:asciiTheme="minorHAnsi" w:hAnsiTheme="minorHAnsi"/>
          <w:sz w:val="22"/>
        </w:rPr>
        <w:t xml:space="preserve">McMahon, WW 2002, </w:t>
      </w:r>
      <w:r>
        <w:rPr>
          <w:rFonts w:asciiTheme="minorHAnsi" w:hAnsiTheme="minorHAnsi"/>
          <w:i/>
          <w:sz w:val="22"/>
        </w:rPr>
        <w:t>Education and development: Measuring the social benefits</w:t>
      </w:r>
      <w:r>
        <w:rPr>
          <w:rFonts w:asciiTheme="minorHAnsi" w:hAnsiTheme="minorHAnsi"/>
          <w:sz w:val="22"/>
        </w:rPr>
        <w:t xml:space="preserve">, Oxford and New York: Oxford University Press.  </w:t>
      </w:r>
    </w:p>
    <w:p w:rsidR="00B858C3" w:rsidRDefault="00B858C3" w:rsidP="00B858C3">
      <w:pPr>
        <w:pStyle w:val="NormalWeb"/>
        <w:ind w:left="480" w:hanging="480"/>
        <w:rPr>
          <w:rFonts w:asciiTheme="minorHAnsi" w:hAnsiTheme="minorHAnsi"/>
          <w:sz w:val="22"/>
        </w:rPr>
      </w:pPr>
      <w:r w:rsidRPr="0090425A">
        <w:rPr>
          <w:rFonts w:asciiTheme="minorHAnsi" w:hAnsiTheme="minorHAnsi"/>
          <w:sz w:val="22"/>
        </w:rPr>
        <w:t>McMahon, WW 200</w:t>
      </w:r>
      <w:r>
        <w:rPr>
          <w:rFonts w:asciiTheme="minorHAnsi" w:hAnsiTheme="minorHAnsi"/>
          <w:sz w:val="22"/>
        </w:rPr>
        <w:t>4</w:t>
      </w:r>
      <w:r w:rsidRPr="0090425A">
        <w:rPr>
          <w:rFonts w:asciiTheme="minorHAnsi" w:hAnsiTheme="minorHAnsi"/>
          <w:sz w:val="22"/>
        </w:rPr>
        <w:t xml:space="preserve">, </w:t>
      </w:r>
      <w:proofErr w:type="gramStart"/>
      <w:r w:rsidRPr="0090425A">
        <w:rPr>
          <w:rFonts w:asciiTheme="minorHAnsi" w:hAnsiTheme="minorHAnsi"/>
          <w:i/>
          <w:sz w:val="22"/>
        </w:rPr>
        <w:t>The</w:t>
      </w:r>
      <w:proofErr w:type="gramEnd"/>
      <w:r w:rsidRPr="0090425A">
        <w:rPr>
          <w:rFonts w:asciiTheme="minorHAnsi" w:hAnsiTheme="minorHAnsi"/>
          <w:i/>
          <w:sz w:val="22"/>
        </w:rPr>
        <w:t xml:space="preserve"> social and external benefits of education</w:t>
      </w:r>
      <w:r w:rsidRPr="0090425A">
        <w:rPr>
          <w:rFonts w:asciiTheme="minorHAnsi" w:hAnsiTheme="minorHAnsi"/>
          <w:sz w:val="22"/>
        </w:rPr>
        <w:t>, International Handbook on the Economics of Education, Edward Elgar: 211-259</w:t>
      </w:r>
    </w:p>
    <w:p w:rsidR="00B858C3" w:rsidRDefault="00B858C3" w:rsidP="00B858C3">
      <w:pPr>
        <w:pStyle w:val="NormalWeb"/>
        <w:ind w:left="480" w:hanging="480"/>
        <w:rPr>
          <w:rFonts w:asciiTheme="minorHAnsi" w:hAnsiTheme="minorHAnsi"/>
          <w:sz w:val="22"/>
        </w:rPr>
      </w:pPr>
      <w:r>
        <w:rPr>
          <w:rFonts w:asciiTheme="minorHAnsi" w:hAnsiTheme="minorHAnsi"/>
          <w:sz w:val="22"/>
        </w:rPr>
        <w:t xml:space="preserve">McMahon, WW 2006, ‘Education finance policy: Financing the nonmarket and social benefits’, </w:t>
      </w:r>
      <w:r>
        <w:rPr>
          <w:rFonts w:asciiTheme="minorHAnsi" w:hAnsiTheme="minorHAnsi"/>
          <w:i/>
          <w:sz w:val="22"/>
        </w:rPr>
        <w:t>Journal of Education and Finance</w:t>
      </w:r>
      <w:r>
        <w:rPr>
          <w:rFonts w:asciiTheme="minorHAnsi" w:hAnsiTheme="minorHAnsi"/>
          <w:sz w:val="22"/>
        </w:rPr>
        <w:t>, 32(2), 264-284</w:t>
      </w:r>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 xml:space="preserve">McMahon, WW 2009, </w:t>
      </w:r>
      <w:r w:rsidRPr="0090425A">
        <w:rPr>
          <w:rFonts w:asciiTheme="minorHAnsi" w:hAnsiTheme="minorHAnsi"/>
          <w:i/>
          <w:sz w:val="22"/>
        </w:rPr>
        <w:t xml:space="preserve">Higher learning, greater good: The private and social benefits of higher education, </w:t>
      </w:r>
      <w:r w:rsidRPr="0090425A">
        <w:rPr>
          <w:rFonts w:asciiTheme="minorHAnsi" w:hAnsiTheme="minorHAnsi"/>
          <w:sz w:val="22"/>
        </w:rPr>
        <w:t>JHU Press</w:t>
      </w:r>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Miller, P, Mulvey, C and Martin, N 2006, ‘</w:t>
      </w:r>
      <w:proofErr w:type="gramStart"/>
      <w:r w:rsidRPr="0090425A">
        <w:rPr>
          <w:rFonts w:asciiTheme="minorHAnsi" w:hAnsiTheme="minorHAnsi"/>
          <w:sz w:val="22"/>
        </w:rPr>
        <w:t>The</w:t>
      </w:r>
      <w:proofErr w:type="gramEnd"/>
      <w:r w:rsidRPr="0090425A">
        <w:rPr>
          <w:rFonts w:asciiTheme="minorHAnsi" w:hAnsiTheme="minorHAnsi"/>
          <w:sz w:val="22"/>
        </w:rPr>
        <w:t xml:space="preserve"> return to schooling: Estimates from a sample of young Australian twins’, </w:t>
      </w:r>
      <w:r w:rsidRPr="0090425A">
        <w:rPr>
          <w:rFonts w:asciiTheme="minorHAnsi" w:hAnsiTheme="minorHAnsi"/>
          <w:i/>
          <w:iCs/>
          <w:sz w:val="22"/>
        </w:rPr>
        <w:t>Labour Economics</w:t>
      </w:r>
      <w:r w:rsidRPr="0090425A">
        <w:rPr>
          <w:rFonts w:asciiTheme="minorHAnsi" w:hAnsiTheme="minorHAnsi"/>
          <w:sz w:val="22"/>
        </w:rPr>
        <w:t xml:space="preserve">, </w:t>
      </w:r>
      <w:r>
        <w:rPr>
          <w:rFonts w:asciiTheme="minorHAnsi" w:hAnsiTheme="minorHAnsi"/>
          <w:sz w:val="22"/>
        </w:rPr>
        <w:t>13(5)</w:t>
      </w:r>
      <w:r w:rsidRPr="0090425A">
        <w:rPr>
          <w:rFonts w:asciiTheme="minorHAnsi" w:hAnsiTheme="minorHAnsi"/>
          <w:sz w:val="22"/>
        </w:rPr>
        <w:t>, 571–587.</w:t>
      </w:r>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 xml:space="preserve">Moretti, E 2004, ‘Estimating the social return to higher education: Evidence from longitudinal and repeated cross-sectional data’, </w:t>
      </w:r>
      <w:r w:rsidRPr="0090425A">
        <w:rPr>
          <w:rFonts w:asciiTheme="minorHAnsi" w:hAnsiTheme="minorHAnsi"/>
          <w:i/>
          <w:iCs/>
          <w:sz w:val="22"/>
        </w:rPr>
        <w:t>Journal of Econometrics</w:t>
      </w:r>
      <w:r>
        <w:rPr>
          <w:rFonts w:asciiTheme="minorHAnsi" w:hAnsiTheme="minorHAnsi"/>
          <w:sz w:val="22"/>
        </w:rPr>
        <w:t>, 121(1-2)</w:t>
      </w:r>
      <w:r w:rsidRPr="0090425A">
        <w:rPr>
          <w:rFonts w:asciiTheme="minorHAnsi" w:hAnsiTheme="minorHAnsi"/>
          <w:sz w:val="22"/>
        </w:rPr>
        <w:t>, 175–212.</w:t>
      </w:r>
    </w:p>
    <w:p w:rsidR="00B858C3" w:rsidRDefault="00B858C3" w:rsidP="00B858C3">
      <w:pPr>
        <w:pStyle w:val="NormalWeb"/>
        <w:ind w:left="480" w:hanging="480"/>
        <w:rPr>
          <w:rFonts w:asciiTheme="minorHAnsi" w:hAnsiTheme="minorHAnsi"/>
          <w:sz w:val="22"/>
        </w:rPr>
      </w:pPr>
      <w:r w:rsidRPr="0090425A">
        <w:rPr>
          <w:rFonts w:asciiTheme="minorHAnsi" w:hAnsiTheme="minorHAnsi"/>
          <w:sz w:val="22"/>
        </w:rPr>
        <w:lastRenderedPageBreak/>
        <w:t xml:space="preserve">Norton, A 2012, </w:t>
      </w:r>
      <w:r w:rsidRPr="0090425A">
        <w:rPr>
          <w:rFonts w:asciiTheme="minorHAnsi" w:hAnsiTheme="minorHAnsi"/>
          <w:i/>
          <w:iCs/>
          <w:sz w:val="22"/>
        </w:rPr>
        <w:t>Graduate Winners: Assessing the public and private benefits of higher education</w:t>
      </w:r>
      <w:r w:rsidRPr="0090425A">
        <w:rPr>
          <w:rFonts w:asciiTheme="minorHAnsi" w:hAnsiTheme="minorHAnsi"/>
          <w:sz w:val="22"/>
        </w:rPr>
        <w:t>, Grattan Institute.</w:t>
      </w:r>
    </w:p>
    <w:p w:rsidR="00B858C3" w:rsidRDefault="00B858C3" w:rsidP="00B858C3">
      <w:pPr>
        <w:pStyle w:val="NormalWeb"/>
        <w:ind w:left="480" w:hanging="480"/>
        <w:rPr>
          <w:rFonts w:asciiTheme="minorHAnsi" w:hAnsiTheme="minorHAnsi"/>
          <w:sz w:val="22"/>
        </w:rPr>
      </w:pPr>
      <w:r>
        <w:rPr>
          <w:rFonts w:asciiTheme="minorHAnsi" w:hAnsiTheme="minorHAnsi"/>
          <w:sz w:val="22"/>
        </w:rPr>
        <w:t xml:space="preserve">Norton, A and Cherastidtham, I 2014, </w:t>
      </w:r>
      <w:r>
        <w:rPr>
          <w:rFonts w:asciiTheme="minorHAnsi" w:hAnsiTheme="minorHAnsi"/>
          <w:i/>
          <w:sz w:val="22"/>
        </w:rPr>
        <w:t xml:space="preserve">Mapping Australian higher </w:t>
      </w:r>
      <w:r w:rsidRPr="001A0576">
        <w:rPr>
          <w:rFonts w:asciiTheme="minorHAnsi" w:hAnsiTheme="minorHAnsi"/>
          <w:i/>
          <w:sz w:val="22"/>
        </w:rPr>
        <w:t>education, 2014-15</w:t>
      </w:r>
      <w:r>
        <w:rPr>
          <w:rFonts w:asciiTheme="minorHAnsi" w:hAnsiTheme="minorHAnsi"/>
          <w:sz w:val="22"/>
        </w:rPr>
        <w:t xml:space="preserve">, Grattan Institute </w:t>
      </w:r>
    </w:p>
    <w:p w:rsidR="001A3292" w:rsidRPr="00DA4CA5" w:rsidRDefault="001A3292" w:rsidP="001A3292">
      <w:pPr>
        <w:pStyle w:val="NormalWeb"/>
        <w:ind w:left="480" w:hanging="480"/>
        <w:rPr>
          <w:rFonts w:asciiTheme="minorHAnsi" w:hAnsiTheme="minorHAnsi"/>
          <w:sz w:val="22"/>
          <w:u w:val="single"/>
        </w:rPr>
      </w:pPr>
      <w:r>
        <w:rPr>
          <w:rFonts w:asciiTheme="minorHAnsi" w:hAnsiTheme="minorHAnsi"/>
          <w:sz w:val="22"/>
        </w:rPr>
        <w:t xml:space="preserve">Noonan, </w:t>
      </w:r>
      <w:r w:rsidR="00CB5345">
        <w:rPr>
          <w:rFonts w:asciiTheme="minorHAnsi" w:hAnsiTheme="minorHAnsi"/>
          <w:sz w:val="22"/>
        </w:rPr>
        <w:t>P 2015,</w:t>
      </w:r>
      <w:r>
        <w:rPr>
          <w:rFonts w:asciiTheme="minorHAnsi" w:hAnsiTheme="minorHAnsi"/>
          <w:sz w:val="22"/>
        </w:rPr>
        <w:t xml:space="preserve"> </w:t>
      </w:r>
      <w:r w:rsidRPr="00DA4CA5">
        <w:rPr>
          <w:rFonts w:asciiTheme="minorHAnsi" w:hAnsiTheme="minorHAnsi"/>
          <w:i/>
          <w:sz w:val="22"/>
        </w:rPr>
        <w:t>Building a sustainable funding</w:t>
      </w:r>
      <w:r w:rsidR="00CB5345" w:rsidRPr="00DA4CA5">
        <w:rPr>
          <w:rFonts w:asciiTheme="minorHAnsi" w:hAnsiTheme="minorHAnsi"/>
          <w:i/>
          <w:sz w:val="22"/>
        </w:rPr>
        <w:t xml:space="preserve"> </w:t>
      </w:r>
      <w:r w:rsidRPr="00DA4CA5">
        <w:rPr>
          <w:rFonts w:asciiTheme="minorHAnsi" w:hAnsiTheme="minorHAnsi"/>
          <w:i/>
          <w:sz w:val="22"/>
        </w:rPr>
        <w:t>model for higher education in</w:t>
      </w:r>
      <w:r w:rsidR="00CB5345" w:rsidRPr="00DA4CA5">
        <w:rPr>
          <w:rFonts w:asciiTheme="minorHAnsi" w:hAnsiTheme="minorHAnsi"/>
          <w:i/>
          <w:sz w:val="22"/>
        </w:rPr>
        <w:t xml:space="preserve"> </w:t>
      </w:r>
      <w:r w:rsidRPr="00DA4CA5">
        <w:rPr>
          <w:rFonts w:asciiTheme="minorHAnsi" w:hAnsiTheme="minorHAnsi"/>
          <w:i/>
          <w:sz w:val="22"/>
        </w:rPr>
        <w:t>Australia – a way forward</w:t>
      </w:r>
      <w:r w:rsidR="00CB5345" w:rsidRPr="00DA4CA5">
        <w:rPr>
          <w:rFonts w:asciiTheme="minorHAnsi" w:hAnsiTheme="minorHAnsi"/>
          <w:sz w:val="22"/>
        </w:rPr>
        <w:t>, Mitchel Institute discussion paper, January 2015</w:t>
      </w:r>
    </w:p>
    <w:p w:rsidR="00B858C3" w:rsidRDefault="00B858C3" w:rsidP="00B858C3">
      <w:pPr>
        <w:pStyle w:val="NormalWeb"/>
        <w:ind w:left="480" w:hanging="480"/>
        <w:rPr>
          <w:rFonts w:asciiTheme="minorHAnsi" w:hAnsiTheme="minorHAnsi"/>
          <w:sz w:val="22"/>
        </w:rPr>
      </w:pPr>
      <w:r>
        <w:rPr>
          <w:rFonts w:asciiTheme="minorHAnsi" w:hAnsiTheme="minorHAnsi"/>
          <w:sz w:val="22"/>
        </w:rPr>
        <w:t xml:space="preserve">OECD 2011, </w:t>
      </w:r>
      <w:r w:rsidRPr="00490ACA">
        <w:rPr>
          <w:rFonts w:asciiTheme="minorHAnsi" w:hAnsiTheme="minorHAnsi"/>
          <w:i/>
          <w:sz w:val="22"/>
        </w:rPr>
        <w:t>Education at Glance 2011</w:t>
      </w:r>
      <w:r>
        <w:rPr>
          <w:rFonts w:asciiTheme="minorHAnsi" w:hAnsiTheme="minorHAnsi"/>
          <w:sz w:val="22"/>
        </w:rPr>
        <w:t>, OECD Publishing</w:t>
      </w:r>
    </w:p>
    <w:p w:rsidR="00B858C3" w:rsidRPr="00E63C94" w:rsidRDefault="00B858C3" w:rsidP="00B858C3">
      <w:pPr>
        <w:pStyle w:val="NormalWeb"/>
        <w:ind w:left="480" w:hanging="480"/>
        <w:rPr>
          <w:rFonts w:asciiTheme="minorHAnsi" w:hAnsiTheme="minorHAnsi"/>
          <w:sz w:val="22"/>
        </w:rPr>
      </w:pPr>
      <w:r>
        <w:rPr>
          <w:rFonts w:asciiTheme="minorHAnsi" w:hAnsiTheme="minorHAnsi"/>
          <w:sz w:val="22"/>
        </w:rPr>
        <w:t xml:space="preserve">OECD 2014, </w:t>
      </w:r>
      <w:r w:rsidRPr="001A0576">
        <w:rPr>
          <w:rFonts w:asciiTheme="minorHAnsi" w:hAnsiTheme="minorHAnsi"/>
          <w:i/>
          <w:sz w:val="22"/>
        </w:rPr>
        <w:t>Education at a Glance 2014: Education Indicators</w:t>
      </w:r>
      <w:r>
        <w:rPr>
          <w:rFonts w:asciiTheme="minorHAnsi" w:hAnsiTheme="minorHAnsi"/>
          <w:sz w:val="22"/>
        </w:rPr>
        <w:t xml:space="preserve">, OECD Publishing </w:t>
      </w:r>
    </w:p>
    <w:p w:rsidR="00B858C3" w:rsidRPr="00D537F2" w:rsidRDefault="00B858C3" w:rsidP="00B858C3">
      <w:pPr>
        <w:pStyle w:val="NormalWeb"/>
        <w:ind w:left="480" w:hanging="480"/>
        <w:rPr>
          <w:rFonts w:asciiTheme="minorHAnsi" w:hAnsiTheme="minorHAnsi"/>
          <w:sz w:val="22"/>
        </w:rPr>
      </w:pPr>
      <w:r>
        <w:rPr>
          <w:rFonts w:asciiTheme="minorHAnsi" w:hAnsiTheme="minorHAnsi"/>
          <w:sz w:val="22"/>
        </w:rPr>
        <w:t xml:space="preserve">Parliamentary Budget Office 2016, </w:t>
      </w:r>
      <w:r>
        <w:rPr>
          <w:rFonts w:asciiTheme="minorHAnsi" w:hAnsiTheme="minorHAnsi"/>
          <w:i/>
          <w:sz w:val="22"/>
        </w:rPr>
        <w:t>Higher education loan programme: Impact on the budget</w:t>
      </w:r>
      <w:r>
        <w:rPr>
          <w:rFonts w:asciiTheme="minorHAnsi" w:hAnsiTheme="minorHAnsi"/>
          <w:sz w:val="22"/>
        </w:rPr>
        <w:t>, Report no. 2</w:t>
      </w:r>
    </w:p>
    <w:p w:rsidR="00B858C3" w:rsidRDefault="00B858C3" w:rsidP="00B858C3">
      <w:pPr>
        <w:pStyle w:val="NormalWeb"/>
        <w:ind w:left="480" w:hanging="480"/>
        <w:rPr>
          <w:rFonts w:asciiTheme="minorHAnsi" w:hAnsiTheme="minorHAnsi"/>
          <w:sz w:val="22"/>
        </w:rPr>
      </w:pPr>
      <w:r w:rsidRPr="0025690E">
        <w:rPr>
          <w:rFonts w:asciiTheme="minorHAnsi" w:hAnsiTheme="minorHAnsi"/>
          <w:sz w:val="22"/>
        </w:rPr>
        <w:t xml:space="preserve">Psacharopoulos, G </w:t>
      </w:r>
      <w:r w:rsidR="00B073F0">
        <w:rPr>
          <w:rFonts w:asciiTheme="minorHAnsi" w:hAnsiTheme="minorHAnsi"/>
          <w:sz w:val="22"/>
        </w:rPr>
        <w:t>and</w:t>
      </w:r>
      <w:r w:rsidRPr="0025690E">
        <w:rPr>
          <w:rFonts w:asciiTheme="minorHAnsi" w:hAnsiTheme="minorHAnsi"/>
          <w:sz w:val="22"/>
        </w:rPr>
        <w:t xml:space="preserve"> Patrinos, HA 2004, Return to investment in education: a further update, </w:t>
      </w:r>
      <w:r w:rsidRPr="006E4888">
        <w:rPr>
          <w:rFonts w:asciiTheme="minorHAnsi" w:hAnsiTheme="minorHAnsi"/>
          <w:sz w:val="22"/>
        </w:rPr>
        <w:t>Education Economics</w:t>
      </w:r>
      <w:r w:rsidRPr="0025690E">
        <w:rPr>
          <w:rFonts w:asciiTheme="minorHAnsi" w:hAnsiTheme="minorHAnsi"/>
          <w:sz w:val="22"/>
        </w:rPr>
        <w:t xml:space="preserve">, </w:t>
      </w:r>
      <w:r>
        <w:rPr>
          <w:rFonts w:asciiTheme="minorHAnsi" w:hAnsiTheme="minorHAnsi"/>
          <w:sz w:val="22"/>
        </w:rPr>
        <w:t>12(2)</w:t>
      </w:r>
      <w:r w:rsidRPr="0025690E">
        <w:rPr>
          <w:rFonts w:asciiTheme="minorHAnsi" w:hAnsiTheme="minorHAnsi"/>
          <w:sz w:val="22"/>
        </w:rPr>
        <w:t xml:space="preserve">, 111–134. </w:t>
      </w:r>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 xml:space="preserve">Rosen, HS and Gayer, T 2010 </w:t>
      </w:r>
      <w:r w:rsidRPr="0090425A">
        <w:rPr>
          <w:rFonts w:asciiTheme="minorHAnsi" w:hAnsiTheme="minorHAnsi"/>
          <w:i/>
          <w:sz w:val="22"/>
        </w:rPr>
        <w:t>Public finance 9</w:t>
      </w:r>
      <w:r w:rsidRPr="0090425A">
        <w:rPr>
          <w:rFonts w:asciiTheme="minorHAnsi" w:hAnsiTheme="minorHAnsi"/>
          <w:i/>
          <w:sz w:val="22"/>
          <w:vertAlign w:val="superscript"/>
        </w:rPr>
        <w:t>th</w:t>
      </w:r>
      <w:r w:rsidRPr="0090425A">
        <w:rPr>
          <w:rFonts w:asciiTheme="minorHAnsi" w:hAnsiTheme="minorHAnsi"/>
          <w:i/>
          <w:sz w:val="22"/>
        </w:rPr>
        <w:t xml:space="preserve"> Edition</w:t>
      </w:r>
      <w:r w:rsidRPr="0090425A">
        <w:rPr>
          <w:rFonts w:asciiTheme="minorHAnsi" w:hAnsiTheme="minorHAnsi"/>
          <w:sz w:val="22"/>
        </w:rPr>
        <w:t xml:space="preserve">, McGraw Hill Higher Education. </w:t>
      </w:r>
    </w:p>
    <w:p w:rsidR="00B858C3" w:rsidRPr="0090425A" w:rsidRDefault="00B858C3" w:rsidP="00B858C3">
      <w:pPr>
        <w:pStyle w:val="NormalWeb"/>
        <w:ind w:left="480" w:hanging="480"/>
        <w:rPr>
          <w:rFonts w:asciiTheme="minorHAnsi" w:hAnsiTheme="minorHAnsi"/>
          <w:sz w:val="22"/>
        </w:rPr>
      </w:pPr>
      <w:r w:rsidRPr="0090425A">
        <w:rPr>
          <w:rFonts w:asciiTheme="minorHAnsi" w:hAnsiTheme="minorHAnsi"/>
          <w:sz w:val="22"/>
        </w:rPr>
        <w:t xml:space="preserve">Savage, J and Norton, A 2012, </w:t>
      </w:r>
      <w:r w:rsidRPr="0090425A">
        <w:rPr>
          <w:rFonts w:asciiTheme="minorHAnsi" w:hAnsiTheme="minorHAnsi"/>
          <w:i/>
          <w:iCs/>
          <w:sz w:val="22"/>
        </w:rPr>
        <w:t>Non-financial benefits of Higher Education Analysis,</w:t>
      </w:r>
      <w:r w:rsidRPr="0090425A">
        <w:rPr>
          <w:rFonts w:asciiTheme="minorHAnsi" w:hAnsiTheme="minorHAnsi"/>
          <w:iCs/>
          <w:sz w:val="22"/>
        </w:rPr>
        <w:t xml:space="preserve"> Grattan Institute. </w:t>
      </w:r>
    </w:p>
    <w:p w:rsidR="00B858C3" w:rsidRDefault="00B858C3" w:rsidP="00B858C3">
      <w:pPr>
        <w:spacing w:before="240"/>
        <w:ind w:left="426" w:hanging="426"/>
        <w:jc w:val="both"/>
        <w:rPr>
          <w:rFonts w:asciiTheme="minorHAnsi" w:hAnsiTheme="minorHAnsi"/>
          <w:szCs w:val="22"/>
        </w:rPr>
      </w:pPr>
      <w:r w:rsidRPr="00310579">
        <w:rPr>
          <w:rFonts w:asciiTheme="minorHAnsi" w:hAnsiTheme="minorHAnsi"/>
          <w:szCs w:val="22"/>
        </w:rPr>
        <w:t>Summerfield, M, Freidin, S, Hahn, M, Li, N, Macalalad, N, Mundy, L, Watson, N, Wilkins, R and Wooden, M (2015), ‘</w:t>
      </w:r>
      <w:r w:rsidRPr="00310579">
        <w:rPr>
          <w:rFonts w:asciiTheme="minorHAnsi" w:hAnsiTheme="minorHAnsi"/>
          <w:i/>
          <w:szCs w:val="22"/>
        </w:rPr>
        <w:t>HILDA User Manual – Release 14’</w:t>
      </w:r>
      <w:r w:rsidRPr="00310579">
        <w:rPr>
          <w:rFonts w:asciiTheme="minorHAnsi" w:hAnsiTheme="minorHAnsi"/>
          <w:szCs w:val="22"/>
        </w:rPr>
        <w:t>, Melbourne Institute of Applied Economic and Social Research, University of Melbourne</w:t>
      </w:r>
    </w:p>
    <w:p w:rsidR="00B858C3" w:rsidRDefault="00B858C3" w:rsidP="00B858C3">
      <w:pPr>
        <w:pStyle w:val="BodyText"/>
        <w:ind w:left="426" w:hanging="426"/>
        <w:rPr>
          <w:rFonts w:asciiTheme="minorHAnsi" w:hAnsiTheme="minorHAnsi"/>
          <w:szCs w:val="24"/>
          <w:lang w:eastAsia="en-AU"/>
        </w:rPr>
      </w:pPr>
      <w:r w:rsidRPr="00CA6FBF">
        <w:rPr>
          <w:rFonts w:asciiTheme="minorHAnsi" w:hAnsiTheme="minorHAnsi"/>
          <w:szCs w:val="24"/>
          <w:lang w:eastAsia="en-AU"/>
        </w:rPr>
        <w:t xml:space="preserve">Topel, R 1999, Labor Markets and Economic Growth Robert Topel University of Chicago, </w:t>
      </w:r>
      <w:r w:rsidRPr="00CA6FBF">
        <w:rPr>
          <w:rFonts w:asciiTheme="minorHAnsi" w:hAnsiTheme="minorHAnsi"/>
          <w:i/>
          <w:szCs w:val="24"/>
          <w:lang w:eastAsia="en-AU"/>
        </w:rPr>
        <w:t>Handbook of Labor Economics</w:t>
      </w:r>
      <w:r>
        <w:rPr>
          <w:rFonts w:asciiTheme="minorHAnsi" w:hAnsiTheme="minorHAnsi"/>
          <w:szCs w:val="24"/>
          <w:lang w:eastAsia="en-AU"/>
        </w:rPr>
        <w:t>,</w:t>
      </w:r>
      <w:r w:rsidRPr="00CA6FBF">
        <w:rPr>
          <w:rFonts w:asciiTheme="minorHAnsi" w:hAnsiTheme="minorHAnsi"/>
          <w:szCs w:val="24"/>
          <w:lang w:eastAsia="en-AU"/>
        </w:rPr>
        <w:t xml:space="preserve"> </w:t>
      </w:r>
      <w:r>
        <w:rPr>
          <w:rFonts w:asciiTheme="minorHAnsi" w:hAnsiTheme="minorHAnsi"/>
          <w:szCs w:val="24"/>
          <w:lang w:eastAsia="en-AU"/>
        </w:rPr>
        <w:t xml:space="preserve">3(3), </w:t>
      </w:r>
      <w:r w:rsidRPr="00CA6FBF">
        <w:rPr>
          <w:rFonts w:asciiTheme="minorHAnsi" w:hAnsiTheme="minorHAnsi"/>
          <w:szCs w:val="24"/>
          <w:lang w:eastAsia="en-AU"/>
        </w:rPr>
        <w:t xml:space="preserve">2943–2984. </w:t>
      </w:r>
    </w:p>
    <w:p w:rsidR="00B858C3" w:rsidRDefault="00B858C3" w:rsidP="00B858C3">
      <w:pPr>
        <w:spacing w:before="240"/>
        <w:ind w:left="426" w:hanging="426"/>
        <w:jc w:val="both"/>
        <w:rPr>
          <w:rFonts w:asciiTheme="minorHAnsi" w:hAnsiTheme="minorHAnsi"/>
          <w:szCs w:val="22"/>
        </w:rPr>
      </w:pPr>
      <w:r w:rsidRPr="0090425A">
        <w:rPr>
          <w:rFonts w:asciiTheme="minorHAnsi" w:hAnsiTheme="minorHAnsi"/>
          <w:szCs w:val="24"/>
          <w:lang w:eastAsia="en-AU"/>
        </w:rPr>
        <w:t xml:space="preserve">Wilkins, R 2015, </w:t>
      </w:r>
      <w:r w:rsidRPr="0090425A">
        <w:rPr>
          <w:rFonts w:asciiTheme="minorHAnsi" w:hAnsiTheme="minorHAnsi"/>
          <w:i/>
          <w:szCs w:val="24"/>
          <w:lang w:eastAsia="en-AU"/>
        </w:rPr>
        <w:t>The Household, Income and Labour Dynamics in Australia (HILDA) Survey: Selected Findings from Waves 1 to 12</w:t>
      </w:r>
      <w:r w:rsidRPr="0090425A">
        <w:rPr>
          <w:rFonts w:asciiTheme="minorHAnsi" w:hAnsiTheme="minorHAnsi"/>
          <w:szCs w:val="24"/>
          <w:lang w:eastAsia="en-AU"/>
        </w:rPr>
        <w:t>, University of Melbourne.</w:t>
      </w:r>
    </w:p>
    <w:p w:rsidR="00E47BD5" w:rsidRDefault="00E47BD5" w:rsidP="002320EB">
      <w:pPr>
        <w:spacing w:before="240"/>
        <w:jc w:val="both"/>
        <w:rPr>
          <w:rFonts w:asciiTheme="minorHAnsi" w:hAnsiTheme="minorHAnsi"/>
          <w:szCs w:val="22"/>
        </w:rPr>
      </w:pPr>
    </w:p>
    <w:p w:rsidR="002075A4" w:rsidRDefault="001C6208" w:rsidP="009C0EF1">
      <w:pPr>
        <w:pStyle w:val="Appendix"/>
        <w:ind w:left="0"/>
      </w:pPr>
      <w:bookmarkStart w:id="259" w:name="_Toc215906321"/>
      <w:bookmarkStart w:id="260" w:name="_Toc227746678"/>
      <w:bookmarkStart w:id="261" w:name="_Toc227746682"/>
      <w:bookmarkStart w:id="262" w:name="_Toc227746686"/>
      <w:bookmarkStart w:id="263" w:name="_Toc227746690"/>
      <w:bookmarkStart w:id="264" w:name="_Toc227748312"/>
      <w:bookmarkStart w:id="265" w:name="_Toc227748330"/>
      <w:bookmarkStart w:id="266" w:name="_Toc227748334"/>
      <w:bookmarkStart w:id="267" w:name="_Toc227748338"/>
      <w:bookmarkStart w:id="268" w:name="_Toc227748377"/>
      <w:bookmarkStart w:id="269" w:name="_Toc227748381"/>
      <w:bookmarkStart w:id="270" w:name="_Toc227748385"/>
      <w:bookmarkStart w:id="271" w:name="_Toc227748497"/>
      <w:bookmarkStart w:id="272" w:name="_Toc227748501"/>
      <w:bookmarkStart w:id="273" w:name="_Toc228005208"/>
      <w:bookmarkStart w:id="274" w:name="_Toc228092499"/>
      <w:bookmarkStart w:id="275" w:name="_Toc228264954"/>
      <w:bookmarkStart w:id="276" w:name="_Toc228264976"/>
      <w:bookmarkStart w:id="277" w:name="_Toc228264980"/>
      <w:bookmarkStart w:id="278" w:name="_Toc228264984"/>
      <w:bookmarkStart w:id="279" w:name="_Toc228264988"/>
      <w:bookmarkStart w:id="280" w:name="_Toc228265218"/>
      <w:bookmarkStart w:id="281" w:name="_Toc288198027"/>
      <w:bookmarkStart w:id="282" w:name="_Ref459117292"/>
      <w:bookmarkStart w:id="283" w:name="_Toc465961218"/>
      <w:bookmarkStart w:id="284" w:name="_Ref452558545"/>
      <w:bookmarkStart w:id="285" w:name="_Ref457422182"/>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lastRenderedPageBreak/>
        <w:t>:</w:t>
      </w:r>
      <w:r w:rsidR="00AF56A2">
        <w:t xml:space="preserve"> </w:t>
      </w:r>
      <w:r w:rsidR="007901C0">
        <w:t>Further discussion of</w:t>
      </w:r>
      <w:r w:rsidR="00196CCA">
        <w:t xml:space="preserve"> the </w:t>
      </w:r>
      <w:r w:rsidR="00622A86">
        <w:t>l</w:t>
      </w:r>
      <w:r w:rsidR="00196CCA">
        <w:t>iterature</w:t>
      </w:r>
      <w:bookmarkEnd w:id="282"/>
      <w:bookmarkEnd w:id="283"/>
    </w:p>
    <w:p w:rsidR="00A75857" w:rsidRDefault="00A75857" w:rsidP="00A75857">
      <w:pPr>
        <w:pStyle w:val="BodyText"/>
      </w:pPr>
      <w:r>
        <w:t xml:space="preserve">This appendix provides additional detail and extends the discussion on a number of themes from Section </w:t>
      </w:r>
      <w:r>
        <w:fldChar w:fldCharType="begin"/>
      </w:r>
      <w:r>
        <w:instrText xml:space="preserve"> REF _Ref457422319 \r \h </w:instrText>
      </w:r>
      <w:r>
        <w:fldChar w:fldCharType="separate"/>
      </w:r>
      <w:r w:rsidR="00534F9F">
        <w:t>2</w:t>
      </w:r>
      <w:r>
        <w:fldChar w:fldCharType="end"/>
      </w:r>
      <w:r>
        <w:t>, namely:</w:t>
      </w:r>
    </w:p>
    <w:p w:rsidR="00A75857" w:rsidRDefault="00A75857" w:rsidP="00A75857">
      <w:pPr>
        <w:pStyle w:val="Bullet1"/>
      </w:pPr>
      <w:r>
        <w:t xml:space="preserve">extending the overview of econometric approaches to calculating private benefits – from Section </w:t>
      </w:r>
      <w:r>
        <w:fldChar w:fldCharType="begin"/>
      </w:r>
      <w:r>
        <w:instrText xml:space="preserve"> REF _Ref459113730 \r \h </w:instrText>
      </w:r>
      <w:r>
        <w:fldChar w:fldCharType="separate"/>
      </w:r>
      <w:r w:rsidR="00534F9F">
        <w:t>2.2.1</w:t>
      </w:r>
      <w:r>
        <w:fldChar w:fldCharType="end"/>
      </w:r>
      <w:r>
        <w:t xml:space="preserve"> – to include approaches that utilise </w:t>
      </w:r>
      <w:r w:rsidR="00D53200">
        <w:t>structural</w:t>
      </w:r>
      <w:r>
        <w:t xml:space="preserve"> features of an education system; </w:t>
      </w:r>
    </w:p>
    <w:p w:rsidR="00A75857" w:rsidRDefault="00A75857" w:rsidP="00A75857">
      <w:pPr>
        <w:pStyle w:val="Bullet1"/>
      </w:pPr>
      <w:r>
        <w:t xml:space="preserve">a more thorough examination and explanation of the method employed by Chapman and Lounkaew (2011; and 2015), including the application of McMahon (2004) – extending Section </w:t>
      </w:r>
      <w:r>
        <w:fldChar w:fldCharType="begin"/>
      </w:r>
      <w:r>
        <w:instrText xml:space="preserve"> REF _Ref459113870 \r \h </w:instrText>
      </w:r>
      <w:r>
        <w:fldChar w:fldCharType="separate"/>
      </w:r>
      <w:r w:rsidR="00534F9F">
        <w:t>2.2.2</w:t>
      </w:r>
      <w:r>
        <w:fldChar w:fldCharType="end"/>
      </w:r>
      <w:r>
        <w:t xml:space="preserve">; and </w:t>
      </w:r>
    </w:p>
    <w:p w:rsidR="00A75857" w:rsidRDefault="00A75857" w:rsidP="00A75857">
      <w:pPr>
        <w:pStyle w:val="Bullet1"/>
      </w:pPr>
      <w:proofErr w:type="gramStart"/>
      <w:r>
        <w:t>an</w:t>
      </w:r>
      <w:proofErr w:type="gramEnd"/>
      <w:r>
        <w:t xml:space="preserve"> extended discussion of how the realisation of benefits may differ by provider type – following Section </w:t>
      </w:r>
      <w:r>
        <w:fldChar w:fldCharType="begin"/>
      </w:r>
      <w:r>
        <w:instrText xml:space="preserve"> REF _Ref459113592 \r \h </w:instrText>
      </w:r>
      <w:r>
        <w:fldChar w:fldCharType="separate"/>
      </w:r>
      <w:r w:rsidR="00534F9F">
        <w:t>2.2.5</w:t>
      </w:r>
      <w:r>
        <w:fldChar w:fldCharType="end"/>
      </w:r>
      <w:r>
        <w:t>.</w:t>
      </w:r>
    </w:p>
    <w:p w:rsidR="00A75857" w:rsidRDefault="00A75857" w:rsidP="00A75857">
      <w:pPr>
        <w:pStyle w:val="HeadingC"/>
      </w:pPr>
      <w:r>
        <w:t xml:space="preserve">Utilising structural features </w:t>
      </w:r>
    </w:p>
    <w:p w:rsidR="00A75857" w:rsidRDefault="00A75857" w:rsidP="00A75857">
      <w:pPr>
        <w:pStyle w:val="BodyText"/>
      </w:pPr>
      <w:r>
        <w:t>The fundamental empirical question, or difficulty, in estimating private returns to education is how to accurately account for differences in innate ability. This ability bias is likely to overstate the returns to education, as individuals with higher education are already more likely on average to receive higher wage premiums. A number of researchers have utilised structural features within the Australian education context to control for this bias.</w:t>
      </w:r>
      <w:r>
        <w:rPr>
          <w:rStyle w:val="FootnoteReference"/>
        </w:rPr>
        <w:footnoteReference w:id="47"/>
      </w:r>
      <w:r>
        <w:t xml:space="preserve"> </w:t>
      </w:r>
    </w:p>
    <w:p w:rsidR="00A75857" w:rsidRDefault="00A75857" w:rsidP="00A75857">
      <w:pPr>
        <w:pStyle w:val="BodyText"/>
      </w:pPr>
      <w:r>
        <w:t>Leigh and Ryan (2008) estimate a 13% return to each year of schooling using a simple OLS approach. Using strict eligibility dates for school entry, they compare students of very similar age</w:t>
      </w:r>
      <w:r>
        <w:rPr>
          <w:rStyle w:val="FootnoteReference"/>
        </w:rPr>
        <w:footnoteReference w:id="48"/>
      </w:r>
      <w:r>
        <w:t>, but with a full year difference in schooling. This identification strategy assumes that the average innate ability for two groups of students – some born just before an arbitrary cut-off date, and others born just after – will be very similar. These estimates produce an 8% return to education, which suggests that the OLS estimates are upwardly biased by 39%.</w:t>
      </w:r>
    </w:p>
    <w:p w:rsidR="00A75857" w:rsidRDefault="00A75857" w:rsidP="00A75857">
      <w:pPr>
        <w:pStyle w:val="BodyText"/>
      </w:pPr>
      <w:r>
        <w:t xml:space="preserve">The authors also exploit differences in compulsory schooling laws across states. This strategy relies on assuming that the average cognitive ability of students is unlikely to vary across states. These estimates produce 12% returns, suggesting an upward bias of 9%.  </w:t>
      </w:r>
    </w:p>
    <w:p w:rsidR="00A75857" w:rsidRDefault="00A75857" w:rsidP="00A75857">
      <w:pPr>
        <w:pStyle w:val="BodyText"/>
      </w:pPr>
      <w:r>
        <w:t xml:space="preserve">In the schools sector, Miller, Mulvey and Martin (2006) compare twins with different years of education using the Australian Twin Register and telephone interview responses from 1996 to 2000. The authors estimate a 5-7% causal return to each year of school education; suggesting an upward bias of 10-28% for their simple OLS measures. </w:t>
      </w:r>
    </w:p>
    <w:p w:rsidR="00A75857" w:rsidRDefault="00A75857" w:rsidP="00A75857">
      <w:pPr>
        <w:pStyle w:val="HeadingC"/>
      </w:pPr>
      <w:r>
        <w:lastRenderedPageBreak/>
        <w:t>Chapman and Lounkaew (2011; 2015) and McMahon (2004)</w:t>
      </w:r>
    </w:p>
    <w:p w:rsidR="00A75857" w:rsidRDefault="00A75857" w:rsidP="00A75857">
      <w:pPr>
        <w:pStyle w:val="BodyText"/>
      </w:pPr>
      <w:r>
        <w:t>Few studies have rigorously or comprehensively explored the public benefits from higher education.</w:t>
      </w:r>
      <w:r>
        <w:rPr>
          <w:rStyle w:val="FootnoteReference"/>
        </w:rPr>
        <w:footnoteReference w:id="49"/>
      </w:r>
      <w:r>
        <w:t xml:space="preserve"> McMahon (2004) presents the first widely cited canvass of the literature and survey of empirical efforts to calculate non-market public benefits from education. </w:t>
      </w:r>
    </w:p>
    <w:p w:rsidR="00A75857" w:rsidRDefault="00A75857" w:rsidP="00A75857">
      <w:pPr>
        <w:pStyle w:val="BodyText"/>
      </w:pPr>
      <w:r>
        <w:t xml:space="preserve">McMahon identifies the most common and accepted approach for calculating market benefits. First, estimate the total social rates of return using cross-country comparisons, then estimate the private returns to schooling based on individual earnings data using a Mincer-type equation. As the social return is assumed to be comprehensive, the difference between these returns is, by definition, the public market benefits. </w:t>
      </w:r>
    </w:p>
    <w:p w:rsidR="00A75857" w:rsidRDefault="00A75857" w:rsidP="00A75857">
      <w:pPr>
        <w:pStyle w:val="BodyText"/>
      </w:pPr>
      <w:r>
        <w:t xml:space="preserve">McMahon notes that these returns are often overestimated due to the lack of controls or dynamic considerations, in particular temporal changes in technology and policy. Heckman and Klenow (1997) control for advances in medical technology (and thus all technology) using life expectancy, and observe their social rates of return fall from 30% to 11%. Topel (1999) uses time fixed effects to control for global trends over time that may confound rising education, and finds that his social rates of return fall from 23% to 6%. </w:t>
      </w:r>
    </w:p>
    <w:p w:rsidR="00A75857" w:rsidRDefault="00A75857" w:rsidP="00A75857">
      <w:pPr>
        <w:pStyle w:val="BodyText"/>
      </w:pPr>
      <w:r>
        <w:t xml:space="preserve">Comparing two different studies using this general method in the literature, McMahon posits that the average ratio of public-private market benefits is approximately even (i.e. 50:50). The bounds of these results are between 37% and 61% for the proportion of total social market benefits attributable to public market benefits – see </w:t>
      </w:r>
      <w:r>
        <w:fldChar w:fldCharType="begin"/>
      </w:r>
      <w:r>
        <w:instrText xml:space="preserve"> REF _Ref456694238 \r \h </w:instrText>
      </w:r>
      <w:r>
        <w:fldChar w:fldCharType="separate"/>
      </w:r>
      <w:r w:rsidR="00534F9F">
        <w:t>Table A.1</w:t>
      </w:r>
      <w:r>
        <w:fldChar w:fldCharType="end"/>
      </w:r>
      <w:r>
        <w:t>.</w:t>
      </w:r>
    </w:p>
    <w:p w:rsidR="00A75857" w:rsidRDefault="00A75857" w:rsidP="00A75857">
      <w:pPr>
        <w:pStyle w:val="AppendixTableCaption"/>
      </w:pPr>
      <w:bookmarkStart w:id="286" w:name="_Toc456686837"/>
      <w:bookmarkStart w:id="287" w:name="_Ref456694238"/>
      <w:bookmarkStart w:id="288" w:name="_Toc465961132"/>
      <w:r>
        <w:t>: Proportion of total social market benefits to education attributable to public market benefits</w:t>
      </w:r>
      <w:bookmarkEnd w:id="286"/>
      <w:bookmarkEnd w:id="287"/>
      <w:bookmarkEnd w:id="288"/>
    </w:p>
    <w:tbl>
      <w:tblPr>
        <w:tblStyle w:val="TableAE"/>
        <w:tblW w:w="8420" w:type="dxa"/>
        <w:tblLayout w:type="fixed"/>
        <w:tblLook w:val="04A0" w:firstRow="1" w:lastRow="0" w:firstColumn="1" w:lastColumn="0" w:noHBand="0" w:noVBand="1"/>
      </w:tblPr>
      <w:tblGrid>
        <w:gridCol w:w="1134"/>
        <w:gridCol w:w="2085"/>
        <w:gridCol w:w="3685"/>
        <w:gridCol w:w="1516"/>
      </w:tblGrid>
      <w:tr w:rsidR="00A75857" w:rsidTr="00A75857">
        <w:trPr>
          <w:cnfStyle w:val="100000000000" w:firstRow="1" w:lastRow="0" w:firstColumn="0" w:lastColumn="0" w:oddVBand="0" w:evenVBand="0" w:oddHBand="0" w:evenHBand="0" w:firstRowFirstColumn="0" w:firstRowLastColumn="0" w:lastRowFirstColumn="0" w:lastRowLastColumn="0"/>
        </w:trPr>
        <w:tc>
          <w:tcPr>
            <w:tcW w:w="1134" w:type="dxa"/>
            <w:vAlign w:val="center"/>
          </w:tcPr>
          <w:p w:rsidR="00A75857" w:rsidRPr="0054106D" w:rsidRDefault="00A75857" w:rsidP="00A75857">
            <w:pPr>
              <w:pStyle w:val="TableHeadingCentre"/>
              <w:rPr>
                <w:rFonts w:asciiTheme="minorHAnsi" w:hAnsiTheme="minorHAnsi"/>
              </w:rPr>
            </w:pPr>
            <w:r w:rsidRPr="0054106D">
              <w:rPr>
                <w:rFonts w:asciiTheme="minorHAnsi" w:hAnsiTheme="minorHAnsi"/>
              </w:rPr>
              <w:t>Region</w:t>
            </w:r>
          </w:p>
        </w:tc>
        <w:tc>
          <w:tcPr>
            <w:tcW w:w="2085" w:type="dxa"/>
            <w:vAlign w:val="center"/>
          </w:tcPr>
          <w:p w:rsidR="00A75857" w:rsidRPr="0054106D" w:rsidRDefault="00A75857" w:rsidP="00A75857">
            <w:pPr>
              <w:pStyle w:val="TableHeadingCentre"/>
              <w:rPr>
                <w:rFonts w:asciiTheme="minorHAnsi" w:hAnsiTheme="minorHAnsi"/>
              </w:rPr>
            </w:pPr>
            <w:r>
              <w:rPr>
                <w:rFonts w:asciiTheme="minorHAnsi" w:hAnsiTheme="minorHAnsi"/>
              </w:rPr>
              <w:t>Study</w:t>
            </w:r>
            <w:r w:rsidRPr="0054106D">
              <w:rPr>
                <w:rFonts w:asciiTheme="minorHAnsi" w:hAnsiTheme="minorHAnsi"/>
              </w:rPr>
              <w:t xml:space="preserve"> </w:t>
            </w:r>
          </w:p>
        </w:tc>
        <w:tc>
          <w:tcPr>
            <w:tcW w:w="3685" w:type="dxa"/>
          </w:tcPr>
          <w:p w:rsidR="00A75857" w:rsidRPr="0054106D" w:rsidRDefault="00A75857" w:rsidP="00A75857">
            <w:pPr>
              <w:pStyle w:val="TableHeadingCentre"/>
              <w:rPr>
                <w:rFonts w:asciiTheme="minorHAnsi" w:hAnsiTheme="minorHAnsi"/>
              </w:rPr>
            </w:pPr>
            <w:r>
              <w:rPr>
                <w:rFonts w:asciiTheme="minorHAnsi" w:hAnsiTheme="minorHAnsi"/>
              </w:rPr>
              <w:t>Method</w:t>
            </w:r>
          </w:p>
        </w:tc>
        <w:tc>
          <w:tcPr>
            <w:tcW w:w="1516" w:type="dxa"/>
            <w:vAlign w:val="center"/>
          </w:tcPr>
          <w:p w:rsidR="00A75857" w:rsidRPr="0054106D" w:rsidRDefault="00A75857" w:rsidP="00A75857">
            <w:pPr>
              <w:pStyle w:val="TableHeadingCentre"/>
              <w:rPr>
                <w:rFonts w:asciiTheme="minorHAnsi" w:hAnsiTheme="minorHAnsi"/>
              </w:rPr>
            </w:pPr>
            <w:r>
              <w:rPr>
                <w:rFonts w:asciiTheme="minorHAnsi" w:hAnsiTheme="minorHAnsi"/>
              </w:rPr>
              <w:t>Proportion</w:t>
            </w:r>
          </w:p>
        </w:tc>
      </w:tr>
      <w:tr w:rsidR="00A75857" w:rsidTr="00A75857">
        <w:tc>
          <w:tcPr>
            <w:tcW w:w="1134" w:type="dxa"/>
          </w:tcPr>
          <w:p w:rsidR="00A75857" w:rsidRPr="0054106D" w:rsidRDefault="00A75857" w:rsidP="00A75857">
            <w:pPr>
              <w:pStyle w:val="TabletextLeft"/>
              <w:rPr>
                <w:rFonts w:asciiTheme="minorHAnsi" w:hAnsiTheme="minorHAnsi"/>
              </w:rPr>
            </w:pPr>
            <w:r>
              <w:rPr>
                <w:rFonts w:asciiTheme="minorHAnsi" w:hAnsiTheme="minorHAnsi"/>
              </w:rPr>
              <w:t>OECD</w:t>
            </w:r>
          </w:p>
        </w:tc>
        <w:tc>
          <w:tcPr>
            <w:tcW w:w="2085" w:type="dxa"/>
          </w:tcPr>
          <w:p w:rsidR="00A75857" w:rsidRPr="0054106D" w:rsidRDefault="00A75857" w:rsidP="00A75857">
            <w:pPr>
              <w:pStyle w:val="TabletextLeft"/>
              <w:rPr>
                <w:rFonts w:asciiTheme="minorHAnsi" w:hAnsiTheme="minorHAnsi"/>
              </w:rPr>
            </w:pPr>
            <w:r>
              <w:rPr>
                <w:rFonts w:asciiTheme="minorHAnsi" w:hAnsiTheme="minorHAnsi"/>
              </w:rPr>
              <w:t>Topel (1999); Pscharopoulos and Patrinos (2002)</w:t>
            </w:r>
          </w:p>
        </w:tc>
        <w:tc>
          <w:tcPr>
            <w:tcW w:w="3685" w:type="dxa"/>
          </w:tcPr>
          <w:p w:rsidR="00A75857" w:rsidRPr="0054106D" w:rsidRDefault="00A75857" w:rsidP="00A75857">
            <w:pPr>
              <w:pStyle w:val="TabletextLeft"/>
              <w:rPr>
                <w:rFonts w:asciiTheme="minorHAnsi" w:hAnsiTheme="minorHAnsi"/>
              </w:rPr>
            </w:pPr>
            <w:r>
              <w:rPr>
                <w:rFonts w:asciiTheme="minorHAnsi" w:hAnsiTheme="minorHAnsi"/>
              </w:rPr>
              <w:t xml:space="preserve">Difference between total social market return using cross-country comparisons (23%) and private market return using Mincer equation (9%), equals the public market benefit (14%).  </w:t>
            </w:r>
          </w:p>
        </w:tc>
        <w:tc>
          <w:tcPr>
            <w:tcW w:w="1516" w:type="dxa"/>
          </w:tcPr>
          <w:p w:rsidR="00A75857" w:rsidRPr="0054106D" w:rsidRDefault="00A75857" w:rsidP="00A75857">
            <w:pPr>
              <w:pStyle w:val="TabletextLeft"/>
              <w:jc w:val="center"/>
              <w:rPr>
                <w:rFonts w:asciiTheme="minorHAnsi" w:hAnsiTheme="minorHAnsi"/>
              </w:rPr>
            </w:pPr>
            <w:r>
              <w:rPr>
                <w:rFonts w:asciiTheme="minorHAnsi" w:hAnsiTheme="minorHAnsi"/>
              </w:rPr>
              <w:t>61%</w:t>
            </w:r>
          </w:p>
        </w:tc>
      </w:tr>
      <w:tr w:rsidR="00A75857" w:rsidTr="00A75857">
        <w:tc>
          <w:tcPr>
            <w:tcW w:w="1134" w:type="dxa"/>
          </w:tcPr>
          <w:p w:rsidR="00A75857" w:rsidRPr="0054106D" w:rsidRDefault="00A75857" w:rsidP="00A75857">
            <w:pPr>
              <w:pStyle w:val="TabletextLeft"/>
              <w:rPr>
                <w:rFonts w:asciiTheme="minorHAnsi" w:hAnsiTheme="minorHAnsi"/>
              </w:rPr>
            </w:pPr>
            <w:r>
              <w:rPr>
                <w:rFonts w:asciiTheme="minorHAnsi" w:hAnsiTheme="minorHAnsi"/>
              </w:rPr>
              <w:t>USA</w:t>
            </w:r>
          </w:p>
        </w:tc>
        <w:tc>
          <w:tcPr>
            <w:tcW w:w="2085" w:type="dxa"/>
          </w:tcPr>
          <w:p w:rsidR="00A75857" w:rsidRPr="0054106D" w:rsidRDefault="00A75857" w:rsidP="00A75857">
            <w:pPr>
              <w:pStyle w:val="TabletextLeft"/>
              <w:rPr>
                <w:rFonts w:asciiTheme="minorHAnsi" w:hAnsiTheme="minorHAnsi"/>
              </w:rPr>
            </w:pPr>
            <w:r>
              <w:rPr>
                <w:rFonts w:asciiTheme="minorHAnsi" w:hAnsiTheme="minorHAnsi"/>
              </w:rPr>
              <w:t>McMahon (2002)</w:t>
            </w:r>
          </w:p>
        </w:tc>
        <w:tc>
          <w:tcPr>
            <w:tcW w:w="3685" w:type="dxa"/>
          </w:tcPr>
          <w:p w:rsidR="00A75857" w:rsidRPr="0054106D" w:rsidRDefault="00A75857" w:rsidP="00A75857">
            <w:pPr>
              <w:pStyle w:val="TabletextLeft"/>
              <w:rPr>
                <w:rFonts w:asciiTheme="minorHAnsi" w:hAnsiTheme="minorHAnsi"/>
              </w:rPr>
            </w:pPr>
            <w:r>
              <w:rPr>
                <w:rFonts w:asciiTheme="minorHAnsi" w:hAnsiTheme="minorHAnsi"/>
              </w:rPr>
              <w:t xml:space="preserve">Growth simulations (40 years) using a dynamic difference equation model.  </w:t>
            </w:r>
          </w:p>
        </w:tc>
        <w:tc>
          <w:tcPr>
            <w:tcW w:w="1516" w:type="dxa"/>
          </w:tcPr>
          <w:p w:rsidR="00A75857" w:rsidRPr="0054106D" w:rsidRDefault="00A75857" w:rsidP="00A75857">
            <w:pPr>
              <w:pStyle w:val="TabletextLeft"/>
              <w:jc w:val="center"/>
              <w:rPr>
                <w:rFonts w:asciiTheme="minorHAnsi" w:hAnsiTheme="minorHAnsi"/>
              </w:rPr>
            </w:pPr>
            <w:r>
              <w:rPr>
                <w:rFonts w:asciiTheme="minorHAnsi" w:hAnsiTheme="minorHAnsi"/>
              </w:rPr>
              <w:t>37%</w:t>
            </w:r>
          </w:p>
        </w:tc>
      </w:tr>
    </w:tbl>
    <w:p w:rsidR="00A75857" w:rsidRDefault="00A75857" w:rsidP="00A75857">
      <w:pPr>
        <w:pStyle w:val="Source"/>
      </w:pPr>
      <w:r>
        <w:t>Source: McMahon (2004)</w:t>
      </w:r>
    </w:p>
    <w:p w:rsidR="00A75857" w:rsidRDefault="00A75857" w:rsidP="00A75857">
      <w:pPr>
        <w:pStyle w:val="BodyText"/>
      </w:pPr>
      <w:r w:rsidRPr="009D02EC">
        <w:t>Incorporating the literature on non-market benefits, McMahon posits that non-market private benefits are equivalent to 80% of the value of social market returns. Furthermore, the ratio of public-private non-market returns is assumed to be in proportion to the public-private ratio of market returns (in this case, using the 37% low</w:t>
      </w:r>
      <w:r>
        <w:t xml:space="preserve">er bound result) – see </w:t>
      </w:r>
      <w:r>
        <w:fldChar w:fldCharType="begin"/>
      </w:r>
      <w:r>
        <w:instrText xml:space="preserve"> REF _Ref456695249 \r \h </w:instrText>
      </w:r>
      <w:r>
        <w:fldChar w:fldCharType="separate"/>
      </w:r>
      <w:r w:rsidR="00534F9F">
        <w:t>Table A.2</w:t>
      </w:r>
      <w:r>
        <w:fldChar w:fldCharType="end"/>
      </w:r>
      <w:r w:rsidRPr="009D02EC">
        <w:t>.</w:t>
      </w:r>
    </w:p>
    <w:p w:rsidR="00A75857" w:rsidRDefault="00A75857" w:rsidP="00A75857">
      <w:pPr>
        <w:pStyle w:val="AppendixTableCaption"/>
      </w:pPr>
      <w:bookmarkStart w:id="289" w:name="_Toc456686838"/>
      <w:bookmarkStart w:id="290" w:name="_Ref456695249"/>
      <w:bookmarkStart w:id="291" w:name="_Toc465961133"/>
      <w:r>
        <w:lastRenderedPageBreak/>
        <w:t>: Proportions and estimates of social returns to Higher Education</w:t>
      </w:r>
      <w:bookmarkEnd w:id="289"/>
      <w:r>
        <w:t xml:space="preserve"> (OECD)</w:t>
      </w:r>
      <w:bookmarkEnd w:id="290"/>
      <w:bookmarkEnd w:id="291"/>
    </w:p>
    <w:tbl>
      <w:tblPr>
        <w:tblStyle w:val="TableAE"/>
        <w:tblW w:w="0" w:type="auto"/>
        <w:tblLayout w:type="fixed"/>
        <w:tblLook w:val="04A0" w:firstRow="1" w:lastRow="0" w:firstColumn="1" w:lastColumn="0" w:noHBand="0" w:noVBand="1"/>
      </w:tblPr>
      <w:tblGrid>
        <w:gridCol w:w="1295"/>
        <w:gridCol w:w="2105"/>
        <w:gridCol w:w="1485"/>
        <w:gridCol w:w="2667"/>
        <w:gridCol w:w="1061"/>
      </w:tblGrid>
      <w:tr w:rsidR="00A75857" w:rsidTr="00A75857">
        <w:trPr>
          <w:cnfStyle w:val="100000000000" w:firstRow="1" w:lastRow="0" w:firstColumn="0" w:lastColumn="0" w:oddVBand="0" w:evenVBand="0" w:oddHBand="0" w:evenHBand="0" w:firstRowFirstColumn="0" w:firstRowLastColumn="0" w:lastRowFirstColumn="0" w:lastRowLastColumn="0"/>
        </w:trPr>
        <w:tc>
          <w:tcPr>
            <w:tcW w:w="1295" w:type="dxa"/>
          </w:tcPr>
          <w:p w:rsidR="00A75857" w:rsidRDefault="00A75857" w:rsidP="00A75857">
            <w:pPr>
              <w:pStyle w:val="TableHeadingCentre"/>
            </w:pPr>
          </w:p>
        </w:tc>
        <w:tc>
          <w:tcPr>
            <w:tcW w:w="2105" w:type="dxa"/>
          </w:tcPr>
          <w:p w:rsidR="00A75857" w:rsidRDefault="00A75857" w:rsidP="00A75857">
            <w:pPr>
              <w:pStyle w:val="TableHeadingCentre"/>
            </w:pPr>
            <w:r>
              <w:t>Social market returns (public and private)</w:t>
            </w:r>
          </w:p>
        </w:tc>
        <w:tc>
          <w:tcPr>
            <w:tcW w:w="1485" w:type="dxa"/>
          </w:tcPr>
          <w:p w:rsidR="00A75857" w:rsidRDefault="00A75857" w:rsidP="00A75857">
            <w:pPr>
              <w:pStyle w:val="TableHeadingCentre"/>
            </w:pPr>
            <w:r>
              <w:t>Non-market private returns</w:t>
            </w:r>
          </w:p>
        </w:tc>
        <w:tc>
          <w:tcPr>
            <w:tcW w:w="2667" w:type="dxa"/>
          </w:tcPr>
          <w:p w:rsidR="00A75857" w:rsidRDefault="00A75857" w:rsidP="00A75857">
            <w:pPr>
              <w:pStyle w:val="TableHeadingCentre"/>
            </w:pPr>
            <w:r>
              <w:t xml:space="preserve">Non-market public returns </w:t>
            </w:r>
          </w:p>
        </w:tc>
        <w:tc>
          <w:tcPr>
            <w:tcW w:w="1061" w:type="dxa"/>
          </w:tcPr>
          <w:p w:rsidR="00A75857" w:rsidRDefault="00A75857" w:rsidP="00A75857">
            <w:pPr>
              <w:pStyle w:val="TableHeadingCentre"/>
            </w:pPr>
            <w:r>
              <w:t>Total social returns</w:t>
            </w:r>
          </w:p>
        </w:tc>
      </w:tr>
      <w:tr w:rsidR="00A75857" w:rsidTr="00A75857">
        <w:tc>
          <w:tcPr>
            <w:tcW w:w="1295" w:type="dxa"/>
          </w:tcPr>
          <w:p w:rsidR="00A75857" w:rsidRDefault="00A75857" w:rsidP="00A75857">
            <w:pPr>
              <w:pStyle w:val="TabletextLeft"/>
            </w:pPr>
          </w:p>
        </w:tc>
        <w:tc>
          <w:tcPr>
            <w:tcW w:w="2105" w:type="dxa"/>
          </w:tcPr>
          <w:p w:rsidR="00A75857" w:rsidRDefault="00A75857" w:rsidP="00A75857">
            <w:pPr>
              <w:pStyle w:val="TabletextLeft"/>
            </w:pPr>
            <w:r>
              <w:t>Survey of literature from Psacharopoulos and Patrinos (2002)</w:t>
            </w:r>
          </w:p>
        </w:tc>
        <w:tc>
          <w:tcPr>
            <w:tcW w:w="1485" w:type="dxa"/>
          </w:tcPr>
          <w:p w:rsidR="00A75857" w:rsidRDefault="00A75857" w:rsidP="00A75857">
            <w:pPr>
              <w:pStyle w:val="TabletextLeft"/>
            </w:pPr>
            <w:r>
              <w:t>Assumed to equal 80% of market social returns</w:t>
            </w:r>
            <w:r>
              <w:rPr>
                <w:rStyle w:val="FootnoteReference"/>
              </w:rPr>
              <w:footnoteReference w:id="50"/>
            </w:r>
            <w:r>
              <w:t xml:space="preserve"> </w:t>
            </w:r>
          </w:p>
        </w:tc>
        <w:tc>
          <w:tcPr>
            <w:tcW w:w="2667" w:type="dxa"/>
          </w:tcPr>
          <w:p w:rsidR="00A75857" w:rsidRDefault="00A75857" w:rsidP="00A75857">
            <w:pPr>
              <w:pStyle w:val="TabletextLeft"/>
            </w:pPr>
            <w:r>
              <w:t xml:space="preserve">Assumed to be the same proportion of non-market private returns, as market public returns are of market private returns (37%). </w:t>
            </w:r>
          </w:p>
        </w:tc>
        <w:tc>
          <w:tcPr>
            <w:tcW w:w="1061" w:type="dxa"/>
          </w:tcPr>
          <w:p w:rsidR="00A75857" w:rsidRDefault="00A75857" w:rsidP="00A75857">
            <w:pPr>
              <w:pStyle w:val="TabletextLeft"/>
            </w:pPr>
            <w:r>
              <w:t>Sum of each return</w:t>
            </w:r>
          </w:p>
        </w:tc>
      </w:tr>
      <w:tr w:rsidR="00A75857" w:rsidTr="00A75857">
        <w:tc>
          <w:tcPr>
            <w:tcW w:w="1295" w:type="dxa"/>
          </w:tcPr>
          <w:p w:rsidR="00A75857" w:rsidRDefault="00A75857" w:rsidP="00A75857">
            <w:pPr>
              <w:pStyle w:val="TabletextLeft"/>
              <w:jc w:val="center"/>
            </w:pPr>
            <w:r>
              <w:t>Rate of return</w:t>
            </w:r>
          </w:p>
        </w:tc>
        <w:tc>
          <w:tcPr>
            <w:tcW w:w="2105" w:type="dxa"/>
            <w:vAlign w:val="center"/>
          </w:tcPr>
          <w:p w:rsidR="00A75857" w:rsidRDefault="00A75857" w:rsidP="00A75857">
            <w:pPr>
              <w:pStyle w:val="TabletextLeft"/>
              <w:jc w:val="center"/>
            </w:pPr>
            <w:r>
              <w:t>8.5%</w:t>
            </w:r>
          </w:p>
        </w:tc>
        <w:tc>
          <w:tcPr>
            <w:tcW w:w="1485" w:type="dxa"/>
            <w:vAlign w:val="center"/>
          </w:tcPr>
          <w:p w:rsidR="00A75857" w:rsidRDefault="00A75857" w:rsidP="00A75857">
            <w:pPr>
              <w:pStyle w:val="TabletextLeft"/>
              <w:jc w:val="center"/>
            </w:pPr>
            <w:r>
              <w:t>6.8%</w:t>
            </w:r>
          </w:p>
        </w:tc>
        <w:tc>
          <w:tcPr>
            <w:tcW w:w="2667" w:type="dxa"/>
            <w:vAlign w:val="center"/>
          </w:tcPr>
          <w:p w:rsidR="00A75857" w:rsidRDefault="00A75857" w:rsidP="00A75857">
            <w:pPr>
              <w:pStyle w:val="TabletextLeft"/>
              <w:jc w:val="center"/>
            </w:pPr>
            <w:r>
              <w:t>2.5%</w:t>
            </w:r>
          </w:p>
        </w:tc>
        <w:tc>
          <w:tcPr>
            <w:tcW w:w="1061" w:type="dxa"/>
            <w:vAlign w:val="center"/>
          </w:tcPr>
          <w:p w:rsidR="00A75857" w:rsidRDefault="00A75857" w:rsidP="00A75857">
            <w:pPr>
              <w:pStyle w:val="TabletextLeft"/>
              <w:jc w:val="center"/>
            </w:pPr>
            <w:r>
              <w:t>17.8%</w:t>
            </w:r>
          </w:p>
        </w:tc>
      </w:tr>
      <w:tr w:rsidR="00A75857" w:rsidTr="00A75857">
        <w:tc>
          <w:tcPr>
            <w:tcW w:w="1295" w:type="dxa"/>
          </w:tcPr>
          <w:p w:rsidR="00A75857" w:rsidRDefault="00A75857" w:rsidP="00A75857">
            <w:pPr>
              <w:pStyle w:val="TabletextLeft"/>
              <w:jc w:val="center"/>
            </w:pPr>
            <w:r>
              <w:t>Proportion of total return</w:t>
            </w:r>
          </w:p>
        </w:tc>
        <w:tc>
          <w:tcPr>
            <w:tcW w:w="2105" w:type="dxa"/>
            <w:vAlign w:val="center"/>
          </w:tcPr>
          <w:p w:rsidR="00A75857" w:rsidRDefault="00A75857" w:rsidP="00A75857">
            <w:pPr>
              <w:pStyle w:val="TabletextLeft"/>
              <w:jc w:val="center"/>
            </w:pPr>
            <w:r>
              <w:t>(48%)</w:t>
            </w:r>
          </w:p>
        </w:tc>
        <w:tc>
          <w:tcPr>
            <w:tcW w:w="1485" w:type="dxa"/>
            <w:vAlign w:val="center"/>
          </w:tcPr>
          <w:p w:rsidR="00A75857" w:rsidRDefault="00A75857" w:rsidP="00A75857">
            <w:pPr>
              <w:pStyle w:val="TabletextLeft"/>
              <w:jc w:val="center"/>
            </w:pPr>
            <w:r>
              <w:t>(38%)</w:t>
            </w:r>
          </w:p>
        </w:tc>
        <w:tc>
          <w:tcPr>
            <w:tcW w:w="2667" w:type="dxa"/>
            <w:vAlign w:val="center"/>
          </w:tcPr>
          <w:p w:rsidR="00A75857" w:rsidRDefault="00A75857" w:rsidP="00A75857">
            <w:pPr>
              <w:pStyle w:val="TabletextLeft"/>
              <w:jc w:val="center"/>
            </w:pPr>
            <w:r>
              <w:t>(14%)</w:t>
            </w:r>
          </w:p>
        </w:tc>
        <w:tc>
          <w:tcPr>
            <w:tcW w:w="1061" w:type="dxa"/>
            <w:vAlign w:val="center"/>
          </w:tcPr>
          <w:p w:rsidR="00A75857" w:rsidRDefault="00A75857" w:rsidP="00A75857">
            <w:pPr>
              <w:pStyle w:val="TabletextLeft"/>
              <w:jc w:val="center"/>
            </w:pPr>
            <w:r>
              <w:t>(100%)</w:t>
            </w:r>
          </w:p>
        </w:tc>
      </w:tr>
    </w:tbl>
    <w:p w:rsidR="00A75857" w:rsidRDefault="00A75857" w:rsidP="00A75857">
      <w:pPr>
        <w:pStyle w:val="Source"/>
        <w:spacing w:after="0"/>
      </w:pPr>
      <w:r>
        <w:t>Source: McMahon (2004)</w:t>
      </w:r>
    </w:p>
    <w:p w:rsidR="00A75857" w:rsidRDefault="00A75857" w:rsidP="00A75857">
      <w:pPr>
        <w:pStyle w:val="Source"/>
      </w:pPr>
      <w:r>
        <w:t xml:space="preserve">Note: In comparing rates of return in this way it is necessary to assume that the base upon which rates of return are calculated (i.e. the cost of education/the level of investment) is the same across all benefit types. If this assumption does not hold then these comparisons are not correct – see footnote 20 and the discussion on pages 28-29 in </w:t>
      </w:r>
      <w:r w:rsidR="00356108">
        <w:t>Section</w:t>
      </w:r>
      <w:r>
        <w:t xml:space="preserve"> 2 of this report.</w:t>
      </w:r>
    </w:p>
    <w:p w:rsidR="00A75857" w:rsidRDefault="00A75857" w:rsidP="00A75857">
      <w:pPr>
        <w:pStyle w:val="BodyText"/>
      </w:pPr>
      <w:r>
        <w:t xml:space="preserve">As part of a funding review for higher education in Australia, Chapman and Lounkaew (2011; 2015) use HILDA data from 2008 to estimate the value of total externalities between approximately $10,600 and $16,000 (in 2014 terms) for an additional year of higher education. </w:t>
      </w:r>
    </w:p>
    <w:p w:rsidR="00A75857" w:rsidRDefault="00A75857" w:rsidP="00A75857">
      <w:pPr>
        <w:pStyle w:val="BodyText"/>
      </w:pPr>
      <w:r>
        <w:t>Following a survey of the literature, the authors propose to use a range of 40% to 60% for the proportion of observed wage premiums to be attributable to human capital theory, compared to signalling theory (Barrett, 2012; Herault and Zakirova, 2011).</w:t>
      </w:r>
      <w:r>
        <w:rPr>
          <w:rStyle w:val="FootnoteReference"/>
        </w:rPr>
        <w:footnoteReference w:id="51"/>
      </w:r>
      <w:r>
        <w:t xml:space="preserve"> Additionally, the authors assume a 10% ability or motivation bias for graduate students, however it is unclear where they determine this figure or how it is implemented in their calculations. </w:t>
      </w:r>
    </w:p>
    <w:p w:rsidR="00A75857" w:rsidRDefault="00A75857" w:rsidP="00A75857">
      <w:pPr>
        <w:pStyle w:val="BodyText"/>
      </w:pPr>
      <w:r>
        <w:t xml:space="preserve">Using the results from McMahon (2004), the authors assume that the value of non-market public benefits is proportional to 30% of the market social (public and private) returns. This ratio is derived from the market social rate of return (8.5%) and non-market public benefits (2.5%), assuming that the relative ratio (2.5/8.5 ≈ 30%) is constant – see </w:t>
      </w:r>
      <w:r>
        <w:fldChar w:fldCharType="begin"/>
      </w:r>
      <w:r>
        <w:instrText xml:space="preserve"> REF _Ref456695249 \r \h </w:instrText>
      </w:r>
      <w:r>
        <w:fldChar w:fldCharType="separate"/>
      </w:r>
      <w:r w:rsidR="00534F9F">
        <w:t>Table A.2</w:t>
      </w:r>
      <w:r>
        <w:fldChar w:fldCharType="end"/>
      </w:r>
      <w:r>
        <w:t xml:space="preserve"> and </w:t>
      </w:r>
      <w:r>
        <w:fldChar w:fldCharType="begin"/>
      </w:r>
      <w:r>
        <w:instrText xml:space="preserve"> REF _Ref456698088 \r \h </w:instrText>
      </w:r>
      <w:r>
        <w:fldChar w:fldCharType="separate"/>
      </w:r>
      <w:r w:rsidR="00534F9F">
        <w:t>Figure A.1</w:t>
      </w:r>
      <w:r>
        <w:fldChar w:fldCharType="end"/>
      </w:r>
      <w:r>
        <w:t xml:space="preserve">. The limitations of these assumptions are discussed in Section </w:t>
      </w:r>
      <w:r>
        <w:fldChar w:fldCharType="begin"/>
      </w:r>
      <w:r>
        <w:instrText xml:space="preserve"> REF _Ref459113870 \r \h </w:instrText>
      </w:r>
      <w:r>
        <w:fldChar w:fldCharType="separate"/>
      </w:r>
      <w:r w:rsidR="00534F9F">
        <w:t>2.2.2</w:t>
      </w:r>
      <w:r>
        <w:fldChar w:fldCharType="end"/>
      </w:r>
      <w:r>
        <w:t xml:space="preserve"> of this report.</w:t>
      </w:r>
    </w:p>
    <w:p w:rsidR="00A75857" w:rsidRDefault="00A75857" w:rsidP="00A75857">
      <w:pPr>
        <w:pStyle w:val="BodyText"/>
      </w:pPr>
      <w:r>
        <w:t xml:space="preserve">Chapman and Lounkaew recognise that their results are “uncomfortably aggregate”, noting that the literature to date has yet to attempt to rigorously partition similar results by field of education, or otherwise. </w:t>
      </w:r>
    </w:p>
    <w:p w:rsidR="00A75857" w:rsidRDefault="00A75857" w:rsidP="00A75857">
      <w:pPr>
        <w:pStyle w:val="AppendixFigureCaption"/>
      </w:pPr>
      <w:bookmarkStart w:id="292" w:name="_Toc456686842"/>
      <w:bookmarkStart w:id="293" w:name="_Ref456698088"/>
      <w:bookmarkStart w:id="294" w:name="_Toc465961118"/>
      <w:r>
        <w:lastRenderedPageBreak/>
        <w:t>: Illustration of the public-private benefits estimation by Chapman and Lounkaew (2011; 2015)</w:t>
      </w:r>
      <w:bookmarkEnd w:id="292"/>
      <w:bookmarkEnd w:id="293"/>
      <w:bookmarkEnd w:id="294"/>
    </w:p>
    <w:p w:rsidR="00A75857" w:rsidRDefault="00A75857" w:rsidP="00A75857">
      <w:pPr>
        <w:pStyle w:val="BodyText"/>
        <w:ind w:left="-567"/>
        <w:jc w:val="center"/>
      </w:pPr>
      <w:r>
        <w:rPr>
          <w:noProof/>
          <w:lang w:eastAsia="en-AU"/>
        </w:rPr>
        <w:drawing>
          <wp:inline distT="0" distB="0" distL="0" distR="0" wp14:anchorId="772E9567" wp14:editId="512684A2">
            <wp:extent cx="5411542" cy="463246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12576" cy="4633347"/>
                    </a:xfrm>
                    <a:prstGeom prst="rect">
                      <a:avLst/>
                    </a:prstGeom>
                    <a:noFill/>
                  </pic:spPr>
                </pic:pic>
              </a:graphicData>
            </a:graphic>
          </wp:inline>
        </w:drawing>
      </w:r>
    </w:p>
    <w:p w:rsidR="00A75857" w:rsidRDefault="00A75857" w:rsidP="00A75857">
      <w:pPr>
        <w:pStyle w:val="Source"/>
        <w:jc w:val="both"/>
      </w:pPr>
      <w:r>
        <w:t xml:space="preserve">Source: Deloitte Access Economics illustration of Chapman and Lounkaew (2011; 2015). The use of the ability bias term is unclear. Specifically, it is not clear whether the ability bias is considered as a subset of the proportion of earnings attributed to screening theory, or in addition to. The above schematic assumes that ability bias is considered separate to screening theory, as the authors do not explicitly refer to ability bias in their discussion of screening. This representation uses the lower bounds of the human capital allocation (40%), compared to the upper bound (60%). The authors do not estimate non-market private benefits; this calculation is adapted from McMahon (2004).   </w:t>
      </w:r>
    </w:p>
    <w:p w:rsidR="00A75857" w:rsidRPr="00196CCA" w:rsidRDefault="00A75857" w:rsidP="00A75857">
      <w:pPr>
        <w:pStyle w:val="HeadingC"/>
      </w:pPr>
      <w:r>
        <w:t xml:space="preserve">Public-private benefits by provider type </w:t>
      </w:r>
    </w:p>
    <w:p w:rsidR="00A75857" w:rsidRDefault="00A75857" w:rsidP="00A75857">
      <w:pPr>
        <w:pStyle w:val="BodyText"/>
      </w:pPr>
      <w:r>
        <w:t>Deloitte Access Economics (2014) investigated the extent to which the ratio of private to public benefits from higher education provided by non-university higher education providers (NUHEPs) might be expected to systematically vary from university providers. In this research it was determined that variations in the quality of institutions’ higher education degree programs (measured in terms of student’s private market outcomes) should not be directly used as a basis upon which to determine the contributions made by government and students in the context of relative private and public benefits.</w:t>
      </w:r>
    </w:p>
    <w:p w:rsidR="00A75857" w:rsidRDefault="00A75857" w:rsidP="00A75857">
      <w:pPr>
        <w:pStyle w:val="BodyText"/>
      </w:pPr>
      <w:r>
        <w:t xml:space="preserve">This study highlighted the fact </w:t>
      </w:r>
      <w:r w:rsidRPr="0070777B">
        <w:t xml:space="preserve">CSP places </w:t>
      </w:r>
      <w:r>
        <w:t>are</w:t>
      </w:r>
      <w:r w:rsidRPr="0070777B">
        <w:t xml:space="preserve"> </w:t>
      </w:r>
      <w:r>
        <w:t>not</w:t>
      </w:r>
      <w:r w:rsidRPr="0070777B">
        <w:t xml:space="preserve"> predicated on differing</w:t>
      </w:r>
      <w:r>
        <w:t xml:space="preserve"> course</w:t>
      </w:r>
      <w:r w:rsidRPr="0070777B">
        <w:t xml:space="preserve"> quality, and must be applied consistently across provi</w:t>
      </w:r>
      <w:r>
        <w:t xml:space="preserve">ders that offer ‘like’ programs that meet a certain quality standard (set out in the Threshold Standards defined in the TEQSA Act 2011, </w:t>
      </w:r>
      <w:r>
        <w:lastRenderedPageBreak/>
        <w:t>Australian Qualification Framework, and other legislation and regulation) with an associate estimated efficient average cost of delivery (for a given level of quality).</w:t>
      </w:r>
      <w:r>
        <w:rPr>
          <w:rStyle w:val="FootnoteReference"/>
        </w:rPr>
        <w:footnoteReference w:id="52"/>
      </w:r>
      <w:r>
        <w:t xml:space="preserve"> This is consistent with the principle established by Kemp and Norton (2014) that all higher education providers should have access to Commonwealth S</w:t>
      </w:r>
      <w:r w:rsidRPr="0070777B">
        <w:t xml:space="preserve">upported </w:t>
      </w:r>
      <w:r>
        <w:t>P</w:t>
      </w:r>
      <w:r w:rsidRPr="0070777B">
        <w:t>laces</w:t>
      </w:r>
      <w:r>
        <w:t xml:space="preserve"> (CSPs)</w:t>
      </w:r>
      <w:r w:rsidRPr="0070777B">
        <w:t xml:space="preserve"> on the same basis</w:t>
      </w:r>
      <w:r>
        <w:t>.</w:t>
      </w:r>
    </w:p>
    <w:p w:rsidR="00A75857" w:rsidRPr="006A6E51" w:rsidRDefault="00A75857" w:rsidP="00A75857">
      <w:pPr>
        <w:pStyle w:val="Default"/>
        <w:autoSpaceDE/>
        <w:autoSpaceDN/>
        <w:adjustRightInd/>
        <w:spacing w:before="240"/>
        <w:jc w:val="both"/>
        <w:rPr>
          <w:rFonts w:cs="Times New Roman"/>
          <w:color w:val="auto"/>
          <w:sz w:val="22"/>
          <w:szCs w:val="22"/>
          <w:lang w:eastAsia="en-US"/>
        </w:rPr>
      </w:pPr>
      <w:r w:rsidRPr="006A6E51">
        <w:rPr>
          <w:sz w:val="22"/>
          <w:szCs w:val="22"/>
        </w:rPr>
        <w:t>For a given level of quality in the provision of teaching and learning (i.e. higher education programs) factors that may influence the private to public benefits from higher education at different providers relate to the specific nature of the institution, its activities and operations. For example, NUHEPs notably have no obligation to undertake research and development activities when compared to universities; and rurally located university campuses have a particular social-mission to serve the needs of a particular community when compared to metropolitan-based universities</w:t>
      </w:r>
      <w:r>
        <w:rPr>
          <w:sz w:val="22"/>
          <w:szCs w:val="22"/>
        </w:rPr>
        <w:t xml:space="preserve"> (Deloitte Access Economics, 2014)</w:t>
      </w:r>
      <w:r w:rsidRPr="006A6E51">
        <w:rPr>
          <w:sz w:val="22"/>
          <w:szCs w:val="22"/>
        </w:rPr>
        <w:t>.</w:t>
      </w:r>
    </w:p>
    <w:p w:rsidR="00A75857" w:rsidRDefault="00A75857" w:rsidP="00A75857">
      <w:pPr>
        <w:pStyle w:val="Default"/>
        <w:spacing w:before="240"/>
        <w:jc w:val="both"/>
        <w:rPr>
          <w:sz w:val="22"/>
          <w:szCs w:val="22"/>
        </w:rPr>
      </w:pPr>
      <w:r>
        <w:rPr>
          <w:sz w:val="22"/>
          <w:szCs w:val="22"/>
        </w:rPr>
        <w:t xml:space="preserve">Noting this, </w:t>
      </w:r>
      <w:r w:rsidRPr="006A6E51">
        <w:rPr>
          <w:sz w:val="22"/>
          <w:szCs w:val="22"/>
        </w:rPr>
        <w:t>it is possible that a university is able to deliver teaching and learning in such a way that it is uninhibited by or unrelated to any of the research or other obligations it produces, and that does not materially sacrifice the production of such obligations insofar as to compromise the institution’s ability to function as a ‘university’ (Loyd et al 1993; Johnes, 1997; Izadi et al, 2002; Johnes and Johnes, 2006). In other words, the institution of a university (and the value it provides to society), does not necessarily need to be structured such that the inputs used in the production of teaching and learning and research are shared in the way they currently are</w:t>
      </w:r>
      <w:r>
        <w:rPr>
          <w:sz w:val="22"/>
          <w:szCs w:val="22"/>
        </w:rPr>
        <w:t xml:space="preserve"> (Deloitte Access Economics, 2014)</w:t>
      </w:r>
      <w:r w:rsidRPr="006A6E51">
        <w:rPr>
          <w:sz w:val="22"/>
          <w:szCs w:val="22"/>
        </w:rPr>
        <w:t xml:space="preserve">. </w:t>
      </w:r>
    </w:p>
    <w:p w:rsidR="00A75857" w:rsidRDefault="00A75857" w:rsidP="00A75857">
      <w:pPr>
        <w:pStyle w:val="BodyText"/>
      </w:pPr>
      <w:r>
        <w:t xml:space="preserve">This can be seen by the fact that, </w:t>
      </w:r>
      <w:r w:rsidR="00D53200">
        <w:t>internationally</w:t>
      </w:r>
      <w:r>
        <w:t xml:space="preserve">, teaching only institutions are known to produce teaching and learning of the same quality as public universities, and research only institutions can be shown to produce research of a public university standard, and these institutions exist in isolation and may not </w:t>
      </w:r>
      <w:r>
        <w:rPr>
          <w:i/>
          <w:iCs/>
        </w:rPr>
        <w:t xml:space="preserve">necessarily </w:t>
      </w:r>
      <w:r>
        <w:t xml:space="preserve">be dependent on the institutional structure of a university to achieve relative cost efficiencies and competitiveness (Bonaccorsi et al., 2014; Cohn and Cooper, 2007; Johnes, 1997; Loyd et al 1993; Izadi et al., 2002). </w:t>
      </w:r>
    </w:p>
    <w:p w:rsidR="00A75857" w:rsidRDefault="00A75857" w:rsidP="00A75857">
      <w:pPr>
        <w:pStyle w:val="BodyText"/>
        <w:rPr>
          <w:szCs w:val="22"/>
        </w:rPr>
      </w:pPr>
      <w:r>
        <w:rPr>
          <w:szCs w:val="22"/>
        </w:rPr>
        <w:t xml:space="preserve">As a result, Deloitte Access Economics (2014) notes that if government CSP funding (i.e. the public contribution) is </w:t>
      </w:r>
      <w:r w:rsidRPr="006A6E51">
        <w:rPr>
          <w:i/>
          <w:szCs w:val="22"/>
        </w:rPr>
        <w:t>intended</w:t>
      </w:r>
      <w:r>
        <w:rPr>
          <w:szCs w:val="22"/>
        </w:rPr>
        <w:t xml:space="preserve"> only to support the efficient production of teaching and learning on a ‘like’ basis then, in principle, there is no reason to support that the split of public/private benefits of a degree from a given provider (e.g. universities) differ to that of a degree from another (e.g. NUHEPs). However, if CSP funding is intended to support other activities of the university (including research or community-service objectives associated with regionally located providers), then the public benefit accrued from the contribution of a CSP dollar at some providers will differ from others.</w:t>
      </w:r>
    </w:p>
    <w:p w:rsidR="00A75857" w:rsidRDefault="00A75857" w:rsidP="00A75857">
      <w:pPr>
        <w:pStyle w:val="BodyText"/>
      </w:pPr>
      <w:r>
        <w:t xml:space="preserve">Importantly though, this difference in public benefits does not </w:t>
      </w:r>
      <w:r>
        <w:rPr>
          <w:i/>
        </w:rPr>
        <w:t>per se</w:t>
      </w:r>
      <w:r>
        <w:t xml:space="preserve"> reflect a difference in the ratio of private to public benefits from </w:t>
      </w:r>
      <w:r>
        <w:rPr>
          <w:i/>
        </w:rPr>
        <w:t>higher education attainment in general</w:t>
      </w:r>
      <w:r>
        <w:t xml:space="preserve">, but rather the other activities or services that are specific to any given provider (Deloitte Access Economics, 2014).  Such a variation in benefits is therefore more </w:t>
      </w:r>
      <w:r w:rsidR="00D53200">
        <w:t>appropriately</w:t>
      </w:r>
      <w:r>
        <w:t xml:space="preserve"> captured in the </w:t>
      </w:r>
      <w:r w:rsidRPr="006A6E51">
        <w:rPr>
          <w:i/>
        </w:rPr>
        <w:t>efficient cost</w:t>
      </w:r>
      <w:r>
        <w:rPr>
          <w:i/>
        </w:rPr>
        <w:t xml:space="preserve"> </w:t>
      </w:r>
      <w:r w:rsidRPr="006A6E51">
        <w:t>measure</w:t>
      </w:r>
      <w:r>
        <w:t xml:space="preserve"> of the specific activities that government funding and student contributions are intended to support, which is a separate research question to the appropriate apportionment of contribution towards the efficient cost of ‘like’ teaching and learning programs – the focus of this study’s research.</w:t>
      </w:r>
    </w:p>
    <w:p w:rsidR="00A75857" w:rsidRDefault="00A75857" w:rsidP="00A75857">
      <w:pPr>
        <w:pStyle w:val="BodyText"/>
      </w:pPr>
      <w:r>
        <w:lastRenderedPageBreak/>
        <w:t>Recognising this point, and following consultations with providers, Deloitte Access Economics estimates the efficient cost of bachelor degrees for NUHEPs (for ‘like’ programs) to be within 70-100% of the cost for university providers. If a 25% cross-subsidy to university research is assumed to be intended by government contributions towards student places at universities, such that NUHEPs do not additionally create new research and knowledge – a public benefit – then a funding band for NUHEPS</w:t>
      </w:r>
      <w:r w:rsidR="00A601B6">
        <w:t>, equivalent to 42-60% of university funding rates</w:t>
      </w:r>
      <w:r>
        <w:t xml:space="preserve"> is estimated. </w:t>
      </w:r>
    </w:p>
    <w:p w:rsidR="00A75857" w:rsidRDefault="00A75857" w:rsidP="00A75857">
      <w:pPr>
        <w:pStyle w:val="BodyText"/>
      </w:pPr>
      <w:r>
        <w:t xml:space="preserve">It should be noted in this context that while the total contribution towards NUHEP programs may be expected to differ to universities on this basis, the share of the private and public contribution towards efficient cost (controlling for support used to fund research) </w:t>
      </w:r>
      <w:r>
        <w:rPr>
          <w:rStyle w:val="Boldword"/>
          <w:b w:val="0"/>
          <w:color w:val="auto"/>
        </w:rPr>
        <w:t>would not be expected to vary—in accordance with the principles set out above</w:t>
      </w:r>
      <w:r>
        <w:t>. An analogous conclusion may be drawn for distinctions between other types of providers (e.g. regional vs. metro providers), who are funded for activities and services that are extraneous to the ‘like’ basis upon which they are provided CSP funding towards higher education programs.</w:t>
      </w:r>
    </w:p>
    <w:p w:rsidR="00A75857" w:rsidRPr="00A75857" w:rsidRDefault="00A75857" w:rsidP="00250AFC"/>
    <w:p w:rsidR="00B72383" w:rsidRDefault="00B72383" w:rsidP="0002225C">
      <w:pPr>
        <w:pStyle w:val="Appendix"/>
        <w:sectPr w:rsidR="00B72383" w:rsidSect="009E2AF8">
          <w:headerReference w:type="default" r:id="rId49"/>
          <w:headerReference w:type="first" r:id="rId50"/>
          <w:footerReference w:type="first" r:id="rId51"/>
          <w:pgSz w:w="11907" w:h="16840" w:code="9"/>
          <w:pgMar w:top="2268" w:right="1134" w:bottom="1134" w:left="2552" w:header="567" w:footer="567" w:gutter="0"/>
          <w:pgNumType w:start="1"/>
          <w:cols w:space="708"/>
          <w:titlePg/>
          <w:docGrid w:linePitch="360"/>
        </w:sectPr>
      </w:pPr>
    </w:p>
    <w:p w:rsidR="0002225C" w:rsidRDefault="0002225C" w:rsidP="009C0EF1">
      <w:pPr>
        <w:pStyle w:val="Appendix"/>
        <w:ind w:left="0"/>
      </w:pPr>
      <w:bookmarkStart w:id="295" w:name="_Toc465961219"/>
      <w:r>
        <w:lastRenderedPageBreak/>
        <w:t xml:space="preserve">: </w:t>
      </w:r>
      <w:r w:rsidR="004E0F35">
        <w:t>Econometric analysis</w:t>
      </w:r>
      <w:bookmarkEnd w:id="295"/>
    </w:p>
    <w:p w:rsidR="003F6155" w:rsidRDefault="00010661" w:rsidP="00E629D6">
      <w:pPr>
        <w:pStyle w:val="BodyText"/>
      </w:pPr>
      <w:bookmarkStart w:id="296" w:name="_Toc457412202"/>
      <w:bookmarkStart w:id="297" w:name="_Toc460580298"/>
      <w:r>
        <w:t>This appendix provides further detail on the empirical approach</w:t>
      </w:r>
      <w:r w:rsidR="00CB710D">
        <w:t>es, data transformations,</w:t>
      </w:r>
      <w:r>
        <w:t xml:space="preserve"> and intermediate findings of </w:t>
      </w:r>
      <w:r w:rsidR="00CB710D">
        <w:t>the econometric analysis undertaken in this study.</w:t>
      </w:r>
      <w:bookmarkEnd w:id="296"/>
      <w:bookmarkEnd w:id="297"/>
    </w:p>
    <w:p w:rsidR="00E629D6" w:rsidRPr="00E629D6" w:rsidRDefault="00E629D6" w:rsidP="00E629D6">
      <w:pPr>
        <w:pStyle w:val="BodyText"/>
        <w:rPr>
          <w:b/>
          <w:sz w:val="32"/>
          <w:szCs w:val="32"/>
        </w:rPr>
      </w:pPr>
      <w:r w:rsidRPr="00E629D6">
        <w:rPr>
          <w:b/>
          <w:color w:val="002776" w:themeColor="accent1"/>
          <w:sz w:val="32"/>
          <w:szCs w:val="32"/>
        </w:rPr>
        <w:t>Data cleaning and preparation</w:t>
      </w:r>
    </w:p>
    <w:p w:rsidR="003F6155" w:rsidRDefault="003F6155" w:rsidP="003F6155">
      <w:pPr>
        <w:pStyle w:val="HeadingB"/>
      </w:pPr>
      <w:r>
        <w:t>Key variables of interest</w:t>
      </w:r>
    </w:p>
    <w:p w:rsidR="003F6155" w:rsidRDefault="003F6155" w:rsidP="003F6155">
      <w:pPr>
        <w:pStyle w:val="BodyText"/>
      </w:pPr>
      <w:r>
        <w:t xml:space="preserve">The key variables of interest for </w:t>
      </w:r>
      <w:r w:rsidR="00010661">
        <w:t xml:space="preserve">the core </w:t>
      </w:r>
      <w:r>
        <w:t xml:space="preserve">econometric analysis </w:t>
      </w:r>
      <w:r w:rsidR="00010661">
        <w:t>we</w:t>
      </w:r>
      <w:r>
        <w:t xml:space="preserve">re: </w:t>
      </w:r>
    </w:p>
    <w:p w:rsidR="00010661" w:rsidRDefault="00010661" w:rsidP="00010661">
      <w:pPr>
        <w:pStyle w:val="Bullet1"/>
        <w:ind w:left="567" w:hanging="567"/>
      </w:pPr>
      <w:r w:rsidRPr="001E1063">
        <w:rPr>
          <w:b/>
        </w:rPr>
        <w:t>real weekly wages</w:t>
      </w:r>
      <w:r>
        <w:t xml:space="preserve"> (earnings model);</w:t>
      </w:r>
    </w:p>
    <w:p w:rsidR="00010661" w:rsidRDefault="00010661" w:rsidP="00DA4CA5">
      <w:pPr>
        <w:pStyle w:val="Bullet1"/>
        <w:ind w:left="567" w:hanging="567"/>
      </w:pPr>
      <w:r w:rsidRPr="001E1063">
        <w:rPr>
          <w:b/>
        </w:rPr>
        <w:t>labour force status</w:t>
      </w:r>
      <w:r>
        <w:t xml:space="preserve"> (employment model);</w:t>
      </w:r>
    </w:p>
    <w:p w:rsidR="00010661" w:rsidRDefault="003F6155" w:rsidP="00EA47CF">
      <w:pPr>
        <w:pStyle w:val="Bullet1"/>
        <w:ind w:left="567" w:hanging="567"/>
      </w:pPr>
      <w:r w:rsidRPr="00DA4CA5">
        <w:rPr>
          <w:b/>
        </w:rPr>
        <w:t>education variables</w:t>
      </w:r>
      <w:r w:rsidR="00BD0CA3">
        <w:t xml:space="preserve"> – including </w:t>
      </w:r>
      <w:r>
        <w:t>qualification level</w:t>
      </w:r>
      <w:r w:rsidR="00BD0CA3">
        <w:t xml:space="preserve">, </w:t>
      </w:r>
      <w:r>
        <w:t>field of education; and provider type</w:t>
      </w:r>
      <w:r w:rsidR="00010661" w:rsidRPr="00DA4CA5">
        <w:t>;</w:t>
      </w:r>
    </w:p>
    <w:p w:rsidR="00010661" w:rsidRPr="00565A1A" w:rsidRDefault="003F6155" w:rsidP="00DA4CA5">
      <w:pPr>
        <w:pStyle w:val="Bullet1"/>
        <w:ind w:left="567" w:hanging="567"/>
      </w:pPr>
      <w:r w:rsidRPr="00DA4CA5">
        <w:rPr>
          <w:b/>
        </w:rPr>
        <w:t>controls for demographic characteristics</w:t>
      </w:r>
      <w:r w:rsidR="00BD0CA3">
        <w:t xml:space="preserve"> – including </w:t>
      </w:r>
      <w:r>
        <w:t>age</w:t>
      </w:r>
      <w:r w:rsidR="00BD0CA3">
        <w:t xml:space="preserve">, </w:t>
      </w:r>
      <w:r>
        <w:t>gender</w:t>
      </w:r>
      <w:r w:rsidR="00BD0CA3">
        <w:t xml:space="preserve">, </w:t>
      </w:r>
      <w:r>
        <w:t>born in Australia</w:t>
      </w:r>
      <w:r w:rsidR="00BD0CA3">
        <w:t>,  i</w:t>
      </w:r>
      <w:r>
        <w:t>ndigenous status</w:t>
      </w:r>
      <w:r w:rsidR="00BD0CA3">
        <w:t xml:space="preserve">, </w:t>
      </w:r>
      <w:r>
        <w:t>State of residence</w:t>
      </w:r>
      <w:r w:rsidR="00BD0CA3">
        <w:t xml:space="preserve">, </w:t>
      </w:r>
      <w:r>
        <w:t>ABS Remoteness Area</w:t>
      </w:r>
      <w:r w:rsidR="00BD0CA3">
        <w:t xml:space="preserve">, </w:t>
      </w:r>
      <w:r>
        <w:t>disability</w:t>
      </w:r>
      <w:r w:rsidR="00BD0CA3">
        <w:t xml:space="preserve">, </w:t>
      </w:r>
      <w:r>
        <w:t>English language proficiency</w:t>
      </w:r>
      <w:r w:rsidR="00BD0CA3">
        <w:t xml:space="preserve">, </w:t>
      </w:r>
      <w:r>
        <w:t>hours worked</w:t>
      </w:r>
      <w:r w:rsidR="002C1F18">
        <w:t xml:space="preserve"> (earnings model)</w:t>
      </w:r>
      <w:r w:rsidR="00010661">
        <w:t>,</w:t>
      </w:r>
      <w:r>
        <w:t xml:space="preserve"> employment status </w:t>
      </w:r>
      <w:r w:rsidR="00BD0CA3">
        <w:t>(</w:t>
      </w:r>
      <w:r>
        <w:t>employment</w:t>
      </w:r>
      <w:r w:rsidR="00BD0CA3">
        <w:t xml:space="preserve"> </w:t>
      </w:r>
      <w:r>
        <w:t>model)</w:t>
      </w:r>
      <w:r w:rsidR="00010661">
        <w:t>,</w:t>
      </w:r>
      <w:r w:rsidR="00BD0CA3">
        <w:t xml:space="preserve"> </w:t>
      </w:r>
      <w:r w:rsidRPr="00565A1A">
        <w:t>family type (employment</w:t>
      </w:r>
      <w:r w:rsidR="00BD0CA3">
        <w:t xml:space="preserve"> model</w:t>
      </w:r>
      <w:r w:rsidRPr="00565A1A">
        <w:t>)</w:t>
      </w:r>
      <w:r w:rsidR="00010661">
        <w:t>,</w:t>
      </w:r>
      <w:r w:rsidRPr="00565A1A">
        <w:t xml:space="preserve"> and age of youngest child (employment model)</w:t>
      </w:r>
      <w:r w:rsidR="00010661">
        <w:t>; and</w:t>
      </w:r>
      <w:r w:rsidRPr="00565A1A">
        <w:t xml:space="preserve"> </w:t>
      </w:r>
    </w:p>
    <w:p w:rsidR="003F6155" w:rsidRDefault="003F6155" w:rsidP="00DA4CA5">
      <w:pPr>
        <w:pStyle w:val="Bullet1"/>
        <w:ind w:left="567" w:hanging="567"/>
      </w:pPr>
      <w:r w:rsidRPr="00DA4CA5">
        <w:rPr>
          <w:b/>
        </w:rPr>
        <w:t>controls for cognitive ability</w:t>
      </w:r>
      <w:r>
        <w:t xml:space="preserve"> (tested in Wave 12 of the HILDA survey) </w:t>
      </w:r>
      <w:r w:rsidR="00010661">
        <w:t xml:space="preserve"> - including B</w:t>
      </w:r>
      <w:r>
        <w:t>ackward Digits Span (BDS)</w:t>
      </w:r>
      <w:r w:rsidR="00010661">
        <w:t xml:space="preserve">, </w:t>
      </w:r>
      <w:r>
        <w:t>Symbol Digits Modalities (SDM)</w:t>
      </w:r>
      <w:r w:rsidR="00010661">
        <w:t xml:space="preserve">, </w:t>
      </w:r>
      <w:r>
        <w:t>and</w:t>
      </w:r>
      <w:r w:rsidR="00010661">
        <w:t xml:space="preserve"> </w:t>
      </w:r>
      <w:r>
        <w:t>a shortened (25-item) version of the National Adult Reading Test (NART-25).</w:t>
      </w:r>
    </w:p>
    <w:p w:rsidR="003F6155" w:rsidRDefault="00010661" w:rsidP="00DA4CA5">
      <w:pPr>
        <w:pStyle w:val="BodyText"/>
      </w:pPr>
      <w:r>
        <w:t>Beyond the core analysis of qualification effects, econometric techniques were used to assess l</w:t>
      </w:r>
      <w:r w:rsidRPr="00010661">
        <w:t>abour market spillovers for those with and without higher education</w:t>
      </w:r>
      <w:r>
        <w:t>.</w:t>
      </w:r>
      <w:r w:rsidRPr="00010661">
        <w:t xml:space="preserve"> </w:t>
      </w:r>
      <w:r w:rsidR="00CB710D">
        <w:t>Beyond</w:t>
      </w:r>
      <w:r>
        <w:t xml:space="preserve"> those set out above, t</w:t>
      </w:r>
      <w:r w:rsidR="003F6155">
        <w:t>he key variables of interest were l</w:t>
      </w:r>
      <w:r w:rsidR="003F6155" w:rsidRPr="005E50A2">
        <w:t>abour</w:t>
      </w:r>
      <w:r w:rsidR="003F6155">
        <w:t xml:space="preserve"> market and region</w:t>
      </w:r>
      <w:r>
        <w:t>-</w:t>
      </w:r>
      <w:r w:rsidR="003F6155">
        <w:t>specific control variables, defined at a State by Remoteness Area level;</w:t>
      </w:r>
    </w:p>
    <w:p w:rsidR="003F6155" w:rsidRDefault="003F6155" w:rsidP="00DA4CA5">
      <w:pPr>
        <w:pStyle w:val="Bullet1"/>
      </w:pPr>
      <w:r>
        <w:t>the weighted proportion of individuals with a higher education qualification (bachelor degree or higher);</w:t>
      </w:r>
    </w:p>
    <w:p w:rsidR="003F6155" w:rsidRDefault="00010661" w:rsidP="00DA4CA5">
      <w:pPr>
        <w:pStyle w:val="Bullet1"/>
      </w:pPr>
      <w:r>
        <w:t xml:space="preserve">regional </w:t>
      </w:r>
      <w:r w:rsidR="003F6155">
        <w:t xml:space="preserve">unemployment rate; and </w:t>
      </w:r>
    </w:p>
    <w:p w:rsidR="003F6155" w:rsidRDefault="003F6155" w:rsidP="00DA4CA5">
      <w:pPr>
        <w:pStyle w:val="Bullet1"/>
      </w:pPr>
      <w:proofErr w:type="gramStart"/>
      <w:r>
        <w:t>population</w:t>
      </w:r>
      <w:proofErr w:type="gramEnd"/>
      <w:r>
        <w:t xml:space="preserve"> density. </w:t>
      </w:r>
    </w:p>
    <w:p w:rsidR="003F6155" w:rsidRPr="000B7345" w:rsidRDefault="003F6155" w:rsidP="003F6155">
      <w:pPr>
        <w:pStyle w:val="HeadingB"/>
        <w:rPr>
          <w:rStyle w:val="Boldword"/>
          <w:b/>
          <w:sz w:val="28"/>
          <w:lang w:eastAsia="en-US"/>
        </w:rPr>
      </w:pPr>
      <w:r>
        <w:t>Transformations and descriptive statistics</w:t>
      </w:r>
    </w:p>
    <w:p w:rsidR="003F6155" w:rsidRPr="000B7345" w:rsidRDefault="003F6155" w:rsidP="003F6155">
      <w:pPr>
        <w:pStyle w:val="BodyText"/>
        <w:rPr>
          <w:rStyle w:val="Boldword"/>
          <w:b w:val="0"/>
          <w:color w:val="auto"/>
        </w:rPr>
      </w:pPr>
      <w:r w:rsidRPr="007463F3">
        <w:rPr>
          <w:rStyle w:val="Boldword"/>
          <w:b w:val="0"/>
          <w:color w:val="auto"/>
        </w:rPr>
        <w:t xml:space="preserve">Work </w:t>
      </w:r>
      <w:r>
        <w:rPr>
          <w:rStyle w:val="Boldword"/>
          <w:b w:val="0"/>
          <w:color w:val="auto"/>
        </w:rPr>
        <w:t xml:space="preserve">was undertaken to </w:t>
      </w:r>
      <w:r w:rsidR="00A97A79">
        <w:rPr>
          <w:rStyle w:val="Boldword"/>
          <w:b w:val="0"/>
          <w:color w:val="auto"/>
        </w:rPr>
        <w:t>‘</w:t>
      </w:r>
      <w:r>
        <w:rPr>
          <w:rStyle w:val="Boldword"/>
          <w:b w:val="0"/>
          <w:color w:val="auto"/>
        </w:rPr>
        <w:t>sense-check</w:t>
      </w:r>
      <w:r w:rsidR="00A97A79">
        <w:rPr>
          <w:rStyle w:val="Boldword"/>
          <w:b w:val="0"/>
          <w:color w:val="auto"/>
        </w:rPr>
        <w:t>’</w:t>
      </w:r>
      <w:r>
        <w:rPr>
          <w:rStyle w:val="Boldword"/>
          <w:b w:val="0"/>
          <w:color w:val="auto"/>
        </w:rPr>
        <w:t xml:space="preserve"> the data, </w:t>
      </w:r>
      <w:r w:rsidR="00A97A79">
        <w:rPr>
          <w:rStyle w:val="Boldword"/>
          <w:b w:val="0"/>
          <w:color w:val="auto"/>
        </w:rPr>
        <w:t>including identifying</w:t>
      </w:r>
      <w:r>
        <w:rPr>
          <w:rStyle w:val="Boldword"/>
          <w:b w:val="0"/>
          <w:color w:val="auto"/>
        </w:rPr>
        <w:t xml:space="preserve"> </w:t>
      </w:r>
      <w:r w:rsidR="00A97A79">
        <w:rPr>
          <w:rStyle w:val="Boldword"/>
          <w:b w:val="0"/>
          <w:color w:val="auto"/>
        </w:rPr>
        <w:t>implausible</w:t>
      </w:r>
      <w:r>
        <w:rPr>
          <w:rStyle w:val="Boldword"/>
          <w:b w:val="0"/>
          <w:color w:val="auto"/>
        </w:rPr>
        <w:t xml:space="preserve"> values (</w:t>
      </w:r>
      <w:r w:rsidRPr="007463F3">
        <w:rPr>
          <w:rStyle w:val="Boldword"/>
          <w:b w:val="0"/>
          <w:color w:val="auto"/>
        </w:rPr>
        <w:t>or combinations of values</w:t>
      </w:r>
      <w:r>
        <w:rPr>
          <w:rStyle w:val="Boldword"/>
          <w:b w:val="0"/>
          <w:color w:val="auto"/>
        </w:rPr>
        <w:t>)</w:t>
      </w:r>
      <w:r w:rsidR="00A97A79">
        <w:rPr>
          <w:rStyle w:val="Boldword"/>
          <w:b w:val="0"/>
          <w:color w:val="auto"/>
        </w:rPr>
        <w:t>,</w:t>
      </w:r>
      <w:r>
        <w:rPr>
          <w:rStyle w:val="Boldword"/>
          <w:b w:val="0"/>
          <w:color w:val="auto"/>
        </w:rPr>
        <w:t xml:space="preserve"> </w:t>
      </w:r>
      <w:r w:rsidR="00A97A79">
        <w:rPr>
          <w:rStyle w:val="Boldword"/>
          <w:b w:val="0"/>
          <w:color w:val="auto"/>
        </w:rPr>
        <w:t>and transform</w:t>
      </w:r>
      <w:r>
        <w:rPr>
          <w:rStyle w:val="Boldword"/>
          <w:b w:val="0"/>
          <w:color w:val="auto"/>
        </w:rPr>
        <w:t xml:space="preserve"> certain variables to prepare </w:t>
      </w:r>
      <w:r w:rsidR="00A97A79">
        <w:rPr>
          <w:rStyle w:val="Boldword"/>
          <w:b w:val="0"/>
          <w:color w:val="auto"/>
        </w:rPr>
        <w:t xml:space="preserve">them </w:t>
      </w:r>
      <w:r>
        <w:rPr>
          <w:rStyle w:val="Boldword"/>
          <w:b w:val="0"/>
          <w:color w:val="auto"/>
        </w:rPr>
        <w:t xml:space="preserve">for analysis. These transformations are presented here, along with </w:t>
      </w:r>
      <w:r w:rsidRPr="007463F3">
        <w:rPr>
          <w:rStyle w:val="Boldword"/>
          <w:b w:val="0"/>
          <w:color w:val="auto"/>
        </w:rPr>
        <w:t xml:space="preserve">the </w:t>
      </w:r>
      <w:r>
        <w:rPr>
          <w:rStyle w:val="Boldword"/>
          <w:b w:val="0"/>
          <w:color w:val="auto"/>
        </w:rPr>
        <w:t xml:space="preserve">descriptive statistics relating to </w:t>
      </w:r>
      <w:r w:rsidRPr="007463F3">
        <w:rPr>
          <w:rStyle w:val="Boldword"/>
          <w:b w:val="0"/>
          <w:color w:val="auto"/>
        </w:rPr>
        <w:t xml:space="preserve">subpopulations </w:t>
      </w:r>
      <w:r>
        <w:rPr>
          <w:rStyle w:val="Boldword"/>
          <w:b w:val="0"/>
          <w:color w:val="auto"/>
        </w:rPr>
        <w:t>of interest</w:t>
      </w:r>
      <w:r w:rsidRPr="007463F3">
        <w:rPr>
          <w:rStyle w:val="Boldword"/>
          <w:b w:val="0"/>
          <w:color w:val="auto"/>
        </w:rPr>
        <w:t xml:space="preserve">, to </w:t>
      </w:r>
      <w:r>
        <w:rPr>
          <w:rStyle w:val="Boldword"/>
          <w:b w:val="0"/>
          <w:color w:val="auto"/>
        </w:rPr>
        <w:t xml:space="preserve">begin </w:t>
      </w:r>
      <w:r w:rsidRPr="007463F3">
        <w:rPr>
          <w:rStyle w:val="Boldword"/>
          <w:b w:val="0"/>
          <w:color w:val="auto"/>
        </w:rPr>
        <w:t>to understand the nature of the in</w:t>
      </w:r>
      <w:r>
        <w:rPr>
          <w:rStyle w:val="Boldword"/>
          <w:b w:val="0"/>
          <w:color w:val="auto"/>
        </w:rPr>
        <w:t>teraction</w:t>
      </w:r>
      <w:r w:rsidR="00A97A79">
        <w:rPr>
          <w:rStyle w:val="Boldword"/>
          <w:b w:val="0"/>
          <w:color w:val="auto"/>
        </w:rPr>
        <w:t>s</w:t>
      </w:r>
      <w:r>
        <w:rPr>
          <w:rStyle w:val="Boldword"/>
          <w:b w:val="0"/>
          <w:color w:val="auto"/>
        </w:rPr>
        <w:t xml:space="preserve"> between key variables. </w:t>
      </w:r>
    </w:p>
    <w:p w:rsidR="003F6155" w:rsidRDefault="003F6155" w:rsidP="003F6155">
      <w:pPr>
        <w:pStyle w:val="BodyText"/>
        <w:rPr>
          <w:rStyle w:val="Boldword"/>
          <w:color w:val="00A1DE"/>
        </w:rPr>
      </w:pPr>
      <w:r>
        <w:rPr>
          <w:rStyle w:val="Boldword"/>
          <w:color w:val="00A1DE"/>
        </w:rPr>
        <w:t xml:space="preserve">Data filtering </w:t>
      </w:r>
    </w:p>
    <w:p w:rsidR="003F6155" w:rsidRPr="007463F3" w:rsidRDefault="003F6155" w:rsidP="003F6155">
      <w:pPr>
        <w:pStyle w:val="BodyText"/>
        <w:rPr>
          <w:rStyle w:val="Boldword"/>
          <w:b w:val="0"/>
          <w:color w:val="auto"/>
        </w:rPr>
      </w:pPr>
      <w:r w:rsidRPr="007463F3">
        <w:rPr>
          <w:rStyle w:val="Boldword"/>
          <w:b w:val="0"/>
          <w:color w:val="auto"/>
        </w:rPr>
        <w:t>Where relevant, the following data filter</w:t>
      </w:r>
      <w:r w:rsidR="00A97A79">
        <w:rPr>
          <w:rStyle w:val="Boldword"/>
          <w:b w:val="0"/>
          <w:color w:val="auto"/>
        </w:rPr>
        <w:t>s</w:t>
      </w:r>
      <w:r w:rsidRPr="007463F3">
        <w:rPr>
          <w:rStyle w:val="Boldword"/>
          <w:b w:val="0"/>
          <w:color w:val="auto"/>
        </w:rPr>
        <w:t xml:space="preserve">, </w:t>
      </w:r>
      <w:r>
        <w:rPr>
          <w:rStyle w:val="Boldword"/>
          <w:b w:val="0"/>
          <w:color w:val="auto"/>
        </w:rPr>
        <w:t>similar to those noted</w:t>
      </w:r>
      <w:r w:rsidRPr="007463F3">
        <w:rPr>
          <w:rStyle w:val="Boldword"/>
          <w:b w:val="0"/>
          <w:color w:val="auto"/>
        </w:rPr>
        <w:t xml:space="preserve"> by Sinning (2014)</w:t>
      </w:r>
      <w:r w:rsidR="00A97A79">
        <w:rPr>
          <w:rStyle w:val="Boldword"/>
          <w:b w:val="0"/>
          <w:color w:val="auto"/>
        </w:rPr>
        <w:t>,</w:t>
      </w:r>
      <w:r>
        <w:rPr>
          <w:rStyle w:val="Boldword"/>
          <w:b w:val="0"/>
          <w:color w:val="auto"/>
        </w:rPr>
        <w:t xml:space="preserve"> were applied</w:t>
      </w:r>
      <w:r w:rsidR="00226D14">
        <w:rPr>
          <w:rStyle w:val="Boldword"/>
          <w:b w:val="0"/>
          <w:color w:val="auto"/>
        </w:rPr>
        <w:t>.  The sample included those:</w:t>
      </w:r>
    </w:p>
    <w:p w:rsidR="003F6155" w:rsidRDefault="003F6155" w:rsidP="003F6155">
      <w:pPr>
        <w:pStyle w:val="Bullet1"/>
      </w:pPr>
      <w:r>
        <w:t>aged 25 to 64 years;</w:t>
      </w:r>
    </w:p>
    <w:p w:rsidR="003F6155" w:rsidRDefault="00CB710D" w:rsidP="003F6155">
      <w:pPr>
        <w:pStyle w:val="Bullet1"/>
      </w:pPr>
      <w:r>
        <w:lastRenderedPageBreak/>
        <w:t xml:space="preserve">who </w:t>
      </w:r>
      <w:r w:rsidR="003F6155">
        <w:t>were employed</w:t>
      </w:r>
      <w:r w:rsidR="00A97A79">
        <w:t xml:space="preserve"> (earning</w:t>
      </w:r>
      <w:r w:rsidR="00C341F5">
        <w:t>s</w:t>
      </w:r>
      <w:r w:rsidR="00A97A79">
        <w:t xml:space="preserve"> model)</w:t>
      </w:r>
      <w:r w:rsidR="003F6155">
        <w:t>;</w:t>
      </w:r>
    </w:p>
    <w:p w:rsidR="003F6155" w:rsidRDefault="003F6155" w:rsidP="003F6155">
      <w:pPr>
        <w:pStyle w:val="Bullet1"/>
      </w:pPr>
      <w:r>
        <w:t>reported positive earnings from wages and salaries</w:t>
      </w:r>
      <w:r w:rsidR="00C341F5">
        <w:t xml:space="preserve"> (earnings model)</w:t>
      </w:r>
      <w:r>
        <w:t xml:space="preserve">; </w:t>
      </w:r>
    </w:p>
    <w:p w:rsidR="003F6155" w:rsidRDefault="002F67B4" w:rsidP="003F6155">
      <w:pPr>
        <w:pStyle w:val="Bullet1"/>
      </w:pPr>
      <w:r w:rsidRPr="00DA4CA5">
        <w:t xml:space="preserve">had </w:t>
      </w:r>
      <w:r w:rsidR="003F6155">
        <w:t xml:space="preserve">zero business income; </w:t>
      </w:r>
    </w:p>
    <w:p w:rsidR="003F6155" w:rsidRDefault="003F6155" w:rsidP="003F6155">
      <w:pPr>
        <w:pStyle w:val="Bullet1"/>
      </w:pPr>
      <w:r>
        <w:t>reported details about their education</w:t>
      </w:r>
      <w:r w:rsidR="00A97A79">
        <w:t xml:space="preserve">al </w:t>
      </w:r>
      <w:r>
        <w:t>attainment and</w:t>
      </w:r>
      <w:r w:rsidR="00A97A79">
        <w:t>,</w:t>
      </w:r>
      <w:r>
        <w:t xml:space="preserve"> if applicable, field of </w:t>
      </w:r>
      <w:r w:rsidR="00813DE4">
        <w:t>education</w:t>
      </w:r>
      <w:r>
        <w:t xml:space="preserve">; and </w:t>
      </w:r>
    </w:p>
    <w:p w:rsidR="003F6155" w:rsidRPr="00DA4CA5" w:rsidRDefault="003F6155" w:rsidP="003F6155">
      <w:pPr>
        <w:pStyle w:val="Bullet1"/>
        <w:rPr>
          <w:rStyle w:val="Boldword"/>
          <w:b w:val="0"/>
          <w:color w:val="auto"/>
        </w:rPr>
      </w:pPr>
      <w:r>
        <w:t>did not hold a doctorate (to exclude higher degree research degrees</w:t>
      </w:r>
      <w:r w:rsidR="00226D14">
        <w:t xml:space="preserve">, </w:t>
      </w:r>
      <w:r>
        <w:t xml:space="preserve">noting that masters degrees by research are unable to be </w:t>
      </w:r>
      <w:r w:rsidR="00226D14">
        <w:t>distinguished</w:t>
      </w:r>
      <w:r>
        <w:t xml:space="preserve"> from masters degrees by coursework, and are hence included in the sample).</w:t>
      </w:r>
    </w:p>
    <w:p w:rsidR="00CE5587" w:rsidRDefault="00CE5587" w:rsidP="00DA4CA5">
      <w:pPr>
        <w:pStyle w:val="Bullet1"/>
        <w:numPr>
          <w:ilvl w:val="0"/>
          <w:numId w:val="0"/>
        </w:numPr>
      </w:pPr>
      <w:r>
        <w:t>Observations with any missing data were excluded.</w:t>
      </w:r>
    </w:p>
    <w:p w:rsidR="005D0E98" w:rsidRPr="000B7345" w:rsidRDefault="005D0E98" w:rsidP="00DA4CA5">
      <w:pPr>
        <w:pStyle w:val="BodyText"/>
        <w:spacing w:after="120"/>
        <w:rPr>
          <w:b/>
          <w:color w:val="00A1DE"/>
        </w:rPr>
      </w:pPr>
      <w:r w:rsidRPr="000B7345">
        <w:rPr>
          <w:b/>
          <w:color w:val="00A1DE"/>
        </w:rPr>
        <w:t xml:space="preserve">Application of human capital variables </w:t>
      </w:r>
    </w:p>
    <w:p w:rsidR="00C341F5" w:rsidRPr="000B7345" w:rsidRDefault="005D0E98" w:rsidP="00DA4CA5">
      <w:pPr>
        <w:pStyle w:val="BodyText"/>
        <w:rPr>
          <w:rStyle w:val="Boldword"/>
          <w:b w:val="0"/>
          <w:color w:val="auto"/>
        </w:rPr>
      </w:pPr>
      <w:r>
        <w:t xml:space="preserve">Data </w:t>
      </w:r>
      <w:r w:rsidR="00C341F5">
        <w:t>on human capital variables was collected only in Wave 12 of the HILDA survey. Th</w:t>
      </w:r>
      <w:r w:rsidR="00CB710D">
        <w:t>e</w:t>
      </w:r>
      <w:r w:rsidR="00C341F5">
        <w:t>s</w:t>
      </w:r>
      <w:r w:rsidR="00CB710D">
        <w:t>e</w:t>
      </w:r>
      <w:r w:rsidR="00C341F5">
        <w:t xml:space="preserve"> data on field of education, cognitive ability and university attended </w:t>
      </w:r>
      <w:r w:rsidR="00CE5587">
        <w:t>was</w:t>
      </w:r>
      <w:r w:rsidR="00C341F5">
        <w:t xml:space="preserve"> applied to other waves, to allow all waves of data to be used in the regressions. </w:t>
      </w:r>
      <w:r w:rsidR="00CE5587">
        <w:t xml:space="preserve">Individuals without the Wave 12 variables were excluded from the analysis. </w:t>
      </w:r>
      <w:r w:rsidR="00C341F5">
        <w:rPr>
          <w:rStyle w:val="Boldword"/>
          <w:b w:val="0"/>
          <w:color w:val="auto"/>
          <w:lang w:eastAsia="en-US"/>
        </w:rPr>
        <w:t xml:space="preserve">Data relating to field of education and university </w:t>
      </w:r>
      <w:r w:rsidR="00CE5587">
        <w:rPr>
          <w:rStyle w:val="Boldword"/>
          <w:b w:val="0"/>
          <w:color w:val="auto"/>
          <w:lang w:eastAsia="en-US"/>
        </w:rPr>
        <w:t>were</w:t>
      </w:r>
      <w:r w:rsidR="00C341F5">
        <w:rPr>
          <w:rStyle w:val="Boldword"/>
          <w:b w:val="0"/>
          <w:color w:val="auto"/>
          <w:lang w:eastAsia="en-US"/>
        </w:rPr>
        <w:t xml:space="preserve"> applied to the earlier waves </w:t>
      </w:r>
      <w:r w:rsidR="00CE5587">
        <w:rPr>
          <w:rStyle w:val="Boldword"/>
          <w:b w:val="0"/>
          <w:color w:val="auto"/>
          <w:lang w:eastAsia="en-US"/>
        </w:rPr>
        <w:t xml:space="preserve">if the </w:t>
      </w:r>
      <w:r w:rsidR="00C341F5">
        <w:rPr>
          <w:rStyle w:val="Boldword"/>
          <w:b w:val="0"/>
          <w:color w:val="auto"/>
          <w:lang w:eastAsia="en-US"/>
        </w:rPr>
        <w:t>individual ha</w:t>
      </w:r>
      <w:r w:rsidR="00CE5587">
        <w:rPr>
          <w:rStyle w:val="Boldword"/>
          <w:b w:val="0"/>
          <w:color w:val="auto"/>
          <w:lang w:eastAsia="en-US"/>
        </w:rPr>
        <w:t>d reported having a</w:t>
      </w:r>
      <w:r w:rsidR="00C341F5">
        <w:rPr>
          <w:rStyle w:val="Boldword"/>
          <w:b w:val="0"/>
          <w:color w:val="auto"/>
          <w:lang w:eastAsia="en-US"/>
        </w:rPr>
        <w:t xml:space="preserve"> post-school qualification, but not otherwise. </w:t>
      </w:r>
      <w:r w:rsidR="00C341F5">
        <w:t xml:space="preserve"> </w:t>
      </w:r>
    </w:p>
    <w:p w:rsidR="003F6155" w:rsidRPr="00FD3E6B" w:rsidRDefault="003F6155" w:rsidP="003F6155">
      <w:pPr>
        <w:spacing w:before="240"/>
        <w:jc w:val="both"/>
        <w:rPr>
          <w:b/>
          <w:color w:val="00A1DE"/>
        </w:rPr>
      </w:pPr>
      <w:r w:rsidRPr="00FD3E6B">
        <w:rPr>
          <w:b/>
          <w:color w:val="00A1DE"/>
        </w:rPr>
        <w:t>Treatment of Diplomas and Advanced Diplomas</w:t>
      </w:r>
      <w:r>
        <w:rPr>
          <w:b/>
          <w:color w:val="00A1DE"/>
        </w:rPr>
        <w:t xml:space="preserve"> (</w:t>
      </w:r>
      <w:r w:rsidR="0075680D">
        <w:rPr>
          <w:b/>
          <w:color w:val="00A1DE"/>
        </w:rPr>
        <w:t>s</w:t>
      </w:r>
      <w:r>
        <w:rPr>
          <w:b/>
          <w:color w:val="00A1DE"/>
        </w:rPr>
        <w:t xml:space="preserve">ub-bachelor)  </w:t>
      </w:r>
    </w:p>
    <w:p w:rsidR="003F6155" w:rsidRDefault="003F6155" w:rsidP="003F6155">
      <w:pPr>
        <w:spacing w:before="240"/>
        <w:jc w:val="both"/>
      </w:pPr>
      <w:r>
        <w:t xml:space="preserve">The results </w:t>
      </w:r>
      <w:r w:rsidR="00226D14">
        <w:t xml:space="preserve">do not </w:t>
      </w:r>
      <w:r>
        <w:t>separat</w:t>
      </w:r>
      <w:r w:rsidR="00226D14">
        <w:t>e</w:t>
      </w:r>
      <w:r>
        <w:t xml:space="preserve"> Diplomas and Advanced Diplomas obtained </w:t>
      </w:r>
      <w:r w:rsidR="00226D14">
        <w:t xml:space="preserve">from </w:t>
      </w:r>
      <w:r>
        <w:t>a higher education provider from th</w:t>
      </w:r>
      <w:r w:rsidR="00226D14">
        <w:t>ose</w:t>
      </w:r>
      <w:r>
        <w:t xml:space="preserve"> obtained </w:t>
      </w:r>
      <w:r w:rsidR="00226D14">
        <w:t xml:space="preserve">from </w:t>
      </w:r>
      <w:r>
        <w:t xml:space="preserve">a VET provider. </w:t>
      </w:r>
      <w:r w:rsidR="00226D14">
        <w:t>P</w:t>
      </w:r>
      <w:r>
        <w:t>reliminary specifications of the model</w:t>
      </w:r>
      <w:r w:rsidR="00226D14">
        <w:t xml:space="preserve"> attempted such a distinction, b</w:t>
      </w:r>
      <w:r>
        <w:t xml:space="preserve">ut there were insufficient observations and variation in the data to allow for </w:t>
      </w:r>
      <w:r w:rsidR="00226D14">
        <w:t>separate effects.</w:t>
      </w:r>
      <w:r>
        <w:t xml:space="preserve"> </w:t>
      </w:r>
    </w:p>
    <w:p w:rsidR="003F6155" w:rsidRDefault="00813DE4" w:rsidP="003F6155">
      <w:pPr>
        <w:spacing w:before="240"/>
        <w:jc w:val="both"/>
      </w:pPr>
      <w:r>
        <w:t xml:space="preserve">In particular, the individuals in the </w:t>
      </w:r>
      <w:r w:rsidR="003F6155">
        <w:t xml:space="preserve">HILDA dataset </w:t>
      </w:r>
      <w:r>
        <w:t>p</w:t>
      </w:r>
      <w:r w:rsidR="003F6155">
        <w:t xml:space="preserve">redominately obtained their Diplomas and Advanced Diplomas </w:t>
      </w:r>
      <w:r>
        <w:t xml:space="preserve">from </w:t>
      </w:r>
      <w:r w:rsidR="003F6155">
        <w:t xml:space="preserve">VET providers rather than higher education providers (given that </w:t>
      </w:r>
      <w:r>
        <w:t>the diplomas are</w:t>
      </w:r>
      <w:r w:rsidR="003F6155">
        <w:t xml:space="preserve"> relatively new offering f</w:t>
      </w:r>
      <w:r>
        <w:t xml:space="preserve">rom </w:t>
      </w:r>
      <w:r w:rsidR="003F6155">
        <w:t>th</w:t>
      </w:r>
      <w:r>
        <w:t>o</w:t>
      </w:r>
      <w:r w:rsidR="003F6155">
        <w:t xml:space="preserve">se providers). </w:t>
      </w:r>
    </w:p>
    <w:p w:rsidR="003F6155" w:rsidRDefault="003F6155" w:rsidP="003F6155">
      <w:pPr>
        <w:pStyle w:val="BodyText"/>
        <w:rPr>
          <w:rStyle w:val="Boldword"/>
          <w:color w:val="00A1DE"/>
        </w:rPr>
      </w:pPr>
      <w:r>
        <w:rPr>
          <w:rStyle w:val="Boldword"/>
          <w:color w:val="00A1DE"/>
        </w:rPr>
        <w:t>Aggregation of fields of education</w:t>
      </w:r>
    </w:p>
    <w:p w:rsidR="003F6155" w:rsidRPr="00AB1F21" w:rsidRDefault="003F6155" w:rsidP="003F6155">
      <w:pPr>
        <w:pStyle w:val="BodyText"/>
        <w:rPr>
          <w:lang w:eastAsia="en-AU"/>
        </w:rPr>
      </w:pPr>
      <w:r>
        <w:rPr>
          <w:lang w:eastAsia="en-AU"/>
        </w:rPr>
        <w:t>The fields of education in the analysis were aggregate</w:t>
      </w:r>
      <w:r w:rsidR="00813DE4">
        <w:rPr>
          <w:lang w:eastAsia="en-AU"/>
        </w:rPr>
        <w:t xml:space="preserve">s of </w:t>
      </w:r>
      <w:r>
        <w:rPr>
          <w:lang w:eastAsia="en-AU"/>
        </w:rPr>
        <w:t xml:space="preserve">those available in the HILDA database, as described in </w:t>
      </w:r>
      <w:r>
        <w:rPr>
          <w:lang w:eastAsia="en-AU"/>
        </w:rPr>
        <w:fldChar w:fldCharType="begin"/>
      </w:r>
      <w:r>
        <w:rPr>
          <w:lang w:eastAsia="en-AU"/>
        </w:rPr>
        <w:instrText xml:space="preserve"> REF _Ref457313306 \r \h </w:instrText>
      </w:r>
      <w:r>
        <w:rPr>
          <w:lang w:eastAsia="en-AU"/>
        </w:rPr>
      </w:r>
      <w:r>
        <w:rPr>
          <w:lang w:eastAsia="en-AU"/>
        </w:rPr>
        <w:fldChar w:fldCharType="separate"/>
      </w:r>
      <w:r w:rsidR="00534F9F">
        <w:rPr>
          <w:lang w:eastAsia="en-AU"/>
        </w:rPr>
        <w:t>Table B.1</w:t>
      </w:r>
      <w:r>
        <w:rPr>
          <w:lang w:eastAsia="en-AU"/>
        </w:rPr>
        <w:fldChar w:fldCharType="end"/>
      </w:r>
      <w:r>
        <w:rPr>
          <w:lang w:eastAsia="en-AU"/>
        </w:rPr>
        <w:t xml:space="preserve">. This aggregation was undertaken on the basis of a </w:t>
      </w:r>
      <w:r w:rsidR="00813DE4">
        <w:rPr>
          <w:lang w:eastAsia="en-AU"/>
        </w:rPr>
        <w:t>plausible</w:t>
      </w:r>
      <w:r>
        <w:rPr>
          <w:lang w:eastAsia="en-AU"/>
        </w:rPr>
        <w:t xml:space="preserve"> grouping of fields</w:t>
      </w:r>
      <w:r w:rsidR="00813DE4">
        <w:rPr>
          <w:lang w:eastAsia="en-AU"/>
        </w:rPr>
        <w:t xml:space="preserve">, </w:t>
      </w:r>
      <w:r>
        <w:rPr>
          <w:lang w:eastAsia="en-AU"/>
        </w:rPr>
        <w:t>based on their content and</w:t>
      </w:r>
      <w:r w:rsidR="00813DE4">
        <w:rPr>
          <w:lang w:eastAsia="en-AU"/>
        </w:rPr>
        <w:t>,</w:t>
      </w:r>
      <w:r>
        <w:rPr>
          <w:lang w:eastAsia="en-AU"/>
        </w:rPr>
        <w:t xml:space="preserve"> </w:t>
      </w:r>
      <w:r w:rsidR="00813DE4">
        <w:rPr>
          <w:lang w:eastAsia="en-AU"/>
        </w:rPr>
        <w:t xml:space="preserve">in some cases, average </w:t>
      </w:r>
      <w:r>
        <w:rPr>
          <w:lang w:eastAsia="en-AU"/>
        </w:rPr>
        <w:t>wages</w:t>
      </w:r>
      <w:r w:rsidR="00813DE4">
        <w:rPr>
          <w:lang w:eastAsia="en-AU"/>
        </w:rPr>
        <w:t>.  See,</w:t>
      </w:r>
      <w:r>
        <w:rPr>
          <w:lang w:eastAsia="en-AU"/>
        </w:rPr>
        <w:t xml:space="preserve"> for </w:t>
      </w:r>
      <w:r w:rsidR="00813DE4">
        <w:rPr>
          <w:lang w:eastAsia="en-AU"/>
        </w:rPr>
        <w:t>example,</w:t>
      </w:r>
      <w:r>
        <w:rPr>
          <w:lang w:eastAsia="en-AU"/>
        </w:rPr>
        <w:t xml:space="preserve"> the separation of Medicine from Rest of Health.   </w:t>
      </w:r>
    </w:p>
    <w:p w:rsidR="003F6155" w:rsidRDefault="003F6155" w:rsidP="003F6155">
      <w:pPr>
        <w:pStyle w:val="AppendixTableCaption"/>
      </w:pPr>
      <w:bookmarkStart w:id="298" w:name="_Ref457313306"/>
      <w:bookmarkStart w:id="299" w:name="_Toc457375700"/>
      <w:bookmarkStart w:id="300" w:name="_Toc460586422"/>
      <w:bookmarkStart w:id="301" w:name="_Toc465961134"/>
      <w:r>
        <w:t>: Fields of education</w:t>
      </w:r>
      <w:bookmarkEnd w:id="298"/>
      <w:bookmarkEnd w:id="299"/>
      <w:r>
        <w:t xml:space="preserve"> and average </w:t>
      </w:r>
      <w:r w:rsidR="00CB783E">
        <w:t xml:space="preserve">real weekly </w:t>
      </w:r>
      <w:r>
        <w:t>wages</w:t>
      </w:r>
      <w:bookmarkEnd w:id="300"/>
      <w:bookmarkEnd w:id="301"/>
    </w:p>
    <w:tbl>
      <w:tblPr>
        <w:tblStyle w:val="TableAE"/>
        <w:tblW w:w="0" w:type="auto"/>
        <w:tblLook w:val="04A0" w:firstRow="1" w:lastRow="0" w:firstColumn="1" w:lastColumn="0" w:noHBand="0" w:noVBand="1"/>
      </w:tblPr>
      <w:tblGrid>
        <w:gridCol w:w="4446"/>
        <w:gridCol w:w="1494"/>
        <w:gridCol w:w="1133"/>
        <w:gridCol w:w="1148"/>
      </w:tblGrid>
      <w:tr w:rsidR="003F6155" w:rsidTr="00075414">
        <w:trPr>
          <w:cnfStyle w:val="100000000000" w:firstRow="1" w:lastRow="0" w:firstColumn="0" w:lastColumn="0" w:oddVBand="0" w:evenVBand="0" w:oddHBand="0" w:evenHBand="0" w:firstRowFirstColumn="0" w:firstRowLastColumn="0" w:lastRowFirstColumn="0" w:lastRowLastColumn="0"/>
          <w:trHeight w:val="300"/>
          <w:tblHeader/>
        </w:trPr>
        <w:tc>
          <w:tcPr>
            <w:tcW w:w="0" w:type="auto"/>
            <w:noWrap/>
          </w:tcPr>
          <w:p w:rsidR="003F6155" w:rsidRDefault="003F6155" w:rsidP="00075414">
            <w:pPr>
              <w:pStyle w:val="TableHeadingCentre"/>
              <w:rPr>
                <w:rFonts w:eastAsiaTheme="minorHAnsi"/>
              </w:rPr>
            </w:pPr>
            <w:r>
              <w:rPr>
                <w:rFonts w:eastAsiaTheme="minorHAnsi"/>
              </w:rPr>
              <w:t xml:space="preserve">HILDA Field of Education </w:t>
            </w:r>
          </w:p>
        </w:tc>
        <w:tc>
          <w:tcPr>
            <w:tcW w:w="0" w:type="auto"/>
            <w:hideMark/>
          </w:tcPr>
          <w:p w:rsidR="003F6155" w:rsidRDefault="003F6155" w:rsidP="00075414">
            <w:pPr>
              <w:pStyle w:val="TableHeadingCentre"/>
              <w:rPr>
                <w:rFonts w:eastAsiaTheme="minorHAnsi"/>
              </w:rPr>
            </w:pPr>
            <w:r>
              <w:t>Aggregated Field of Education</w:t>
            </w:r>
          </w:p>
        </w:tc>
        <w:tc>
          <w:tcPr>
            <w:tcW w:w="0" w:type="auto"/>
          </w:tcPr>
          <w:p w:rsidR="003F6155" w:rsidRPr="00FD3E6B" w:rsidRDefault="003F6155" w:rsidP="00075414">
            <w:pPr>
              <w:pStyle w:val="TableHeadingCentre"/>
              <w:rPr>
                <w:lang w:val="en-US"/>
              </w:rPr>
            </w:pPr>
            <w:r>
              <w:t xml:space="preserve">Average full-time </w:t>
            </w:r>
            <w:r w:rsidR="002F67B4">
              <w:t xml:space="preserve">real </w:t>
            </w:r>
            <w:r>
              <w:t>weekly wage (male, $)</w:t>
            </w:r>
          </w:p>
        </w:tc>
        <w:tc>
          <w:tcPr>
            <w:tcW w:w="0" w:type="auto"/>
          </w:tcPr>
          <w:p w:rsidR="003F6155" w:rsidRPr="00FD3E6B" w:rsidRDefault="003F6155" w:rsidP="00075414">
            <w:pPr>
              <w:pStyle w:val="TableHeadingCentre"/>
              <w:rPr>
                <w:lang w:val="en-US"/>
              </w:rPr>
            </w:pPr>
            <w:r>
              <w:t xml:space="preserve">Average full-time </w:t>
            </w:r>
            <w:r w:rsidR="002F67B4">
              <w:t>real</w:t>
            </w:r>
            <w:r>
              <w:t xml:space="preserve"> weekly wage (female, $)</w:t>
            </w:r>
          </w:p>
        </w:tc>
      </w:tr>
      <w:tr w:rsidR="003F6155" w:rsidTr="00DA4CA5">
        <w:trPr>
          <w:trHeight w:val="300"/>
        </w:trPr>
        <w:tc>
          <w:tcPr>
            <w:tcW w:w="0" w:type="auto"/>
            <w:noWrap/>
            <w:hideMark/>
          </w:tcPr>
          <w:p w:rsidR="003F6155" w:rsidRDefault="003F6155" w:rsidP="00075414">
            <w:pPr>
              <w:rPr>
                <w:rFonts w:eastAsiaTheme="minorHAnsi" w:cs="Arial"/>
                <w:szCs w:val="22"/>
              </w:rPr>
            </w:pPr>
            <w:r>
              <w:t>Natural and Physical Sciences</w:t>
            </w:r>
          </w:p>
        </w:tc>
        <w:tc>
          <w:tcPr>
            <w:tcW w:w="0" w:type="auto"/>
            <w:hideMark/>
          </w:tcPr>
          <w:p w:rsidR="003F6155" w:rsidRDefault="003F6155" w:rsidP="00075414">
            <w:pPr>
              <w:jc w:val="center"/>
              <w:rPr>
                <w:rFonts w:eastAsiaTheme="minorHAnsi" w:cs="Arial"/>
                <w:szCs w:val="22"/>
              </w:rPr>
            </w:pPr>
            <w:r>
              <w:t>Science</w:t>
            </w:r>
          </w:p>
        </w:tc>
        <w:tc>
          <w:tcPr>
            <w:tcW w:w="0" w:type="auto"/>
            <w:vAlign w:val="bottom"/>
          </w:tcPr>
          <w:p w:rsidR="003F6155" w:rsidRDefault="003F6155" w:rsidP="00075414">
            <w:pPr>
              <w:pStyle w:val="TabletextCentre"/>
              <w:rPr>
                <w:rFonts w:ascii="Arial" w:eastAsiaTheme="minorHAnsi" w:hAnsi="Arial"/>
              </w:rPr>
            </w:pPr>
            <w:r>
              <w:t>1,599</w:t>
            </w:r>
          </w:p>
        </w:tc>
        <w:tc>
          <w:tcPr>
            <w:tcW w:w="0" w:type="auto"/>
            <w:vAlign w:val="bottom"/>
          </w:tcPr>
          <w:p w:rsidR="003F6155" w:rsidRDefault="003F6155" w:rsidP="00075414">
            <w:pPr>
              <w:pStyle w:val="TabletextCentre"/>
              <w:rPr>
                <w:rFonts w:ascii="Arial" w:eastAsiaTheme="minorHAnsi" w:hAnsi="Arial"/>
              </w:rPr>
            </w:pPr>
            <w:r>
              <w:t>1,277</w:t>
            </w:r>
          </w:p>
        </w:tc>
      </w:tr>
      <w:tr w:rsidR="003F6155" w:rsidTr="00DA4CA5">
        <w:trPr>
          <w:trHeight w:val="300"/>
        </w:trPr>
        <w:tc>
          <w:tcPr>
            <w:tcW w:w="0" w:type="auto"/>
            <w:noWrap/>
            <w:hideMark/>
          </w:tcPr>
          <w:p w:rsidR="003F6155" w:rsidRDefault="003F6155" w:rsidP="00075414">
            <w:pPr>
              <w:rPr>
                <w:rFonts w:eastAsiaTheme="minorHAnsi" w:cs="Arial"/>
                <w:szCs w:val="22"/>
              </w:rPr>
            </w:pPr>
            <w:r>
              <w:t>Information Technology</w:t>
            </w:r>
          </w:p>
        </w:tc>
        <w:tc>
          <w:tcPr>
            <w:tcW w:w="0" w:type="auto"/>
            <w:hideMark/>
          </w:tcPr>
          <w:p w:rsidR="003F6155" w:rsidRDefault="003F6155" w:rsidP="00075414">
            <w:pPr>
              <w:jc w:val="center"/>
              <w:rPr>
                <w:rFonts w:eastAsiaTheme="minorHAnsi" w:cs="Arial"/>
                <w:szCs w:val="22"/>
              </w:rPr>
            </w:pPr>
            <w:r>
              <w:t>IT</w:t>
            </w:r>
          </w:p>
        </w:tc>
        <w:tc>
          <w:tcPr>
            <w:tcW w:w="0" w:type="auto"/>
            <w:vAlign w:val="bottom"/>
          </w:tcPr>
          <w:p w:rsidR="003F6155" w:rsidRDefault="003F6155" w:rsidP="00075414">
            <w:pPr>
              <w:pStyle w:val="TabletextCentre"/>
              <w:rPr>
                <w:rFonts w:ascii="Arial" w:eastAsiaTheme="minorHAnsi" w:hAnsi="Arial"/>
              </w:rPr>
            </w:pPr>
            <w:r>
              <w:t>1,619</w:t>
            </w:r>
          </w:p>
        </w:tc>
        <w:tc>
          <w:tcPr>
            <w:tcW w:w="0" w:type="auto"/>
            <w:vAlign w:val="bottom"/>
          </w:tcPr>
          <w:p w:rsidR="003F6155" w:rsidRDefault="003F6155" w:rsidP="00075414">
            <w:pPr>
              <w:pStyle w:val="TabletextCentre"/>
              <w:rPr>
                <w:rFonts w:ascii="Arial" w:eastAsiaTheme="minorHAnsi" w:hAnsi="Arial"/>
              </w:rPr>
            </w:pPr>
            <w:r>
              <w:t>1,351</w:t>
            </w:r>
          </w:p>
        </w:tc>
      </w:tr>
      <w:tr w:rsidR="003F6155" w:rsidTr="00DA4CA5">
        <w:trPr>
          <w:trHeight w:val="300"/>
        </w:trPr>
        <w:tc>
          <w:tcPr>
            <w:tcW w:w="0" w:type="auto"/>
            <w:noWrap/>
            <w:hideMark/>
          </w:tcPr>
          <w:p w:rsidR="003F6155" w:rsidRDefault="003F6155" w:rsidP="00075414">
            <w:pPr>
              <w:rPr>
                <w:rFonts w:eastAsiaTheme="minorHAnsi" w:cs="Arial"/>
                <w:szCs w:val="22"/>
              </w:rPr>
            </w:pPr>
            <w:r>
              <w:lastRenderedPageBreak/>
              <w:t>Engineering and Related Technologies</w:t>
            </w:r>
          </w:p>
        </w:tc>
        <w:tc>
          <w:tcPr>
            <w:tcW w:w="0" w:type="auto"/>
            <w:hideMark/>
          </w:tcPr>
          <w:p w:rsidR="003F6155" w:rsidRDefault="003F6155" w:rsidP="00075414">
            <w:pPr>
              <w:jc w:val="center"/>
              <w:rPr>
                <w:rFonts w:eastAsiaTheme="minorHAnsi" w:cs="Arial"/>
                <w:szCs w:val="22"/>
              </w:rPr>
            </w:pPr>
            <w:r>
              <w:t>Engineering</w:t>
            </w:r>
          </w:p>
        </w:tc>
        <w:tc>
          <w:tcPr>
            <w:tcW w:w="0" w:type="auto"/>
            <w:vAlign w:val="bottom"/>
          </w:tcPr>
          <w:p w:rsidR="003F6155" w:rsidRDefault="003F6155" w:rsidP="00075414">
            <w:pPr>
              <w:pStyle w:val="TabletextCentre"/>
              <w:rPr>
                <w:rFonts w:ascii="Arial" w:eastAsiaTheme="minorHAnsi" w:hAnsi="Arial"/>
              </w:rPr>
            </w:pPr>
            <w:r>
              <w:t>1,467</w:t>
            </w:r>
          </w:p>
        </w:tc>
        <w:tc>
          <w:tcPr>
            <w:tcW w:w="0" w:type="auto"/>
            <w:vAlign w:val="bottom"/>
          </w:tcPr>
          <w:p w:rsidR="003F6155" w:rsidRDefault="003F6155" w:rsidP="00075414">
            <w:pPr>
              <w:pStyle w:val="TabletextCentre"/>
              <w:rPr>
                <w:rFonts w:ascii="Arial" w:eastAsiaTheme="minorHAnsi" w:hAnsi="Arial"/>
              </w:rPr>
            </w:pPr>
            <w:r>
              <w:t>1,373</w:t>
            </w:r>
          </w:p>
        </w:tc>
      </w:tr>
      <w:tr w:rsidR="003F6155" w:rsidTr="00DA4CA5">
        <w:trPr>
          <w:trHeight w:val="300"/>
        </w:trPr>
        <w:tc>
          <w:tcPr>
            <w:tcW w:w="0" w:type="auto"/>
            <w:noWrap/>
            <w:hideMark/>
          </w:tcPr>
          <w:p w:rsidR="003F6155" w:rsidRDefault="003F6155" w:rsidP="00075414">
            <w:pPr>
              <w:rPr>
                <w:rFonts w:eastAsiaTheme="minorHAnsi" w:cs="Arial"/>
                <w:szCs w:val="22"/>
              </w:rPr>
            </w:pPr>
            <w:r>
              <w:t>Architecture and Building</w:t>
            </w:r>
          </w:p>
        </w:tc>
        <w:tc>
          <w:tcPr>
            <w:tcW w:w="0" w:type="auto"/>
            <w:hideMark/>
          </w:tcPr>
          <w:p w:rsidR="003F6155" w:rsidRDefault="003F6155" w:rsidP="00075414">
            <w:pPr>
              <w:jc w:val="center"/>
              <w:rPr>
                <w:rFonts w:eastAsiaTheme="minorHAnsi" w:cs="Arial"/>
                <w:szCs w:val="22"/>
              </w:rPr>
            </w:pPr>
            <w:r>
              <w:rPr>
                <w:rFonts w:eastAsiaTheme="minorHAnsi" w:cs="Arial"/>
                <w:szCs w:val="22"/>
              </w:rPr>
              <w:t>Engineering</w:t>
            </w:r>
          </w:p>
        </w:tc>
        <w:tc>
          <w:tcPr>
            <w:tcW w:w="0" w:type="auto"/>
            <w:vAlign w:val="bottom"/>
          </w:tcPr>
          <w:p w:rsidR="003F6155" w:rsidRDefault="003F6155" w:rsidP="00075414">
            <w:pPr>
              <w:pStyle w:val="TabletextCentre"/>
              <w:rPr>
                <w:rFonts w:ascii="Arial" w:eastAsiaTheme="minorHAnsi" w:hAnsi="Arial"/>
              </w:rPr>
            </w:pPr>
            <w:r>
              <w:t>1,113</w:t>
            </w:r>
          </w:p>
        </w:tc>
        <w:tc>
          <w:tcPr>
            <w:tcW w:w="0" w:type="auto"/>
            <w:vAlign w:val="bottom"/>
          </w:tcPr>
          <w:p w:rsidR="003F6155" w:rsidRDefault="003F6155" w:rsidP="00075414">
            <w:pPr>
              <w:pStyle w:val="TabletextCentre"/>
              <w:rPr>
                <w:rFonts w:ascii="Arial" w:eastAsiaTheme="minorHAnsi" w:hAnsi="Arial"/>
              </w:rPr>
            </w:pPr>
            <w:r>
              <w:t>1,289</w:t>
            </w:r>
          </w:p>
        </w:tc>
      </w:tr>
      <w:tr w:rsidR="003F6155" w:rsidTr="00DA4CA5">
        <w:trPr>
          <w:trHeight w:val="300"/>
        </w:trPr>
        <w:tc>
          <w:tcPr>
            <w:tcW w:w="0" w:type="auto"/>
            <w:noWrap/>
            <w:hideMark/>
          </w:tcPr>
          <w:p w:rsidR="003F6155" w:rsidRDefault="003F6155" w:rsidP="00075414">
            <w:pPr>
              <w:rPr>
                <w:rFonts w:eastAsiaTheme="minorHAnsi" w:cs="Arial"/>
                <w:szCs w:val="22"/>
              </w:rPr>
            </w:pPr>
            <w:r>
              <w:t>Agriculture, Environmental and Related Studies</w:t>
            </w:r>
          </w:p>
        </w:tc>
        <w:tc>
          <w:tcPr>
            <w:tcW w:w="0" w:type="auto"/>
            <w:hideMark/>
          </w:tcPr>
          <w:p w:rsidR="003F6155" w:rsidRDefault="003F6155" w:rsidP="00075414">
            <w:pPr>
              <w:jc w:val="center"/>
              <w:rPr>
                <w:rFonts w:eastAsiaTheme="minorHAnsi" w:cs="Arial"/>
                <w:szCs w:val="22"/>
              </w:rPr>
            </w:pPr>
            <w:r>
              <w:rPr>
                <w:rFonts w:eastAsiaTheme="minorHAnsi" w:cs="Arial"/>
                <w:szCs w:val="22"/>
              </w:rPr>
              <w:t>Science</w:t>
            </w:r>
          </w:p>
        </w:tc>
        <w:tc>
          <w:tcPr>
            <w:tcW w:w="0" w:type="auto"/>
            <w:vAlign w:val="bottom"/>
          </w:tcPr>
          <w:p w:rsidR="003F6155" w:rsidRDefault="003F6155" w:rsidP="00075414">
            <w:pPr>
              <w:pStyle w:val="TabletextCentre"/>
              <w:rPr>
                <w:rFonts w:ascii="Arial" w:eastAsiaTheme="minorHAnsi" w:hAnsi="Arial"/>
              </w:rPr>
            </w:pPr>
            <w:r>
              <w:t>971</w:t>
            </w:r>
          </w:p>
        </w:tc>
        <w:tc>
          <w:tcPr>
            <w:tcW w:w="0" w:type="auto"/>
            <w:vAlign w:val="bottom"/>
          </w:tcPr>
          <w:p w:rsidR="003F6155" w:rsidRDefault="003F6155" w:rsidP="00075414">
            <w:pPr>
              <w:pStyle w:val="TabletextCentre"/>
              <w:rPr>
                <w:rFonts w:ascii="Arial" w:eastAsiaTheme="minorHAnsi" w:hAnsi="Arial"/>
              </w:rPr>
            </w:pPr>
            <w:r>
              <w:t>806</w:t>
            </w:r>
          </w:p>
        </w:tc>
      </w:tr>
      <w:tr w:rsidR="003F6155" w:rsidTr="00DA4CA5">
        <w:trPr>
          <w:trHeight w:val="300"/>
        </w:trPr>
        <w:tc>
          <w:tcPr>
            <w:tcW w:w="0" w:type="auto"/>
            <w:noWrap/>
            <w:hideMark/>
          </w:tcPr>
          <w:p w:rsidR="003F6155" w:rsidRDefault="003F6155" w:rsidP="00075414">
            <w:pPr>
              <w:rPr>
                <w:rFonts w:eastAsiaTheme="minorHAnsi" w:cs="Arial"/>
                <w:szCs w:val="22"/>
              </w:rPr>
            </w:pPr>
            <w:r>
              <w:t>Medicine</w:t>
            </w:r>
          </w:p>
        </w:tc>
        <w:tc>
          <w:tcPr>
            <w:tcW w:w="0" w:type="auto"/>
            <w:hideMark/>
          </w:tcPr>
          <w:p w:rsidR="003F6155" w:rsidRDefault="003F6155" w:rsidP="00075414">
            <w:pPr>
              <w:jc w:val="center"/>
              <w:rPr>
                <w:rFonts w:eastAsiaTheme="minorHAnsi" w:cs="Arial"/>
                <w:szCs w:val="22"/>
              </w:rPr>
            </w:pPr>
            <w:r>
              <w:rPr>
                <w:rFonts w:eastAsiaTheme="minorHAnsi" w:cs="Arial"/>
                <w:szCs w:val="22"/>
              </w:rPr>
              <w:t>Medicine</w:t>
            </w:r>
          </w:p>
        </w:tc>
        <w:tc>
          <w:tcPr>
            <w:tcW w:w="0" w:type="auto"/>
            <w:vAlign w:val="bottom"/>
          </w:tcPr>
          <w:p w:rsidR="003F6155" w:rsidRDefault="003F6155" w:rsidP="00075414">
            <w:pPr>
              <w:pStyle w:val="TabletextCentre"/>
              <w:rPr>
                <w:rFonts w:ascii="Arial" w:eastAsiaTheme="minorHAnsi" w:hAnsi="Arial"/>
              </w:rPr>
            </w:pPr>
            <w:r>
              <w:t>2,312</w:t>
            </w:r>
          </w:p>
        </w:tc>
        <w:tc>
          <w:tcPr>
            <w:tcW w:w="0" w:type="auto"/>
            <w:vAlign w:val="bottom"/>
          </w:tcPr>
          <w:p w:rsidR="003F6155" w:rsidRDefault="003F6155" w:rsidP="00075414">
            <w:pPr>
              <w:pStyle w:val="TabletextCentre"/>
              <w:rPr>
                <w:rFonts w:ascii="Arial" w:eastAsiaTheme="minorHAnsi" w:hAnsi="Arial"/>
              </w:rPr>
            </w:pPr>
            <w:r>
              <w:t>1,783</w:t>
            </w:r>
          </w:p>
        </w:tc>
      </w:tr>
      <w:tr w:rsidR="003F6155" w:rsidTr="00DA4CA5">
        <w:trPr>
          <w:trHeight w:val="300"/>
        </w:trPr>
        <w:tc>
          <w:tcPr>
            <w:tcW w:w="0" w:type="auto"/>
            <w:noWrap/>
            <w:hideMark/>
          </w:tcPr>
          <w:p w:rsidR="003F6155" w:rsidRDefault="003F6155" w:rsidP="00075414">
            <w:pPr>
              <w:rPr>
                <w:rFonts w:eastAsiaTheme="minorHAnsi" w:cs="Arial"/>
                <w:szCs w:val="22"/>
              </w:rPr>
            </w:pPr>
            <w:r>
              <w:t>Nursing</w:t>
            </w:r>
          </w:p>
        </w:tc>
        <w:tc>
          <w:tcPr>
            <w:tcW w:w="0" w:type="auto"/>
            <w:hideMark/>
          </w:tcPr>
          <w:p w:rsidR="003F6155" w:rsidRDefault="003F6155" w:rsidP="00075414">
            <w:pPr>
              <w:jc w:val="center"/>
              <w:rPr>
                <w:rFonts w:eastAsiaTheme="minorHAnsi" w:cs="Arial"/>
                <w:szCs w:val="22"/>
              </w:rPr>
            </w:pPr>
            <w:r>
              <w:t>Nursing</w:t>
            </w:r>
          </w:p>
        </w:tc>
        <w:tc>
          <w:tcPr>
            <w:tcW w:w="0" w:type="auto"/>
            <w:vAlign w:val="bottom"/>
          </w:tcPr>
          <w:p w:rsidR="003F6155" w:rsidRDefault="003F6155" w:rsidP="00075414">
            <w:pPr>
              <w:pStyle w:val="TabletextCentre"/>
              <w:rPr>
                <w:rFonts w:ascii="Arial" w:eastAsiaTheme="minorHAnsi" w:hAnsi="Arial"/>
              </w:rPr>
            </w:pPr>
            <w:r>
              <w:t>1,506</w:t>
            </w:r>
          </w:p>
        </w:tc>
        <w:tc>
          <w:tcPr>
            <w:tcW w:w="0" w:type="auto"/>
            <w:vAlign w:val="bottom"/>
          </w:tcPr>
          <w:p w:rsidR="003F6155" w:rsidRDefault="003F6155" w:rsidP="00075414">
            <w:pPr>
              <w:pStyle w:val="TabletextCentre"/>
              <w:rPr>
                <w:rFonts w:ascii="Arial" w:eastAsiaTheme="minorHAnsi" w:hAnsi="Arial"/>
              </w:rPr>
            </w:pPr>
            <w:r>
              <w:t>1,191</w:t>
            </w:r>
          </w:p>
        </w:tc>
      </w:tr>
      <w:tr w:rsidR="003F6155" w:rsidTr="00DA4CA5">
        <w:trPr>
          <w:trHeight w:val="300"/>
        </w:trPr>
        <w:tc>
          <w:tcPr>
            <w:tcW w:w="0" w:type="auto"/>
            <w:noWrap/>
            <w:hideMark/>
          </w:tcPr>
          <w:p w:rsidR="003F6155" w:rsidRDefault="003F6155" w:rsidP="00075414">
            <w:pPr>
              <w:rPr>
                <w:rFonts w:eastAsiaTheme="minorHAnsi" w:cs="Arial"/>
                <w:szCs w:val="22"/>
              </w:rPr>
            </w:pPr>
            <w:r>
              <w:t>Other health-related  </w:t>
            </w:r>
          </w:p>
        </w:tc>
        <w:tc>
          <w:tcPr>
            <w:tcW w:w="0" w:type="auto"/>
            <w:hideMark/>
          </w:tcPr>
          <w:p w:rsidR="003F6155" w:rsidRDefault="003F6155" w:rsidP="00075414">
            <w:pPr>
              <w:jc w:val="center"/>
              <w:rPr>
                <w:rFonts w:eastAsiaTheme="minorHAnsi" w:cs="Arial"/>
                <w:szCs w:val="22"/>
              </w:rPr>
            </w:pPr>
            <w:r>
              <w:t>Rest of Health</w:t>
            </w:r>
          </w:p>
        </w:tc>
        <w:tc>
          <w:tcPr>
            <w:tcW w:w="0" w:type="auto"/>
            <w:vAlign w:val="bottom"/>
          </w:tcPr>
          <w:p w:rsidR="003F6155" w:rsidRDefault="003F6155" w:rsidP="00075414">
            <w:pPr>
              <w:pStyle w:val="TabletextCentre"/>
              <w:rPr>
                <w:rFonts w:ascii="Arial" w:eastAsiaTheme="minorHAnsi" w:hAnsi="Arial"/>
              </w:rPr>
            </w:pPr>
            <w:r>
              <w:t>1,425</w:t>
            </w:r>
          </w:p>
        </w:tc>
        <w:tc>
          <w:tcPr>
            <w:tcW w:w="0" w:type="auto"/>
            <w:vAlign w:val="bottom"/>
          </w:tcPr>
          <w:p w:rsidR="003F6155" w:rsidRDefault="003F6155" w:rsidP="00075414">
            <w:pPr>
              <w:pStyle w:val="TabletextCentre"/>
              <w:rPr>
                <w:rFonts w:ascii="Arial" w:eastAsiaTheme="minorHAnsi" w:hAnsi="Arial"/>
              </w:rPr>
            </w:pPr>
            <w:r>
              <w:t>1,129</w:t>
            </w:r>
          </w:p>
        </w:tc>
      </w:tr>
      <w:tr w:rsidR="003F6155" w:rsidTr="00DA4CA5">
        <w:trPr>
          <w:trHeight w:val="300"/>
        </w:trPr>
        <w:tc>
          <w:tcPr>
            <w:tcW w:w="0" w:type="auto"/>
            <w:noWrap/>
            <w:hideMark/>
          </w:tcPr>
          <w:p w:rsidR="003F6155" w:rsidRDefault="003F6155" w:rsidP="00075414">
            <w:pPr>
              <w:rPr>
                <w:rFonts w:eastAsiaTheme="minorHAnsi" w:cs="Arial"/>
                <w:szCs w:val="22"/>
              </w:rPr>
            </w:pPr>
            <w:r>
              <w:t>Education</w:t>
            </w:r>
          </w:p>
        </w:tc>
        <w:tc>
          <w:tcPr>
            <w:tcW w:w="0" w:type="auto"/>
            <w:hideMark/>
          </w:tcPr>
          <w:p w:rsidR="003F6155" w:rsidRDefault="003F6155" w:rsidP="00075414">
            <w:pPr>
              <w:jc w:val="center"/>
              <w:rPr>
                <w:rFonts w:eastAsiaTheme="minorHAnsi" w:cs="Arial"/>
                <w:szCs w:val="22"/>
              </w:rPr>
            </w:pPr>
            <w:r>
              <w:rPr>
                <w:rFonts w:eastAsiaTheme="minorHAnsi" w:cs="Arial"/>
                <w:szCs w:val="22"/>
              </w:rPr>
              <w:t>Education</w:t>
            </w:r>
          </w:p>
        </w:tc>
        <w:tc>
          <w:tcPr>
            <w:tcW w:w="0" w:type="auto"/>
            <w:vAlign w:val="bottom"/>
          </w:tcPr>
          <w:p w:rsidR="003F6155" w:rsidRDefault="003F6155" w:rsidP="00075414">
            <w:pPr>
              <w:pStyle w:val="TabletextCentre"/>
              <w:rPr>
                <w:rFonts w:ascii="Arial" w:eastAsiaTheme="minorHAnsi" w:hAnsi="Arial"/>
              </w:rPr>
            </w:pPr>
            <w:r>
              <w:t>1,475</w:t>
            </w:r>
          </w:p>
        </w:tc>
        <w:tc>
          <w:tcPr>
            <w:tcW w:w="0" w:type="auto"/>
            <w:vAlign w:val="bottom"/>
          </w:tcPr>
          <w:p w:rsidR="003F6155" w:rsidRDefault="003F6155" w:rsidP="00075414">
            <w:pPr>
              <w:pStyle w:val="TabletextCentre"/>
              <w:rPr>
                <w:rFonts w:ascii="Arial" w:eastAsiaTheme="minorHAnsi" w:hAnsi="Arial"/>
              </w:rPr>
            </w:pPr>
            <w:r>
              <w:t>1,238</w:t>
            </w:r>
          </w:p>
        </w:tc>
      </w:tr>
      <w:tr w:rsidR="003F6155" w:rsidTr="00DA4CA5">
        <w:trPr>
          <w:trHeight w:val="300"/>
        </w:trPr>
        <w:tc>
          <w:tcPr>
            <w:tcW w:w="0" w:type="auto"/>
            <w:noWrap/>
            <w:hideMark/>
          </w:tcPr>
          <w:p w:rsidR="003F6155" w:rsidRDefault="003F6155" w:rsidP="00075414">
            <w:pPr>
              <w:rPr>
                <w:rFonts w:eastAsiaTheme="minorHAnsi" w:cs="Arial"/>
                <w:szCs w:val="22"/>
              </w:rPr>
            </w:pPr>
            <w:r>
              <w:t>Management and Commerce</w:t>
            </w:r>
          </w:p>
        </w:tc>
        <w:tc>
          <w:tcPr>
            <w:tcW w:w="0" w:type="auto"/>
            <w:hideMark/>
          </w:tcPr>
          <w:p w:rsidR="003F6155" w:rsidRDefault="003F6155" w:rsidP="00075414">
            <w:pPr>
              <w:jc w:val="center"/>
              <w:rPr>
                <w:rFonts w:eastAsiaTheme="minorHAnsi" w:cs="Arial"/>
                <w:szCs w:val="22"/>
              </w:rPr>
            </w:pPr>
            <w:r>
              <w:t xml:space="preserve">Management and Commerce </w:t>
            </w:r>
          </w:p>
        </w:tc>
        <w:tc>
          <w:tcPr>
            <w:tcW w:w="0" w:type="auto"/>
            <w:vAlign w:val="bottom"/>
          </w:tcPr>
          <w:p w:rsidR="003F6155" w:rsidRDefault="003F6155" w:rsidP="00075414">
            <w:pPr>
              <w:pStyle w:val="TabletextCentre"/>
              <w:rPr>
                <w:rFonts w:ascii="Arial" w:eastAsiaTheme="minorHAnsi" w:hAnsi="Arial"/>
              </w:rPr>
            </w:pPr>
            <w:r>
              <w:t>1,755</w:t>
            </w:r>
          </w:p>
        </w:tc>
        <w:tc>
          <w:tcPr>
            <w:tcW w:w="0" w:type="auto"/>
            <w:vAlign w:val="bottom"/>
          </w:tcPr>
          <w:p w:rsidR="003F6155" w:rsidRDefault="003F6155" w:rsidP="00075414">
            <w:pPr>
              <w:pStyle w:val="TabletextCentre"/>
              <w:rPr>
                <w:rFonts w:ascii="Arial" w:eastAsiaTheme="minorHAnsi" w:hAnsi="Arial"/>
              </w:rPr>
            </w:pPr>
            <w:r>
              <w:t>1,242</w:t>
            </w:r>
          </w:p>
        </w:tc>
      </w:tr>
      <w:tr w:rsidR="003F6155" w:rsidTr="00DA4CA5">
        <w:trPr>
          <w:trHeight w:val="300"/>
        </w:trPr>
        <w:tc>
          <w:tcPr>
            <w:tcW w:w="0" w:type="auto"/>
            <w:noWrap/>
            <w:hideMark/>
          </w:tcPr>
          <w:p w:rsidR="003F6155" w:rsidRDefault="003F6155" w:rsidP="00075414">
            <w:pPr>
              <w:rPr>
                <w:rFonts w:eastAsiaTheme="minorHAnsi" w:cs="Arial"/>
                <w:szCs w:val="22"/>
              </w:rPr>
            </w:pPr>
            <w:r>
              <w:t>Law</w:t>
            </w:r>
          </w:p>
        </w:tc>
        <w:tc>
          <w:tcPr>
            <w:tcW w:w="0" w:type="auto"/>
            <w:hideMark/>
          </w:tcPr>
          <w:p w:rsidR="003F6155" w:rsidRDefault="003F6155" w:rsidP="00075414">
            <w:pPr>
              <w:jc w:val="center"/>
              <w:rPr>
                <w:rFonts w:eastAsiaTheme="minorHAnsi" w:cs="Arial"/>
                <w:szCs w:val="22"/>
              </w:rPr>
            </w:pPr>
            <w:r>
              <w:t>Law</w:t>
            </w:r>
          </w:p>
        </w:tc>
        <w:tc>
          <w:tcPr>
            <w:tcW w:w="0" w:type="auto"/>
            <w:vAlign w:val="bottom"/>
          </w:tcPr>
          <w:p w:rsidR="003F6155" w:rsidRDefault="003F6155" w:rsidP="00075414">
            <w:pPr>
              <w:pStyle w:val="TabletextCentre"/>
              <w:rPr>
                <w:rFonts w:ascii="Arial" w:eastAsiaTheme="minorHAnsi" w:hAnsi="Arial"/>
              </w:rPr>
            </w:pPr>
            <w:r>
              <w:t>1,665</w:t>
            </w:r>
          </w:p>
        </w:tc>
        <w:tc>
          <w:tcPr>
            <w:tcW w:w="0" w:type="auto"/>
            <w:vAlign w:val="bottom"/>
          </w:tcPr>
          <w:p w:rsidR="003F6155" w:rsidRDefault="003F6155" w:rsidP="00075414">
            <w:pPr>
              <w:pStyle w:val="TabletextCentre"/>
              <w:rPr>
                <w:rFonts w:ascii="Arial" w:eastAsiaTheme="minorHAnsi" w:hAnsi="Arial"/>
              </w:rPr>
            </w:pPr>
            <w:r>
              <w:t>1,704</w:t>
            </w:r>
          </w:p>
        </w:tc>
      </w:tr>
      <w:tr w:rsidR="003F6155" w:rsidTr="00DA4CA5">
        <w:trPr>
          <w:trHeight w:val="300"/>
        </w:trPr>
        <w:tc>
          <w:tcPr>
            <w:tcW w:w="0" w:type="auto"/>
            <w:noWrap/>
            <w:hideMark/>
          </w:tcPr>
          <w:p w:rsidR="003F6155" w:rsidRDefault="003F6155" w:rsidP="00075414">
            <w:pPr>
              <w:rPr>
                <w:rFonts w:eastAsiaTheme="minorHAnsi" w:cs="Arial"/>
                <w:szCs w:val="22"/>
              </w:rPr>
            </w:pPr>
            <w:r>
              <w:t>Society and Culture</w:t>
            </w:r>
          </w:p>
        </w:tc>
        <w:tc>
          <w:tcPr>
            <w:tcW w:w="0" w:type="auto"/>
            <w:hideMark/>
          </w:tcPr>
          <w:p w:rsidR="003F6155" w:rsidRDefault="003F6155" w:rsidP="00075414">
            <w:pPr>
              <w:jc w:val="center"/>
              <w:rPr>
                <w:rFonts w:eastAsiaTheme="minorHAnsi" w:cs="Arial"/>
                <w:szCs w:val="22"/>
              </w:rPr>
            </w:pPr>
            <w:r>
              <w:t>Arts</w:t>
            </w:r>
          </w:p>
        </w:tc>
        <w:tc>
          <w:tcPr>
            <w:tcW w:w="0" w:type="auto"/>
            <w:vAlign w:val="bottom"/>
          </w:tcPr>
          <w:p w:rsidR="003F6155" w:rsidRDefault="003F6155" w:rsidP="00075414">
            <w:pPr>
              <w:pStyle w:val="TabletextCentre"/>
              <w:rPr>
                <w:rFonts w:ascii="Arial" w:eastAsiaTheme="minorHAnsi" w:hAnsi="Arial"/>
              </w:rPr>
            </w:pPr>
            <w:r>
              <w:t>1,464</w:t>
            </w:r>
          </w:p>
        </w:tc>
        <w:tc>
          <w:tcPr>
            <w:tcW w:w="0" w:type="auto"/>
            <w:vAlign w:val="bottom"/>
          </w:tcPr>
          <w:p w:rsidR="003F6155" w:rsidRDefault="003F6155" w:rsidP="00075414">
            <w:pPr>
              <w:pStyle w:val="TabletextCentre"/>
              <w:rPr>
                <w:rFonts w:ascii="Arial" w:eastAsiaTheme="minorHAnsi" w:hAnsi="Arial"/>
              </w:rPr>
            </w:pPr>
            <w:r>
              <w:t>1,195</w:t>
            </w:r>
          </w:p>
        </w:tc>
      </w:tr>
      <w:tr w:rsidR="003F6155" w:rsidTr="00DA4CA5">
        <w:trPr>
          <w:trHeight w:val="300"/>
        </w:trPr>
        <w:tc>
          <w:tcPr>
            <w:tcW w:w="0" w:type="auto"/>
            <w:noWrap/>
            <w:hideMark/>
          </w:tcPr>
          <w:p w:rsidR="003F6155" w:rsidRDefault="003F6155" w:rsidP="00075414">
            <w:pPr>
              <w:rPr>
                <w:rFonts w:eastAsiaTheme="minorHAnsi" w:cs="Arial"/>
                <w:szCs w:val="22"/>
              </w:rPr>
            </w:pPr>
            <w:r>
              <w:t>Creative Arts</w:t>
            </w:r>
          </w:p>
        </w:tc>
        <w:tc>
          <w:tcPr>
            <w:tcW w:w="0" w:type="auto"/>
            <w:hideMark/>
          </w:tcPr>
          <w:p w:rsidR="003F6155" w:rsidRDefault="003F6155" w:rsidP="00075414">
            <w:pPr>
              <w:jc w:val="center"/>
              <w:rPr>
                <w:rFonts w:eastAsiaTheme="minorHAnsi" w:cs="Arial"/>
                <w:szCs w:val="22"/>
              </w:rPr>
            </w:pPr>
            <w:r>
              <w:t>Arts</w:t>
            </w:r>
          </w:p>
        </w:tc>
        <w:tc>
          <w:tcPr>
            <w:tcW w:w="0" w:type="auto"/>
            <w:vAlign w:val="bottom"/>
          </w:tcPr>
          <w:p w:rsidR="003F6155" w:rsidRDefault="003F6155" w:rsidP="00075414">
            <w:pPr>
              <w:pStyle w:val="TabletextCentre"/>
              <w:rPr>
                <w:rFonts w:ascii="Arial" w:eastAsiaTheme="minorHAnsi" w:hAnsi="Arial"/>
              </w:rPr>
            </w:pPr>
            <w:r>
              <w:t>1,166</w:t>
            </w:r>
          </w:p>
        </w:tc>
        <w:tc>
          <w:tcPr>
            <w:tcW w:w="0" w:type="auto"/>
            <w:vAlign w:val="bottom"/>
          </w:tcPr>
          <w:p w:rsidR="003F6155" w:rsidRDefault="003F6155" w:rsidP="00075414">
            <w:pPr>
              <w:pStyle w:val="TabletextCentre"/>
              <w:rPr>
                <w:rFonts w:ascii="Arial" w:eastAsiaTheme="minorHAnsi" w:hAnsi="Arial"/>
              </w:rPr>
            </w:pPr>
            <w:r>
              <w:t>905</w:t>
            </w:r>
          </w:p>
        </w:tc>
      </w:tr>
      <w:tr w:rsidR="003F6155" w:rsidTr="00DA4CA5">
        <w:trPr>
          <w:trHeight w:val="300"/>
        </w:trPr>
        <w:tc>
          <w:tcPr>
            <w:tcW w:w="0" w:type="auto"/>
            <w:noWrap/>
            <w:hideMark/>
          </w:tcPr>
          <w:p w:rsidR="003F6155" w:rsidRDefault="003F6155" w:rsidP="00075414">
            <w:pPr>
              <w:rPr>
                <w:rFonts w:eastAsiaTheme="minorHAnsi" w:cs="Arial"/>
                <w:szCs w:val="22"/>
              </w:rPr>
            </w:pPr>
            <w:r>
              <w:t>Food, Hospitality and Personal Services</w:t>
            </w:r>
          </w:p>
        </w:tc>
        <w:tc>
          <w:tcPr>
            <w:tcW w:w="0" w:type="auto"/>
            <w:hideMark/>
          </w:tcPr>
          <w:p w:rsidR="003F6155" w:rsidRDefault="003F6155" w:rsidP="00075414">
            <w:pPr>
              <w:jc w:val="center"/>
              <w:rPr>
                <w:rFonts w:eastAsiaTheme="minorHAnsi" w:cs="Arial"/>
                <w:szCs w:val="22"/>
              </w:rPr>
            </w:pPr>
            <w:r>
              <w:t>Other</w:t>
            </w:r>
          </w:p>
        </w:tc>
        <w:tc>
          <w:tcPr>
            <w:tcW w:w="0" w:type="auto"/>
            <w:vAlign w:val="bottom"/>
          </w:tcPr>
          <w:p w:rsidR="003F6155" w:rsidRDefault="003F6155" w:rsidP="00075414">
            <w:pPr>
              <w:pStyle w:val="TabletextCentre"/>
              <w:rPr>
                <w:rFonts w:ascii="Arial" w:eastAsiaTheme="minorHAnsi" w:hAnsi="Arial"/>
              </w:rPr>
            </w:pPr>
            <w:r>
              <w:t>1,017</w:t>
            </w:r>
          </w:p>
        </w:tc>
        <w:tc>
          <w:tcPr>
            <w:tcW w:w="0" w:type="auto"/>
            <w:vAlign w:val="bottom"/>
          </w:tcPr>
          <w:p w:rsidR="003F6155" w:rsidRDefault="003F6155" w:rsidP="00075414">
            <w:pPr>
              <w:pStyle w:val="TabletextCentre"/>
              <w:rPr>
                <w:rFonts w:ascii="Arial" w:eastAsiaTheme="minorHAnsi" w:hAnsi="Arial"/>
              </w:rPr>
            </w:pPr>
            <w:r>
              <w:t>796</w:t>
            </w:r>
          </w:p>
        </w:tc>
      </w:tr>
      <w:tr w:rsidR="003F6155" w:rsidTr="00DA4CA5">
        <w:trPr>
          <w:trHeight w:val="300"/>
        </w:trPr>
        <w:tc>
          <w:tcPr>
            <w:tcW w:w="0" w:type="auto"/>
            <w:noWrap/>
            <w:hideMark/>
          </w:tcPr>
          <w:p w:rsidR="003F6155" w:rsidRDefault="003F6155" w:rsidP="00075414">
            <w:pPr>
              <w:rPr>
                <w:rFonts w:eastAsiaTheme="minorHAnsi" w:cs="Arial"/>
                <w:szCs w:val="22"/>
              </w:rPr>
            </w:pPr>
            <w:r>
              <w:t xml:space="preserve">Other </w:t>
            </w:r>
          </w:p>
        </w:tc>
        <w:tc>
          <w:tcPr>
            <w:tcW w:w="0" w:type="auto"/>
            <w:hideMark/>
          </w:tcPr>
          <w:p w:rsidR="003F6155" w:rsidRDefault="003F6155" w:rsidP="00075414">
            <w:pPr>
              <w:jc w:val="center"/>
              <w:rPr>
                <w:rFonts w:eastAsiaTheme="minorHAnsi" w:cs="Arial"/>
                <w:szCs w:val="22"/>
              </w:rPr>
            </w:pPr>
            <w:r>
              <w:t>Other</w:t>
            </w:r>
          </w:p>
        </w:tc>
        <w:tc>
          <w:tcPr>
            <w:tcW w:w="0" w:type="auto"/>
            <w:vAlign w:val="bottom"/>
          </w:tcPr>
          <w:p w:rsidR="003F6155" w:rsidRDefault="003F6155" w:rsidP="00075414">
            <w:pPr>
              <w:pStyle w:val="TabletextCentre"/>
              <w:rPr>
                <w:rFonts w:ascii="Arial" w:eastAsiaTheme="minorHAnsi" w:hAnsi="Arial"/>
              </w:rPr>
            </w:pPr>
            <w:r>
              <w:t>1,448</w:t>
            </w:r>
          </w:p>
        </w:tc>
        <w:tc>
          <w:tcPr>
            <w:tcW w:w="0" w:type="auto"/>
            <w:vAlign w:val="bottom"/>
          </w:tcPr>
          <w:p w:rsidR="003F6155" w:rsidRDefault="003F6155" w:rsidP="00075414">
            <w:pPr>
              <w:pStyle w:val="TabletextCentre"/>
              <w:rPr>
                <w:rFonts w:ascii="Arial" w:eastAsiaTheme="minorHAnsi" w:hAnsi="Arial"/>
              </w:rPr>
            </w:pPr>
            <w:r>
              <w:t>1,270</w:t>
            </w:r>
          </w:p>
        </w:tc>
      </w:tr>
    </w:tbl>
    <w:p w:rsidR="003F6155" w:rsidRDefault="003F6155" w:rsidP="003F6155">
      <w:pPr>
        <w:pStyle w:val="Source"/>
      </w:pPr>
      <w:r>
        <w:t xml:space="preserve">Source: HILDA, Deloitte Access Economics. Note: The fields of education here are based on those available in the HILDA dataset, which disaggregate some of the 12 broad Australian Standard Classification of Education (ASCED) fields of education further to give a total of 15 fields of education. </w:t>
      </w:r>
    </w:p>
    <w:p w:rsidR="003F6155" w:rsidRPr="00A71895" w:rsidRDefault="003F6155" w:rsidP="003F6155">
      <w:pPr>
        <w:spacing w:before="240"/>
        <w:jc w:val="both"/>
        <w:rPr>
          <w:b/>
          <w:color w:val="00A1DE"/>
        </w:rPr>
      </w:pPr>
      <w:r w:rsidRPr="00A71895">
        <w:rPr>
          <w:b/>
          <w:color w:val="00A1DE"/>
        </w:rPr>
        <w:t>Interaction</w:t>
      </w:r>
      <w:r w:rsidR="00C341F5">
        <w:rPr>
          <w:b/>
          <w:color w:val="00A1DE"/>
        </w:rPr>
        <w:t>s</w:t>
      </w:r>
      <w:r w:rsidRPr="00A71895">
        <w:rPr>
          <w:b/>
          <w:color w:val="00A1DE"/>
        </w:rPr>
        <w:t xml:space="preserve"> between qualification level and </w:t>
      </w:r>
      <w:r>
        <w:rPr>
          <w:b/>
          <w:color w:val="00A1DE"/>
        </w:rPr>
        <w:t>field of education</w:t>
      </w:r>
      <w:r w:rsidRPr="00A71895">
        <w:rPr>
          <w:b/>
          <w:color w:val="00A1DE"/>
        </w:rPr>
        <w:t xml:space="preserve"> </w:t>
      </w:r>
    </w:p>
    <w:p w:rsidR="003F6155" w:rsidRDefault="003F6155" w:rsidP="003F6155">
      <w:pPr>
        <w:spacing w:before="240"/>
        <w:jc w:val="both"/>
      </w:pPr>
      <w:r>
        <w:t>As part of the testing and refinement of the econometric model, the interaction</w:t>
      </w:r>
      <w:r w:rsidR="00813DE4">
        <w:t>s</w:t>
      </w:r>
      <w:r>
        <w:t xml:space="preserve"> between qualification levels and field of education w</w:t>
      </w:r>
      <w:r w:rsidR="00813DE4">
        <w:t>ere</w:t>
      </w:r>
      <w:r>
        <w:t xml:space="preserve"> explored</w:t>
      </w:r>
      <w:r w:rsidR="00813DE4">
        <w:t xml:space="preserve">.  </w:t>
      </w:r>
      <w:r w:rsidR="00813DE4">
        <w:fldChar w:fldCharType="begin"/>
      </w:r>
      <w:r w:rsidR="00813DE4">
        <w:instrText xml:space="preserve"> REF _Ref457314408 \r \h </w:instrText>
      </w:r>
      <w:r w:rsidR="00813DE4">
        <w:fldChar w:fldCharType="separate"/>
      </w:r>
      <w:r w:rsidR="00534F9F">
        <w:t>Table B.2</w:t>
      </w:r>
      <w:r w:rsidR="00813DE4">
        <w:fldChar w:fldCharType="end"/>
      </w:r>
      <w:r w:rsidR="00813DE4">
        <w:t xml:space="preserve"> shows the average wages by field of education and qualification level.  </w:t>
      </w:r>
      <w:r w:rsidR="00C341F5">
        <w:t xml:space="preserve">It is apparent that </w:t>
      </w:r>
      <w:r>
        <w:t xml:space="preserve">wages vary across these two dimensions, particularly for Medicine. </w:t>
      </w:r>
    </w:p>
    <w:p w:rsidR="003F6155" w:rsidRDefault="003F6155" w:rsidP="003F6155">
      <w:pPr>
        <w:pStyle w:val="AppendixTableCaption"/>
      </w:pPr>
      <w:bookmarkStart w:id="302" w:name="_Ref457314408"/>
      <w:bookmarkStart w:id="303" w:name="_Toc457375701"/>
      <w:bookmarkStart w:id="304" w:name="_Toc460586423"/>
      <w:bookmarkStart w:id="305" w:name="_Toc465961135"/>
      <w:r>
        <w:t xml:space="preserve">: Average </w:t>
      </w:r>
      <w:r w:rsidR="00CB783E">
        <w:t>real weekly</w:t>
      </w:r>
      <w:r>
        <w:t xml:space="preserve"> wages by field of education and qualification level</w:t>
      </w:r>
      <w:bookmarkEnd w:id="302"/>
      <w:bookmarkEnd w:id="303"/>
      <w:bookmarkEnd w:id="304"/>
      <w:bookmarkEnd w:id="305"/>
    </w:p>
    <w:tbl>
      <w:tblPr>
        <w:tblStyle w:val="TableAE"/>
        <w:tblW w:w="9390" w:type="dxa"/>
        <w:tblLook w:val="04A0" w:firstRow="1" w:lastRow="0" w:firstColumn="1" w:lastColumn="0" w:noHBand="0" w:noVBand="1"/>
      </w:tblPr>
      <w:tblGrid>
        <w:gridCol w:w="4174"/>
        <w:gridCol w:w="1148"/>
        <w:gridCol w:w="1174"/>
        <w:gridCol w:w="1052"/>
        <w:gridCol w:w="1055"/>
        <w:gridCol w:w="787"/>
      </w:tblGrid>
      <w:tr w:rsidR="003F6155" w:rsidTr="00075414">
        <w:trPr>
          <w:cnfStyle w:val="100000000000" w:firstRow="1" w:lastRow="0" w:firstColumn="0" w:lastColumn="0" w:oddVBand="0" w:evenVBand="0" w:oddHBand="0" w:evenHBand="0" w:firstRowFirstColumn="0" w:firstRowLastColumn="0" w:lastRowFirstColumn="0" w:lastRowLastColumn="0"/>
          <w:trHeight w:val="255"/>
          <w:tblHeader/>
        </w:trPr>
        <w:tc>
          <w:tcPr>
            <w:tcW w:w="4174" w:type="dxa"/>
            <w:noWrap/>
            <w:hideMark/>
          </w:tcPr>
          <w:p w:rsidR="003F6155" w:rsidRDefault="003F6155" w:rsidP="00075414">
            <w:pPr>
              <w:pStyle w:val="TableHeadingCentre"/>
              <w:rPr>
                <w:lang w:eastAsia="en-AU"/>
              </w:rPr>
            </w:pPr>
            <w:r>
              <w:rPr>
                <w:lang w:eastAsia="en-AU"/>
              </w:rPr>
              <w:t>HILDA Field of Education</w:t>
            </w:r>
          </w:p>
        </w:tc>
        <w:tc>
          <w:tcPr>
            <w:tcW w:w="1148" w:type="dxa"/>
            <w:noWrap/>
            <w:hideMark/>
          </w:tcPr>
          <w:p w:rsidR="003F6155" w:rsidRPr="00BC49A4" w:rsidRDefault="003F6155" w:rsidP="00075414">
            <w:pPr>
              <w:pStyle w:val="TableHeadingCentre"/>
              <w:rPr>
                <w:rFonts w:ascii="Arial" w:eastAsiaTheme="minorHAnsi" w:hAnsi="Arial" w:cs="Arial"/>
                <w:lang w:eastAsia="en-AU"/>
              </w:rPr>
            </w:pPr>
            <w:r w:rsidRPr="00BC49A4">
              <w:rPr>
                <w:lang w:eastAsia="en-AU"/>
              </w:rPr>
              <w:t>Postgrad - masters or doctorate</w:t>
            </w:r>
          </w:p>
        </w:tc>
        <w:tc>
          <w:tcPr>
            <w:tcW w:w="1174" w:type="dxa"/>
            <w:noWrap/>
            <w:hideMark/>
          </w:tcPr>
          <w:p w:rsidR="003F6155" w:rsidRPr="00BC49A4" w:rsidRDefault="003F6155" w:rsidP="00075414">
            <w:pPr>
              <w:pStyle w:val="TableHeadingCentre"/>
              <w:rPr>
                <w:rFonts w:ascii="Arial" w:eastAsiaTheme="minorHAnsi" w:hAnsi="Arial" w:cs="Arial"/>
                <w:lang w:eastAsia="en-AU"/>
              </w:rPr>
            </w:pPr>
            <w:r w:rsidRPr="00BC49A4">
              <w:rPr>
                <w:lang w:eastAsia="en-AU"/>
              </w:rPr>
              <w:t>Grad diploma, grad certificate</w:t>
            </w:r>
          </w:p>
        </w:tc>
        <w:tc>
          <w:tcPr>
            <w:tcW w:w="1052" w:type="dxa"/>
            <w:noWrap/>
            <w:hideMark/>
          </w:tcPr>
          <w:p w:rsidR="003F6155" w:rsidRPr="00BC49A4" w:rsidRDefault="003F6155" w:rsidP="00075414">
            <w:pPr>
              <w:pStyle w:val="TableHeadingCentre"/>
              <w:rPr>
                <w:rFonts w:ascii="Arial" w:eastAsiaTheme="minorHAnsi" w:hAnsi="Arial" w:cs="Arial"/>
                <w:lang w:eastAsia="en-AU"/>
              </w:rPr>
            </w:pPr>
            <w:r w:rsidRPr="00BC49A4">
              <w:rPr>
                <w:lang w:eastAsia="en-AU"/>
              </w:rPr>
              <w:t>Bachelor or honours</w:t>
            </w:r>
          </w:p>
        </w:tc>
        <w:tc>
          <w:tcPr>
            <w:tcW w:w="1055" w:type="dxa"/>
            <w:noWrap/>
            <w:hideMark/>
          </w:tcPr>
          <w:p w:rsidR="003F6155" w:rsidRPr="00BC49A4" w:rsidRDefault="003F6155" w:rsidP="00075414">
            <w:pPr>
              <w:pStyle w:val="TableHeadingCentre"/>
              <w:rPr>
                <w:rFonts w:ascii="Arial" w:eastAsiaTheme="minorHAnsi" w:hAnsi="Arial" w:cs="Arial"/>
                <w:lang w:eastAsia="en-AU"/>
              </w:rPr>
            </w:pPr>
            <w:r w:rsidRPr="00BC49A4">
              <w:rPr>
                <w:lang w:eastAsia="en-AU"/>
              </w:rPr>
              <w:t>Adv diploma, diploma</w:t>
            </w:r>
          </w:p>
        </w:tc>
        <w:tc>
          <w:tcPr>
            <w:tcW w:w="787" w:type="dxa"/>
            <w:noWrap/>
            <w:hideMark/>
          </w:tcPr>
          <w:p w:rsidR="003F6155" w:rsidRPr="00BC49A4" w:rsidRDefault="003F6155" w:rsidP="00075414">
            <w:pPr>
              <w:pStyle w:val="TableHeadingCentre"/>
              <w:rPr>
                <w:rFonts w:ascii="Arial" w:eastAsiaTheme="minorHAnsi" w:hAnsi="Arial" w:cs="Arial"/>
                <w:lang w:eastAsia="en-AU"/>
              </w:rPr>
            </w:pPr>
            <w:r w:rsidRPr="00BC49A4">
              <w:rPr>
                <w:lang w:eastAsia="en-AU"/>
              </w:rPr>
              <w:t>Cert III or IV</w:t>
            </w:r>
          </w:p>
        </w:tc>
      </w:tr>
      <w:tr w:rsidR="003F6155" w:rsidTr="00075414">
        <w:trPr>
          <w:trHeight w:val="255"/>
        </w:trPr>
        <w:tc>
          <w:tcPr>
            <w:tcW w:w="4174" w:type="dxa"/>
            <w:noWrap/>
            <w:hideMark/>
          </w:tcPr>
          <w:p w:rsidR="003F6155" w:rsidRDefault="003F6155" w:rsidP="00075414">
            <w:pPr>
              <w:pStyle w:val="TabletextLeft"/>
              <w:rPr>
                <w:rFonts w:eastAsiaTheme="minorHAnsi" w:cs="Arial"/>
                <w:szCs w:val="22"/>
              </w:rPr>
            </w:pPr>
            <w:r>
              <w:t>Natural and Physical Sciences</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1,049</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1,035</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939</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846</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823</w:t>
            </w:r>
          </w:p>
        </w:tc>
      </w:tr>
      <w:tr w:rsidR="003F6155" w:rsidTr="00075414">
        <w:trPr>
          <w:trHeight w:val="255"/>
        </w:trPr>
        <w:tc>
          <w:tcPr>
            <w:tcW w:w="4174" w:type="dxa"/>
            <w:noWrap/>
            <w:hideMark/>
          </w:tcPr>
          <w:p w:rsidR="003F6155" w:rsidRDefault="003F6155" w:rsidP="00075414">
            <w:pPr>
              <w:pStyle w:val="TabletextLeft"/>
              <w:rPr>
                <w:rFonts w:eastAsiaTheme="minorHAnsi" w:cs="Arial"/>
                <w:szCs w:val="22"/>
              </w:rPr>
            </w:pPr>
            <w:r>
              <w:t>Information Technology</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1,527</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1,382</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1,423</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1,029</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719</w:t>
            </w:r>
          </w:p>
        </w:tc>
      </w:tr>
      <w:tr w:rsidR="003F6155" w:rsidTr="00075414">
        <w:trPr>
          <w:trHeight w:val="255"/>
        </w:trPr>
        <w:tc>
          <w:tcPr>
            <w:tcW w:w="4174" w:type="dxa"/>
            <w:noWrap/>
            <w:hideMark/>
          </w:tcPr>
          <w:p w:rsidR="003F6155" w:rsidRDefault="003F6155" w:rsidP="00075414">
            <w:pPr>
              <w:pStyle w:val="TabletextLeft"/>
              <w:rPr>
                <w:rFonts w:eastAsiaTheme="minorHAnsi" w:cs="Arial"/>
                <w:szCs w:val="22"/>
              </w:rPr>
            </w:pPr>
            <w:r>
              <w:t>Engineering and Related Technologies</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1,492</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1,330</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1,412</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1,149</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922</w:t>
            </w:r>
          </w:p>
        </w:tc>
      </w:tr>
      <w:tr w:rsidR="003F6155" w:rsidTr="00075414">
        <w:trPr>
          <w:trHeight w:val="255"/>
        </w:trPr>
        <w:tc>
          <w:tcPr>
            <w:tcW w:w="4174" w:type="dxa"/>
            <w:noWrap/>
            <w:hideMark/>
          </w:tcPr>
          <w:p w:rsidR="003F6155" w:rsidRDefault="003F6155" w:rsidP="00075414">
            <w:pPr>
              <w:pStyle w:val="TabletextLeft"/>
              <w:rPr>
                <w:rFonts w:eastAsiaTheme="minorHAnsi" w:cs="Arial"/>
                <w:szCs w:val="22"/>
              </w:rPr>
            </w:pPr>
            <w:r>
              <w:t>Architecture and Building</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1,797</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745</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1,022</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851</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733</w:t>
            </w:r>
          </w:p>
        </w:tc>
      </w:tr>
      <w:tr w:rsidR="003F6155" w:rsidTr="00075414">
        <w:trPr>
          <w:trHeight w:val="255"/>
        </w:trPr>
        <w:tc>
          <w:tcPr>
            <w:tcW w:w="4174" w:type="dxa"/>
            <w:noWrap/>
            <w:hideMark/>
          </w:tcPr>
          <w:p w:rsidR="003F6155" w:rsidRDefault="003F6155" w:rsidP="00075414">
            <w:pPr>
              <w:pStyle w:val="TabletextLeft"/>
              <w:rPr>
                <w:rFonts w:eastAsiaTheme="minorHAnsi" w:cs="Arial"/>
                <w:szCs w:val="22"/>
              </w:rPr>
            </w:pPr>
            <w:r>
              <w:t>Agriculture, Environmental and Related Studies</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903</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1,082</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775</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443</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672</w:t>
            </w:r>
          </w:p>
        </w:tc>
      </w:tr>
      <w:tr w:rsidR="003F6155" w:rsidTr="00075414">
        <w:trPr>
          <w:trHeight w:val="255"/>
        </w:trPr>
        <w:tc>
          <w:tcPr>
            <w:tcW w:w="4174" w:type="dxa"/>
            <w:noWrap/>
            <w:hideMark/>
          </w:tcPr>
          <w:p w:rsidR="003F6155" w:rsidRDefault="003F6155" w:rsidP="00075414">
            <w:pPr>
              <w:pStyle w:val="TabletextLeft"/>
              <w:rPr>
                <w:rFonts w:eastAsiaTheme="minorHAnsi" w:cs="Arial"/>
                <w:szCs w:val="22"/>
              </w:rPr>
            </w:pPr>
            <w:r>
              <w:t>Medicine</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1,692</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2,035</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1,159</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456</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537</w:t>
            </w:r>
          </w:p>
        </w:tc>
      </w:tr>
      <w:tr w:rsidR="003F6155" w:rsidTr="00075414">
        <w:trPr>
          <w:trHeight w:val="255"/>
        </w:trPr>
        <w:tc>
          <w:tcPr>
            <w:tcW w:w="4174" w:type="dxa"/>
            <w:noWrap/>
            <w:hideMark/>
          </w:tcPr>
          <w:p w:rsidR="003F6155" w:rsidRDefault="003F6155" w:rsidP="00075414">
            <w:pPr>
              <w:pStyle w:val="TabletextLeft"/>
              <w:rPr>
                <w:rFonts w:eastAsiaTheme="minorHAnsi" w:cs="Arial"/>
                <w:szCs w:val="22"/>
              </w:rPr>
            </w:pPr>
            <w:r>
              <w:t>Nursing</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1,349</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1,013</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785</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522</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535</w:t>
            </w:r>
          </w:p>
        </w:tc>
      </w:tr>
      <w:tr w:rsidR="003F6155" w:rsidTr="00075414">
        <w:trPr>
          <w:trHeight w:val="285"/>
        </w:trPr>
        <w:tc>
          <w:tcPr>
            <w:tcW w:w="4174" w:type="dxa"/>
            <w:noWrap/>
            <w:hideMark/>
          </w:tcPr>
          <w:p w:rsidR="003F6155" w:rsidRDefault="003F6155" w:rsidP="00075414">
            <w:pPr>
              <w:pStyle w:val="TabletextLeft"/>
              <w:rPr>
                <w:rFonts w:eastAsiaTheme="minorHAnsi" w:cs="Arial"/>
                <w:szCs w:val="22"/>
              </w:rPr>
            </w:pPr>
            <w:r>
              <w:t>Other health-related  </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1,123</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814</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932</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628</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551</w:t>
            </w:r>
          </w:p>
        </w:tc>
      </w:tr>
      <w:tr w:rsidR="003F6155" w:rsidTr="00075414">
        <w:trPr>
          <w:trHeight w:val="285"/>
        </w:trPr>
        <w:tc>
          <w:tcPr>
            <w:tcW w:w="4174" w:type="dxa"/>
            <w:noWrap/>
            <w:hideMark/>
          </w:tcPr>
          <w:p w:rsidR="003F6155" w:rsidRDefault="003F6155" w:rsidP="00075414">
            <w:pPr>
              <w:pStyle w:val="TabletextLeft"/>
              <w:rPr>
                <w:rFonts w:eastAsiaTheme="minorHAnsi" w:cs="Arial"/>
                <w:szCs w:val="22"/>
              </w:rPr>
            </w:pPr>
            <w:r>
              <w:lastRenderedPageBreak/>
              <w:t>Education</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1,159</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920</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943</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521</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614</w:t>
            </w:r>
          </w:p>
        </w:tc>
      </w:tr>
      <w:tr w:rsidR="003F6155" w:rsidTr="00075414">
        <w:trPr>
          <w:trHeight w:val="285"/>
        </w:trPr>
        <w:tc>
          <w:tcPr>
            <w:tcW w:w="4174" w:type="dxa"/>
            <w:noWrap/>
            <w:hideMark/>
          </w:tcPr>
          <w:p w:rsidR="003F6155" w:rsidRDefault="003F6155" w:rsidP="00075414">
            <w:pPr>
              <w:pStyle w:val="TabletextLeft"/>
              <w:rPr>
                <w:rFonts w:eastAsiaTheme="minorHAnsi" w:cs="Arial"/>
                <w:szCs w:val="22"/>
              </w:rPr>
            </w:pPr>
            <w:r>
              <w:t>Management and Commerce</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1,742</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1,515</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1,243</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926</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662</w:t>
            </w:r>
          </w:p>
        </w:tc>
      </w:tr>
      <w:tr w:rsidR="003F6155" w:rsidTr="00075414">
        <w:trPr>
          <w:trHeight w:val="285"/>
        </w:trPr>
        <w:tc>
          <w:tcPr>
            <w:tcW w:w="4174" w:type="dxa"/>
            <w:noWrap/>
            <w:hideMark/>
          </w:tcPr>
          <w:p w:rsidR="003F6155" w:rsidRDefault="003F6155" w:rsidP="00075414">
            <w:pPr>
              <w:pStyle w:val="TabletextLeft"/>
              <w:rPr>
                <w:rFonts w:eastAsiaTheme="minorHAnsi" w:cs="Arial"/>
                <w:szCs w:val="22"/>
              </w:rPr>
            </w:pPr>
            <w:r>
              <w:t>Law</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1,530</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1,346</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1,365</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1,001</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816</w:t>
            </w:r>
          </w:p>
        </w:tc>
      </w:tr>
      <w:tr w:rsidR="003F6155" w:rsidTr="00075414">
        <w:trPr>
          <w:trHeight w:val="285"/>
        </w:trPr>
        <w:tc>
          <w:tcPr>
            <w:tcW w:w="4174" w:type="dxa"/>
            <w:noWrap/>
            <w:hideMark/>
          </w:tcPr>
          <w:p w:rsidR="003F6155" w:rsidRDefault="003F6155" w:rsidP="00075414">
            <w:pPr>
              <w:pStyle w:val="TabletextLeft"/>
              <w:rPr>
                <w:rFonts w:eastAsiaTheme="minorHAnsi" w:cs="Arial"/>
                <w:szCs w:val="22"/>
              </w:rPr>
            </w:pPr>
            <w:r>
              <w:t>Society and Culture</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1,025</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825</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771</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534</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590</w:t>
            </w:r>
          </w:p>
        </w:tc>
      </w:tr>
      <w:tr w:rsidR="003F6155" w:rsidTr="00075414">
        <w:trPr>
          <w:trHeight w:val="285"/>
        </w:trPr>
        <w:tc>
          <w:tcPr>
            <w:tcW w:w="4174" w:type="dxa"/>
            <w:noWrap/>
            <w:hideMark/>
          </w:tcPr>
          <w:p w:rsidR="003F6155" w:rsidRDefault="003F6155" w:rsidP="00075414">
            <w:pPr>
              <w:pStyle w:val="TabletextLeft"/>
              <w:rPr>
                <w:rFonts w:eastAsiaTheme="minorHAnsi" w:cs="Arial"/>
                <w:szCs w:val="22"/>
              </w:rPr>
            </w:pPr>
            <w:r>
              <w:t>Creative Arts</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1,065</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550</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637</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521</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426</w:t>
            </w:r>
          </w:p>
        </w:tc>
      </w:tr>
      <w:tr w:rsidR="003F6155" w:rsidTr="00075414">
        <w:trPr>
          <w:trHeight w:val="285"/>
        </w:trPr>
        <w:tc>
          <w:tcPr>
            <w:tcW w:w="4174" w:type="dxa"/>
            <w:noWrap/>
            <w:hideMark/>
          </w:tcPr>
          <w:p w:rsidR="003F6155" w:rsidRDefault="003F6155" w:rsidP="00075414">
            <w:pPr>
              <w:pStyle w:val="TabletextLeft"/>
              <w:rPr>
                <w:rFonts w:eastAsiaTheme="minorHAnsi" w:cs="Arial"/>
                <w:szCs w:val="22"/>
              </w:rPr>
            </w:pPr>
            <w:r>
              <w:t>Food, Hospitality and Personal Services</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679</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1,325</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978</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602</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524</w:t>
            </w:r>
          </w:p>
        </w:tc>
      </w:tr>
      <w:tr w:rsidR="003F6155" w:rsidTr="00075414">
        <w:trPr>
          <w:trHeight w:val="285"/>
        </w:trPr>
        <w:tc>
          <w:tcPr>
            <w:tcW w:w="4174" w:type="dxa"/>
            <w:noWrap/>
            <w:hideMark/>
          </w:tcPr>
          <w:p w:rsidR="003F6155" w:rsidRDefault="003F6155" w:rsidP="00075414">
            <w:pPr>
              <w:pStyle w:val="TabletextLeft"/>
              <w:rPr>
                <w:rFonts w:eastAsiaTheme="minorHAnsi" w:cs="Arial"/>
                <w:szCs w:val="22"/>
              </w:rPr>
            </w:pPr>
            <w:r>
              <w:rPr>
                <w:rFonts w:eastAsiaTheme="minorHAnsi" w:cs="Arial"/>
                <w:szCs w:val="22"/>
              </w:rPr>
              <w:t>Other</w:t>
            </w:r>
          </w:p>
        </w:tc>
        <w:tc>
          <w:tcPr>
            <w:tcW w:w="1148" w:type="dxa"/>
            <w:noWrap/>
            <w:hideMark/>
          </w:tcPr>
          <w:p w:rsidR="003F6155" w:rsidRDefault="003F6155" w:rsidP="00075414">
            <w:pPr>
              <w:pStyle w:val="TabletextCentre"/>
              <w:rPr>
                <w:rFonts w:ascii="Arial" w:eastAsiaTheme="minorHAnsi" w:hAnsi="Arial"/>
                <w:lang w:eastAsia="en-AU"/>
              </w:rPr>
            </w:pPr>
            <w:r>
              <w:rPr>
                <w:lang w:eastAsia="en-AU"/>
              </w:rPr>
              <w:t>N/A</w:t>
            </w:r>
          </w:p>
        </w:tc>
        <w:tc>
          <w:tcPr>
            <w:tcW w:w="1174" w:type="dxa"/>
            <w:noWrap/>
            <w:hideMark/>
          </w:tcPr>
          <w:p w:rsidR="003F6155" w:rsidRDefault="003F6155" w:rsidP="00075414">
            <w:pPr>
              <w:pStyle w:val="TabletextCentre"/>
              <w:rPr>
                <w:rFonts w:ascii="Arial" w:eastAsiaTheme="minorHAnsi" w:hAnsi="Arial"/>
                <w:lang w:eastAsia="en-AU"/>
              </w:rPr>
            </w:pPr>
            <w:r>
              <w:rPr>
                <w:lang w:eastAsia="en-AU"/>
              </w:rPr>
              <w:t>N/A</w:t>
            </w:r>
          </w:p>
        </w:tc>
        <w:tc>
          <w:tcPr>
            <w:tcW w:w="1052" w:type="dxa"/>
            <w:noWrap/>
            <w:hideMark/>
          </w:tcPr>
          <w:p w:rsidR="003F6155" w:rsidRDefault="003F6155" w:rsidP="00075414">
            <w:pPr>
              <w:pStyle w:val="TabletextCentre"/>
              <w:rPr>
                <w:rFonts w:ascii="Arial" w:eastAsiaTheme="minorHAnsi" w:hAnsi="Arial"/>
                <w:lang w:eastAsia="en-AU"/>
              </w:rPr>
            </w:pPr>
            <w:r>
              <w:rPr>
                <w:lang w:eastAsia="en-AU"/>
              </w:rPr>
              <w:t>N/A</w:t>
            </w:r>
          </w:p>
        </w:tc>
        <w:tc>
          <w:tcPr>
            <w:tcW w:w="1055" w:type="dxa"/>
            <w:noWrap/>
            <w:hideMark/>
          </w:tcPr>
          <w:p w:rsidR="003F6155" w:rsidRDefault="003F6155" w:rsidP="00075414">
            <w:pPr>
              <w:pStyle w:val="TabletextCentre"/>
              <w:rPr>
                <w:rFonts w:ascii="Arial" w:eastAsiaTheme="minorHAnsi" w:hAnsi="Arial"/>
                <w:lang w:eastAsia="en-AU"/>
              </w:rPr>
            </w:pPr>
            <w:r>
              <w:rPr>
                <w:lang w:eastAsia="en-AU"/>
              </w:rPr>
              <w:t>996</w:t>
            </w:r>
          </w:p>
        </w:tc>
        <w:tc>
          <w:tcPr>
            <w:tcW w:w="787" w:type="dxa"/>
            <w:noWrap/>
            <w:hideMark/>
          </w:tcPr>
          <w:p w:rsidR="003F6155" w:rsidRDefault="003F6155" w:rsidP="00075414">
            <w:pPr>
              <w:pStyle w:val="TabletextCentre"/>
              <w:rPr>
                <w:rFonts w:ascii="Arial" w:eastAsiaTheme="minorHAnsi" w:hAnsi="Arial"/>
                <w:lang w:eastAsia="en-AU"/>
              </w:rPr>
            </w:pPr>
            <w:r>
              <w:rPr>
                <w:lang w:eastAsia="en-AU"/>
              </w:rPr>
              <w:t>612</w:t>
            </w:r>
          </w:p>
        </w:tc>
      </w:tr>
    </w:tbl>
    <w:p w:rsidR="003F6155" w:rsidRDefault="003F6155" w:rsidP="003F6155">
      <w:pPr>
        <w:pStyle w:val="Source"/>
      </w:pPr>
      <w:r>
        <w:t>Source: HILDA, Deloitte Access Economics</w:t>
      </w:r>
    </w:p>
    <w:p w:rsidR="003F6155" w:rsidRDefault="00F6625A" w:rsidP="003F6155">
      <w:pPr>
        <w:spacing w:before="240"/>
        <w:jc w:val="both"/>
      </w:pPr>
      <w:r>
        <w:t xml:space="preserve">However, the </w:t>
      </w:r>
      <w:r w:rsidR="00C341F5">
        <w:t xml:space="preserve">corresponding interaction variables were excluded from the final model specification. When included, </w:t>
      </w:r>
      <w:r w:rsidR="003F6155">
        <w:t xml:space="preserve">mixed results </w:t>
      </w:r>
      <w:r w:rsidR="00C341F5">
        <w:t xml:space="preserve">were obtained </w:t>
      </w:r>
      <w:r w:rsidR="003F6155">
        <w:t xml:space="preserve">in terms of the significance of the interaction terms </w:t>
      </w:r>
      <w:r w:rsidR="00C341F5">
        <w:t>a</w:t>
      </w:r>
      <w:r w:rsidR="003F6155">
        <w:t>nd their explanatory power, in part stemming from the small number</w:t>
      </w:r>
      <w:r w:rsidR="00C341F5">
        <w:t>s</w:t>
      </w:r>
      <w:r w:rsidR="003F6155">
        <w:t xml:space="preserve"> of observations for some field of education</w:t>
      </w:r>
      <w:r w:rsidR="00813DE4">
        <w:t>/</w:t>
      </w:r>
      <w:r w:rsidR="003F6155">
        <w:t xml:space="preserve">qualification level combinations (and the </w:t>
      </w:r>
      <w:r w:rsidR="00CB783E">
        <w:t>lack of variation in the terms across waves,</w:t>
      </w:r>
      <w:r w:rsidR="003F6155">
        <w:t xml:space="preserve"> given the application of human capital variables observed in Wave 12 to other waves). </w:t>
      </w:r>
    </w:p>
    <w:p w:rsidR="003F6155" w:rsidRPr="008B5E48" w:rsidRDefault="003F6155" w:rsidP="003F6155">
      <w:pPr>
        <w:spacing w:before="240"/>
        <w:jc w:val="both"/>
        <w:rPr>
          <w:b/>
          <w:color w:val="00A1DE"/>
        </w:rPr>
      </w:pPr>
      <w:r w:rsidRPr="008B5E48">
        <w:rPr>
          <w:b/>
          <w:color w:val="00A1DE"/>
        </w:rPr>
        <w:t xml:space="preserve">Use of five-year age brackets </w:t>
      </w:r>
    </w:p>
    <w:p w:rsidR="003F6155" w:rsidRDefault="00CB783E" w:rsidP="003F6155">
      <w:pPr>
        <w:spacing w:before="240"/>
        <w:jc w:val="both"/>
      </w:pPr>
      <w:r>
        <w:fldChar w:fldCharType="begin"/>
      </w:r>
      <w:r>
        <w:instrText xml:space="preserve"> REF _Ref457418044 \r \h </w:instrText>
      </w:r>
      <w:r>
        <w:fldChar w:fldCharType="separate"/>
      </w:r>
      <w:r w:rsidR="00534F9F">
        <w:t>Chart B.1</w:t>
      </w:r>
      <w:r>
        <w:fldChar w:fldCharType="end"/>
      </w:r>
      <w:r>
        <w:t xml:space="preserve"> illustrates the variation in average real weekly wages by age, for full-time and part-time workers and by gender. To capture these shapes, a</w:t>
      </w:r>
      <w:r w:rsidR="003F6155" w:rsidRPr="00935874">
        <w:t>ge is included in the model in five</w:t>
      </w:r>
      <w:r>
        <w:t>-</w:t>
      </w:r>
      <w:r w:rsidR="003F6155" w:rsidRPr="00935874">
        <w:t xml:space="preserve">year brackets. Several different </w:t>
      </w:r>
      <w:r w:rsidR="003F6155">
        <w:t>forms of this variable were tested (age and age squared, ten</w:t>
      </w:r>
      <w:r>
        <w:t>-</w:t>
      </w:r>
      <w:r w:rsidR="003F6155">
        <w:t>year brackets and five</w:t>
      </w:r>
      <w:r>
        <w:t>-</w:t>
      </w:r>
      <w:r w:rsidR="003F6155">
        <w:t>year brackets), and it was found that using five</w:t>
      </w:r>
      <w:r>
        <w:t>-</w:t>
      </w:r>
      <w:r w:rsidR="003F6155">
        <w:t xml:space="preserve">year age brackets </w:t>
      </w:r>
      <w:r>
        <w:t xml:space="preserve">provided the best fit </w:t>
      </w:r>
      <w:r w:rsidR="003F6155">
        <w:t>of the model</w:t>
      </w:r>
      <w:r>
        <w:t>.</w:t>
      </w:r>
      <w:r w:rsidR="003F6155">
        <w:t xml:space="preserve">  </w:t>
      </w:r>
    </w:p>
    <w:p w:rsidR="003F6155" w:rsidRPr="00935874" w:rsidRDefault="003F6155" w:rsidP="003F6155">
      <w:pPr>
        <w:pStyle w:val="AppendixChartCaption"/>
      </w:pPr>
      <w:bookmarkStart w:id="306" w:name="_Ref457418044"/>
      <w:bookmarkStart w:id="307" w:name="_Toc460586398"/>
      <w:bookmarkStart w:id="308" w:name="_Toc465961175"/>
      <w:r>
        <w:t>: Average real weekly wages for all workers, by gender, full-time/part-time status</w:t>
      </w:r>
      <w:bookmarkEnd w:id="306"/>
      <w:r>
        <w:t xml:space="preserve"> and age</w:t>
      </w:r>
      <w:bookmarkEnd w:id="307"/>
      <w:bookmarkEnd w:id="308"/>
    </w:p>
    <w:p w:rsidR="003F6155" w:rsidRDefault="008D505F" w:rsidP="003F6155">
      <w:pPr>
        <w:spacing w:before="240"/>
        <w:jc w:val="center"/>
        <w:rPr>
          <w:highlight w:val="yellow"/>
        </w:rPr>
      </w:pPr>
      <w:r>
        <w:rPr>
          <w:noProof/>
          <w:lang w:eastAsia="en-AU"/>
        </w:rPr>
        <w:drawing>
          <wp:inline distT="0" distB="0" distL="0" distR="0" wp14:anchorId="4DBB0A33" wp14:editId="1B832E15">
            <wp:extent cx="4157980" cy="2761615"/>
            <wp:effectExtent l="0" t="0" r="0" b="635"/>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57980" cy="2761615"/>
                    </a:xfrm>
                    <a:prstGeom prst="rect">
                      <a:avLst/>
                    </a:prstGeom>
                    <a:noFill/>
                  </pic:spPr>
                </pic:pic>
              </a:graphicData>
            </a:graphic>
          </wp:inline>
        </w:drawing>
      </w:r>
    </w:p>
    <w:p w:rsidR="003F6155" w:rsidRDefault="003F6155" w:rsidP="003F6155">
      <w:pPr>
        <w:pStyle w:val="Source"/>
      </w:pPr>
      <w:r>
        <w:t>Source: HILDA, Deloitte Access Economics</w:t>
      </w:r>
    </w:p>
    <w:p w:rsidR="003F6155" w:rsidRDefault="003F6155" w:rsidP="003F6155">
      <w:pPr>
        <w:spacing w:before="240"/>
        <w:jc w:val="both"/>
        <w:rPr>
          <w:b/>
          <w:color w:val="00A1DE"/>
        </w:rPr>
      </w:pPr>
      <w:r w:rsidRPr="00A71895">
        <w:rPr>
          <w:b/>
          <w:color w:val="00A1DE"/>
        </w:rPr>
        <w:lastRenderedPageBreak/>
        <w:t xml:space="preserve">Interaction between qualification level and </w:t>
      </w:r>
      <w:r>
        <w:rPr>
          <w:b/>
          <w:color w:val="00A1DE"/>
        </w:rPr>
        <w:t>age</w:t>
      </w:r>
    </w:p>
    <w:p w:rsidR="003E556B" w:rsidRDefault="003F6155" w:rsidP="003F6155">
      <w:pPr>
        <w:tabs>
          <w:tab w:val="left" w:pos="4873"/>
        </w:tabs>
        <w:spacing w:before="240"/>
        <w:jc w:val="both"/>
        <w:rPr>
          <w:lang w:eastAsia="en-AU"/>
        </w:rPr>
      </w:pPr>
      <w:r>
        <w:rPr>
          <w:lang w:eastAsia="en-AU"/>
        </w:rPr>
        <w:t>Sinning (2014)</w:t>
      </w:r>
      <w:r w:rsidR="00CB783E">
        <w:rPr>
          <w:lang w:eastAsia="en-AU"/>
        </w:rPr>
        <w:t>, for example,</w:t>
      </w:r>
      <w:r>
        <w:rPr>
          <w:lang w:eastAsia="en-AU"/>
        </w:rPr>
        <w:t xml:space="preserve"> notes that individuals with different levels of educational attainment may have different wage trajectories over time</w:t>
      </w:r>
      <w:r w:rsidR="00CB783E">
        <w:rPr>
          <w:lang w:eastAsia="en-AU"/>
        </w:rPr>
        <w:t xml:space="preserve"> – </w:t>
      </w:r>
      <w:r>
        <w:rPr>
          <w:lang w:eastAsia="en-AU"/>
        </w:rPr>
        <w:t>as they accumulate experience</w:t>
      </w:r>
      <w:r w:rsidR="00CB783E">
        <w:rPr>
          <w:lang w:eastAsia="en-AU"/>
        </w:rPr>
        <w:t xml:space="preserve"> and later move towards retirement</w:t>
      </w:r>
      <w:r>
        <w:rPr>
          <w:lang w:eastAsia="en-AU"/>
        </w:rPr>
        <w:t xml:space="preserve">. </w:t>
      </w:r>
      <w:r w:rsidR="003E556B">
        <w:rPr>
          <w:lang w:eastAsia="en-AU"/>
        </w:rPr>
        <w:fldChar w:fldCharType="begin"/>
      </w:r>
      <w:r w:rsidR="003E556B">
        <w:rPr>
          <w:lang w:eastAsia="en-AU"/>
        </w:rPr>
        <w:instrText xml:space="preserve"> REF _Ref457419843 \r \h </w:instrText>
      </w:r>
      <w:r w:rsidR="003E556B">
        <w:rPr>
          <w:lang w:eastAsia="en-AU"/>
        </w:rPr>
      </w:r>
      <w:r w:rsidR="003E556B">
        <w:rPr>
          <w:lang w:eastAsia="en-AU"/>
        </w:rPr>
        <w:fldChar w:fldCharType="separate"/>
      </w:r>
      <w:r w:rsidR="00534F9F">
        <w:rPr>
          <w:lang w:eastAsia="en-AU"/>
        </w:rPr>
        <w:t>Chart B.2</w:t>
      </w:r>
      <w:r w:rsidR="003E556B">
        <w:rPr>
          <w:lang w:eastAsia="en-AU"/>
        </w:rPr>
        <w:fldChar w:fldCharType="end"/>
      </w:r>
      <w:r w:rsidR="003E556B">
        <w:rPr>
          <w:lang w:eastAsia="en-AU"/>
        </w:rPr>
        <w:t xml:space="preserve"> shows the trajectories in the HILDA data. </w:t>
      </w:r>
    </w:p>
    <w:p w:rsidR="003F6155" w:rsidRDefault="003F6155" w:rsidP="003F6155">
      <w:pPr>
        <w:tabs>
          <w:tab w:val="left" w:pos="4873"/>
        </w:tabs>
        <w:spacing w:before="240"/>
        <w:jc w:val="both"/>
        <w:rPr>
          <w:lang w:eastAsia="en-AU"/>
        </w:rPr>
      </w:pPr>
      <w:r>
        <w:rPr>
          <w:lang w:eastAsia="en-AU"/>
        </w:rPr>
        <w:t>As a result, th</w:t>
      </w:r>
      <w:r w:rsidR="0003212B">
        <w:rPr>
          <w:lang w:eastAsia="en-AU"/>
        </w:rPr>
        <w:t>e</w:t>
      </w:r>
      <w:r>
        <w:rPr>
          <w:lang w:eastAsia="en-AU"/>
        </w:rPr>
        <w:t xml:space="preserve"> analysis considers the impact that different levels of experience may have on the earnings of individuals with different levels of educational attainment by including interaction term</w:t>
      </w:r>
      <w:r w:rsidR="00F6625A">
        <w:rPr>
          <w:lang w:eastAsia="en-AU"/>
        </w:rPr>
        <w:t>s</w:t>
      </w:r>
      <w:r>
        <w:rPr>
          <w:lang w:eastAsia="en-AU"/>
        </w:rPr>
        <w:t xml:space="preserve"> between educational attainment and </w:t>
      </w:r>
      <w:r w:rsidR="00F6625A">
        <w:rPr>
          <w:lang w:eastAsia="en-AU"/>
        </w:rPr>
        <w:t xml:space="preserve">the </w:t>
      </w:r>
      <w:r>
        <w:rPr>
          <w:lang w:eastAsia="en-AU"/>
        </w:rPr>
        <w:t>age</w:t>
      </w:r>
      <w:r w:rsidR="00F6625A">
        <w:rPr>
          <w:lang w:eastAsia="en-AU"/>
        </w:rPr>
        <w:t xml:space="preserve"> variables</w:t>
      </w:r>
      <w:r w:rsidR="0003212B">
        <w:rPr>
          <w:lang w:eastAsia="en-AU"/>
        </w:rPr>
        <w:t>. (Age is a proxy for experience since experience is not directly measured in the HILDA data)</w:t>
      </w:r>
      <w:r>
        <w:rPr>
          <w:lang w:eastAsia="en-AU"/>
        </w:rPr>
        <w:t xml:space="preserve">. </w:t>
      </w:r>
    </w:p>
    <w:p w:rsidR="003F6155" w:rsidRDefault="003F6155" w:rsidP="003F6155">
      <w:pPr>
        <w:pStyle w:val="AppendixChartCaption"/>
      </w:pPr>
      <w:bookmarkStart w:id="309" w:name="_Ref457419843"/>
      <w:bookmarkStart w:id="310" w:name="_Toc460586399"/>
      <w:bookmarkStart w:id="311" w:name="_Toc465961176"/>
      <w:r>
        <w:t>: Average real weekly wages for all workers, by qualification level and age</w:t>
      </w:r>
      <w:bookmarkEnd w:id="309"/>
      <w:bookmarkEnd w:id="310"/>
      <w:bookmarkEnd w:id="311"/>
    </w:p>
    <w:p w:rsidR="003F6155" w:rsidRDefault="00E74CEE" w:rsidP="003F6155">
      <w:pPr>
        <w:spacing w:before="240"/>
        <w:jc w:val="center"/>
        <w:rPr>
          <w:highlight w:val="yellow"/>
        </w:rPr>
      </w:pPr>
      <w:r>
        <w:rPr>
          <w:noProof/>
          <w:lang w:eastAsia="en-AU"/>
        </w:rPr>
        <w:drawing>
          <wp:inline distT="0" distB="0" distL="0" distR="0" wp14:anchorId="128B9028" wp14:editId="0F260EAC">
            <wp:extent cx="4816475" cy="2603500"/>
            <wp:effectExtent l="0" t="0" r="3175" b="635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16475" cy="2603500"/>
                    </a:xfrm>
                    <a:prstGeom prst="rect">
                      <a:avLst/>
                    </a:prstGeom>
                    <a:noFill/>
                  </pic:spPr>
                </pic:pic>
              </a:graphicData>
            </a:graphic>
          </wp:inline>
        </w:drawing>
      </w:r>
    </w:p>
    <w:p w:rsidR="003F6155" w:rsidRDefault="003F6155" w:rsidP="003F6155">
      <w:pPr>
        <w:pStyle w:val="Source"/>
      </w:pPr>
      <w:r>
        <w:t>Source: HILDA, Deloitte Access Economics</w:t>
      </w:r>
    </w:p>
    <w:p w:rsidR="003F6155" w:rsidRPr="000B7345" w:rsidRDefault="003F6155" w:rsidP="003F6155">
      <w:pPr>
        <w:pStyle w:val="BodyText"/>
        <w:rPr>
          <w:b/>
          <w:color w:val="00A1DE"/>
        </w:rPr>
      </w:pPr>
      <w:r w:rsidRPr="000B7345">
        <w:rPr>
          <w:b/>
          <w:color w:val="00A1DE"/>
        </w:rPr>
        <w:t xml:space="preserve">Hours worked </w:t>
      </w:r>
    </w:p>
    <w:p w:rsidR="003F6155" w:rsidRDefault="003F6155" w:rsidP="003F6155">
      <w:pPr>
        <w:pStyle w:val="BodyText"/>
      </w:pPr>
      <w:r w:rsidRPr="00113FF5">
        <w:t xml:space="preserve">Hours worked by an individual </w:t>
      </w:r>
      <w:r w:rsidR="003E556B">
        <w:t xml:space="preserve">(in a typical week) </w:t>
      </w:r>
      <w:r w:rsidRPr="00113FF5">
        <w:t>is included in the earnings model</w:t>
      </w:r>
      <w:r w:rsidR="00F6625A">
        <w:t xml:space="preserve"> because the model </w:t>
      </w:r>
      <w:r w:rsidRPr="00113FF5">
        <w:t>use</w:t>
      </w:r>
      <w:r w:rsidR="003E556B">
        <w:t>s</w:t>
      </w:r>
      <w:r w:rsidRPr="00113FF5">
        <w:t xml:space="preserve"> log weekly wages as the dependent variable</w:t>
      </w:r>
      <w:r w:rsidR="003E556B">
        <w:t xml:space="preserve">. There are two possible effects:  (i) weekly wages can be viewed simply as hourly wage times hours worked, and (ii) hourly wages may vary with hours worked. </w:t>
      </w:r>
      <w:r>
        <w:fldChar w:fldCharType="begin"/>
      </w:r>
      <w:r>
        <w:instrText xml:space="preserve"> REF _Ref457417683 \r \h </w:instrText>
      </w:r>
      <w:r>
        <w:fldChar w:fldCharType="separate"/>
      </w:r>
      <w:r w:rsidR="00534F9F">
        <w:t>Chart B.3</w:t>
      </w:r>
      <w:r>
        <w:fldChar w:fldCharType="end"/>
      </w:r>
      <w:r w:rsidR="003E556B">
        <w:t xml:space="preserve"> shows the relationship between wages and hours worked.  W</w:t>
      </w:r>
      <w:r>
        <w:t>eekly wages increase in a fairly linear fashion between 0 and 50 hours a week</w:t>
      </w:r>
      <w:r w:rsidR="003E556B">
        <w:t xml:space="preserve"> and then level out. The higher variability </w:t>
      </w:r>
      <w:r w:rsidR="00F6625A">
        <w:t xml:space="preserve">of average wages </w:t>
      </w:r>
      <w:r w:rsidR="003E556B">
        <w:t xml:space="preserve">at higher </w:t>
      </w:r>
      <w:r w:rsidR="00F6625A">
        <w:t xml:space="preserve">levels of </w:t>
      </w:r>
      <w:r w:rsidR="003E556B">
        <w:t>hours worked reflect</w:t>
      </w:r>
      <w:r w:rsidR="00F6625A">
        <w:t>s</w:t>
      </w:r>
      <w:r w:rsidR="003E556B">
        <w:t xml:space="preserve"> smaller numbers of observations</w:t>
      </w:r>
      <w:r>
        <w:t xml:space="preserve">. </w:t>
      </w:r>
      <w:r w:rsidR="003E556B">
        <w:t>Log hours worked per week was used in the model.</w:t>
      </w:r>
    </w:p>
    <w:p w:rsidR="003F6155" w:rsidRDefault="003F6155" w:rsidP="003F6155">
      <w:pPr>
        <w:pStyle w:val="AppendixChartCaption"/>
      </w:pPr>
      <w:bookmarkStart w:id="312" w:name="_Ref457417683"/>
      <w:bookmarkStart w:id="313" w:name="_Ref457419840"/>
      <w:bookmarkStart w:id="314" w:name="_Toc460586400"/>
      <w:bookmarkStart w:id="315" w:name="_Toc465961177"/>
      <w:r>
        <w:lastRenderedPageBreak/>
        <w:t>: Average real weekly wages for all workers, by</w:t>
      </w:r>
      <w:bookmarkEnd w:id="312"/>
      <w:r>
        <w:t xml:space="preserve"> hours worked</w:t>
      </w:r>
      <w:bookmarkEnd w:id="313"/>
      <w:bookmarkEnd w:id="314"/>
      <w:bookmarkEnd w:id="315"/>
    </w:p>
    <w:p w:rsidR="003F6155" w:rsidRDefault="008D505F" w:rsidP="003F6155">
      <w:pPr>
        <w:pStyle w:val="BodyText"/>
        <w:jc w:val="center"/>
      </w:pPr>
      <w:r>
        <w:rPr>
          <w:noProof/>
          <w:lang w:eastAsia="en-AU"/>
        </w:rPr>
        <w:drawing>
          <wp:inline distT="0" distB="0" distL="0" distR="0" wp14:anchorId="420DA28B" wp14:editId="202181F8">
            <wp:extent cx="3697357" cy="2400059"/>
            <wp:effectExtent l="0" t="0" r="0" b="635"/>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98291" cy="2400666"/>
                    </a:xfrm>
                    <a:prstGeom prst="rect">
                      <a:avLst/>
                    </a:prstGeom>
                    <a:noFill/>
                  </pic:spPr>
                </pic:pic>
              </a:graphicData>
            </a:graphic>
          </wp:inline>
        </w:drawing>
      </w:r>
    </w:p>
    <w:p w:rsidR="003F6155" w:rsidRDefault="003F6155" w:rsidP="003F6155">
      <w:pPr>
        <w:pStyle w:val="Source"/>
      </w:pPr>
      <w:r>
        <w:t xml:space="preserve">Source: HILDA, Deloitte Access Economics. Note: Individuals working more than 80 hours per week are excluded from this chart for the purposes of readability. </w:t>
      </w:r>
    </w:p>
    <w:p w:rsidR="003F6155" w:rsidRPr="00AB1F21" w:rsidRDefault="003F6155" w:rsidP="003F6155">
      <w:pPr>
        <w:pStyle w:val="BodyText"/>
        <w:rPr>
          <w:rStyle w:val="Boldword"/>
          <w:color w:val="00A1DE"/>
        </w:rPr>
      </w:pPr>
      <w:r w:rsidRPr="00AB1F21">
        <w:rPr>
          <w:rStyle w:val="Boldword"/>
          <w:color w:val="00A1DE"/>
        </w:rPr>
        <w:t>Provider level variables</w:t>
      </w:r>
    </w:p>
    <w:p w:rsidR="003F6155" w:rsidRDefault="003F6155" w:rsidP="003F6155">
      <w:pPr>
        <w:spacing w:before="240"/>
        <w:jc w:val="both"/>
        <w:rPr>
          <w:lang w:eastAsia="en-AU"/>
        </w:rPr>
      </w:pPr>
      <w:r>
        <w:rPr>
          <w:lang w:eastAsia="en-AU"/>
        </w:rPr>
        <w:t>Provider level variables were included in the econometric modelling, using the groupings from Wilkins (2015)</w:t>
      </w:r>
      <w:r w:rsidR="005D0E98">
        <w:rPr>
          <w:lang w:eastAsia="en-AU"/>
        </w:rPr>
        <w:t>,</w:t>
      </w:r>
      <w:r>
        <w:rPr>
          <w:lang w:eastAsia="en-AU"/>
        </w:rPr>
        <w:t xml:space="preserve"> to </w:t>
      </w:r>
      <w:r w:rsidR="005D0E98">
        <w:rPr>
          <w:lang w:eastAsia="en-AU"/>
        </w:rPr>
        <w:t>evaluate</w:t>
      </w:r>
      <w:r>
        <w:rPr>
          <w:lang w:eastAsia="en-AU"/>
        </w:rPr>
        <w:t xml:space="preserve"> whether the private benefits from higher education significantly varied by provider group. The groupings used were: </w:t>
      </w:r>
    </w:p>
    <w:p w:rsidR="003F6155" w:rsidRDefault="003F6155" w:rsidP="003F6155">
      <w:pPr>
        <w:pStyle w:val="Bullet1"/>
      </w:pPr>
      <w:r w:rsidRPr="00F5599F">
        <w:rPr>
          <w:rStyle w:val="Boldword"/>
        </w:rPr>
        <w:t>Group of 8 (Go8)</w:t>
      </w:r>
      <w:r>
        <w:t xml:space="preserve">: The University of Adelaide, The Australian National University, The University of Melbourne, Monash University, The University of New South Wales, The University of Queensland, The University of Sydney and The University of Western Australia; </w:t>
      </w:r>
    </w:p>
    <w:p w:rsidR="003F6155" w:rsidRDefault="003F6155" w:rsidP="003F6155">
      <w:pPr>
        <w:pStyle w:val="Bullet1"/>
      </w:pPr>
      <w:r w:rsidRPr="00F5599F">
        <w:rPr>
          <w:rStyle w:val="Boldword"/>
        </w:rPr>
        <w:t>Australian Technology Network (ATN)</w:t>
      </w:r>
      <w:r>
        <w:t>: Curtin University of Technology, University of South Australia, RMIT University, University of Technology Sydney and Queensland University of Technology;</w:t>
      </w:r>
    </w:p>
    <w:p w:rsidR="003F6155" w:rsidRDefault="003F6155" w:rsidP="003F6155">
      <w:pPr>
        <w:pStyle w:val="Bullet1"/>
      </w:pPr>
      <w:r w:rsidRPr="00F5599F">
        <w:rPr>
          <w:rStyle w:val="Boldword"/>
        </w:rPr>
        <w:t>Innovative Research Universities (IRU)</w:t>
      </w:r>
      <w:r>
        <w:t>: Flinders University, Griffith University, La Trobe University, Murdoch University, University of Newcastle, James Cook University and Charles Darwin University);</w:t>
      </w:r>
      <w:r w:rsidR="005D0E98">
        <w:t xml:space="preserve"> and</w:t>
      </w:r>
    </w:p>
    <w:p w:rsidR="003F6155" w:rsidRDefault="003F6155" w:rsidP="00622A86">
      <w:pPr>
        <w:pStyle w:val="Bullet1"/>
      </w:pPr>
      <w:r w:rsidRPr="00F5599F">
        <w:rPr>
          <w:rStyle w:val="Boldword"/>
        </w:rPr>
        <w:t>Regional Universities Network (RUN)</w:t>
      </w:r>
      <w:r>
        <w:t>: Central Queensland University, Southern Cross University, University of Ballarat, University of New England, University of Southern Queensland and University of the Sunshine Coast</w:t>
      </w:r>
      <w:r w:rsidR="005D0E98">
        <w:t>.</w:t>
      </w:r>
      <w:r>
        <w:t xml:space="preserve"> </w:t>
      </w:r>
    </w:p>
    <w:p w:rsidR="003F6155" w:rsidRDefault="005D0E98" w:rsidP="00DA4CA5">
      <w:pPr>
        <w:pStyle w:val="Bullet1"/>
      </w:pPr>
      <w:r>
        <w:t>T</w:t>
      </w:r>
      <w:r w:rsidR="003F6155">
        <w:t>he remaining 13 universities are classified as ‘</w:t>
      </w:r>
      <w:r w:rsidR="003F6155" w:rsidRPr="00DA4CA5">
        <w:rPr>
          <w:rStyle w:val="Boldword"/>
        </w:rPr>
        <w:t>Other</w:t>
      </w:r>
      <w:r w:rsidR="003F6155">
        <w:t xml:space="preserve">’ universities. </w:t>
      </w:r>
    </w:p>
    <w:p w:rsidR="003F6155" w:rsidRDefault="003F6155" w:rsidP="003F6155">
      <w:pPr>
        <w:spacing w:before="240"/>
        <w:jc w:val="both"/>
      </w:pPr>
      <w:r>
        <w:t xml:space="preserve">The econometric results suggested that these provider variables did not have a significant impact on wages, and did not significantly improve the fit of the model. As a result, these variables were excluded from the final model specification. </w:t>
      </w:r>
    </w:p>
    <w:p w:rsidR="003F6155" w:rsidRPr="00941414" w:rsidRDefault="003F6155" w:rsidP="003F6155">
      <w:pPr>
        <w:pStyle w:val="BodyText"/>
        <w:rPr>
          <w:b/>
          <w:color w:val="00A1DE"/>
        </w:rPr>
      </w:pPr>
      <w:r w:rsidRPr="00941414">
        <w:rPr>
          <w:b/>
          <w:color w:val="00A1DE"/>
        </w:rPr>
        <w:t>State</w:t>
      </w:r>
      <w:r w:rsidR="005D0E98">
        <w:rPr>
          <w:b/>
          <w:color w:val="00A1DE"/>
        </w:rPr>
        <w:t>/Territory</w:t>
      </w:r>
      <w:r w:rsidRPr="00941414">
        <w:rPr>
          <w:b/>
          <w:color w:val="00A1DE"/>
        </w:rPr>
        <w:t xml:space="preserve"> and ABS Remoteness Area</w:t>
      </w:r>
    </w:p>
    <w:p w:rsidR="003F6155" w:rsidRDefault="003F6155" w:rsidP="003F6155">
      <w:pPr>
        <w:pStyle w:val="BodyText"/>
      </w:pPr>
      <w:r>
        <w:fldChar w:fldCharType="begin"/>
      </w:r>
      <w:r>
        <w:instrText xml:space="preserve"> REF _Ref457411581 \r \h </w:instrText>
      </w:r>
      <w:r>
        <w:fldChar w:fldCharType="separate"/>
      </w:r>
      <w:r w:rsidR="00534F9F">
        <w:t>Table B.3</w:t>
      </w:r>
      <w:r>
        <w:fldChar w:fldCharType="end"/>
      </w:r>
      <w:r>
        <w:t xml:space="preserve"> shows the unweighted number of observations across time, by ABS Remoteness Area and State</w:t>
      </w:r>
      <w:r w:rsidR="005D0E98">
        <w:t>/Territory</w:t>
      </w:r>
      <w:r>
        <w:t xml:space="preserve"> in the HILDA data. Each unique combination of State</w:t>
      </w:r>
      <w:r w:rsidR="005D0E98">
        <w:t>/Territory</w:t>
      </w:r>
      <w:r>
        <w:t xml:space="preserve"> and Remoteness Area is defined as a </w:t>
      </w:r>
      <w:r w:rsidR="005D0E98">
        <w:t>‘</w:t>
      </w:r>
      <w:r>
        <w:t>region</w:t>
      </w:r>
      <w:r w:rsidR="005D0E98">
        <w:t>’</w:t>
      </w:r>
      <w:r>
        <w:t xml:space="preserve"> for the purposes of the labour market spillovers modelling. </w:t>
      </w:r>
    </w:p>
    <w:p w:rsidR="003F6155" w:rsidRDefault="003F6155" w:rsidP="003F6155">
      <w:pPr>
        <w:pStyle w:val="BodyText"/>
      </w:pPr>
      <w:r>
        <w:lastRenderedPageBreak/>
        <w:t xml:space="preserve">The table below suggests that the geographic cross-section </w:t>
      </w:r>
      <w:r w:rsidR="002F67B4">
        <w:t xml:space="preserve">has sufficient observations </w:t>
      </w:r>
      <w:r>
        <w:t>to develop a picture of average educational attainment in different regional labour markets.</w:t>
      </w:r>
    </w:p>
    <w:p w:rsidR="003F6155" w:rsidRDefault="003F6155" w:rsidP="003F6155">
      <w:pPr>
        <w:pStyle w:val="AppendixTableCaption"/>
      </w:pPr>
      <w:bookmarkStart w:id="316" w:name="_Toc457375699"/>
      <w:bookmarkStart w:id="317" w:name="_Ref457411581"/>
      <w:bookmarkStart w:id="318" w:name="_Toc460586424"/>
      <w:bookmarkStart w:id="319" w:name="_Toc465961136"/>
      <w:r>
        <w:t xml:space="preserve">: Distribution of observations </w:t>
      </w:r>
      <w:r w:rsidR="00B558D9">
        <w:t xml:space="preserve">across </w:t>
      </w:r>
      <w:r>
        <w:t xml:space="preserve">ABS Remoteness Area, by </w:t>
      </w:r>
      <w:bookmarkEnd w:id="316"/>
      <w:r>
        <w:t>state</w:t>
      </w:r>
      <w:bookmarkEnd w:id="317"/>
      <w:bookmarkEnd w:id="318"/>
      <w:r w:rsidR="00B558D9">
        <w:t>/territory</w:t>
      </w:r>
      <w:bookmarkEnd w:id="319"/>
    </w:p>
    <w:tbl>
      <w:tblPr>
        <w:tblStyle w:val="TableAE"/>
        <w:tblW w:w="7636" w:type="dxa"/>
        <w:tblLook w:val="04A0" w:firstRow="1" w:lastRow="0" w:firstColumn="1" w:lastColumn="0" w:noHBand="0" w:noVBand="1"/>
      </w:tblPr>
      <w:tblGrid>
        <w:gridCol w:w="2685"/>
        <w:gridCol w:w="1134"/>
        <w:gridCol w:w="1159"/>
        <w:gridCol w:w="1035"/>
        <w:gridCol w:w="1623"/>
      </w:tblGrid>
      <w:tr w:rsidR="003F6155" w:rsidRPr="00533796" w:rsidTr="00075414">
        <w:trPr>
          <w:cnfStyle w:val="100000000000" w:firstRow="1" w:lastRow="0" w:firstColumn="0" w:lastColumn="0" w:oddVBand="0" w:evenVBand="0" w:oddHBand="0" w:evenHBand="0" w:firstRowFirstColumn="0" w:firstRowLastColumn="0" w:lastRowFirstColumn="0" w:lastRowLastColumn="0"/>
          <w:trHeight w:val="255"/>
          <w:tblHeader/>
        </w:trPr>
        <w:tc>
          <w:tcPr>
            <w:tcW w:w="2685" w:type="dxa"/>
            <w:noWrap/>
            <w:hideMark/>
          </w:tcPr>
          <w:p w:rsidR="003F6155" w:rsidRPr="00533796" w:rsidRDefault="003F6155" w:rsidP="00075414">
            <w:pPr>
              <w:pStyle w:val="TableHeadingCentre"/>
              <w:rPr>
                <w:lang w:eastAsia="en-AU"/>
              </w:rPr>
            </w:pPr>
            <w:r>
              <w:rPr>
                <w:lang w:eastAsia="en-AU"/>
              </w:rPr>
              <w:t>State</w:t>
            </w:r>
            <w:r w:rsidR="00B558D9">
              <w:rPr>
                <w:lang w:eastAsia="en-AU"/>
              </w:rPr>
              <w:t>/Territory</w:t>
            </w:r>
          </w:p>
        </w:tc>
        <w:tc>
          <w:tcPr>
            <w:tcW w:w="1134" w:type="dxa"/>
            <w:noWrap/>
            <w:hideMark/>
          </w:tcPr>
          <w:p w:rsidR="003F6155" w:rsidRPr="00533796" w:rsidRDefault="003F6155" w:rsidP="00075414">
            <w:pPr>
              <w:pStyle w:val="TableHeadingCentre"/>
              <w:rPr>
                <w:lang w:eastAsia="en-AU"/>
              </w:rPr>
            </w:pPr>
            <w:r w:rsidRPr="00533796">
              <w:rPr>
                <w:lang w:eastAsia="en-AU"/>
              </w:rPr>
              <w:t>Major City</w:t>
            </w:r>
          </w:p>
        </w:tc>
        <w:tc>
          <w:tcPr>
            <w:tcW w:w="1159" w:type="dxa"/>
            <w:noWrap/>
            <w:hideMark/>
          </w:tcPr>
          <w:p w:rsidR="003F6155" w:rsidRPr="00533796" w:rsidRDefault="003F6155" w:rsidP="00075414">
            <w:pPr>
              <w:pStyle w:val="TableHeadingCentre"/>
              <w:rPr>
                <w:lang w:eastAsia="en-AU"/>
              </w:rPr>
            </w:pPr>
            <w:r w:rsidRPr="00533796">
              <w:rPr>
                <w:lang w:eastAsia="en-AU"/>
              </w:rPr>
              <w:t xml:space="preserve">Inner Regional </w:t>
            </w:r>
          </w:p>
        </w:tc>
        <w:tc>
          <w:tcPr>
            <w:tcW w:w="1035" w:type="dxa"/>
            <w:noWrap/>
            <w:hideMark/>
          </w:tcPr>
          <w:p w:rsidR="003F6155" w:rsidRPr="00533796" w:rsidRDefault="003F6155" w:rsidP="00075414">
            <w:pPr>
              <w:pStyle w:val="TableHeadingCentre"/>
              <w:rPr>
                <w:lang w:eastAsia="en-AU"/>
              </w:rPr>
            </w:pPr>
            <w:r w:rsidRPr="00533796">
              <w:rPr>
                <w:lang w:eastAsia="en-AU"/>
              </w:rPr>
              <w:t xml:space="preserve">Outer Regional </w:t>
            </w:r>
          </w:p>
        </w:tc>
        <w:tc>
          <w:tcPr>
            <w:tcW w:w="1623" w:type="dxa"/>
            <w:noWrap/>
            <w:hideMark/>
          </w:tcPr>
          <w:p w:rsidR="003F6155" w:rsidRPr="00533796" w:rsidRDefault="003F6155" w:rsidP="00075414">
            <w:pPr>
              <w:pStyle w:val="TableHeadingCentre"/>
              <w:rPr>
                <w:lang w:eastAsia="en-AU"/>
              </w:rPr>
            </w:pPr>
            <w:r w:rsidRPr="00533796">
              <w:rPr>
                <w:lang w:eastAsia="en-AU"/>
              </w:rPr>
              <w:t xml:space="preserve">Remote and Very Remote </w:t>
            </w:r>
          </w:p>
        </w:tc>
      </w:tr>
      <w:tr w:rsidR="003F6155" w:rsidRPr="00533796" w:rsidTr="00075414">
        <w:trPr>
          <w:trHeight w:val="255"/>
        </w:trPr>
        <w:tc>
          <w:tcPr>
            <w:tcW w:w="2685" w:type="dxa"/>
            <w:noWrap/>
            <w:hideMark/>
          </w:tcPr>
          <w:p w:rsidR="003F6155" w:rsidRPr="00533796" w:rsidRDefault="003F6155" w:rsidP="00075414">
            <w:pPr>
              <w:pStyle w:val="TabletextCentre"/>
              <w:jc w:val="left"/>
              <w:rPr>
                <w:lang w:eastAsia="en-AU"/>
              </w:rPr>
            </w:pPr>
            <w:r w:rsidRPr="00533796">
              <w:rPr>
                <w:lang w:eastAsia="en-AU"/>
              </w:rPr>
              <w:t>New South Wales</w:t>
            </w:r>
          </w:p>
        </w:tc>
        <w:tc>
          <w:tcPr>
            <w:tcW w:w="1134" w:type="dxa"/>
            <w:noWrap/>
            <w:vAlign w:val="bottom"/>
            <w:hideMark/>
          </w:tcPr>
          <w:p w:rsidR="003F6155" w:rsidRDefault="003F6155" w:rsidP="00075414">
            <w:pPr>
              <w:pStyle w:val="TabletextCentre"/>
            </w:pPr>
            <w:r>
              <w:t>19,158</w:t>
            </w:r>
          </w:p>
        </w:tc>
        <w:tc>
          <w:tcPr>
            <w:tcW w:w="1159" w:type="dxa"/>
            <w:noWrap/>
            <w:vAlign w:val="bottom"/>
            <w:hideMark/>
          </w:tcPr>
          <w:p w:rsidR="003F6155" w:rsidRDefault="003F6155" w:rsidP="00075414">
            <w:pPr>
              <w:pStyle w:val="TabletextCentre"/>
            </w:pPr>
            <w:r>
              <w:t>6,071</w:t>
            </w:r>
          </w:p>
        </w:tc>
        <w:tc>
          <w:tcPr>
            <w:tcW w:w="1035" w:type="dxa"/>
            <w:noWrap/>
            <w:vAlign w:val="bottom"/>
            <w:hideMark/>
          </w:tcPr>
          <w:p w:rsidR="003F6155" w:rsidRDefault="003F6155" w:rsidP="00075414">
            <w:pPr>
              <w:pStyle w:val="TabletextCentre"/>
            </w:pPr>
            <w:r>
              <w:t>1,819</w:t>
            </w:r>
          </w:p>
        </w:tc>
        <w:tc>
          <w:tcPr>
            <w:tcW w:w="1623" w:type="dxa"/>
            <w:noWrap/>
            <w:vAlign w:val="bottom"/>
            <w:hideMark/>
          </w:tcPr>
          <w:p w:rsidR="003F6155" w:rsidRDefault="003F6155" w:rsidP="00075414">
            <w:pPr>
              <w:pStyle w:val="TabletextCentre"/>
            </w:pPr>
            <w:r>
              <w:t>101</w:t>
            </w:r>
          </w:p>
        </w:tc>
      </w:tr>
      <w:tr w:rsidR="003F6155" w:rsidRPr="00533796" w:rsidTr="00075414">
        <w:trPr>
          <w:trHeight w:val="255"/>
        </w:trPr>
        <w:tc>
          <w:tcPr>
            <w:tcW w:w="2685" w:type="dxa"/>
            <w:noWrap/>
            <w:hideMark/>
          </w:tcPr>
          <w:p w:rsidR="003F6155" w:rsidRPr="00533796" w:rsidRDefault="003F6155" w:rsidP="00075414">
            <w:pPr>
              <w:pStyle w:val="TabletextCentre"/>
              <w:jc w:val="left"/>
              <w:rPr>
                <w:lang w:eastAsia="en-AU"/>
              </w:rPr>
            </w:pPr>
            <w:r w:rsidRPr="00533796">
              <w:rPr>
                <w:lang w:eastAsia="en-AU"/>
              </w:rPr>
              <w:t>Victoria</w:t>
            </w:r>
          </w:p>
        </w:tc>
        <w:tc>
          <w:tcPr>
            <w:tcW w:w="1134" w:type="dxa"/>
            <w:noWrap/>
            <w:vAlign w:val="bottom"/>
            <w:hideMark/>
          </w:tcPr>
          <w:p w:rsidR="003F6155" w:rsidRDefault="003F6155" w:rsidP="00075414">
            <w:pPr>
              <w:pStyle w:val="TabletextCentre"/>
            </w:pPr>
            <w:r>
              <w:t>17,383</w:t>
            </w:r>
          </w:p>
        </w:tc>
        <w:tc>
          <w:tcPr>
            <w:tcW w:w="1159" w:type="dxa"/>
            <w:noWrap/>
            <w:vAlign w:val="bottom"/>
            <w:hideMark/>
          </w:tcPr>
          <w:p w:rsidR="003F6155" w:rsidRDefault="003F6155" w:rsidP="00075414">
            <w:pPr>
              <w:pStyle w:val="TabletextCentre"/>
            </w:pPr>
            <w:r>
              <w:t>5,036</w:t>
            </w:r>
          </w:p>
        </w:tc>
        <w:tc>
          <w:tcPr>
            <w:tcW w:w="1035" w:type="dxa"/>
            <w:noWrap/>
            <w:vAlign w:val="bottom"/>
            <w:hideMark/>
          </w:tcPr>
          <w:p w:rsidR="003F6155" w:rsidRDefault="003F6155" w:rsidP="00075414">
            <w:pPr>
              <w:pStyle w:val="TabletextCentre"/>
            </w:pPr>
            <w:r>
              <w:t>899</w:t>
            </w:r>
          </w:p>
        </w:tc>
        <w:tc>
          <w:tcPr>
            <w:tcW w:w="1623" w:type="dxa"/>
            <w:noWrap/>
            <w:vAlign w:val="bottom"/>
            <w:hideMark/>
          </w:tcPr>
          <w:p w:rsidR="003F6155" w:rsidRDefault="003F6155" w:rsidP="00075414">
            <w:pPr>
              <w:pStyle w:val="TabletextCentre"/>
            </w:pPr>
            <w:r>
              <w:t>0</w:t>
            </w:r>
          </w:p>
        </w:tc>
      </w:tr>
      <w:tr w:rsidR="003F6155" w:rsidRPr="00533796" w:rsidTr="00075414">
        <w:trPr>
          <w:trHeight w:val="255"/>
        </w:trPr>
        <w:tc>
          <w:tcPr>
            <w:tcW w:w="2685" w:type="dxa"/>
            <w:noWrap/>
            <w:hideMark/>
          </w:tcPr>
          <w:p w:rsidR="003F6155" w:rsidRPr="00533796" w:rsidRDefault="003F6155" w:rsidP="00075414">
            <w:pPr>
              <w:pStyle w:val="TabletextCentre"/>
              <w:jc w:val="left"/>
              <w:rPr>
                <w:lang w:eastAsia="en-AU"/>
              </w:rPr>
            </w:pPr>
            <w:r w:rsidRPr="00533796">
              <w:rPr>
                <w:lang w:eastAsia="en-AU"/>
              </w:rPr>
              <w:t>Queensland</w:t>
            </w:r>
          </w:p>
        </w:tc>
        <w:tc>
          <w:tcPr>
            <w:tcW w:w="1134" w:type="dxa"/>
            <w:noWrap/>
            <w:vAlign w:val="bottom"/>
            <w:hideMark/>
          </w:tcPr>
          <w:p w:rsidR="003F6155" w:rsidRDefault="003F6155" w:rsidP="00075414">
            <w:pPr>
              <w:pStyle w:val="TabletextCentre"/>
            </w:pPr>
            <w:r>
              <w:t>10,087</w:t>
            </w:r>
          </w:p>
        </w:tc>
        <w:tc>
          <w:tcPr>
            <w:tcW w:w="1159" w:type="dxa"/>
            <w:noWrap/>
            <w:vAlign w:val="bottom"/>
            <w:hideMark/>
          </w:tcPr>
          <w:p w:rsidR="003F6155" w:rsidRDefault="003F6155" w:rsidP="00075414">
            <w:pPr>
              <w:pStyle w:val="TabletextCentre"/>
            </w:pPr>
            <w:r>
              <w:t>5,430</w:t>
            </w:r>
          </w:p>
        </w:tc>
        <w:tc>
          <w:tcPr>
            <w:tcW w:w="1035" w:type="dxa"/>
            <w:noWrap/>
            <w:vAlign w:val="bottom"/>
            <w:hideMark/>
          </w:tcPr>
          <w:p w:rsidR="003F6155" w:rsidRDefault="003F6155" w:rsidP="00075414">
            <w:pPr>
              <w:pStyle w:val="TabletextCentre"/>
            </w:pPr>
            <w:r>
              <w:t>3,058</w:t>
            </w:r>
          </w:p>
        </w:tc>
        <w:tc>
          <w:tcPr>
            <w:tcW w:w="1623" w:type="dxa"/>
            <w:noWrap/>
            <w:vAlign w:val="bottom"/>
            <w:hideMark/>
          </w:tcPr>
          <w:p w:rsidR="003F6155" w:rsidRDefault="003F6155" w:rsidP="00075414">
            <w:pPr>
              <w:pStyle w:val="TabletextCentre"/>
            </w:pPr>
            <w:r>
              <w:t>544</w:t>
            </w:r>
          </w:p>
        </w:tc>
      </w:tr>
      <w:tr w:rsidR="003F6155" w:rsidRPr="00533796" w:rsidTr="00075414">
        <w:trPr>
          <w:trHeight w:val="255"/>
        </w:trPr>
        <w:tc>
          <w:tcPr>
            <w:tcW w:w="2685" w:type="dxa"/>
            <w:noWrap/>
            <w:hideMark/>
          </w:tcPr>
          <w:p w:rsidR="003F6155" w:rsidRPr="00533796" w:rsidRDefault="003F6155" w:rsidP="00075414">
            <w:pPr>
              <w:pStyle w:val="TabletextCentre"/>
              <w:jc w:val="left"/>
              <w:rPr>
                <w:lang w:eastAsia="en-AU"/>
              </w:rPr>
            </w:pPr>
            <w:r w:rsidRPr="00533796">
              <w:rPr>
                <w:lang w:eastAsia="en-AU"/>
              </w:rPr>
              <w:t>South Australia</w:t>
            </w:r>
          </w:p>
        </w:tc>
        <w:tc>
          <w:tcPr>
            <w:tcW w:w="1134" w:type="dxa"/>
            <w:noWrap/>
            <w:vAlign w:val="bottom"/>
            <w:hideMark/>
          </w:tcPr>
          <w:p w:rsidR="003F6155" w:rsidRDefault="003F6155" w:rsidP="00075414">
            <w:pPr>
              <w:pStyle w:val="TabletextCentre"/>
            </w:pPr>
            <w:r>
              <w:t>5,414</w:t>
            </w:r>
          </w:p>
        </w:tc>
        <w:tc>
          <w:tcPr>
            <w:tcW w:w="1159" w:type="dxa"/>
            <w:noWrap/>
            <w:vAlign w:val="bottom"/>
            <w:hideMark/>
          </w:tcPr>
          <w:p w:rsidR="003F6155" w:rsidRDefault="003F6155" w:rsidP="00075414">
            <w:pPr>
              <w:pStyle w:val="TabletextCentre"/>
            </w:pPr>
            <w:r>
              <w:t>965</w:t>
            </w:r>
          </w:p>
        </w:tc>
        <w:tc>
          <w:tcPr>
            <w:tcW w:w="1035" w:type="dxa"/>
            <w:noWrap/>
            <w:vAlign w:val="bottom"/>
            <w:hideMark/>
          </w:tcPr>
          <w:p w:rsidR="003F6155" w:rsidRDefault="003F6155" w:rsidP="00075414">
            <w:pPr>
              <w:pStyle w:val="TabletextCentre"/>
            </w:pPr>
            <w:r>
              <w:t>1,032</w:t>
            </w:r>
          </w:p>
        </w:tc>
        <w:tc>
          <w:tcPr>
            <w:tcW w:w="1623" w:type="dxa"/>
            <w:noWrap/>
            <w:vAlign w:val="bottom"/>
            <w:hideMark/>
          </w:tcPr>
          <w:p w:rsidR="003F6155" w:rsidRDefault="003F6155" w:rsidP="00075414">
            <w:pPr>
              <w:pStyle w:val="TabletextCentre"/>
            </w:pPr>
            <w:r>
              <w:t>311</w:t>
            </w:r>
          </w:p>
        </w:tc>
      </w:tr>
      <w:tr w:rsidR="003F6155" w:rsidRPr="00533796" w:rsidTr="00075414">
        <w:trPr>
          <w:trHeight w:val="255"/>
        </w:trPr>
        <w:tc>
          <w:tcPr>
            <w:tcW w:w="2685" w:type="dxa"/>
            <w:noWrap/>
            <w:hideMark/>
          </w:tcPr>
          <w:p w:rsidR="003F6155" w:rsidRPr="00533796" w:rsidRDefault="003F6155" w:rsidP="00075414">
            <w:pPr>
              <w:pStyle w:val="TabletextCentre"/>
              <w:jc w:val="left"/>
              <w:rPr>
                <w:lang w:eastAsia="en-AU"/>
              </w:rPr>
            </w:pPr>
            <w:r w:rsidRPr="00533796">
              <w:rPr>
                <w:lang w:eastAsia="en-AU"/>
              </w:rPr>
              <w:t>Western Australia</w:t>
            </w:r>
          </w:p>
        </w:tc>
        <w:tc>
          <w:tcPr>
            <w:tcW w:w="1134" w:type="dxa"/>
            <w:noWrap/>
            <w:vAlign w:val="bottom"/>
            <w:hideMark/>
          </w:tcPr>
          <w:p w:rsidR="003F6155" w:rsidRDefault="003F6155" w:rsidP="00075414">
            <w:pPr>
              <w:pStyle w:val="TabletextCentre"/>
            </w:pPr>
            <w:r>
              <w:t>6,148</w:t>
            </w:r>
          </w:p>
        </w:tc>
        <w:tc>
          <w:tcPr>
            <w:tcW w:w="1159" w:type="dxa"/>
            <w:noWrap/>
            <w:vAlign w:val="bottom"/>
            <w:hideMark/>
          </w:tcPr>
          <w:p w:rsidR="003F6155" w:rsidRDefault="003F6155" w:rsidP="00075414">
            <w:pPr>
              <w:pStyle w:val="TabletextCentre"/>
            </w:pPr>
            <w:r>
              <w:t>1,120</w:t>
            </w:r>
          </w:p>
        </w:tc>
        <w:tc>
          <w:tcPr>
            <w:tcW w:w="1035" w:type="dxa"/>
            <w:noWrap/>
            <w:vAlign w:val="bottom"/>
            <w:hideMark/>
          </w:tcPr>
          <w:p w:rsidR="003F6155" w:rsidRDefault="003F6155" w:rsidP="00075414">
            <w:pPr>
              <w:pStyle w:val="TabletextCentre"/>
            </w:pPr>
            <w:r>
              <w:t>639</w:t>
            </w:r>
          </w:p>
        </w:tc>
        <w:tc>
          <w:tcPr>
            <w:tcW w:w="1623" w:type="dxa"/>
            <w:noWrap/>
            <w:vAlign w:val="bottom"/>
            <w:hideMark/>
          </w:tcPr>
          <w:p w:rsidR="003F6155" w:rsidRDefault="003F6155" w:rsidP="00075414">
            <w:pPr>
              <w:pStyle w:val="TabletextCentre"/>
            </w:pPr>
            <w:r>
              <w:t>494</w:t>
            </w:r>
          </w:p>
        </w:tc>
      </w:tr>
      <w:tr w:rsidR="003F6155" w:rsidRPr="00533796" w:rsidTr="00075414">
        <w:trPr>
          <w:trHeight w:val="255"/>
        </w:trPr>
        <w:tc>
          <w:tcPr>
            <w:tcW w:w="2685" w:type="dxa"/>
            <w:noWrap/>
            <w:hideMark/>
          </w:tcPr>
          <w:p w:rsidR="003F6155" w:rsidRPr="00533796" w:rsidRDefault="003F6155" w:rsidP="00075414">
            <w:pPr>
              <w:pStyle w:val="TabletextCentre"/>
              <w:jc w:val="left"/>
              <w:rPr>
                <w:lang w:eastAsia="en-AU"/>
              </w:rPr>
            </w:pPr>
            <w:r w:rsidRPr="00533796">
              <w:rPr>
                <w:lang w:eastAsia="en-AU"/>
              </w:rPr>
              <w:t>Tasmania</w:t>
            </w:r>
          </w:p>
        </w:tc>
        <w:tc>
          <w:tcPr>
            <w:tcW w:w="1134" w:type="dxa"/>
            <w:noWrap/>
            <w:vAlign w:val="bottom"/>
            <w:hideMark/>
          </w:tcPr>
          <w:p w:rsidR="003F6155" w:rsidRDefault="003F6155" w:rsidP="00075414">
            <w:pPr>
              <w:pStyle w:val="TabletextCentre"/>
            </w:pPr>
            <w:r>
              <w:t>0</w:t>
            </w:r>
          </w:p>
        </w:tc>
        <w:tc>
          <w:tcPr>
            <w:tcW w:w="1159" w:type="dxa"/>
            <w:noWrap/>
            <w:vAlign w:val="bottom"/>
            <w:hideMark/>
          </w:tcPr>
          <w:p w:rsidR="003F6155" w:rsidRDefault="003F6155" w:rsidP="00075414">
            <w:pPr>
              <w:pStyle w:val="TabletextCentre"/>
            </w:pPr>
            <w:r>
              <w:t>1,967</w:t>
            </w:r>
          </w:p>
        </w:tc>
        <w:tc>
          <w:tcPr>
            <w:tcW w:w="1035" w:type="dxa"/>
            <w:noWrap/>
            <w:vAlign w:val="bottom"/>
            <w:hideMark/>
          </w:tcPr>
          <w:p w:rsidR="003F6155" w:rsidRDefault="003F6155" w:rsidP="00075414">
            <w:pPr>
              <w:pStyle w:val="TabletextCentre"/>
            </w:pPr>
            <w:r>
              <w:t>689</w:t>
            </w:r>
          </w:p>
        </w:tc>
        <w:tc>
          <w:tcPr>
            <w:tcW w:w="1623" w:type="dxa"/>
            <w:noWrap/>
            <w:vAlign w:val="bottom"/>
            <w:hideMark/>
          </w:tcPr>
          <w:p w:rsidR="003F6155" w:rsidRDefault="003F6155" w:rsidP="00075414">
            <w:pPr>
              <w:pStyle w:val="TabletextCentre"/>
            </w:pPr>
            <w:r>
              <w:t>34</w:t>
            </w:r>
          </w:p>
        </w:tc>
      </w:tr>
      <w:tr w:rsidR="003F6155" w:rsidRPr="00533796" w:rsidTr="00075414">
        <w:trPr>
          <w:trHeight w:val="255"/>
        </w:trPr>
        <w:tc>
          <w:tcPr>
            <w:tcW w:w="2685" w:type="dxa"/>
            <w:noWrap/>
          </w:tcPr>
          <w:p w:rsidR="003F6155" w:rsidRPr="00533796" w:rsidRDefault="003F6155" w:rsidP="00075414">
            <w:pPr>
              <w:pStyle w:val="TabletextCentre"/>
              <w:jc w:val="left"/>
              <w:rPr>
                <w:lang w:eastAsia="en-AU"/>
              </w:rPr>
            </w:pPr>
            <w:r w:rsidRPr="00533796">
              <w:rPr>
                <w:lang w:eastAsia="en-AU"/>
              </w:rPr>
              <w:t>Northern Territory</w:t>
            </w:r>
          </w:p>
        </w:tc>
        <w:tc>
          <w:tcPr>
            <w:tcW w:w="1134" w:type="dxa"/>
            <w:noWrap/>
            <w:vAlign w:val="bottom"/>
          </w:tcPr>
          <w:p w:rsidR="003F6155" w:rsidRDefault="003F6155" w:rsidP="00075414">
            <w:pPr>
              <w:pStyle w:val="TabletextCentre"/>
            </w:pPr>
            <w:r>
              <w:t>0</w:t>
            </w:r>
          </w:p>
        </w:tc>
        <w:tc>
          <w:tcPr>
            <w:tcW w:w="1159" w:type="dxa"/>
            <w:noWrap/>
            <w:vAlign w:val="bottom"/>
          </w:tcPr>
          <w:p w:rsidR="003F6155" w:rsidRDefault="003F6155" w:rsidP="00075414">
            <w:pPr>
              <w:pStyle w:val="TabletextCentre"/>
            </w:pPr>
            <w:r>
              <w:t>0</w:t>
            </w:r>
          </w:p>
        </w:tc>
        <w:tc>
          <w:tcPr>
            <w:tcW w:w="1035" w:type="dxa"/>
            <w:noWrap/>
            <w:vAlign w:val="bottom"/>
          </w:tcPr>
          <w:p w:rsidR="003F6155" w:rsidRDefault="003F6155" w:rsidP="00075414">
            <w:pPr>
              <w:pStyle w:val="TabletextCentre"/>
            </w:pPr>
            <w:r>
              <w:t>665</w:t>
            </w:r>
          </w:p>
        </w:tc>
        <w:tc>
          <w:tcPr>
            <w:tcW w:w="1623" w:type="dxa"/>
            <w:noWrap/>
            <w:vAlign w:val="bottom"/>
          </w:tcPr>
          <w:p w:rsidR="003F6155" w:rsidRDefault="003F6155" w:rsidP="00075414">
            <w:pPr>
              <w:pStyle w:val="TabletextCentre"/>
            </w:pPr>
            <w:r>
              <w:t>200</w:t>
            </w:r>
          </w:p>
        </w:tc>
      </w:tr>
      <w:tr w:rsidR="003F6155" w:rsidRPr="00533796" w:rsidTr="00075414">
        <w:trPr>
          <w:trHeight w:val="255"/>
        </w:trPr>
        <w:tc>
          <w:tcPr>
            <w:tcW w:w="2685" w:type="dxa"/>
            <w:noWrap/>
            <w:hideMark/>
          </w:tcPr>
          <w:p w:rsidR="003F6155" w:rsidRPr="00533796" w:rsidRDefault="003F6155" w:rsidP="00075414">
            <w:pPr>
              <w:pStyle w:val="TabletextCentre"/>
              <w:jc w:val="left"/>
              <w:rPr>
                <w:lang w:eastAsia="en-AU"/>
              </w:rPr>
            </w:pPr>
            <w:r w:rsidRPr="00533796">
              <w:rPr>
                <w:lang w:eastAsia="en-AU"/>
              </w:rPr>
              <w:t>Australian Capital Territory</w:t>
            </w:r>
          </w:p>
        </w:tc>
        <w:tc>
          <w:tcPr>
            <w:tcW w:w="1134" w:type="dxa"/>
            <w:noWrap/>
            <w:vAlign w:val="bottom"/>
            <w:hideMark/>
          </w:tcPr>
          <w:p w:rsidR="003F6155" w:rsidRDefault="003F6155" w:rsidP="00075414">
            <w:pPr>
              <w:pStyle w:val="TabletextCentre"/>
            </w:pPr>
            <w:r>
              <w:t>2,142</w:t>
            </w:r>
          </w:p>
        </w:tc>
        <w:tc>
          <w:tcPr>
            <w:tcW w:w="1159" w:type="dxa"/>
            <w:noWrap/>
            <w:vAlign w:val="bottom"/>
            <w:hideMark/>
          </w:tcPr>
          <w:p w:rsidR="003F6155" w:rsidRDefault="003F6155" w:rsidP="00075414">
            <w:pPr>
              <w:pStyle w:val="TabletextCentre"/>
            </w:pPr>
            <w:r>
              <w:t>1</w:t>
            </w:r>
          </w:p>
        </w:tc>
        <w:tc>
          <w:tcPr>
            <w:tcW w:w="1035" w:type="dxa"/>
            <w:noWrap/>
            <w:vAlign w:val="bottom"/>
            <w:hideMark/>
          </w:tcPr>
          <w:p w:rsidR="003F6155" w:rsidRDefault="003F6155" w:rsidP="00075414">
            <w:pPr>
              <w:pStyle w:val="TabletextCentre"/>
            </w:pPr>
            <w:r>
              <w:t>0</w:t>
            </w:r>
          </w:p>
        </w:tc>
        <w:tc>
          <w:tcPr>
            <w:tcW w:w="1623" w:type="dxa"/>
            <w:noWrap/>
            <w:vAlign w:val="bottom"/>
            <w:hideMark/>
          </w:tcPr>
          <w:p w:rsidR="003F6155" w:rsidRDefault="003F6155" w:rsidP="00075414">
            <w:pPr>
              <w:pStyle w:val="TabletextCentre"/>
            </w:pPr>
            <w:r>
              <w:t>0</w:t>
            </w:r>
          </w:p>
        </w:tc>
      </w:tr>
    </w:tbl>
    <w:p w:rsidR="003F6155" w:rsidRDefault="003F6155" w:rsidP="003F6155">
      <w:pPr>
        <w:pStyle w:val="Source"/>
      </w:pPr>
      <w:r>
        <w:t>Source: HILDA, Deloitte Access Economics</w:t>
      </w:r>
    </w:p>
    <w:p w:rsidR="00E629D6" w:rsidRPr="00E629D6" w:rsidRDefault="00E629D6" w:rsidP="003F6155">
      <w:pPr>
        <w:pStyle w:val="HeadingB"/>
        <w:rPr>
          <w:sz w:val="32"/>
          <w:szCs w:val="32"/>
        </w:rPr>
      </w:pPr>
      <w:r w:rsidRPr="00E629D6">
        <w:rPr>
          <w:sz w:val="32"/>
          <w:szCs w:val="32"/>
        </w:rPr>
        <w:t>Empirical methodology and results</w:t>
      </w:r>
    </w:p>
    <w:p w:rsidR="003F6155" w:rsidRDefault="003F6155" w:rsidP="003F6155">
      <w:pPr>
        <w:pStyle w:val="HeadingB"/>
      </w:pPr>
      <w:r>
        <w:t>Private wage gain from higher education</w:t>
      </w:r>
    </w:p>
    <w:p w:rsidR="003F6155" w:rsidRDefault="003F6155" w:rsidP="003F6155">
      <w:pPr>
        <w:pStyle w:val="HeadingC"/>
      </w:pPr>
      <w:r>
        <w:t xml:space="preserve">Method </w:t>
      </w:r>
    </w:p>
    <w:p w:rsidR="003F6155" w:rsidRPr="00AE4DA1" w:rsidRDefault="003F6155" w:rsidP="003F6155">
      <w:pPr>
        <w:pStyle w:val="BodyText"/>
        <w:rPr>
          <w:b/>
          <w:color w:val="00A1DE"/>
        </w:rPr>
      </w:pPr>
      <w:r>
        <w:rPr>
          <w:b/>
          <w:bCs/>
          <w:color w:val="00A1DE"/>
        </w:rPr>
        <w:t xml:space="preserve">A. </w:t>
      </w:r>
      <w:r w:rsidRPr="00AE4DA1">
        <w:rPr>
          <w:b/>
          <w:bCs/>
          <w:color w:val="00A1DE"/>
        </w:rPr>
        <w:t>Earnings model</w:t>
      </w:r>
      <w:r>
        <w:rPr>
          <w:b/>
          <w:bCs/>
          <w:color w:val="00A1DE"/>
        </w:rPr>
        <w:t xml:space="preserve"> – conditional on employment</w:t>
      </w:r>
    </w:p>
    <w:p w:rsidR="003F6155" w:rsidRDefault="003F6155" w:rsidP="003F6155">
      <w:pPr>
        <w:pStyle w:val="BodyText"/>
      </w:pPr>
      <w:r>
        <w:t>The earnings model</w:t>
      </w:r>
      <w:r w:rsidRPr="00AE4DA1">
        <w:t xml:space="preserve"> </w:t>
      </w:r>
      <w:r w:rsidR="00B558D9">
        <w:t xml:space="preserve">is specified as an </w:t>
      </w:r>
      <w:r w:rsidRPr="00AE4DA1">
        <w:t>‘augmented Mincer equation’</w:t>
      </w:r>
      <w:r w:rsidR="00B558D9">
        <w:t>, based on Mincer’s (1974) seminal work on the effects of education on wages</w:t>
      </w:r>
      <w:r w:rsidR="00B558D9" w:rsidRPr="00AE4DA1">
        <w:t xml:space="preserve"> </w:t>
      </w:r>
      <w:r w:rsidR="00B558D9">
        <w:t>and taking</w:t>
      </w:r>
      <w:r w:rsidRPr="00AE4DA1">
        <w:t xml:space="preserve"> into account the key variables detailed above.</w:t>
      </w:r>
      <w:r>
        <w:t xml:space="preserve"> </w:t>
      </w:r>
      <w:r w:rsidRPr="00AE4DA1">
        <w:t xml:space="preserve">The </w:t>
      </w:r>
      <w:r>
        <w:t xml:space="preserve">estimated equation </w:t>
      </w:r>
      <w:r w:rsidRPr="00AE4DA1">
        <w:t xml:space="preserve">is </w:t>
      </w:r>
      <w:r w:rsidR="00B558D9">
        <w:t>given by</w:t>
      </w:r>
      <w:r w:rsidRPr="00AE4DA1">
        <w:t>:</w:t>
      </w:r>
    </w:p>
    <w:p w:rsidR="003F6155" w:rsidRPr="00AE4DA1" w:rsidRDefault="009F06EE" w:rsidP="003F6155">
      <w:pPr>
        <w:pStyle w:val="BodyText"/>
        <w:ind w:left="720"/>
      </w:pPr>
      <m:oMathPara>
        <m:oMath>
          <m:func>
            <m:funcPr>
              <m:ctrlPr>
                <w:rPr>
                  <w:rFonts w:ascii="Cambria Math" w:hAnsi="Cambria Math"/>
                  <w:i/>
                  <w:iCs/>
                </w:rPr>
              </m:ctrlPr>
            </m:funcPr>
            <m:fName>
              <m:sSub>
                <m:sSubPr>
                  <m:ctrlPr>
                    <w:rPr>
                      <w:rFonts w:ascii="Cambria Math" w:hAnsi="Cambria Math"/>
                      <w:i/>
                      <w:iCs/>
                    </w:rPr>
                  </m:ctrlPr>
                </m:sSubPr>
                <m:e>
                  <m:r>
                    <m:rPr>
                      <m:sty m:val="p"/>
                    </m:rPr>
                    <w:rPr>
                      <w:rFonts w:ascii="Cambria Math" w:hAnsi="Cambria Math"/>
                    </w:rPr>
                    <m:t>log</m:t>
                  </m:r>
                </m:e>
                <m:sub>
                  <m:r>
                    <w:rPr>
                      <w:rFonts w:ascii="Cambria Math" w:hAnsi="Cambria Math"/>
                    </w:rPr>
                    <m:t>e</m:t>
                  </m:r>
                </m:sub>
              </m:sSub>
            </m:fName>
            <m:e>
              <m:sSub>
                <m:sSubPr>
                  <m:ctrlPr>
                    <w:rPr>
                      <w:rFonts w:ascii="Cambria Math" w:hAnsi="Cambria Math"/>
                      <w:i/>
                      <w:iCs/>
                    </w:rPr>
                  </m:ctrlPr>
                </m:sSubPr>
                <m:e>
                  <m:r>
                    <w:rPr>
                      <w:rFonts w:ascii="Cambria Math" w:hAnsi="Cambria Math"/>
                    </w:rPr>
                    <m:t>w</m:t>
                  </m:r>
                </m:e>
                <m:sub>
                  <m:r>
                    <w:rPr>
                      <w:rFonts w:ascii="Cambria Math" w:hAnsi="Cambria Math"/>
                    </w:rPr>
                    <m:t>it</m:t>
                  </m:r>
                </m:sub>
              </m:sSub>
            </m:e>
          </m:func>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b/>
                  <w:i/>
                </w:rPr>
              </m:ctrlPr>
            </m:sSubPr>
            <m:e>
              <m:r>
                <m:rPr>
                  <m:sty m:val="bi"/>
                </m:rPr>
                <w:rPr>
                  <w:rFonts w:ascii="Cambria Math" w:hAnsi="Cambria Math"/>
                </w:rPr>
                <m:t>β</m:t>
              </m:r>
            </m:e>
            <m:sub>
              <m:r>
                <m:rPr>
                  <m:sty m:val="bi"/>
                </m:rPr>
                <w:rPr>
                  <w:rFonts w:ascii="Cambria Math" w:hAnsi="Cambria Math"/>
                </w:rPr>
                <m:t>1</m:t>
              </m:r>
            </m:sub>
          </m:sSub>
          <m:sSub>
            <m:sSubPr>
              <m:ctrlPr>
                <w:rPr>
                  <w:rFonts w:ascii="Cambria Math" w:hAnsi="Cambria Math"/>
                  <w:i/>
                  <w:iCs/>
                </w:rPr>
              </m:ctrlPr>
            </m:sSubPr>
            <m:e>
              <m:r>
                <m:rPr>
                  <m:sty m:val="bi"/>
                </m:rPr>
                <w:rPr>
                  <w:rFonts w:ascii="Cambria Math" w:hAnsi="Cambria Math"/>
                </w:rPr>
                <m:t>E</m:t>
              </m:r>
            </m:e>
            <m:sub>
              <m:r>
                <m:rPr>
                  <m:sty m:val="bi"/>
                </m:rPr>
                <w:rPr>
                  <w:rFonts w:ascii="Cambria Math" w:hAnsi="Cambria Math"/>
                </w:rPr>
                <m:t>it</m:t>
              </m:r>
            </m:sub>
          </m:sSub>
          <m:r>
            <w:rPr>
              <w:rFonts w:ascii="Cambria Math" w:hAnsi="Cambria Math"/>
            </w:rPr>
            <m:t>+</m:t>
          </m:r>
          <m:sSub>
            <m:sSubPr>
              <m:ctrlPr>
                <w:rPr>
                  <w:rFonts w:ascii="Cambria Math" w:hAnsi="Cambria Math"/>
                  <w:b/>
                  <w:i/>
                </w:rPr>
              </m:ctrlPr>
            </m:sSubPr>
            <m:e>
              <m:r>
                <m:rPr>
                  <m:sty m:val="bi"/>
                </m:rPr>
                <w:rPr>
                  <w:rFonts w:ascii="Cambria Math" w:hAnsi="Cambria Math"/>
                </w:rPr>
                <m:t>β</m:t>
              </m:r>
            </m:e>
            <m:sub>
              <m:r>
                <m:rPr>
                  <m:sty m:val="bi"/>
                </m:rPr>
                <w:rPr>
                  <w:rFonts w:ascii="Cambria Math" w:hAnsi="Cambria Math"/>
                </w:rPr>
                <m:t>2</m:t>
              </m:r>
            </m:sub>
          </m:sSub>
          <m:sSub>
            <m:sSubPr>
              <m:ctrlPr>
                <w:rPr>
                  <w:rFonts w:ascii="Cambria Math" w:hAnsi="Cambria Math"/>
                  <w:i/>
                  <w:iCs/>
                </w:rPr>
              </m:ctrlPr>
            </m:sSubPr>
            <m:e>
              <m:r>
                <m:rPr>
                  <m:sty m:val="bi"/>
                </m:rPr>
                <w:rPr>
                  <w:rFonts w:ascii="Cambria Math" w:hAnsi="Cambria Math"/>
                </w:rPr>
                <m:t>X</m:t>
              </m:r>
            </m:e>
            <m:sub>
              <m:r>
                <m:rPr>
                  <m:sty m:val="bi"/>
                </m:rPr>
                <w:rPr>
                  <w:rFonts w:ascii="Cambria Math" w:hAnsi="Cambria Math"/>
                </w:rPr>
                <m:t>it</m:t>
              </m:r>
            </m:sub>
          </m:sSub>
          <m:r>
            <w:rPr>
              <w:rFonts w:ascii="Cambria Math" w:hAnsi="Cambria Math"/>
            </w:rPr>
            <m:t>+</m:t>
          </m:r>
          <m:sSub>
            <m:sSubPr>
              <m:ctrlPr>
                <w:rPr>
                  <w:rFonts w:ascii="Cambria Math" w:hAnsi="Cambria Math"/>
                  <w:b/>
                  <w:i/>
                </w:rPr>
              </m:ctrlPr>
            </m:sSubPr>
            <m:e>
              <m:r>
                <m:rPr>
                  <m:sty m:val="bi"/>
                </m:rPr>
                <w:rPr>
                  <w:rFonts w:ascii="Cambria Math" w:hAnsi="Cambria Math"/>
                </w:rPr>
                <m:t>β</m:t>
              </m:r>
            </m:e>
            <m:sub>
              <m:r>
                <m:rPr>
                  <m:sty m:val="bi"/>
                </m:rPr>
                <w:rPr>
                  <w:rFonts w:ascii="Cambria Math" w:hAnsi="Cambria Math"/>
                </w:rPr>
                <m:t>3</m:t>
              </m:r>
            </m:sub>
          </m:sSub>
          <m:sSub>
            <m:sSubPr>
              <m:ctrlPr>
                <w:rPr>
                  <w:rFonts w:ascii="Cambria Math" w:hAnsi="Cambria Math" w:cs="Arial"/>
                  <w:b/>
                  <w:i/>
                  <w:lang w:eastAsia="en-AU"/>
                </w:rPr>
              </m:ctrlPr>
            </m:sSubPr>
            <m:e>
              <m:r>
                <m:rPr>
                  <m:sty m:val="bi"/>
                </m:rPr>
                <w:rPr>
                  <w:rFonts w:ascii="Cambria Math" w:hAnsi="Cambria Math" w:cs="Arial"/>
                  <w:lang w:eastAsia="en-AU"/>
                </w:rPr>
                <m:t>θθ</m:t>
              </m:r>
            </m:e>
            <m:sub>
              <m:r>
                <m:rPr>
                  <m:sty m:val="bi"/>
                </m:rPr>
                <w:rPr>
                  <w:rFonts w:ascii="Cambria Math" w:hAnsi="Cambria Math" w:cs="Arial"/>
                  <w:lang w:eastAsia="en-AU"/>
                </w:rPr>
                <m:t>it</m:t>
              </m:r>
            </m:sub>
          </m:sSub>
          <m:r>
            <w:rPr>
              <w:rFonts w:ascii="Cambria Math" w:hAnsi="Cambria Math"/>
            </w:rPr>
            <m:t xml:space="preserve"> +</m:t>
          </m:r>
          <m:sSub>
            <m:sSubPr>
              <m:ctrlPr>
                <w:rPr>
                  <w:rFonts w:ascii="Cambria Math" w:hAnsi="Cambria Math" w:cs="Arial"/>
                  <w:i/>
                  <w:lang w:eastAsia="en-AU"/>
                </w:rPr>
              </m:ctrlPr>
            </m:sSubPr>
            <m:e>
              <m:r>
                <w:rPr>
                  <w:rFonts w:ascii="Cambria Math" w:hAnsi="Cambria Math" w:cs="Arial"/>
                  <w:lang w:eastAsia="en-AU"/>
                </w:rPr>
                <m:t>γ</m:t>
              </m:r>
            </m:e>
            <m:sub>
              <m:r>
                <w:rPr>
                  <w:rFonts w:ascii="Cambria Math" w:hAnsi="Cambria Math" w:cs="Arial"/>
                  <w:lang w:eastAsia="en-AU"/>
                </w:rPr>
                <m:t>t</m:t>
              </m:r>
            </m:sub>
          </m:sSub>
          <m:r>
            <w:rPr>
              <w:rFonts w:ascii="Cambria Math" w:hAnsi="Cambria Math"/>
            </w:rPr>
            <m:t>+</m:t>
          </m:r>
          <m:sSub>
            <m:sSubPr>
              <m:ctrlPr>
                <w:rPr>
                  <w:rFonts w:ascii="Cambria Math" w:hAnsi="Cambria Math"/>
                  <w:i/>
                  <w:iCs/>
                </w:rPr>
              </m:ctrlPr>
            </m:sSubPr>
            <m:e>
              <m:r>
                <w:rPr>
                  <w:rFonts w:ascii="Cambria Math" w:hAnsi="Cambria Math"/>
                </w:rPr>
                <m:t>ϵ</m:t>
              </m:r>
            </m:e>
            <m:sub>
              <m:r>
                <w:rPr>
                  <w:rFonts w:ascii="Cambria Math" w:hAnsi="Cambria Math"/>
                </w:rPr>
                <m:t>it</m:t>
              </m:r>
            </m:sub>
          </m:sSub>
        </m:oMath>
      </m:oMathPara>
    </w:p>
    <w:p w:rsidR="003F6155" w:rsidRPr="00AE4DA1" w:rsidRDefault="00581C66" w:rsidP="00DA4CA5">
      <w:pPr>
        <w:pStyle w:val="Bullet2"/>
        <w:numPr>
          <w:ilvl w:val="0"/>
          <w:numId w:val="0"/>
        </w:numPr>
        <w:ind w:left="1134" w:hanging="567"/>
      </w:pPr>
      <w:proofErr w:type="gramStart"/>
      <w:r>
        <w:t>w</w:t>
      </w:r>
      <w:r w:rsidR="003F6155" w:rsidRPr="00AE4DA1">
        <w:t>here</w:t>
      </w:r>
      <w:proofErr w:type="gramEnd"/>
      <w:r w:rsidR="003F6155" w:rsidRPr="00AE4DA1">
        <w:t>:</w:t>
      </w:r>
    </w:p>
    <w:p w:rsidR="003F6155" w:rsidRDefault="009F06EE" w:rsidP="003F6155">
      <w:pPr>
        <w:pStyle w:val="Bullet2"/>
        <w:ind w:left="1134" w:hanging="567"/>
      </w:pPr>
      <m:oMath>
        <m:sSub>
          <m:sSubPr>
            <m:ctrlPr>
              <w:rPr>
                <w:rFonts w:ascii="Cambria Math" w:hAnsi="Cambria Math"/>
                <w:i/>
              </w:rPr>
            </m:ctrlPr>
          </m:sSubPr>
          <m:e>
            <m:r>
              <w:rPr>
                <w:rFonts w:ascii="Cambria Math" w:hAnsi="Cambria Math"/>
              </w:rPr>
              <m:t>w</m:t>
            </m:r>
          </m:e>
          <m:sub>
            <m:r>
              <w:rPr>
                <w:rFonts w:ascii="Cambria Math" w:hAnsi="Cambria Math"/>
              </w:rPr>
              <m:t>it</m:t>
            </m:r>
          </m:sub>
        </m:sSub>
      </m:oMath>
      <w:r w:rsidR="003F6155">
        <w:t xml:space="preserve"> is the wage of individual </w:t>
      </w:r>
      <m:oMath>
        <m:r>
          <w:rPr>
            <w:rFonts w:ascii="Cambria Math" w:hAnsi="Cambria Math"/>
          </w:rPr>
          <m:t>i</m:t>
        </m:r>
      </m:oMath>
      <w:r w:rsidR="003F6155">
        <w:t xml:space="preserve"> at time </w:t>
      </w:r>
      <m:oMath>
        <m:r>
          <w:rPr>
            <w:rFonts w:ascii="Cambria Math" w:hAnsi="Cambria Math"/>
          </w:rPr>
          <m:t>t</m:t>
        </m:r>
      </m:oMath>
      <w:r w:rsidR="00950687" w:rsidRPr="00950687">
        <w:t xml:space="preserve"> </w:t>
      </w:r>
      <w:r w:rsidR="00950687">
        <w:t>and log</w:t>
      </w:r>
      <w:r w:rsidR="00950687">
        <w:rPr>
          <w:vertAlign w:val="subscript"/>
        </w:rPr>
        <w:t>e</w:t>
      </w:r>
      <w:r w:rsidR="00950687">
        <w:t xml:space="preserve"> means natural logarithm</w:t>
      </w:r>
      <w:r w:rsidR="003F6155">
        <w:t>;</w:t>
      </w:r>
    </w:p>
    <w:p w:rsidR="003F6155" w:rsidRDefault="009F06EE" w:rsidP="003F6155">
      <w:pPr>
        <w:pStyle w:val="Bullet2"/>
        <w:ind w:left="1134" w:hanging="567"/>
      </w:pPr>
      <m:oMath>
        <m:sSub>
          <m:sSubPr>
            <m:ctrlPr>
              <w:rPr>
                <w:rFonts w:ascii="Cambria Math" w:hAnsi="Cambria Math"/>
                <w:i/>
              </w:rPr>
            </m:ctrlPr>
          </m:sSubPr>
          <m:e>
            <m:r>
              <w:rPr>
                <w:rFonts w:ascii="Cambria Math" w:hAnsi="Cambria Math"/>
              </w:rPr>
              <m:t>E</m:t>
            </m:r>
          </m:e>
          <m:sub>
            <m:r>
              <w:rPr>
                <w:rFonts w:ascii="Cambria Math" w:hAnsi="Cambria Math"/>
              </w:rPr>
              <m:t>it</m:t>
            </m:r>
          </m:sub>
        </m:sSub>
      </m:oMath>
      <w:r w:rsidR="003F6155">
        <w:t xml:space="preserve"> is a vector of educational characteristics (qualification level, field of education);</w:t>
      </w:r>
    </w:p>
    <w:p w:rsidR="003F6155" w:rsidRDefault="009F06EE" w:rsidP="003F6155">
      <w:pPr>
        <w:pStyle w:val="Bullet2"/>
        <w:ind w:left="1134" w:hanging="567"/>
      </w:pPr>
      <m:oMath>
        <m:sSub>
          <m:sSubPr>
            <m:ctrlPr>
              <w:rPr>
                <w:rFonts w:ascii="Cambria Math" w:hAnsi="Cambria Math"/>
                <w:i/>
              </w:rPr>
            </m:ctrlPr>
          </m:sSubPr>
          <m:e>
            <m:r>
              <w:rPr>
                <w:rFonts w:ascii="Cambria Math" w:hAnsi="Cambria Math"/>
              </w:rPr>
              <m:t>X</m:t>
            </m:r>
          </m:e>
          <m:sub>
            <m:r>
              <w:rPr>
                <w:rFonts w:ascii="Cambria Math" w:hAnsi="Cambria Math"/>
              </w:rPr>
              <m:t>it</m:t>
            </m:r>
          </m:sub>
        </m:sSub>
      </m:oMath>
      <w:r w:rsidR="003F6155">
        <w:t xml:space="preserve"> is a vector of individual characteristics (including demographic characteristics and cognitive ability);</w:t>
      </w:r>
    </w:p>
    <w:p w:rsidR="003F6155" w:rsidRDefault="009F06EE" w:rsidP="003F6155">
      <w:pPr>
        <w:pStyle w:val="Bullet2"/>
        <w:ind w:left="1134" w:hanging="567"/>
      </w:pPr>
      <m:oMath>
        <m:sSub>
          <m:sSubPr>
            <m:ctrlPr>
              <w:rPr>
                <w:rFonts w:ascii="Cambria Math" w:hAnsi="Cambria Math"/>
                <w:i/>
              </w:rPr>
            </m:ctrlPr>
          </m:sSubPr>
          <m:e>
            <m:r>
              <w:rPr>
                <w:rFonts w:ascii="Cambria Math" w:hAnsi="Cambria Math"/>
              </w:rPr>
              <m:t>θ</m:t>
            </m:r>
          </m:e>
          <m:sub>
            <m:r>
              <w:rPr>
                <w:rFonts w:ascii="Cambria Math" w:hAnsi="Cambria Math"/>
              </w:rPr>
              <m:t>tit</m:t>
            </m:r>
          </m:sub>
        </m:sSub>
      </m:oMath>
      <w:r w:rsidR="003F6155">
        <w:t xml:space="preserve"> is </w:t>
      </w:r>
      <w:r w:rsidR="00950687">
        <w:t xml:space="preserve">a vector including the natural logarithm of </w:t>
      </w:r>
      <w:r w:rsidR="003F6155">
        <w:t xml:space="preserve">hours worked </w:t>
      </w:r>
      <w:r w:rsidR="00950687">
        <w:t>and a dummy for employed full-time</w:t>
      </w:r>
      <w:r w:rsidR="003F6155">
        <w:t>;</w:t>
      </w:r>
    </w:p>
    <w:p w:rsidR="003F6155" w:rsidRDefault="009F06EE" w:rsidP="003F6155">
      <w:pPr>
        <w:pStyle w:val="Bullet2"/>
        <w:ind w:left="1134" w:hanging="567"/>
      </w:pPr>
      <m:oMath>
        <m:sSub>
          <m:sSubPr>
            <m:ctrlPr>
              <w:rPr>
                <w:rFonts w:ascii="Cambria Math" w:hAnsi="Cambria Math"/>
                <w:i/>
              </w:rPr>
            </m:ctrlPr>
          </m:sSubPr>
          <m:e>
            <m:r>
              <w:rPr>
                <w:rFonts w:ascii="Cambria Math" w:hAnsi="Cambria Math"/>
              </w:rPr>
              <m:t>γ</m:t>
            </m:r>
          </m:e>
          <m:sub>
            <m:r>
              <w:rPr>
                <w:rFonts w:ascii="Cambria Math" w:hAnsi="Cambria Math"/>
              </w:rPr>
              <m:t>t</m:t>
            </m:r>
          </m:sub>
        </m:sSub>
      </m:oMath>
      <w:r w:rsidR="003F6155">
        <w:t xml:space="preserve"> is a year fixed effect; and</w:t>
      </w:r>
    </w:p>
    <w:p w:rsidR="003F6155" w:rsidRDefault="009F06EE" w:rsidP="003F6155">
      <w:pPr>
        <w:pStyle w:val="Bullet2"/>
        <w:ind w:left="1134" w:hanging="567"/>
      </w:pPr>
      <m:oMath>
        <m:sSub>
          <m:sSubPr>
            <m:ctrlPr>
              <w:rPr>
                <w:rFonts w:ascii="Cambria Math" w:hAnsi="Cambria Math"/>
                <w:i/>
              </w:rPr>
            </m:ctrlPr>
          </m:sSubPr>
          <m:e>
            <m:r>
              <w:rPr>
                <w:rFonts w:ascii="Cambria Math" w:hAnsi="Cambria Math"/>
              </w:rPr>
              <m:t>ϵ</m:t>
            </m:r>
          </m:e>
          <m:sub>
            <m:r>
              <w:rPr>
                <w:rFonts w:ascii="Cambria Math" w:hAnsi="Cambria Math"/>
              </w:rPr>
              <m:t>it</m:t>
            </m:r>
          </m:sub>
        </m:sSub>
      </m:oMath>
      <w:r w:rsidR="003F6155">
        <w:t xml:space="preserve"> </w:t>
      </w:r>
      <w:proofErr w:type="gramStart"/>
      <w:r w:rsidR="003F6155">
        <w:t>is</w:t>
      </w:r>
      <w:proofErr w:type="gramEnd"/>
      <w:r w:rsidR="003F6155">
        <w:t xml:space="preserve"> a random error. </w:t>
      </w:r>
    </w:p>
    <w:p w:rsidR="003F6155" w:rsidRDefault="00950687" w:rsidP="003F6155">
      <w:pPr>
        <w:pStyle w:val="BodyText"/>
      </w:pPr>
      <w:r>
        <w:t xml:space="preserve">The </w:t>
      </w:r>
      <w:r w:rsidRPr="00DA4CA5">
        <w:rPr>
          <w:rFonts w:ascii="Times New Roman" w:hAnsi="Times New Roman"/>
          <w:i/>
        </w:rPr>
        <w:t>β</w:t>
      </w:r>
      <w:r w:rsidRPr="00DA4CA5">
        <w:rPr>
          <w:rFonts w:ascii="Times New Roman" w:hAnsi="Times New Roman"/>
        </w:rPr>
        <w:t>’s</w:t>
      </w:r>
      <w:r>
        <w:t xml:space="preserve"> are parameters to be estimated</w:t>
      </w:r>
      <w:r w:rsidR="00581C66">
        <w:t xml:space="preserve"> and the data is obtained by pooling across the waves of HILDA data. </w:t>
      </w:r>
      <w:r w:rsidR="00AF4F69">
        <w:t>O</w:t>
      </w:r>
      <w:r w:rsidR="003F6155" w:rsidRPr="00AE4DA1">
        <w:t xml:space="preserve">ur preferred estimation method </w:t>
      </w:r>
      <w:r w:rsidR="003F6155">
        <w:t xml:space="preserve">is </w:t>
      </w:r>
      <w:r w:rsidR="003F6155" w:rsidRPr="00AE4DA1">
        <w:t>an ordinary least squares regression.</w:t>
      </w:r>
      <w:r w:rsidR="003F6155">
        <w:t xml:space="preserve"> Standard errors are be clustered at the individual level, to account for the likelihood that the outcomes of each individual (and hence </w:t>
      </w:r>
      <w:r w:rsidR="00AF4F69">
        <w:t xml:space="preserve">the </w:t>
      </w:r>
      <w:r w:rsidR="003F6155">
        <w:t xml:space="preserve">error terms) are highly correlated over time. Parallel </w:t>
      </w:r>
      <w:r w:rsidR="00AF4F69">
        <w:t xml:space="preserve">models </w:t>
      </w:r>
      <w:r w:rsidR="003F6155">
        <w:t xml:space="preserve">for male and female subpopulations were also </w:t>
      </w:r>
      <w:r w:rsidR="00AF4F69">
        <w:t>estimated</w:t>
      </w:r>
      <w:r w:rsidR="003F6155">
        <w:t xml:space="preserve">. </w:t>
      </w:r>
    </w:p>
    <w:p w:rsidR="003F6155" w:rsidRPr="00AE4DA1" w:rsidRDefault="003F6155" w:rsidP="003F6155">
      <w:pPr>
        <w:pStyle w:val="BodyText"/>
      </w:pPr>
      <w:r>
        <w:lastRenderedPageBreak/>
        <w:t xml:space="preserve">Weights </w:t>
      </w:r>
      <w:r w:rsidR="00AF4F69">
        <w:t>were</w:t>
      </w:r>
      <w:r>
        <w:t xml:space="preserve"> not be used as part of this estimation. This is because the weights provided as part of the HILDA dataset may not accurately represent the way </w:t>
      </w:r>
      <w:r w:rsidR="00AF4F69">
        <w:t>in which</w:t>
      </w:r>
      <w:r>
        <w:t xml:space="preserve"> attrition occurs </w:t>
      </w:r>
      <w:r w:rsidR="00AF4F69">
        <w:t>in the subsamples of interest</w:t>
      </w:r>
      <w:r>
        <w:t xml:space="preserve"> (</w:t>
      </w:r>
      <w:r w:rsidR="00AF4F69">
        <w:t xml:space="preserve">as opposed to the HILDA sample </w:t>
      </w:r>
      <w:r>
        <w:t xml:space="preserve">as a whole).  </w:t>
      </w:r>
    </w:p>
    <w:p w:rsidR="003F6155" w:rsidRPr="00A55ACF" w:rsidRDefault="003F6155" w:rsidP="003F6155">
      <w:pPr>
        <w:pStyle w:val="BodyText"/>
        <w:rPr>
          <w:b/>
          <w:bCs/>
          <w:color w:val="00A1DE"/>
        </w:rPr>
      </w:pPr>
      <w:r>
        <w:rPr>
          <w:b/>
          <w:bCs/>
          <w:color w:val="00A1DE"/>
        </w:rPr>
        <w:t xml:space="preserve">B. </w:t>
      </w:r>
      <w:r w:rsidRPr="00A55ACF">
        <w:rPr>
          <w:b/>
          <w:bCs/>
          <w:color w:val="00A1DE"/>
        </w:rPr>
        <w:t xml:space="preserve">Employment model </w:t>
      </w:r>
      <w:r>
        <w:rPr>
          <w:b/>
          <w:bCs/>
          <w:color w:val="00A1DE"/>
        </w:rPr>
        <w:t>– conditional on participation in the labour force</w:t>
      </w:r>
    </w:p>
    <w:p w:rsidR="003F6155" w:rsidRDefault="003F6155" w:rsidP="003F6155">
      <w:pPr>
        <w:pStyle w:val="BodyText"/>
      </w:pPr>
      <w:r>
        <w:t>The s</w:t>
      </w:r>
      <w:r w:rsidRPr="00AE4DA1">
        <w:t xml:space="preserve">econd </w:t>
      </w:r>
      <w:r>
        <w:t xml:space="preserve">part of this modelling examines the effect of higher education (including qualification level and field of education) on the likelihood of an individual participating in the labour force to be employed. </w:t>
      </w:r>
    </w:p>
    <w:p w:rsidR="003F6155" w:rsidRDefault="003F6155" w:rsidP="003F6155">
      <w:pPr>
        <w:pStyle w:val="BodyText"/>
      </w:pPr>
      <w:r>
        <w:t xml:space="preserve">This propensity is estimated using a linear probability model, which isolates the effect of higher education and controls for other explanatory characteristics.  </w:t>
      </w:r>
      <w:r w:rsidRPr="00AE4DA1">
        <w:t>The functional form of this equation is show</w:t>
      </w:r>
      <w:r>
        <w:t>n</w:t>
      </w:r>
      <w:r w:rsidRPr="00AE4DA1">
        <w:t xml:space="preserve"> below:</w:t>
      </w:r>
    </w:p>
    <w:p w:rsidR="003F6155" w:rsidRPr="0069466A" w:rsidRDefault="009F06EE" w:rsidP="003F6155">
      <w:pPr>
        <w:pStyle w:val="BodyText"/>
        <w:ind w:left="360"/>
        <w:rPr>
          <w:rFonts w:cs="Arial"/>
          <w:iCs/>
        </w:rPr>
      </w:pPr>
      <m:oMathPara>
        <m:oMathParaPr>
          <m:jc m:val="centerGroup"/>
        </m:oMathParaPr>
        <m:oMath>
          <m:func>
            <m:funcPr>
              <m:ctrlPr>
                <w:rPr>
                  <w:rFonts w:ascii="Cambria Math" w:hAnsi="Cambria Math"/>
                  <w:i/>
                  <w:iCs/>
                </w:rPr>
              </m:ctrlPr>
            </m:funcPr>
            <m:fName>
              <m:r>
                <m:rPr>
                  <m:sty m:val="p"/>
                </m:rPr>
                <w:rPr>
                  <w:rFonts w:ascii="Cambria Math" w:hAnsi="Cambria Math"/>
                </w:rPr>
                <m:t>Pr</m:t>
              </m:r>
            </m:fName>
            <m:e>
              <m:d>
                <m:dPr>
                  <m:ctrlPr>
                    <w:rPr>
                      <w:rFonts w:ascii="Cambria Math" w:hAnsi="Cambria Math"/>
                      <w:i/>
                      <w:iCs/>
                    </w:rPr>
                  </m:ctrlPr>
                </m:dPr>
                <m:e>
                  <m:sSub>
                    <m:sSubPr>
                      <m:ctrlPr>
                        <w:rPr>
                          <w:rFonts w:ascii="Cambria Math" w:hAnsi="Cambria Math"/>
                          <w:i/>
                          <w:iCs/>
                        </w:rPr>
                      </m:ctrlPr>
                    </m:sSubPr>
                    <m:e>
                      <m:r>
                        <w:rPr>
                          <w:rFonts w:ascii="Cambria Math" w:hAnsi="Cambria Math"/>
                        </w:rPr>
                        <m:t>Employed</m:t>
                      </m:r>
                    </m:e>
                    <m:sub>
                      <m:r>
                        <w:rPr>
                          <w:rFonts w:ascii="Cambria Math" w:hAnsi="Cambria Math"/>
                        </w:rPr>
                        <m:t>it</m:t>
                      </m:r>
                    </m:sub>
                  </m:sSub>
                  <m:r>
                    <w:rPr>
                      <w:rFonts w:ascii="Cambria Math" w:hAnsi="Cambria Math"/>
                    </w:rPr>
                    <m:t>=1 | Participatio</m:t>
                  </m:r>
                  <m:sSub>
                    <m:sSubPr>
                      <m:ctrlPr>
                        <w:rPr>
                          <w:rFonts w:ascii="Cambria Math" w:hAnsi="Cambria Math"/>
                          <w:i/>
                        </w:rPr>
                      </m:ctrlPr>
                    </m:sSubPr>
                    <m:e>
                      <m:r>
                        <w:rPr>
                          <w:rFonts w:ascii="Cambria Math" w:hAnsi="Cambria Math"/>
                        </w:rPr>
                        <m:t>n</m:t>
                      </m:r>
                    </m:e>
                    <m:sub>
                      <m:r>
                        <w:rPr>
                          <w:rFonts w:ascii="Cambria Math" w:hAnsi="Cambria Math"/>
                        </w:rPr>
                        <m:t>it</m:t>
                      </m:r>
                    </m:sub>
                  </m:sSub>
                  <m:r>
                    <w:rPr>
                      <w:rFonts w:ascii="Cambria Math" w:hAnsi="Cambria Math"/>
                    </w:rPr>
                    <m:t>=1</m:t>
                  </m:r>
                </m:e>
              </m:d>
            </m:e>
          </m:func>
          <m:r>
            <w:rPr>
              <w:rFonts w:ascii="Cambria Math" w:hAnsi="Cambria Math"/>
            </w:rPr>
            <m:t>=</m:t>
          </m:r>
          <m:sSub>
            <m:sSubPr>
              <m:ctrlPr>
                <w:rPr>
                  <w:rFonts w:ascii="Cambria Math" w:hAnsi="Cambria Math"/>
                  <w:i/>
                  <w:iCs/>
                </w:rPr>
              </m:ctrlPr>
            </m:sSubPr>
            <m:e>
              <m:r>
                <w:rPr>
                  <w:rFonts w:ascii="Cambria Math" w:hAnsi="Cambria Math"/>
                </w:rPr>
                <m:t>α</m:t>
              </m:r>
            </m:e>
            <m:sub>
              <m:r>
                <w:rPr>
                  <w:rFonts w:ascii="Cambria Math" w:hAnsi="Cambria Math"/>
                </w:rPr>
                <m:t>0</m:t>
              </m:r>
            </m:sub>
          </m:sSub>
          <m:r>
            <w:rPr>
              <w:rFonts w:ascii="Cambria Math" w:hAnsi="Cambria Math"/>
            </w:rPr>
            <m:t>+</m:t>
          </m:r>
          <m:sSub>
            <m:sSubPr>
              <m:ctrlPr>
                <w:rPr>
                  <w:rFonts w:ascii="Cambria Math" w:hAnsi="Cambria Math"/>
                  <w:b/>
                  <w:i/>
                </w:rPr>
              </m:ctrlPr>
            </m:sSubPr>
            <m:e>
              <m:r>
                <m:rPr>
                  <m:sty m:val="bi"/>
                </m:rPr>
                <w:rPr>
                  <w:rFonts w:ascii="Cambria Math" w:hAnsi="Cambria Math"/>
                </w:rPr>
                <m:t>α</m:t>
              </m:r>
            </m:e>
            <m:sub>
              <m:r>
                <m:rPr>
                  <m:sty m:val="bi"/>
                </m:rPr>
                <w:rPr>
                  <w:rFonts w:ascii="Cambria Math" w:hAnsi="Cambria Math"/>
                </w:rPr>
                <m:t>1</m:t>
              </m:r>
            </m:sub>
          </m:sSub>
          <m:sSub>
            <m:sSubPr>
              <m:ctrlPr>
                <w:rPr>
                  <w:rFonts w:ascii="Cambria Math" w:hAnsi="Cambria Math"/>
                  <w:b/>
                  <w:i/>
                  <w:iCs/>
                </w:rPr>
              </m:ctrlPr>
            </m:sSubPr>
            <m:e>
              <m:r>
                <m:rPr>
                  <m:sty m:val="bi"/>
                </m:rPr>
                <w:rPr>
                  <w:rFonts w:ascii="Cambria Math" w:hAnsi="Cambria Math"/>
                </w:rPr>
                <m:t>E</m:t>
              </m:r>
            </m:e>
            <m:sub>
              <m:r>
                <m:rPr>
                  <m:sty m:val="bi"/>
                </m:rPr>
                <w:rPr>
                  <w:rFonts w:ascii="Cambria Math" w:hAnsi="Cambria Math"/>
                </w:rPr>
                <m:t>it</m:t>
              </m:r>
            </m:sub>
          </m:sSub>
          <m:r>
            <w:rPr>
              <w:rFonts w:ascii="Cambria Math" w:hAnsi="Cambria Math"/>
            </w:rPr>
            <m:t>+</m:t>
          </m:r>
          <m:sSub>
            <m:sSubPr>
              <m:ctrlPr>
                <w:rPr>
                  <w:rFonts w:ascii="Cambria Math" w:hAnsi="Cambria Math"/>
                  <w:b/>
                  <w:i/>
                </w:rPr>
              </m:ctrlPr>
            </m:sSubPr>
            <m:e>
              <m:r>
                <m:rPr>
                  <m:sty m:val="bi"/>
                </m:rPr>
                <w:rPr>
                  <w:rFonts w:ascii="Cambria Math" w:hAnsi="Cambria Math"/>
                </w:rPr>
                <m:t>α</m:t>
              </m:r>
            </m:e>
            <m:sub>
              <m:r>
                <m:rPr>
                  <m:sty m:val="bi"/>
                </m:rPr>
                <w:rPr>
                  <w:rFonts w:ascii="Cambria Math" w:hAnsi="Cambria Math"/>
                </w:rPr>
                <m:t>2</m:t>
              </m:r>
            </m:sub>
          </m:sSub>
          <m:sSub>
            <m:sSubPr>
              <m:ctrlPr>
                <w:rPr>
                  <w:rFonts w:ascii="Cambria Math" w:hAnsi="Cambria Math"/>
                  <w:b/>
                  <w:i/>
                  <w:iCs/>
                </w:rPr>
              </m:ctrlPr>
            </m:sSubPr>
            <m:e>
              <m:r>
                <m:rPr>
                  <m:sty m:val="bi"/>
                </m:rPr>
                <w:rPr>
                  <w:rFonts w:ascii="Cambria Math" w:hAnsi="Cambria Math"/>
                </w:rPr>
                <m:t>X</m:t>
              </m:r>
            </m:e>
            <m:sub>
              <m:r>
                <m:rPr>
                  <m:sty m:val="bi"/>
                </m:rPr>
                <w:rPr>
                  <w:rFonts w:ascii="Cambria Math" w:hAnsi="Cambria Math"/>
                </w:rPr>
                <m:t>it</m:t>
              </m:r>
            </m:sub>
          </m:sSub>
          <m:r>
            <m:rPr>
              <m:sty m:val="bi"/>
            </m:rPr>
            <w:rPr>
              <w:rFonts w:ascii="Cambria Math" w:hAnsi="Cambria Math"/>
            </w:rPr>
            <m:t>+</m:t>
          </m:r>
          <m:sSub>
            <m:sSubPr>
              <m:ctrlPr>
                <w:rPr>
                  <w:rFonts w:ascii="Cambria Math" w:hAnsi="Cambria Math"/>
                  <w:i/>
                  <w:iCs/>
                </w:rPr>
              </m:ctrlPr>
            </m:sSubPr>
            <m:e>
              <m:r>
                <w:rPr>
                  <w:rFonts w:ascii="Cambria Math" w:hAnsi="Cambria Math"/>
                </w:rPr>
                <m:t>γ</m:t>
              </m:r>
            </m:e>
            <m:sub>
              <m:r>
                <w:rPr>
                  <w:rFonts w:ascii="Cambria Math" w:hAnsi="Cambria Math"/>
                </w:rPr>
                <m:t>t</m:t>
              </m:r>
            </m:sub>
          </m:sSub>
        </m:oMath>
      </m:oMathPara>
    </w:p>
    <w:p w:rsidR="003F6155" w:rsidRDefault="00581C66" w:rsidP="00DA4CA5">
      <w:pPr>
        <w:pStyle w:val="Bullet1"/>
        <w:numPr>
          <w:ilvl w:val="0"/>
          <w:numId w:val="0"/>
        </w:numPr>
        <w:ind w:left="567"/>
      </w:pPr>
      <w:proofErr w:type="gramStart"/>
      <w:r>
        <w:t>w</w:t>
      </w:r>
      <w:r w:rsidR="003F6155">
        <w:t>here</w:t>
      </w:r>
      <w:proofErr w:type="gramEnd"/>
      <w:r w:rsidR="003F6155">
        <w:t xml:space="preserve">: </w:t>
      </w:r>
    </w:p>
    <w:p w:rsidR="003F6155" w:rsidRPr="00565A1A" w:rsidRDefault="003F6155" w:rsidP="003F6155">
      <w:pPr>
        <w:pStyle w:val="Bullet2"/>
        <w:ind w:left="1134" w:hanging="567"/>
      </w:pPr>
      <m:oMath>
        <m:r>
          <w:rPr>
            <w:rFonts w:ascii="Cambria Math" w:hAnsi="Cambria Math"/>
          </w:rPr>
          <m:t>Employed</m:t>
        </m:r>
      </m:oMath>
      <w:r>
        <w:rPr>
          <w:iCs/>
        </w:rPr>
        <w:t xml:space="preserve"> is a dummy variable that equals one if individual </w:t>
      </w:r>
      <m:oMath>
        <m:r>
          <w:rPr>
            <w:rFonts w:ascii="Cambria Math" w:hAnsi="Cambria Math"/>
          </w:rPr>
          <m:t>i</m:t>
        </m:r>
      </m:oMath>
      <w:r>
        <w:rPr>
          <w:iCs/>
        </w:rPr>
        <w:t xml:space="preserve"> at time </w:t>
      </w:r>
      <m:oMath>
        <m:r>
          <w:rPr>
            <w:rFonts w:ascii="Cambria Math" w:hAnsi="Cambria Math"/>
          </w:rPr>
          <m:t>t</m:t>
        </m:r>
      </m:oMath>
      <w:r>
        <w:rPr>
          <w:iCs/>
        </w:rPr>
        <w:t xml:space="preserve"> is employed and equals zero if they are n</w:t>
      </w:r>
      <w:proofErr w:type="spellStart"/>
      <w:r>
        <w:rPr>
          <w:iCs/>
        </w:rPr>
        <w:t>ot</w:t>
      </w:r>
      <w:proofErr w:type="spellEnd"/>
      <w:r>
        <w:rPr>
          <w:iCs/>
        </w:rPr>
        <w:t xml:space="preserve"> employed;</w:t>
      </w:r>
    </w:p>
    <w:p w:rsidR="003F6155" w:rsidRPr="0069466A" w:rsidRDefault="003F6155" w:rsidP="003F6155">
      <w:pPr>
        <w:pStyle w:val="Bullet2"/>
        <w:ind w:left="1134" w:hanging="567"/>
      </w:pPr>
      <m:oMath>
        <m:r>
          <w:rPr>
            <w:rFonts w:ascii="Cambria Math" w:hAnsi="Cambria Math"/>
          </w:rPr>
          <m:t>Participation</m:t>
        </m:r>
      </m:oMath>
      <w:r>
        <w:t xml:space="preserve"> is a dummy variable that equals one if individual </w:t>
      </w:r>
      <m:oMath>
        <m:r>
          <w:rPr>
            <w:rFonts w:ascii="Cambria Math" w:hAnsi="Cambria Math"/>
          </w:rPr>
          <m:t>i</m:t>
        </m:r>
      </m:oMath>
      <w:r>
        <w:rPr>
          <w:iCs/>
        </w:rPr>
        <w:t xml:space="preserve"> at time </w:t>
      </w:r>
      <m:oMath>
        <m:r>
          <w:rPr>
            <w:rFonts w:ascii="Cambria Math" w:hAnsi="Cambria Math"/>
          </w:rPr>
          <m:t>t</m:t>
        </m:r>
      </m:oMath>
      <w:r>
        <w:rPr>
          <w:iCs/>
        </w:rPr>
        <w:t xml:space="preserve"> </w:t>
      </w:r>
      <w:r>
        <w:t>is participating in the labour force and equals zero if they are not;</w:t>
      </w:r>
    </w:p>
    <w:p w:rsidR="003F6155" w:rsidRDefault="009F06EE" w:rsidP="003F6155">
      <w:pPr>
        <w:pStyle w:val="Bullet2"/>
        <w:ind w:left="1134" w:hanging="567"/>
      </w:pPr>
      <m:oMath>
        <m:sSub>
          <m:sSubPr>
            <m:ctrlPr>
              <w:rPr>
                <w:rFonts w:ascii="Cambria Math" w:hAnsi="Cambria Math"/>
                <w:i/>
              </w:rPr>
            </m:ctrlPr>
          </m:sSubPr>
          <m:e>
            <m:r>
              <w:rPr>
                <w:rFonts w:ascii="Cambria Math" w:hAnsi="Cambria Math"/>
              </w:rPr>
              <m:t>E</m:t>
            </m:r>
          </m:e>
          <m:sub>
            <m:r>
              <w:rPr>
                <w:rFonts w:ascii="Cambria Math" w:hAnsi="Cambria Math"/>
              </w:rPr>
              <m:t>it</m:t>
            </m:r>
          </m:sub>
        </m:sSub>
      </m:oMath>
      <w:r w:rsidR="003F6155">
        <w:t xml:space="preserve"> is a vector of educational characteristics (qualification level, field of e</w:t>
      </w:r>
      <w:proofErr w:type="spellStart"/>
      <w:r w:rsidR="003F6155">
        <w:t>ducation</w:t>
      </w:r>
      <w:proofErr w:type="spellEnd"/>
      <w:r w:rsidR="003F6155">
        <w:t>); and</w:t>
      </w:r>
    </w:p>
    <w:p w:rsidR="003F6155" w:rsidRDefault="009F06EE" w:rsidP="003F6155">
      <w:pPr>
        <w:pStyle w:val="Bullet2"/>
        <w:ind w:left="1134" w:hanging="567"/>
      </w:pPr>
      <m:oMath>
        <m:sSub>
          <m:sSubPr>
            <m:ctrlPr>
              <w:rPr>
                <w:rFonts w:ascii="Cambria Math" w:hAnsi="Cambria Math"/>
                <w:i/>
              </w:rPr>
            </m:ctrlPr>
          </m:sSubPr>
          <m:e>
            <m:r>
              <w:rPr>
                <w:rFonts w:ascii="Cambria Math" w:hAnsi="Cambria Math"/>
              </w:rPr>
              <m:t>X</m:t>
            </m:r>
          </m:e>
          <m:sub>
            <m:r>
              <w:rPr>
                <w:rFonts w:ascii="Cambria Math" w:hAnsi="Cambria Math"/>
              </w:rPr>
              <m:t>it</m:t>
            </m:r>
          </m:sub>
        </m:sSub>
      </m:oMath>
      <w:r w:rsidR="003F6155">
        <w:t xml:space="preserve"> is a vector of individual characteristics (including demographic characteristics and cognitive ability)</w:t>
      </w:r>
      <w:r w:rsidR="001D5B1F">
        <w:t>; and</w:t>
      </w:r>
    </w:p>
    <w:p w:rsidR="003F6155" w:rsidRDefault="009F06EE" w:rsidP="001D5B1F">
      <w:pPr>
        <w:pStyle w:val="Bullet2"/>
        <w:ind w:left="1134" w:hanging="567"/>
      </w:pPr>
      <m:oMath>
        <m:sSub>
          <m:sSubPr>
            <m:ctrlPr>
              <w:rPr>
                <w:rFonts w:ascii="Cambria Math" w:hAnsi="Cambria Math"/>
                <w:i/>
              </w:rPr>
            </m:ctrlPr>
          </m:sSubPr>
          <m:e>
            <m:r>
              <w:rPr>
                <w:rFonts w:ascii="Cambria Math" w:hAnsi="Cambria Math"/>
              </w:rPr>
              <m:t>γ</m:t>
            </m:r>
          </m:e>
          <m:sub>
            <m:r>
              <w:rPr>
                <w:rFonts w:ascii="Cambria Math" w:hAnsi="Cambria Math"/>
              </w:rPr>
              <m:t>t</m:t>
            </m:r>
          </m:sub>
        </m:sSub>
      </m:oMath>
      <w:r w:rsidR="001D5B1F">
        <w:t xml:space="preserve"> </w:t>
      </w:r>
      <w:proofErr w:type="gramStart"/>
      <w:r w:rsidR="001D5B1F">
        <w:t>is</w:t>
      </w:r>
      <w:proofErr w:type="gramEnd"/>
      <w:r w:rsidR="001D5B1F">
        <w:t xml:space="preserve"> a year fixed effect.</w:t>
      </w:r>
    </w:p>
    <w:p w:rsidR="003F6155" w:rsidRDefault="00950687" w:rsidP="003F6155">
      <w:pPr>
        <w:pStyle w:val="BodyText"/>
      </w:pPr>
      <w:proofErr w:type="gramStart"/>
      <w:r>
        <w:t xml:space="preserve">The </w:t>
      </w:r>
      <w:r>
        <w:rPr>
          <w:rFonts w:ascii="Times New Roman" w:hAnsi="Times New Roman"/>
          <w:i/>
        </w:rPr>
        <w:t>α</w:t>
      </w:r>
      <w:r w:rsidRPr="005F4BE1">
        <w:rPr>
          <w:rFonts w:ascii="Times New Roman" w:hAnsi="Times New Roman"/>
        </w:rPr>
        <w:t>’s</w:t>
      </w:r>
      <w:proofErr w:type="gramEnd"/>
      <w:r>
        <w:t xml:space="preserve"> are parameters to be </w:t>
      </w:r>
      <w:r w:rsidR="00581C66">
        <w:t>estimated and the data is obtained by pooling across the waves of HILDA data</w:t>
      </w:r>
      <w:r>
        <w:t xml:space="preserve">. </w:t>
      </w:r>
      <w:r w:rsidR="003F6155" w:rsidRPr="00371F67">
        <w:t xml:space="preserve">Standard errors </w:t>
      </w:r>
      <w:r w:rsidR="003F6155">
        <w:t>are</w:t>
      </w:r>
      <w:r w:rsidR="003F6155" w:rsidRPr="00371F67">
        <w:t xml:space="preserve"> be clustered at the individual level, to account for the likelihood that the</w:t>
      </w:r>
      <w:r w:rsidR="003F6155" w:rsidRPr="007F33B7">
        <w:t xml:space="preserve"> outcomes of each individual (and hence </w:t>
      </w:r>
      <w:r w:rsidR="0003212B">
        <w:t xml:space="preserve">the </w:t>
      </w:r>
      <w:r w:rsidR="003F6155" w:rsidRPr="007F33B7">
        <w:t>error terms) are highly correlated over time.</w:t>
      </w:r>
      <w:r w:rsidR="003F6155" w:rsidRPr="005E4C03">
        <w:t xml:space="preserve"> </w:t>
      </w:r>
    </w:p>
    <w:p w:rsidR="003F6155" w:rsidRPr="00A55ACF" w:rsidRDefault="003F6155" w:rsidP="003F6155">
      <w:pPr>
        <w:pStyle w:val="BodyText"/>
        <w:keepNext/>
        <w:rPr>
          <w:b/>
          <w:bCs/>
          <w:color w:val="00A1DE"/>
        </w:rPr>
      </w:pPr>
      <w:r>
        <w:rPr>
          <w:b/>
          <w:bCs/>
          <w:color w:val="00A1DE"/>
        </w:rPr>
        <w:t xml:space="preserve">C. Participation </w:t>
      </w:r>
      <w:r w:rsidRPr="00A55ACF">
        <w:rPr>
          <w:b/>
          <w:bCs/>
          <w:color w:val="00A1DE"/>
        </w:rPr>
        <w:t xml:space="preserve">model </w:t>
      </w:r>
    </w:p>
    <w:p w:rsidR="003F6155" w:rsidRDefault="003F6155" w:rsidP="003F6155">
      <w:pPr>
        <w:pStyle w:val="BodyText"/>
        <w:keepNext/>
      </w:pPr>
      <w:r>
        <w:t>The participation model similarly uses a linear probability model to isolate the effect of higher education (and other explanatory variables) on the likelihood of an individual participating in the labour force. The functional form of the equation is shown below:</w:t>
      </w:r>
    </w:p>
    <w:p w:rsidR="003F6155" w:rsidRPr="001E71D1" w:rsidRDefault="009F06EE" w:rsidP="003F6155">
      <w:pPr>
        <w:pStyle w:val="BodyText"/>
      </w:pPr>
      <m:oMathPara>
        <m:oMath>
          <m:func>
            <m:funcPr>
              <m:ctrlPr>
                <w:rPr>
                  <w:rFonts w:ascii="Cambria Math" w:hAnsi="Cambria Math"/>
                  <w:i/>
                  <w:iCs/>
                </w:rPr>
              </m:ctrlPr>
            </m:funcPr>
            <m:fName>
              <m:r>
                <m:rPr>
                  <m:sty m:val="p"/>
                </m:rPr>
                <w:rPr>
                  <w:rFonts w:ascii="Cambria Math" w:hAnsi="Cambria Math"/>
                </w:rPr>
                <m:t>Pr</m:t>
              </m:r>
            </m:fName>
            <m:e>
              <m:d>
                <m:dPr>
                  <m:ctrlPr>
                    <w:rPr>
                      <w:rFonts w:ascii="Cambria Math" w:hAnsi="Cambria Math"/>
                      <w:i/>
                      <w:iCs/>
                    </w:rPr>
                  </m:ctrlPr>
                </m:dPr>
                <m:e>
                  <m:sSub>
                    <m:sSubPr>
                      <m:ctrlPr>
                        <w:rPr>
                          <w:rFonts w:ascii="Cambria Math" w:hAnsi="Cambria Math"/>
                          <w:i/>
                          <w:iCs/>
                        </w:rPr>
                      </m:ctrlPr>
                    </m:sSubPr>
                    <m:e>
                      <m:r>
                        <w:rPr>
                          <w:rFonts w:ascii="Cambria Math" w:hAnsi="Cambria Math"/>
                        </w:rPr>
                        <m:t>Participation</m:t>
                      </m:r>
                    </m:e>
                    <m:sub>
                      <m:r>
                        <w:rPr>
                          <w:rFonts w:ascii="Cambria Math" w:hAnsi="Cambria Math"/>
                        </w:rPr>
                        <m:t>it</m:t>
                      </m:r>
                    </m:sub>
                  </m:sSub>
                  <m:r>
                    <w:rPr>
                      <w:rFonts w:ascii="Cambria Math" w:hAnsi="Cambria Math"/>
                    </w:rPr>
                    <m:t xml:space="preserve">=1 </m:t>
                  </m:r>
                </m:e>
              </m:d>
            </m:e>
          </m:func>
          <m:r>
            <w:rPr>
              <w:rFonts w:ascii="Cambria Math" w:hAnsi="Cambria Math"/>
            </w:rPr>
            <m:t>=</m:t>
          </m:r>
          <m:sSub>
            <m:sSubPr>
              <m:ctrlPr>
                <w:rPr>
                  <w:rFonts w:ascii="Cambria Math" w:hAnsi="Cambria Math"/>
                  <w:i/>
                  <w:iCs/>
                </w:rPr>
              </m:ctrlPr>
            </m:sSubPr>
            <m:e>
              <m:r>
                <w:rPr>
                  <w:rFonts w:ascii="Cambria Math" w:hAnsi="Cambria Math"/>
                </w:rPr>
                <m:t>αγ</m:t>
              </m:r>
            </m:e>
            <m:sub>
              <m:r>
                <w:rPr>
                  <w:rFonts w:ascii="Cambria Math" w:hAnsi="Cambria Math"/>
                </w:rPr>
                <m:t>0</m:t>
              </m:r>
            </m:sub>
          </m:sSub>
          <m:r>
            <w:rPr>
              <w:rFonts w:ascii="Cambria Math" w:hAnsi="Cambria Math"/>
            </w:rPr>
            <m:t>+</m:t>
          </m:r>
          <m:sSub>
            <m:sSubPr>
              <m:ctrlPr>
                <w:rPr>
                  <w:rFonts w:ascii="Cambria Math" w:hAnsi="Cambria Math"/>
                  <w:b/>
                  <w:i/>
                </w:rPr>
              </m:ctrlPr>
            </m:sSubPr>
            <m:e>
              <m:r>
                <m:rPr>
                  <m:sty m:val="bi"/>
                </m:rPr>
                <w:rPr>
                  <w:rFonts w:ascii="Cambria Math" w:hAnsi="Cambria Math"/>
                </w:rPr>
                <m:t>γ</m:t>
              </m:r>
            </m:e>
            <m:sub>
              <m:r>
                <m:rPr>
                  <m:sty m:val="bi"/>
                </m:rPr>
                <w:rPr>
                  <w:rFonts w:ascii="Cambria Math" w:hAnsi="Cambria Math"/>
                </w:rPr>
                <m:t>1</m:t>
              </m:r>
            </m:sub>
          </m:sSub>
          <m:sSub>
            <m:sSubPr>
              <m:ctrlPr>
                <w:rPr>
                  <w:rFonts w:ascii="Cambria Math" w:hAnsi="Cambria Math"/>
                  <w:b/>
                  <w:i/>
                  <w:iCs/>
                </w:rPr>
              </m:ctrlPr>
            </m:sSubPr>
            <m:e>
              <m:r>
                <m:rPr>
                  <m:sty m:val="bi"/>
                </m:rPr>
                <w:rPr>
                  <w:rFonts w:ascii="Cambria Math" w:hAnsi="Cambria Math"/>
                </w:rPr>
                <m:t>E</m:t>
              </m:r>
            </m:e>
            <m:sub>
              <m:r>
                <m:rPr>
                  <m:sty m:val="bi"/>
                </m:rPr>
                <w:rPr>
                  <w:rFonts w:ascii="Cambria Math" w:hAnsi="Cambria Math"/>
                </w:rPr>
                <m:t>it</m:t>
              </m:r>
            </m:sub>
          </m:sSub>
          <m:r>
            <w:rPr>
              <w:rFonts w:ascii="Cambria Math" w:hAnsi="Cambria Math"/>
            </w:rPr>
            <m:t>+</m:t>
          </m:r>
          <m:sSub>
            <m:sSubPr>
              <m:ctrlPr>
                <w:rPr>
                  <w:rFonts w:ascii="Cambria Math" w:hAnsi="Cambria Math"/>
                  <w:b/>
                  <w:i/>
                </w:rPr>
              </m:ctrlPr>
            </m:sSubPr>
            <m:e>
              <m:r>
                <m:rPr>
                  <m:sty m:val="bi"/>
                </m:rPr>
                <w:rPr>
                  <w:rFonts w:ascii="Cambria Math" w:hAnsi="Cambria Math"/>
                </w:rPr>
                <m:t>γ</m:t>
              </m:r>
            </m:e>
            <m:sub>
              <m:r>
                <m:rPr>
                  <m:sty m:val="bi"/>
                </m:rPr>
                <w:rPr>
                  <w:rFonts w:ascii="Cambria Math" w:hAnsi="Cambria Math"/>
                </w:rPr>
                <m:t>2</m:t>
              </m:r>
            </m:sub>
          </m:sSub>
          <m:sSub>
            <m:sSubPr>
              <m:ctrlPr>
                <w:rPr>
                  <w:rFonts w:ascii="Cambria Math" w:hAnsi="Cambria Math"/>
                  <w:b/>
                  <w:i/>
                  <w:iCs/>
                </w:rPr>
              </m:ctrlPr>
            </m:sSubPr>
            <m:e>
              <m:r>
                <m:rPr>
                  <m:sty m:val="bi"/>
                </m:rPr>
                <w:rPr>
                  <w:rFonts w:ascii="Cambria Math" w:hAnsi="Cambria Math"/>
                </w:rPr>
                <m:t>X</m:t>
              </m:r>
            </m:e>
            <m:sub>
              <m:r>
                <m:rPr>
                  <m:sty m:val="bi"/>
                </m:rPr>
                <w:rPr>
                  <w:rFonts w:ascii="Cambria Math" w:hAnsi="Cambria Math"/>
                </w:rPr>
                <m:t>it</m:t>
              </m:r>
            </m:sub>
          </m:sSub>
          <m:r>
            <m:rPr>
              <m:sty m:val="bi"/>
            </m:rPr>
            <w:rPr>
              <w:rFonts w:ascii="Cambria Math" w:hAnsi="Cambria Math"/>
            </w:rPr>
            <m:t>+</m:t>
          </m:r>
          <m:sSub>
            <m:sSubPr>
              <m:ctrlPr>
                <w:rPr>
                  <w:rFonts w:ascii="Cambria Math" w:hAnsi="Cambria Math"/>
                  <w:i/>
                  <w:iCs/>
                </w:rPr>
              </m:ctrlPr>
            </m:sSubPr>
            <m:e>
              <m:r>
                <w:rPr>
                  <w:rFonts w:ascii="Cambria Math" w:hAnsi="Cambria Math"/>
                </w:rPr>
                <m:t>γ</m:t>
              </m:r>
            </m:e>
            <m:sub>
              <m:r>
                <w:rPr>
                  <w:rFonts w:ascii="Cambria Math" w:hAnsi="Cambria Math"/>
                </w:rPr>
                <m:t>t</m:t>
              </m:r>
            </m:sub>
          </m:sSub>
        </m:oMath>
      </m:oMathPara>
    </w:p>
    <w:p w:rsidR="003F6155" w:rsidRDefault="00581C66" w:rsidP="00DA4CA5">
      <w:pPr>
        <w:pStyle w:val="Bullet1"/>
        <w:numPr>
          <w:ilvl w:val="0"/>
          <w:numId w:val="0"/>
        </w:numPr>
        <w:ind w:left="567"/>
      </w:pPr>
      <w:proofErr w:type="gramStart"/>
      <w:r>
        <w:t>w</w:t>
      </w:r>
      <w:r w:rsidR="003F6155">
        <w:t>here</w:t>
      </w:r>
      <w:proofErr w:type="gramEnd"/>
      <w:r w:rsidR="003F6155">
        <w:t xml:space="preserve">: </w:t>
      </w:r>
    </w:p>
    <w:p w:rsidR="003F6155" w:rsidRPr="0069466A" w:rsidRDefault="003F6155" w:rsidP="003F6155">
      <w:pPr>
        <w:pStyle w:val="Bullet2"/>
        <w:ind w:left="1134" w:hanging="567"/>
      </w:pPr>
      <m:oMath>
        <m:r>
          <w:rPr>
            <w:rFonts w:ascii="Cambria Math" w:hAnsi="Cambria Math"/>
          </w:rPr>
          <m:t>Participation</m:t>
        </m:r>
      </m:oMath>
      <w:r>
        <w:t xml:space="preserve"> is a dummy variable that equals one if individual </w:t>
      </w:r>
      <m:oMath>
        <m:r>
          <w:rPr>
            <w:rFonts w:ascii="Cambria Math" w:hAnsi="Cambria Math"/>
          </w:rPr>
          <m:t>i</m:t>
        </m:r>
      </m:oMath>
      <w:r>
        <w:rPr>
          <w:iCs/>
        </w:rPr>
        <w:t xml:space="preserve"> at time </w:t>
      </w:r>
      <m:oMath>
        <m:r>
          <w:rPr>
            <w:rFonts w:ascii="Cambria Math" w:hAnsi="Cambria Math"/>
          </w:rPr>
          <m:t>t</m:t>
        </m:r>
      </m:oMath>
      <w:r>
        <w:rPr>
          <w:iCs/>
        </w:rPr>
        <w:t xml:space="preserve"> </w:t>
      </w:r>
      <w:r>
        <w:t>is participating in the labour force and equals zero if they are not;</w:t>
      </w:r>
    </w:p>
    <w:p w:rsidR="003F6155" w:rsidRDefault="009F06EE" w:rsidP="003F6155">
      <w:pPr>
        <w:pStyle w:val="Bullet2"/>
        <w:ind w:left="1134" w:hanging="567"/>
      </w:pPr>
      <m:oMath>
        <m:sSub>
          <m:sSubPr>
            <m:ctrlPr>
              <w:rPr>
                <w:rFonts w:ascii="Cambria Math" w:hAnsi="Cambria Math"/>
                <w:i/>
              </w:rPr>
            </m:ctrlPr>
          </m:sSubPr>
          <m:e>
            <m:r>
              <w:rPr>
                <w:rFonts w:ascii="Cambria Math" w:hAnsi="Cambria Math"/>
              </w:rPr>
              <m:t>E</m:t>
            </m:r>
          </m:e>
          <m:sub>
            <m:r>
              <w:rPr>
                <w:rFonts w:ascii="Cambria Math" w:hAnsi="Cambria Math"/>
              </w:rPr>
              <m:t>it</m:t>
            </m:r>
          </m:sub>
        </m:sSub>
      </m:oMath>
      <w:r w:rsidR="003F6155">
        <w:t xml:space="preserve"> is a vector of educational characteristics (qualification level, field of education); and</w:t>
      </w:r>
    </w:p>
    <w:p w:rsidR="003F6155" w:rsidRDefault="009F06EE" w:rsidP="003F6155">
      <w:pPr>
        <w:pStyle w:val="Bullet2"/>
        <w:ind w:left="1134" w:hanging="567"/>
      </w:pPr>
      <m:oMath>
        <m:sSub>
          <m:sSubPr>
            <m:ctrlPr>
              <w:rPr>
                <w:rFonts w:ascii="Cambria Math" w:hAnsi="Cambria Math"/>
                <w:i/>
              </w:rPr>
            </m:ctrlPr>
          </m:sSubPr>
          <m:e>
            <m:r>
              <w:rPr>
                <w:rFonts w:ascii="Cambria Math" w:hAnsi="Cambria Math"/>
              </w:rPr>
              <m:t>X</m:t>
            </m:r>
          </m:e>
          <m:sub>
            <m:r>
              <w:rPr>
                <w:rFonts w:ascii="Cambria Math" w:hAnsi="Cambria Math"/>
              </w:rPr>
              <m:t>it</m:t>
            </m:r>
          </m:sub>
        </m:sSub>
      </m:oMath>
      <w:r w:rsidR="003F6155">
        <w:t xml:space="preserve"> is a vector of individual characteristics (including demographic characteristics and cognitive ability)</w:t>
      </w:r>
      <w:r w:rsidR="001D5B1F">
        <w:t>; and</w:t>
      </w:r>
    </w:p>
    <w:p w:rsidR="003F6155" w:rsidRDefault="009F06EE" w:rsidP="001D5B1F">
      <w:pPr>
        <w:pStyle w:val="Bullet2"/>
        <w:ind w:left="1134" w:hanging="567"/>
      </w:pPr>
      <m:oMath>
        <m:sSub>
          <m:sSubPr>
            <m:ctrlPr>
              <w:rPr>
                <w:rFonts w:ascii="Cambria Math" w:hAnsi="Cambria Math"/>
                <w:i/>
              </w:rPr>
            </m:ctrlPr>
          </m:sSubPr>
          <m:e>
            <m:r>
              <w:rPr>
                <w:rFonts w:ascii="Cambria Math" w:hAnsi="Cambria Math"/>
              </w:rPr>
              <m:t>γ</m:t>
            </m:r>
          </m:e>
          <m:sub>
            <m:r>
              <w:rPr>
                <w:rFonts w:ascii="Cambria Math" w:hAnsi="Cambria Math"/>
              </w:rPr>
              <m:t>t</m:t>
            </m:r>
          </m:sub>
        </m:sSub>
      </m:oMath>
      <w:r w:rsidR="001D5B1F">
        <w:t xml:space="preserve"> </w:t>
      </w:r>
      <w:proofErr w:type="gramStart"/>
      <w:r w:rsidR="001D5B1F">
        <w:t>is</w:t>
      </w:r>
      <w:proofErr w:type="gramEnd"/>
      <w:r w:rsidR="001D5B1F">
        <w:t xml:space="preserve"> a year fixed effect.</w:t>
      </w:r>
    </w:p>
    <w:p w:rsidR="003F6155" w:rsidRPr="0060299D" w:rsidRDefault="0003212B" w:rsidP="003F6155">
      <w:pPr>
        <w:pStyle w:val="BodyText"/>
      </w:pPr>
      <w:r>
        <w:lastRenderedPageBreak/>
        <w:t xml:space="preserve">The </w:t>
      </w:r>
      <w:r>
        <w:rPr>
          <w:rFonts w:ascii="Times New Roman" w:hAnsi="Times New Roman"/>
          <w:i/>
        </w:rPr>
        <w:t>γ</w:t>
      </w:r>
      <w:r w:rsidRPr="005F4BE1">
        <w:rPr>
          <w:rFonts w:ascii="Times New Roman" w:hAnsi="Times New Roman"/>
        </w:rPr>
        <w:t>’s</w:t>
      </w:r>
      <w:r>
        <w:t xml:space="preserve"> are parameters to be </w:t>
      </w:r>
      <w:r w:rsidR="00581C66">
        <w:t>estimated and the data is obtained by pooling across the waves of HILDA data</w:t>
      </w:r>
      <w:r>
        <w:t xml:space="preserve">. </w:t>
      </w:r>
      <w:r w:rsidR="003F6155" w:rsidRPr="00371F67">
        <w:t xml:space="preserve">Standard errors </w:t>
      </w:r>
      <w:r w:rsidR="003F6155">
        <w:t>are</w:t>
      </w:r>
      <w:r w:rsidR="003F6155" w:rsidRPr="00371F67">
        <w:t xml:space="preserve"> be clustered at the individual level, to </w:t>
      </w:r>
      <w:r w:rsidR="003F6155">
        <w:t xml:space="preserve">account for the likelihood that </w:t>
      </w:r>
      <w:r w:rsidR="003F6155" w:rsidRPr="00371F67">
        <w:t>the</w:t>
      </w:r>
      <w:r w:rsidR="003F6155" w:rsidRPr="007F33B7">
        <w:t xml:space="preserve"> outcomes of each individual (and hence error terms) are highly correlated over time.</w:t>
      </w:r>
      <w:r w:rsidR="003F6155" w:rsidRPr="005E4C03">
        <w:t xml:space="preserve"> </w:t>
      </w:r>
    </w:p>
    <w:p w:rsidR="003F6155" w:rsidRDefault="003F6155" w:rsidP="003F6155">
      <w:pPr>
        <w:pStyle w:val="HeadingC"/>
      </w:pPr>
      <w:r>
        <w:t>Results</w:t>
      </w:r>
    </w:p>
    <w:p w:rsidR="003F6155" w:rsidRDefault="003F6155" w:rsidP="003F6155">
      <w:pPr>
        <w:pStyle w:val="BodyText"/>
        <w:rPr>
          <w:b/>
          <w:bCs/>
          <w:color w:val="00A1DE"/>
        </w:rPr>
      </w:pPr>
      <w:r>
        <w:rPr>
          <w:b/>
          <w:bCs/>
          <w:color w:val="00A1DE"/>
        </w:rPr>
        <w:t xml:space="preserve">A. </w:t>
      </w:r>
      <w:r w:rsidRPr="00AE4DA1">
        <w:rPr>
          <w:b/>
          <w:bCs/>
          <w:color w:val="00A1DE"/>
        </w:rPr>
        <w:t>Earnings model</w:t>
      </w:r>
      <w:r>
        <w:rPr>
          <w:b/>
          <w:bCs/>
          <w:color w:val="00A1DE"/>
        </w:rPr>
        <w:t xml:space="preserve"> – conditional on employment</w:t>
      </w:r>
    </w:p>
    <w:p w:rsidR="003F6155" w:rsidRPr="00AE4DA1" w:rsidRDefault="0003212B" w:rsidP="003F6155">
      <w:pPr>
        <w:pStyle w:val="BodyText"/>
      </w:pPr>
      <w:r>
        <w:fldChar w:fldCharType="begin"/>
      </w:r>
      <w:r>
        <w:instrText xml:space="preserve"> REF _Ref460584963 \r \h </w:instrText>
      </w:r>
      <w:r>
        <w:fldChar w:fldCharType="separate"/>
      </w:r>
      <w:r w:rsidR="00534F9F">
        <w:t>Table B.4</w:t>
      </w:r>
      <w:r>
        <w:fldChar w:fldCharType="end"/>
      </w:r>
      <w:r>
        <w:t xml:space="preserve"> shows the estimation results for the earnings model.  </w:t>
      </w:r>
      <w:r w:rsidR="003F6155">
        <w:t xml:space="preserve">The results </w:t>
      </w:r>
      <w:r>
        <w:t>ar</w:t>
      </w:r>
      <w:r w:rsidR="003F6155">
        <w:t xml:space="preserve">e consistent with those shown in the body of this report, but details three different specifications of the model – with (1) education and labour force controls only; (2) education, labour force and demographic controls; and (3) education, labour force, demographic and cognitive ability controls.   </w:t>
      </w:r>
    </w:p>
    <w:p w:rsidR="003F6155" w:rsidRPr="008C53C4" w:rsidRDefault="003F6155" w:rsidP="003F6155">
      <w:pPr>
        <w:pStyle w:val="AppendixTableCaption"/>
      </w:pPr>
      <w:bookmarkStart w:id="320" w:name="_Ref460584963"/>
      <w:bookmarkStart w:id="321" w:name="_Toc460586425"/>
      <w:bookmarkStart w:id="322" w:name="_Toc465961137"/>
      <w:r w:rsidRPr="008C53C4">
        <w:t>:</w:t>
      </w:r>
      <w:r>
        <w:t xml:space="preserve"> Coefficient estimates on log weekly wages of employed graduates</w:t>
      </w:r>
      <w:bookmarkEnd w:id="320"/>
      <w:bookmarkEnd w:id="321"/>
      <w:bookmarkEnd w:id="322"/>
    </w:p>
    <w:tbl>
      <w:tblPr>
        <w:tblStyle w:val="TableAE"/>
        <w:tblW w:w="0" w:type="auto"/>
        <w:tblLayout w:type="fixed"/>
        <w:tblLook w:val="04A0" w:firstRow="1" w:lastRow="0" w:firstColumn="1" w:lastColumn="0" w:noHBand="0" w:noVBand="1"/>
      </w:tblPr>
      <w:tblGrid>
        <w:gridCol w:w="2107"/>
        <w:gridCol w:w="2110"/>
        <w:gridCol w:w="2110"/>
        <w:gridCol w:w="2110"/>
      </w:tblGrid>
      <w:tr w:rsidR="003F6155" w:rsidRPr="008C53C4" w:rsidTr="00075414">
        <w:trPr>
          <w:cnfStyle w:val="100000000000" w:firstRow="1" w:lastRow="0" w:firstColumn="0" w:lastColumn="0" w:oddVBand="0" w:evenVBand="0" w:oddHBand="0" w:evenHBand="0" w:firstRowFirstColumn="0" w:firstRowLastColumn="0" w:lastRowFirstColumn="0" w:lastRowLastColumn="0"/>
          <w:tblHeader/>
        </w:trPr>
        <w:tc>
          <w:tcPr>
            <w:tcW w:w="2107" w:type="dxa"/>
          </w:tcPr>
          <w:p w:rsidR="003F6155" w:rsidRPr="008C53C4" w:rsidRDefault="003F6155" w:rsidP="00075414">
            <w:pPr>
              <w:pStyle w:val="TableHeadingCentre"/>
            </w:pPr>
            <w:r>
              <w:t>Dependent variable: Log weekly wages</w:t>
            </w:r>
          </w:p>
        </w:tc>
        <w:tc>
          <w:tcPr>
            <w:tcW w:w="2110" w:type="dxa"/>
          </w:tcPr>
          <w:p w:rsidR="003F6155" w:rsidRDefault="003F6155" w:rsidP="00075414">
            <w:pPr>
              <w:pStyle w:val="TableHeadingCentre"/>
            </w:pPr>
            <w:r>
              <w:t xml:space="preserve"> Education and labour force controls only (1)</w:t>
            </w:r>
          </w:p>
        </w:tc>
        <w:tc>
          <w:tcPr>
            <w:tcW w:w="2110" w:type="dxa"/>
          </w:tcPr>
          <w:p w:rsidR="003F6155" w:rsidRDefault="003F6155" w:rsidP="00075414">
            <w:pPr>
              <w:pStyle w:val="TableHeadingCentre"/>
            </w:pPr>
            <w:r>
              <w:t>Adding demographic controls (2)</w:t>
            </w:r>
          </w:p>
        </w:tc>
        <w:tc>
          <w:tcPr>
            <w:tcW w:w="2110" w:type="dxa"/>
          </w:tcPr>
          <w:p w:rsidR="003F6155" w:rsidRPr="008C53C4" w:rsidRDefault="003F6155" w:rsidP="00075414">
            <w:pPr>
              <w:pStyle w:val="TableHeadingCentre"/>
            </w:pPr>
            <w:r>
              <w:t>Full model, adding cognitive ability controls (3)</w:t>
            </w:r>
          </w:p>
        </w:tc>
      </w:tr>
      <w:tr w:rsidR="003F6155" w:rsidRPr="008C53C4" w:rsidTr="00075414">
        <w:tc>
          <w:tcPr>
            <w:tcW w:w="2107" w:type="dxa"/>
            <w:shd w:val="clear" w:color="auto" w:fill="D9D9D9" w:themeFill="background1" w:themeFillShade="D9"/>
            <w:vAlign w:val="center"/>
          </w:tcPr>
          <w:p w:rsidR="003F6155" w:rsidRPr="008C53C4" w:rsidRDefault="003F6155" w:rsidP="00075414">
            <w:pPr>
              <w:pStyle w:val="TabletextLeft"/>
            </w:pPr>
            <w:r w:rsidRPr="00AD48BC">
              <w:rPr>
                <w:b/>
                <w:lang w:eastAsia="en-AU"/>
              </w:rPr>
              <w:t>Qualification level</w:t>
            </w:r>
          </w:p>
        </w:tc>
        <w:tc>
          <w:tcPr>
            <w:tcW w:w="2110" w:type="dxa"/>
            <w:shd w:val="clear" w:color="auto" w:fill="D9D9D9" w:themeFill="background1" w:themeFillShade="D9"/>
          </w:tcPr>
          <w:p w:rsidR="003F6155" w:rsidRPr="008C53C4" w:rsidRDefault="003F6155" w:rsidP="00075414">
            <w:pPr>
              <w:pStyle w:val="TabletextLeft"/>
              <w:jc w:val="center"/>
            </w:pPr>
          </w:p>
        </w:tc>
        <w:tc>
          <w:tcPr>
            <w:tcW w:w="2110" w:type="dxa"/>
            <w:shd w:val="clear" w:color="auto" w:fill="D9D9D9" w:themeFill="background1" w:themeFillShade="D9"/>
          </w:tcPr>
          <w:p w:rsidR="003F6155" w:rsidRPr="008C53C4" w:rsidRDefault="003F6155" w:rsidP="00075414">
            <w:pPr>
              <w:pStyle w:val="TabletextLeft"/>
              <w:jc w:val="center"/>
            </w:pPr>
          </w:p>
        </w:tc>
        <w:tc>
          <w:tcPr>
            <w:tcW w:w="2110" w:type="dxa"/>
            <w:shd w:val="clear" w:color="auto" w:fill="D9D9D9" w:themeFill="background1" w:themeFillShade="D9"/>
          </w:tcPr>
          <w:p w:rsidR="003F6155" w:rsidRPr="008C53C4" w:rsidRDefault="003F6155" w:rsidP="00075414">
            <w:pPr>
              <w:pStyle w:val="TabletextLeft"/>
              <w:jc w:val="center"/>
            </w:pPr>
          </w:p>
        </w:tc>
      </w:tr>
      <w:tr w:rsidR="003F6155" w:rsidRPr="008C53C4" w:rsidTr="00075414">
        <w:tc>
          <w:tcPr>
            <w:tcW w:w="2107" w:type="dxa"/>
            <w:vAlign w:val="center"/>
          </w:tcPr>
          <w:p w:rsidR="003F6155" w:rsidRPr="008C53C4" w:rsidRDefault="003F6155" w:rsidP="00075414">
            <w:pPr>
              <w:pStyle w:val="TabletextLeft"/>
            </w:pPr>
            <w:r w:rsidRPr="00AD48BC">
              <w:rPr>
                <w:color w:val="000000"/>
              </w:rPr>
              <w:t>Postgraduate</w:t>
            </w:r>
          </w:p>
        </w:tc>
        <w:tc>
          <w:tcPr>
            <w:tcW w:w="2110" w:type="dxa"/>
            <w:vAlign w:val="center"/>
          </w:tcPr>
          <w:p w:rsidR="003F6155" w:rsidRPr="001110BC" w:rsidRDefault="003F6155" w:rsidP="00075414">
            <w:pPr>
              <w:pStyle w:val="TabletextLeft"/>
              <w:jc w:val="center"/>
            </w:pPr>
            <w:r w:rsidRPr="001061F7">
              <w:rPr>
                <w:color w:val="000000"/>
                <w:szCs w:val="22"/>
              </w:rPr>
              <w:t>0.368***</w:t>
            </w:r>
          </w:p>
        </w:tc>
        <w:tc>
          <w:tcPr>
            <w:tcW w:w="2110" w:type="dxa"/>
            <w:vAlign w:val="center"/>
          </w:tcPr>
          <w:p w:rsidR="003F6155" w:rsidRPr="00F12173" w:rsidRDefault="003F6155" w:rsidP="00075414">
            <w:pPr>
              <w:pStyle w:val="TabletextLeft"/>
              <w:jc w:val="center"/>
            </w:pPr>
            <w:r w:rsidRPr="001061F7">
              <w:rPr>
                <w:color w:val="000000"/>
              </w:rPr>
              <w:t>0.336***</w:t>
            </w:r>
          </w:p>
        </w:tc>
        <w:tc>
          <w:tcPr>
            <w:tcW w:w="2110" w:type="dxa"/>
            <w:vAlign w:val="center"/>
          </w:tcPr>
          <w:p w:rsidR="003F6155" w:rsidRPr="001061F7" w:rsidRDefault="003F6155" w:rsidP="00075414">
            <w:pPr>
              <w:pStyle w:val="TabletextLeft"/>
              <w:jc w:val="center"/>
            </w:pPr>
            <w:r w:rsidRPr="002A1F0D">
              <w:rPr>
                <w:color w:val="000000"/>
              </w:rPr>
              <w:t>0.248***</w:t>
            </w:r>
          </w:p>
        </w:tc>
      </w:tr>
      <w:tr w:rsidR="003F6155" w:rsidRPr="008C53C4" w:rsidTr="00075414">
        <w:tc>
          <w:tcPr>
            <w:tcW w:w="2107" w:type="dxa"/>
            <w:vAlign w:val="center"/>
          </w:tcPr>
          <w:p w:rsidR="003F6155" w:rsidRPr="008C53C4" w:rsidRDefault="003F6155" w:rsidP="00075414">
            <w:pPr>
              <w:pStyle w:val="TabletextLeft"/>
            </w:pPr>
            <w:r w:rsidRPr="00AD48BC">
              <w:rPr>
                <w:color w:val="000000"/>
              </w:rPr>
              <w:t>Bachelor</w:t>
            </w:r>
          </w:p>
        </w:tc>
        <w:tc>
          <w:tcPr>
            <w:tcW w:w="2110" w:type="dxa"/>
            <w:vAlign w:val="center"/>
          </w:tcPr>
          <w:p w:rsidR="003F6155" w:rsidRPr="001110BC" w:rsidRDefault="003F6155" w:rsidP="00075414">
            <w:pPr>
              <w:pStyle w:val="TabletextLeft"/>
              <w:jc w:val="center"/>
            </w:pPr>
            <w:r w:rsidRPr="001061F7">
              <w:rPr>
                <w:color w:val="000000"/>
                <w:szCs w:val="22"/>
              </w:rPr>
              <w:t>0.281***</w:t>
            </w:r>
          </w:p>
        </w:tc>
        <w:tc>
          <w:tcPr>
            <w:tcW w:w="2110" w:type="dxa"/>
            <w:vAlign w:val="center"/>
          </w:tcPr>
          <w:p w:rsidR="003F6155" w:rsidRPr="00F12173" w:rsidRDefault="003F6155" w:rsidP="00075414">
            <w:pPr>
              <w:pStyle w:val="TabletextLeft"/>
              <w:jc w:val="center"/>
            </w:pPr>
            <w:r w:rsidRPr="001061F7">
              <w:rPr>
                <w:color w:val="000000"/>
              </w:rPr>
              <w:t>0.253***</w:t>
            </w:r>
          </w:p>
        </w:tc>
        <w:tc>
          <w:tcPr>
            <w:tcW w:w="2110" w:type="dxa"/>
            <w:vAlign w:val="center"/>
          </w:tcPr>
          <w:p w:rsidR="003F6155" w:rsidRPr="001061F7" w:rsidRDefault="003F6155" w:rsidP="00075414">
            <w:pPr>
              <w:pStyle w:val="TabletextLeft"/>
              <w:jc w:val="center"/>
            </w:pPr>
            <w:r w:rsidRPr="002A1F0D">
              <w:rPr>
                <w:color w:val="000000"/>
              </w:rPr>
              <w:t>0.170***</w:t>
            </w:r>
          </w:p>
        </w:tc>
      </w:tr>
      <w:tr w:rsidR="003F6155" w:rsidRPr="008C53C4" w:rsidTr="00075414">
        <w:tc>
          <w:tcPr>
            <w:tcW w:w="2107" w:type="dxa"/>
            <w:vAlign w:val="center"/>
          </w:tcPr>
          <w:p w:rsidR="003F6155" w:rsidRPr="008C53C4" w:rsidRDefault="003F6155" w:rsidP="00075414">
            <w:pPr>
              <w:pStyle w:val="TabletextLeft"/>
            </w:pPr>
            <w:r w:rsidRPr="00AD48BC">
              <w:rPr>
                <w:color w:val="000000"/>
              </w:rPr>
              <w:t>Sub-bachelor</w:t>
            </w:r>
          </w:p>
        </w:tc>
        <w:tc>
          <w:tcPr>
            <w:tcW w:w="2110" w:type="dxa"/>
            <w:vAlign w:val="center"/>
          </w:tcPr>
          <w:p w:rsidR="003F6155" w:rsidRPr="001110BC" w:rsidRDefault="003F6155" w:rsidP="00075414">
            <w:pPr>
              <w:pStyle w:val="TabletextLeft"/>
              <w:jc w:val="center"/>
            </w:pPr>
            <w:r w:rsidRPr="001061F7">
              <w:rPr>
                <w:color w:val="000000"/>
                <w:szCs w:val="22"/>
              </w:rPr>
              <w:t>0.117***</w:t>
            </w:r>
          </w:p>
        </w:tc>
        <w:tc>
          <w:tcPr>
            <w:tcW w:w="2110" w:type="dxa"/>
            <w:vAlign w:val="center"/>
          </w:tcPr>
          <w:p w:rsidR="003F6155" w:rsidRPr="00F12173" w:rsidRDefault="003F6155" w:rsidP="00075414">
            <w:pPr>
              <w:pStyle w:val="TabletextLeft"/>
              <w:jc w:val="center"/>
            </w:pPr>
            <w:r w:rsidRPr="001061F7">
              <w:rPr>
                <w:color w:val="000000"/>
              </w:rPr>
              <w:t>0.101***</w:t>
            </w:r>
          </w:p>
        </w:tc>
        <w:tc>
          <w:tcPr>
            <w:tcW w:w="2110" w:type="dxa"/>
            <w:vAlign w:val="center"/>
          </w:tcPr>
          <w:p w:rsidR="003F6155" w:rsidRPr="001061F7" w:rsidRDefault="003F6155" w:rsidP="00075414">
            <w:pPr>
              <w:pStyle w:val="TabletextLeft"/>
              <w:jc w:val="center"/>
            </w:pPr>
            <w:r w:rsidRPr="002A1F0D">
              <w:rPr>
                <w:color w:val="000000"/>
              </w:rPr>
              <w:t>0.067*</w:t>
            </w:r>
          </w:p>
        </w:tc>
      </w:tr>
      <w:tr w:rsidR="003F6155" w:rsidRPr="008C53C4" w:rsidTr="00075414">
        <w:tc>
          <w:tcPr>
            <w:tcW w:w="2107" w:type="dxa"/>
            <w:vAlign w:val="center"/>
          </w:tcPr>
          <w:p w:rsidR="003F6155" w:rsidRPr="008C53C4" w:rsidRDefault="003F6155" w:rsidP="00075414">
            <w:pPr>
              <w:pStyle w:val="TabletextLeft"/>
            </w:pPr>
            <w:r w:rsidRPr="00AD48BC">
              <w:rPr>
                <w:color w:val="000000"/>
              </w:rPr>
              <w:t xml:space="preserve">Certificate III/IV </w:t>
            </w:r>
          </w:p>
        </w:tc>
        <w:tc>
          <w:tcPr>
            <w:tcW w:w="2110" w:type="dxa"/>
            <w:vAlign w:val="center"/>
          </w:tcPr>
          <w:p w:rsidR="003F6155" w:rsidRPr="001110BC" w:rsidRDefault="003F6155" w:rsidP="00075414">
            <w:pPr>
              <w:pStyle w:val="TabletextLeft"/>
              <w:jc w:val="center"/>
            </w:pPr>
            <w:r w:rsidRPr="001061F7">
              <w:rPr>
                <w:color w:val="000000"/>
                <w:szCs w:val="22"/>
              </w:rPr>
              <w:t>-0.005</w:t>
            </w:r>
          </w:p>
        </w:tc>
        <w:tc>
          <w:tcPr>
            <w:tcW w:w="2110" w:type="dxa"/>
            <w:vAlign w:val="center"/>
          </w:tcPr>
          <w:p w:rsidR="003F6155" w:rsidRPr="00F12173" w:rsidRDefault="003F6155" w:rsidP="00075414">
            <w:pPr>
              <w:pStyle w:val="TabletextLeft"/>
              <w:jc w:val="center"/>
            </w:pPr>
            <w:r w:rsidRPr="001061F7">
              <w:rPr>
                <w:color w:val="000000"/>
              </w:rPr>
              <w:t>-0.013</w:t>
            </w:r>
          </w:p>
        </w:tc>
        <w:tc>
          <w:tcPr>
            <w:tcW w:w="2110" w:type="dxa"/>
            <w:vAlign w:val="center"/>
          </w:tcPr>
          <w:p w:rsidR="003F6155" w:rsidRPr="001061F7" w:rsidRDefault="003F6155" w:rsidP="00075414">
            <w:pPr>
              <w:pStyle w:val="TabletextLeft"/>
              <w:jc w:val="center"/>
            </w:pPr>
            <w:r w:rsidRPr="002A1F0D">
              <w:rPr>
                <w:color w:val="000000"/>
              </w:rPr>
              <w:t>-0.048</w:t>
            </w:r>
          </w:p>
        </w:tc>
      </w:tr>
      <w:tr w:rsidR="003F6155" w:rsidRPr="008C53C4" w:rsidTr="00075414">
        <w:tc>
          <w:tcPr>
            <w:tcW w:w="2107" w:type="dxa"/>
            <w:shd w:val="clear" w:color="auto" w:fill="D9D9D9" w:themeFill="background1" w:themeFillShade="D9"/>
            <w:vAlign w:val="center"/>
          </w:tcPr>
          <w:p w:rsidR="003F6155" w:rsidRPr="008C53C4" w:rsidRDefault="003F6155" w:rsidP="00075414">
            <w:pPr>
              <w:pStyle w:val="TabletextLeft"/>
            </w:pPr>
            <w:r w:rsidRPr="00AD48BC">
              <w:rPr>
                <w:b/>
                <w:color w:val="000000"/>
              </w:rPr>
              <w:t>Field of Education</w:t>
            </w:r>
          </w:p>
        </w:tc>
        <w:tc>
          <w:tcPr>
            <w:tcW w:w="2110" w:type="dxa"/>
            <w:shd w:val="clear" w:color="auto" w:fill="D9D9D9" w:themeFill="background1" w:themeFillShade="D9"/>
            <w:vAlign w:val="center"/>
          </w:tcPr>
          <w:p w:rsidR="003F6155" w:rsidRPr="001110BC" w:rsidRDefault="003F6155" w:rsidP="00075414">
            <w:pPr>
              <w:pStyle w:val="TabletextLeft"/>
              <w:jc w:val="center"/>
            </w:pPr>
          </w:p>
        </w:tc>
        <w:tc>
          <w:tcPr>
            <w:tcW w:w="2110" w:type="dxa"/>
            <w:shd w:val="clear" w:color="auto" w:fill="D9D9D9" w:themeFill="background1" w:themeFillShade="D9"/>
            <w:vAlign w:val="center"/>
          </w:tcPr>
          <w:p w:rsidR="003F6155" w:rsidRPr="00F12173" w:rsidRDefault="003F6155" w:rsidP="00075414">
            <w:pPr>
              <w:pStyle w:val="TabletextLeft"/>
              <w:jc w:val="center"/>
            </w:pPr>
          </w:p>
        </w:tc>
        <w:tc>
          <w:tcPr>
            <w:tcW w:w="2110" w:type="dxa"/>
            <w:shd w:val="clear" w:color="auto" w:fill="D9D9D9" w:themeFill="background1" w:themeFillShade="D9"/>
            <w:vAlign w:val="center"/>
          </w:tcPr>
          <w:p w:rsidR="003F6155" w:rsidRPr="002A1F0D" w:rsidRDefault="003F6155" w:rsidP="00075414">
            <w:pPr>
              <w:pStyle w:val="TabletextLeft"/>
              <w:jc w:val="center"/>
            </w:pPr>
          </w:p>
        </w:tc>
      </w:tr>
      <w:tr w:rsidR="003F6155" w:rsidRPr="008C53C4" w:rsidTr="00075414">
        <w:tc>
          <w:tcPr>
            <w:tcW w:w="2107" w:type="dxa"/>
            <w:vAlign w:val="center"/>
          </w:tcPr>
          <w:p w:rsidR="003F6155" w:rsidRPr="008C53C4" w:rsidRDefault="003F6155" w:rsidP="00075414">
            <w:pPr>
              <w:pStyle w:val="TabletextLeft"/>
            </w:pPr>
            <w:r w:rsidRPr="00AD48BC">
              <w:rPr>
                <w:color w:val="000000"/>
              </w:rPr>
              <w:t xml:space="preserve">Science </w:t>
            </w:r>
          </w:p>
        </w:tc>
        <w:tc>
          <w:tcPr>
            <w:tcW w:w="2110" w:type="dxa"/>
            <w:vAlign w:val="center"/>
          </w:tcPr>
          <w:p w:rsidR="003F6155" w:rsidRPr="001110BC" w:rsidRDefault="003F6155" w:rsidP="00075414">
            <w:pPr>
              <w:pStyle w:val="TabletextLeft"/>
              <w:jc w:val="center"/>
            </w:pPr>
            <w:r w:rsidRPr="001061F7">
              <w:rPr>
                <w:color w:val="000000"/>
                <w:szCs w:val="22"/>
              </w:rPr>
              <w:t>0.024</w:t>
            </w:r>
          </w:p>
        </w:tc>
        <w:tc>
          <w:tcPr>
            <w:tcW w:w="2110" w:type="dxa"/>
            <w:vAlign w:val="center"/>
          </w:tcPr>
          <w:p w:rsidR="003F6155" w:rsidRPr="00F12173" w:rsidRDefault="003F6155" w:rsidP="00075414">
            <w:pPr>
              <w:pStyle w:val="TabletextLeft"/>
              <w:jc w:val="center"/>
            </w:pPr>
            <w:r w:rsidRPr="001061F7">
              <w:rPr>
                <w:color w:val="000000"/>
              </w:rPr>
              <w:t>0.030</w:t>
            </w:r>
          </w:p>
        </w:tc>
        <w:tc>
          <w:tcPr>
            <w:tcW w:w="2110" w:type="dxa"/>
            <w:vAlign w:val="center"/>
          </w:tcPr>
          <w:p w:rsidR="003F6155" w:rsidRPr="001061F7" w:rsidRDefault="003F6155" w:rsidP="00075414">
            <w:pPr>
              <w:pStyle w:val="TabletextLeft"/>
              <w:jc w:val="center"/>
            </w:pPr>
            <w:r w:rsidRPr="002A1F0D">
              <w:rPr>
                <w:color w:val="000000"/>
              </w:rPr>
              <w:t>0.010</w:t>
            </w:r>
          </w:p>
        </w:tc>
      </w:tr>
      <w:tr w:rsidR="003F6155" w:rsidRPr="008C53C4" w:rsidTr="00075414">
        <w:tc>
          <w:tcPr>
            <w:tcW w:w="2107" w:type="dxa"/>
            <w:vAlign w:val="center"/>
          </w:tcPr>
          <w:p w:rsidR="003F6155" w:rsidRPr="008C53C4" w:rsidRDefault="003F6155" w:rsidP="00075414">
            <w:pPr>
              <w:pStyle w:val="TabletextLeft"/>
            </w:pPr>
            <w:r w:rsidRPr="00AD48BC">
              <w:rPr>
                <w:color w:val="000000"/>
              </w:rPr>
              <w:t xml:space="preserve">IT </w:t>
            </w:r>
          </w:p>
        </w:tc>
        <w:tc>
          <w:tcPr>
            <w:tcW w:w="2110" w:type="dxa"/>
            <w:vAlign w:val="center"/>
          </w:tcPr>
          <w:p w:rsidR="003F6155" w:rsidRPr="001110BC" w:rsidRDefault="003F6155" w:rsidP="00075414">
            <w:pPr>
              <w:pStyle w:val="TabletextLeft"/>
              <w:jc w:val="center"/>
            </w:pPr>
            <w:r w:rsidRPr="001061F7">
              <w:rPr>
                <w:color w:val="000000"/>
                <w:szCs w:val="22"/>
              </w:rPr>
              <w:t>0.125*</w:t>
            </w:r>
          </w:p>
        </w:tc>
        <w:tc>
          <w:tcPr>
            <w:tcW w:w="2110" w:type="dxa"/>
            <w:vAlign w:val="center"/>
          </w:tcPr>
          <w:p w:rsidR="003F6155" w:rsidRPr="00F12173" w:rsidRDefault="003F6155" w:rsidP="00075414">
            <w:pPr>
              <w:pStyle w:val="TabletextLeft"/>
              <w:jc w:val="center"/>
            </w:pPr>
            <w:r w:rsidRPr="001061F7">
              <w:rPr>
                <w:color w:val="000000"/>
              </w:rPr>
              <w:t>0.096</w:t>
            </w:r>
          </w:p>
        </w:tc>
        <w:tc>
          <w:tcPr>
            <w:tcW w:w="2110" w:type="dxa"/>
            <w:vAlign w:val="center"/>
          </w:tcPr>
          <w:p w:rsidR="003F6155" w:rsidRPr="001061F7" w:rsidRDefault="003F6155" w:rsidP="00075414">
            <w:pPr>
              <w:pStyle w:val="TabletextLeft"/>
              <w:jc w:val="center"/>
            </w:pPr>
            <w:r w:rsidRPr="002A1F0D">
              <w:rPr>
                <w:color w:val="000000"/>
              </w:rPr>
              <w:t>0.076</w:t>
            </w:r>
          </w:p>
        </w:tc>
      </w:tr>
      <w:tr w:rsidR="003F6155" w:rsidRPr="008C53C4" w:rsidTr="00075414">
        <w:tc>
          <w:tcPr>
            <w:tcW w:w="2107" w:type="dxa"/>
            <w:vAlign w:val="center"/>
          </w:tcPr>
          <w:p w:rsidR="003F6155" w:rsidRPr="008C53C4" w:rsidRDefault="003F6155" w:rsidP="00075414">
            <w:pPr>
              <w:pStyle w:val="TabletextLeft"/>
            </w:pPr>
            <w:r w:rsidRPr="00AD48BC">
              <w:rPr>
                <w:color w:val="000000"/>
              </w:rPr>
              <w:t xml:space="preserve">Engineering </w:t>
            </w:r>
          </w:p>
        </w:tc>
        <w:tc>
          <w:tcPr>
            <w:tcW w:w="2110" w:type="dxa"/>
            <w:vAlign w:val="center"/>
          </w:tcPr>
          <w:p w:rsidR="003F6155" w:rsidRPr="001110BC" w:rsidRDefault="003F6155" w:rsidP="00075414">
            <w:pPr>
              <w:pStyle w:val="TabletextLeft"/>
              <w:jc w:val="center"/>
            </w:pPr>
            <w:r w:rsidRPr="001061F7">
              <w:rPr>
                <w:color w:val="000000"/>
                <w:szCs w:val="22"/>
              </w:rPr>
              <w:t>0.070</w:t>
            </w:r>
          </w:p>
        </w:tc>
        <w:tc>
          <w:tcPr>
            <w:tcW w:w="2110" w:type="dxa"/>
            <w:vAlign w:val="center"/>
          </w:tcPr>
          <w:p w:rsidR="003F6155" w:rsidRPr="00F12173" w:rsidRDefault="003F6155" w:rsidP="00075414">
            <w:pPr>
              <w:pStyle w:val="TabletextLeft"/>
              <w:jc w:val="center"/>
            </w:pPr>
            <w:r w:rsidRPr="001061F7">
              <w:rPr>
                <w:color w:val="000000"/>
              </w:rPr>
              <w:t>0.064</w:t>
            </w:r>
          </w:p>
        </w:tc>
        <w:tc>
          <w:tcPr>
            <w:tcW w:w="2110" w:type="dxa"/>
            <w:vAlign w:val="center"/>
          </w:tcPr>
          <w:p w:rsidR="003F6155" w:rsidRPr="001061F7" w:rsidRDefault="003F6155" w:rsidP="00075414">
            <w:pPr>
              <w:pStyle w:val="TabletextLeft"/>
              <w:jc w:val="center"/>
            </w:pPr>
            <w:r w:rsidRPr="002A1F0D">
              <w:rPr>
                <w:color w:val="000000"/>
              </w:rPr>
              <w:t>0.085*</w:t>
            </w:r>
          </w:p>
        </w:tc>
      </w:tr>
      <w:tr w:rsidR="003F6155" w:rsidRPr="008C53C4" w:rsidTr="00075414">
        <w:tc>
          <w:tcPr>
            <w:tcW w:w="2107" w:type="dxa"/>
            <w:vAlign w:val="center"/>
          </w:tcPr>
          <w:p w:rsidR="003F6155" w:rsidRPr="008C53C4" w:rsidRDefault="003F6155" w:rsidP="00075414">
            <w:pPr>
              <w:pStyle w:val="TabletextLeft"/>
            </w:pPr>
            <w:r w:rsidRPr="00AD48BC">
              <w:rPr>
                <w:color w:val="000000"/>
              </w:rPr>
              <w:t>Medicine</w:t>
            </w:r>
          </w:p>
        </w:tc>
        <w:tc>
          <w:tcPr>
            <w:tcW w:w="2110" w:type="dxa"/>
            <w:vAlign w:val="center"/>
          </w:tcPr>
          <w:p w:rsidR="003F6155" w:rsidRPr="001110BC" w:rsidRDefault="003F6155" w:rsidP="00075414">
            <w:pPr>
              <w:pStyle w:val="TabletextLeft"/>
              <w:jc w:val="center"/>
            </w:pPr>
            <w:r w:rsidRPr="001061F7">
              <w:rPr>
                <w:color w:val="000000"/>
                <w:szCs w:val="22"/>
              </w:rPr>
              <w:t>0.176</w:t>
            </w:r>
          </w:p>
        </w:tc>
        <w:tc>
          <w:tcPr>
            <w:tcW w:w="2110" w:type="dxa"/>
            <w:vAlign w:val="center"/>
          </w:tcPr>
          <w:p w:rsidR="003F6155" w:rsidRPr="00F12173" w:rsidRDefault="003F6155" w:rsidP="00075414">
            <w:pPr>
              <w:pStyle w:val="TabletextLeft"/>
              <w:jc w:val="center"/>
            </w:pPr>
            <w:r w:rsidRPr="001061F7">
              <w:rPr>
                <w:color w:val="000000"/>
              </w:rPr>
              <w:t>0.176</w:t>
            </w:r>
          </w:p>
        </w:tc>
        <w:tc>
          <w:tcPr>
            <w:tcW w:w="2110" w:type="dxa"/>
            <w:vAlign w:val="center"/>
          </w:tcPr>
          <w:p w:rsidR="003F6155" w:rsidRPr="001061F7" w:rsidRDefault="003F6155" w:rsidP="00075414">
            <w:pPr>
              <w:pStyle w:val="TabletextLeft"/>
              <w:jc w:val="center"/>
            </w:pPr>
            <w:r w:rsidRPr="002A1F0D">
              <w:rPr>
                <w:color w:val="000000"/>
              </w:rPr>
              <w:t>0.118</w:t>
            </w:r>
          </w:p>
        </w:tc>
      </w:tr>
      <w:tr w:rsidR="003F6155" w:rsidRPr="008C53C4" w:rsidTr="00075414">
        <w:tc>
          <w:tcPr>
            <w:tcW w:w="2107" w:type="dxa"/>
            <w:vAlign w:val="center"/>
          </w:tcPr>
          <w:p w:rsidR="003F6155" w:rsidRPr="008C53C4" w:rsidRDefault="003F6155" w:rsidP="00075414">
            <w:pPr>
              <w:pStyle w:val="TabletextLeft"/>
            </w:pPr>
            <w:r>
              <w:rPr>
                <w:color w:val="000000"/>
              </w:rPr>
              <w:t>Nursing</w:t>
            </w:r>
          </w:p>
        </w:tc>
        <w:tc>
          <w:tcPr>
            <w:tcW w:w="2110" w:type="dxa"/>
            <w:vAlign w:val="center"/>
          </w:tcPr>
          <w:p w:rsidR="003F6155" w:rsidRPr="001110BC" w:rsidRDefault="003F6155" w:rsidP="00075414">
            <w:pPr>
              <w:pStyle w:val="TabletextLeft"/>
              <w:jc w:val="center"/>
            </w:pPr>
            <w:r w:rsidRPr="001061F7">
              <w:rPr>
                <w:color w:val="000000"/>
                <w:szCs w:val="22"/>
              </w:rPr>
              <w:t>0.243***</w:t>
            </w:r>
          </w:p>
        </w:tc>
        <w:tc>
          <w:tcPr>
            <w:tcW w:w="2110" w:type="dxa"/>
            <w:vAlign w:val="center"/>
          </w:tcPr>
          <w:p w:rsidR="003F6155" w:rsidRPr="00F12173" w:rsidRDefault="003F6155" w:rsidP="00075414">
            <w:pPr>
              <w:pStyle w:val="TabletextLeft"/>
              <w:jc w:val="center"/>
            </w:pPr>
            <w:r w:rsidRPr="001061F7">
              <w:rPr>
                <w:color w:val="000000"/>
              </w:rPr>
              <w:t>0.281***</w:t>
            </w:r>
          </w:p>
        </w:tc>
        <w:tc>
          <w:tcPr>
            <w:tcW w:w="2110" w:type="dxa"/>
            <w:vAlign w:val="center"/>
          </w:tcPr>
          <w:p w:rsidR="003F6155" w:rsidRPr="001061F7" w:rsidRDefault="003F6155" w:rsidP="00075414">
            <w:pPr>
              <w:pStyle w:val="TabletextLeft"/>
              <w:jc w:val="center"/>
            </w:pPr>
            <w:r w:rsidRPr="002A1F0D">
              <w:rPr>
                <w:color w:val="000000"/>
              </w:rPr>
              <w:t>0.309***</w:t>
            </w:r>
          </w:p>
        </w:tc>
      </w:tr>
      <w:tr w:rsidR="003F6155" w:rsidRPr="008C53C4" w:rsidTr="00075414">
        <w:tc>
          <w:tcPr>
            <w:tcW w:w="2107" w:type="dxa"/>
            <w:vAlign w:val="center"/>
          </w:tcPr>
          <w:p w:rsidR="003F6155" w:rsidRPr="008C53C4" w:rsidRDefault="003F6155" w:rsidP="00075414">
            <w:pPr>
              <w:pStyle w:val="TabletextLeft"/>
            </w:pPr>
            <w:r>
              <w:rPr>
                <w:color w:val="000000"/>
              </w:rPr>
              <w:t>Other Health</w:t>
            </w:r>
          </w:p>
        </w:tc>
        <w:tc>
          <w:tcPr>
            <w:tcW w:w="2110" w:type="dxa"/>
            <w:vAlign w:val="center"/>
          </w:tcPr>
          <w:p w:rsidR="003F6155" w:rsidRPr="001110BC" w:rsidRDefault="003F6155" w:rsidP="00075414">
            <w:pPr>
              <w:pStyle w:val="TabletextLeft"/>
              <w:jc w:val="center"/>
            </w:pPr>
            <w:r w:rsidRPr="001061F7">
              <w:rPr>
                <w:color w:val="000000"/>
                <w:szCs w:val="22"/>
              </w:rPr>
              <w:t>0.044</w:t>
            </w:r>
          </w:p>
        </w:tc>
        <w:tc>
          <w:tcPr>
            <w:tcW w:w="2110" w:type="dxa"/>
            <w:vAlign w:val="center"/>
          </w:tcPr>
          <w:p w:rsidR="003F6155" w:rsidRPr="00F12173" w:rsidRDefault="003F6155" w:rsidP="00075414">
            <w:pPr>
              <w:pStyle w:val="TabletextLeft"/>
              <w:jc w:val="center"/>
            </w:pPr>
            <w:r w:rsidRPr="001061F7">
              <w:rPr>
                <w:color w:val="000000"/>
              </w:rPr>
              <w:t>0.061</w:t>
            </w:r>
          </w:p>
        </w:tc>
        <w:tc>
          <w:tcPr>
            <w:tcW w:w="2110" w:type="dxa"/>
            <w:vAlign w:val="center"/>
          </w:tcPr>
          <w:p w:rsidR="003F6155" w:rsidRPr="001061F7" w:rsidRDefault="003F6155" w:rsidP="00075414">
            <w:pPr>
              <w:pStyle w:val="TabletextLeft"/>
              <w:jc w:val="center"/>
            </w:pPr>
            <w:r w:rsidRPr="002A1F0D">
              <w:rPr>
                <w:color w:val="000000"/>
              </w:rPr>
              <w:t>0.082</w:t>
            </w:r>
          </w:p>
        </w:tc>
      </w:tr>
      <w:tr w:rsidR="003F6155" w:rsidRPr="008C53C4" w:rsidTr="00075414">
        <w:tc>
          <w:tcPr>
            <w:tcW w:w="2107" w:type="dxa"/>
            <w:vAlign w:val="center"/>
          </w:tcPr>
          <w:p w:rsidR="003F6155" w:rsidRPr="008C53C4" w:rsidRDefault="003F6155" w:rsidP="00075414">
            <w:pPr>
              <w:pStyle w:val="TabletextLeft"/>
            </w:pPr>
            <w:r w:rsidRPr="00AD48BC">
              <w:rPr>
                <w:color w:val="000000"/>
              </w:rPr>
              <w:t xml:space="preserve">Education </w:t>
            </w:r>
          </w:p>
        </w:tc>
        <w:tc>
          <w:tcPr>
            <w:tcW w:w="2110" w:type="dxa"/>
            <w:vAlign w:val="center"/>
          </w:tcPr>
          <w:p w:rsidR="003F6155" w:rsidRPr="001110BC" w:rsidRDefault="003F6155" w:rsidP="00075414">
            <w:pPr>
              <w:pStyle w:val="TabletextLeft"/>
              <w:jc w:val="center"/>
            </w:pPr>
            <w:r w:rsidRPr="001061F7">
              <w:rPr>
                <w:color w:val="000000"/>
                <w:szCs w:val="22"/>
              </w:rPr>
              <w:t>0.098***</w:t>
            </w:r>
          </w:p>
        </w:tc>
        <w:tc>
          <w:tcPr>
            <w:tcW w:w="2110" w:type="dxa"/>
            <w:vAlign w:val="center"/>
          </w:tcPr>
          <w:p w:rsidR="003F6155" w:rsidRPr="00F12173" w:rsidRDefault="003F6155" w:rsidP="00075414">
            <w:pPr>
              <w:pStyle w:val="TabletextLeft"/>
              <w:jc w:val="center"/>
            </w:pPr>
            <w:r w:rsidRPr="001061F7">
              <w:rPr>
                <w:color w:val="000000"/>
              </w:rPr>
              <w:t>0.118***</w:t>
            </w:r>
          </w:p>
        </w:tc>
        <w:tc>
          <w:tcPr>
            <w:tcW w:w="2110" w:type="dxa"/>
            <w:vAlign w:val="center"/>
          </w:tcPr>
          <w:p w:rsidR="003F6155" w:rsidRPr="001061F7" w:rsidRDefault="003F6155" w:rsidP="00075414">
            <w:pPr>
              <w:pStyle w:val="TabletextLeft"/>
              <w:jc w:val="center"/>
            </w:pPr>
            <w:r w:rsidRPr="002A1F0D">
              <w:rPr>
                <w:color w:val="000000"/>
              </w:rPr>
              <w:t>0.119***</w:t>
            </w:r>
          </w:p>
        </w:tc>
      </w:tr>
      <w:tr w:rsidR="003F6155" w:rsidRPr="008C53C4" w:rsidTr="00075414">
        <w:tc>
          <w:tcPr>
            <w:tcW w:w="2107" w:type="dxa"/>
            <w:vAlign w:val="center"/>
          </w:tcPr>
          <w:p w:rsidR="003F6155" w:rsidRPr="008C53C4" w:rsidRDefault="003F6155" w:rsidP="00075414">
            <w:pPr>
              <w:pStyle w:val="TabletextLeft"/>
            </w:pPr>
            <w:r>
              <w:rPr>
                <w:color w:val="000000"/>
              </w:rPr>
              <w:t>Management and Commerce</w:t>
            </w:r>
          </w:p>
        </w:tc>
        <w:tc>
          <w:tcPr>
            <w:tcW w:w="2110" w:type="dxa"/>
            <w:vAlign w:val="center"/>
          </w:tcPr>
          <w:p w:rsidR="003F6155" w:rsidRPr="001110BC" w:rsidRDefault="003F6155" w:rsidP="00075414">
            <w:pPr>
              <w:pStyle w:val="TabletextLeft"/>
              <w:jc w:val="center"/>
            </w:pPr>
            <w:r w:rsidRPr="001061F7">
              <w:rPr>
                <w:color w:val="000000"/>
                <w:szCs w:val="22"/>
              </w:rPr>
              <w:t>0.093***</w:t>
            </w:r>
          </w:p>
        </w:tc>
        <w:tc>
          <w:tcPr>
            <w:tcW w:w="2110" w:type="dxa"/>
            <w:vAlign w:val="center"/>
          </w:tcPr>
          <w:p w:rsidR="003F6155" w:rsidRPr="00F12173" w:rsidRDefault="003F6155" w:rsidP="00075414">
            <w:pPr>
              <w:pStyle w:val="TabletextLeft"/>
              <w:jc w:val="center"/>
            </w:pPr>
            <w:r w:rsidRPr="001061F7">
              <w:rPr>
                <w:color w:val="000000"/>
              </w:rPr>
              <w:t>0.079**</w:t>
            </w:r>
          </w:p>
        </w:tc>
        <w:tc>
          <w:tcPr>
            <w:tcW w:w="2110" w:type="dxa"/>
            <w:vAlign w:val="center"/>
          </w:tcPr>
          <w:p w:rsidR="003F6155" w:rsidRPr="001061F7" w:rsidRDefault="003F6155" w:rsidP="00075414">
            <w:pPr>
              <w:pStyle w:val="TabletextLeft"/>
              <w:jc w:val="center"/>
            </w:pPr>
            <w:r w:rsidRPr="002A1F0D">
              <w:rPr>
                <w:color w:val="000000"/>
              </w:rPr>
              <w:t>0.080**</w:t>
            </w:r>
          </w:p>
        </w:tc>
      </w:tr>
      <w:tr w:rsidR="003F6155" w:rsidRPr="008C53C4" w:rsidTr="00075414">
        <w:tc>
          <w:tcPr>
            <w:tcW w:w="2107" w:type="dxa"/>
            <w:vAlign w:val="center"/>
          </w:tcPr>
          <w:p w:rsidR="003F6155" w:rsidRPr="008C53C4" w:rsidRDefault="003F6155" w:rsidP="00075414">
            <w:pPr>
              <w:pStyle w:val="TabletextLeft"/>
            </w:pPr>
            <w:r>
              <w:rPr>
                <w:color w:val="000000"/>
              </w:rPr>
              <w:t>Law</w:t>
            </w:r>
          </w:p>
        </w:tc>
        <w:tc>
          <w:tcPr>
            <w:tcW w:w="2110" w:type="dxa"/>
            <w:vAlign w:val="center"/>
          </w:tcPr>
          <w:p w:rsidR="003F6155" w:rsidRPr="001110BC" w:rsidRDefault="003F6155" w:rsidP="00075414">
            <w:pPr>
              <w:pStyle w:val="TabletextLeft"/>
              <w:jc w:val="center"/>
            </w:pPr>
            <w:r w:rsidRPr="001061F7">
              <w:rPr>
                <w:color w:val="000000"/>
                <w:szCs w:val="22"/>
              </w:rPr>
              <w:t>0.241***</w:t>
            </w:r>
          </w:p>
        </w:tc>
        <w:tc>
          <w:tcPr>
            <w:tcW w:w="2110" w:type="dxa"/>
            <w:vAlign w:val="center"/>
          </w:tcPr>
          <w:p w:rsidR="003F6155" w:rsidRPr="00F12173" w:rsidRDefault="003F6155" w:rsidP="00075414">
            <w:pPr>
              <w:pStyle w:val="TabletextLeft"/>
              <w:jc w:val="center"/>
            </w:pPr>
            <w:r w:rsidRPr="001061F7">
              <w:rPr>
                <w:color w:val="000000"/>
              </w:rPr>
              <w:t>0.221***</w:t>
            </w:r>
          </w:p>
        </w:tc>
        <w:tc>
          <w:tcPr>
            <w:tcW w:w="2110" w:type="dxa"/>
            <w:vAlign w:val="center"/>
          </w:tcPr>
          <w:p w:rsidR="003F6155" w:rsidRPr="001061F7" w:rsidRDefault="003F6155" w:rsidP="00075414">
            <w:pPr>
              <w:pStyle w:val="TabletextLeft"/>
              <w:jc w:val="center"/>
            </w:pPr>
            <w:r w:rsidRPr="002A1F0D">
              <w:rPr>
                <w:color w:val="000000"/>
              </w:rPr>
              <w:t>0.215***</w:t>
            </w:r>
          </w:p>
        </w:tc>
      </w:tr>
      <w:tr w:rsidR="003F6155" w:rsidRPr="008C53C4" w:rsidTr="00075414">
        <w:tc>
          <w:tcPr>
            <w:tcW w:w="2107" w:type="dxa"/>
            <w:vAlign w:val="center"/>
          </w:tcPr>
          <w:p w:rsidR="003F6155" w:rsidRPr="008C53C4" w:rsidRDefault="003F6155" w:rsidP="00075414">
            <w:pPr>
              <w:pStyle w:val="TabletextLeft"/>
            </w:pPr>
            <w:r>
              <w:rPr>
                <w:color w:val="000000"/>
              </w:rPr>
              <w:t>Food and Hospitality</w:t>
            </w:r>
          </w:p>
        </w:tc>
        <w:tc>
          <w:tcPr>
            <w:tcW w:w="2110" w:type="dxa"/>
            <w:vAlign w:val="center"/>
          </w:tcPr>
          <w:p w:rsidR="003F6155" w:rsidRPr="001110BC" w:rsidRDefault="003F6155" w:rsidP="00075414">
            <w:pPr>
              <w:pStyle w:val="TabletextLeft"/>
              <w:jc w:val="center"/>
            </w:pPr>
            <w:r w:rsidRPr="001061F7">
              <w:rPr>
                <w:color w:val="000000"/>
                <w:szCs w:val="22"/>
              </w:rPr>
              <w:t>-0.139**</w:t>
            </w:r>
          </w:p>
        </w:tc>
        <w:tc>
          <w:tcPr>
            <w:tcW w:w="2110" w:type="dxa"/>
            <w:vAlign w:val="center"/>
          </w:tcPr>
          <w:p w:rsidR="003F6155" w:rsidRPr="00F12173" w:rsidRDefault="003F6155" w:rsidP="00075414">
            <w:pPr>
              <w:pStyle w:val="TabletextLeft"/>
              <w:jc w:val="center"/>
            </w:pPr>
            <w:r w:rsidRPr="001061F7">
              <w:rPr>
                <w:color w:val="000000"/>
              </w:rPr>
              <w:t>-0.150**</w:t>
            </w:r>
          </w:p>
        </w:tc>
        <w:tc>
          <w:tcPr>
            <w:tcW w:w="2110" w:type="dxa"/>
            <w:vAlign w:val="center"/>
          </w:tcPr>
          <w:p w:rsidR="003F6155" w:rsidRPr="001061F7" w:rsidRDefault="003F6155" w:rsidP="00075414">
            <w:pPr>
              <w:pStyle w:val="TabletextLeft"/>
              <w:jc w:val="center"/>
            </w:pPr>
            <w:r w:rsidRPr="002A1F0D">
              <w:rPr>
                <w:color w:val="000000"/>
              </w:rPr>
              <w:t>-0.133*</w:t>
            </w:r>
          </w:p>
        </w:tc>
      </w:tr>
      <w:tr w:rsidR="003F6155" w:rsidRPr="008C53C4" w:rsidTr="00075414">
        <w:tc>
          <w:tcPr>
            <w:tcW w:w="4217" w:type="dxa"/>
            <w:gridSpan w:val="2"/>
            <w:shd w:val="clear" w:color="auto" w:fill="D9D9D9" w:themeFill="background1" w:themeFillShade="D9"/>
            <w:vAlign w:val="center"/>
          </w:tcPr>
          <w:p w:rsidR="003F6155" w:rsidRPr="001061F7" w:rsidRDefault="003F6155" w:rsidP="00075414">
            <w:pPr>
              <w:pStyle w:val="TabletextLeft"/>
              <w:rPr>
                <w:b/>
              </w:rPr>
            </w:pPr>
            <w:r w:rsidRPr="001061F7">
              <w:rPr>
                <w:b/>
                <w:color w:val="000000"/>
              </w:rPr>
              <w:t>Labour force characteristics</w:t>
            </w:r>
          </w:p>
        </w:tc>
        <w:tc>
          <w:tcPr>
            <w:tcW w:w="2110" w:type="dxa"/>
            <w:shd w:val="clear" w:color="auto" w:fill="D9D9D9" w:themeFill="background1" w:themeFillShade="D9"/>
            <w:vAlign w:val="center"/>
          </w:tcPr>
          <w:p w:rsidR="003F6155" w:rsidRPr="001061F7" w:rsidRDefault="003F6155" w:rsidP="00075414">
            <w:pPr>
              <w:pStyle w:val="TabletextLeft"/>
              <w:jc w:val="center"/>
              <w:rPr>
                <w:b/>
              </w:rPr>
            </w:pPr>
          </w:p>
        </w:tc>
        <w:tc>
          <w:tcPr>
            <w:tcW w:w="2110" w:type="dxa"/>
            <w:shd w:val="clear" w:color="auto" w:fill="D9D9D9" w:themeFill="background1" w:themeFillShade="D9"/>
            <w:vAlign w:val="center"/>
          </w:tcPr>
          <w:p w:rsidR="003F6155" w:rsidRPr="001061F7" w:rsidRDefault="003F6155" w:rsidP="00075414">
            <w:pPr>
              <w:pStyle w:val="TabletextLeft"/>
              <w:jc w:val="center"/>
              <w:rPr>
                <w:b/>
              </w:rPr>
            </w:pPr>
          </w:p>
        </w:tc>
      </w:tr>
      <w:tr w:rsidR="003F6155" w:rsidRPr="008C53C4" w:rsidTr="00075414">
        <w:tc>
          <w:tcPr>
            <w:tcW w:w="2107" w:type="dxa"/>
            <w:vAlign w:val="center"/>
          </w:tcPr>
          <w:p w:rsidR="003F6155" w:rsidRDefault="003F6155" w:rsidP="00075414">
            <w:pPr>
              <w:pStyle w:val="TabletextLeft"/>
              <w:rPr>
                <w:color w:val="000000"/>
              </w:rPr>
            </w:pPr>
            <w:r>
              <w:t>Employed full-time</w:t>
            </w:r>
          </w:p>
        </w:tc>
        <w:tc>
          <w:tcPr>
            <w:tcW w:w="2110" w:type="dxa"/>
            <w:vAlign w:val="center"/>
          </w:tcPr>
          <w:p w:rsidR="003F6155" w:rsidRPr="001110BC" w:rsidRDefault="003F6155" w:rsidP="00075414">
            <w:pPr>
              <w:pStyle w:val="TabletextLeft"/>
              <w:jc w:val="center"/>
            </w:pPr>
            <w:r w:rsidRPr="001061F7">
              <w:rPr>
                <w:color w:val="000000"/>
                <w:szCs w:val="22"/>
              </w:rPr>
              <w:t>0.301***</w:t>
            </w:r>
          </w:p>
        </w:tc>
        <w:tc>
          <w:tcPr>
            <w:tcW w:w="2110" w:type="dxa"/>
            <w:vAlign w:val="center"/>
          </w:tcPr>
          <w:p w:rsidR="003F6155" w:rsidRPr="00F12173" w:rsidRDefault="003F6155" w:rsidP="00075414">
            <w:pPr>
              <w:pStyle w:val="TabletextLeft"/>
              <w:jc w:val="center"/>
            </w:pPr>
            <w:r w:rsidRPr="001061F7">
              <w:rPr>
                <w:color w:val="000000"/>
              </w:rPr>
              <w:t>0.279***</w:t>
            </w:r>
          </w:p>
        </w:tc>
        <w:tc>
          <w:tcPr>
            <w:tcW w:w="2110" w:type="dxa"/>
            <w:vAlign w:val="center"/>
          </w:tcPr>
          <w:p w:rsidR="003F6155" w:rsidRPr="00F12173" w:rsidRDefault="003F6155" w:rsidP="00075414">
            <w:pPr>
              <w:pStyle w:val="TabletextLeft"/>
              <w:jc w:val="center"/>
            </w:pPr>
            <w:r w:rsidRPr="001061F7">
              <w:rPr>
                <w:color w:val="000000"/>
              </w:rPr>
              <w:t>0.260***</w:t>
            </w:r>
          </w:p>
        </w:tc>
      </w:tr>
      <w:tr w:rsidR="003F6155" w:rsidRPr="008C53C4" w:rsidTr="00075414">
        <w:tc>
          <w:tcPr>
            <w:tcW w:w="2107" w:type="dxa"/>
            <w:vAlign w:val="center"/>
          </w:tcPr>
          <w:p w:rsidR="003F6155" w:rsidRDefault="003F6155" w:rsidP="00075414">
            <w:pPr>
              <w:pStyle w:val="TabletextLeft"/>
              <w:rPr>
                <w:color w:val="000000"/>
              </w:rPr>
            </w:pPr>
            <w:r>
              <w:t>Log hours worked</w:t>
            </w:r>
          </w:p>
        </w:tc>
        <w:tc>
          <w:tcPr>
            <w:tcW w:w="2110" w:type="dxa"/>
            <w:vAlign w:val="center"/>
          </w:tcPr>
          <w:p w:rsidR="003F6155" w:rsidRPr="001110BC" w:rsidRDefault="003F6155" w:rsidP="00075414">
            <w:pPr>
              <w:pStyle w:val="TabletextLeft"/>
              <w:jc w:val="center"/>
            </w:pPr>
            <w:r w:rsidRPr="001061F7">
              <w:rPr>
                <w:color w:val="000000"/>
                <w:szCs w:val="22"/>
              </w:rPr>
              <w:t>0.749***</w:t>
            </w:r>
          </w:p>
        </w:tc>
        <w:tc>
          <w:tcPr>
            <w:tcW w:w="2110" w:type="dxa"/>
            <w:vAlign w:val="center"/>
          </w:tcPr>
          <w:p w:rsidR="003F6155" w:rsidRPr="00F12173" w:rsidRDefault="003F6155" w:rsidP="00075414">
            <w:pPr>
              <w:pStyle w:val="TabletextLeft"/>
              <w:jc w:val="center"/>
            </w:pPr>
            <w:r w:rsidRPr="001061F7">
              <w:rPr>
                <w:color w:val="000000"/>
              </w:rPr>
              <w:t>0.731***</w:t>
            </w:r>
          </w:p>
        </w:tc>
        <w:tc>
          <w:tcPr>
            <w:tcW w:w="2110" w:type="dxa"/>
            <w:vAlign w:val="center"/>
          </w:tcPr>
          <w:p w:rsidR="003F6155" w:rsidRPr="00F12173" w:rsidRDefault="003F6155" w:rsidP="00075414">
            <w:pPr>
              <w:pStyle w:val="TabletextLeft"/>
              <w:jc w:val="center"/>
            </w:pPr>
            <w:r w:rsidRPr="001061F7">
              <w:rPr>
                <w:color w:val="000000"/>
              </w:rPr>
              <w:t>0.757***</w:t>
            </w:r>
          </w:p>
        </w:tc>
      </w:tr>
      <w:tr w:rsidR="003F6155" w:rsidRPr="008C53C4" w:rsidTr="00075414">
        <w:tc>
          <w:tcPr>
            <w:tcW w:w="2107" w:type="dxa"/>
            <w:shd w:val="clear" w:color="auto" w:fill="D9D9D9" w:themeFill="background1" w:themeFillShade="D9"/>
            <w:vAlign w:val="center"/>
          </w:tcPr>
          <w:p w:rsidR="003F6155" w:rsidRPr="001061F7" w:rsidRDefault="003F6155" w:rsidP="00075414">
            <w:pPr>
              <w:pStyle w:val="TabletextLeft"/>
              <w:rPr>
                <w:b/>
              </w:rPr>
            </w:pPr>
            <w:r w:rsidRPr="001061F7">
              <w:rPr>
                <w:b/>
              </w:rPr>
              <w:t xml:space="preserve">Demographics </w:t>
            </w:r>
          </w:p>
        </w:tc>
        <w:tc>
          <w:tcPr>
            <w:tcW w:w="2110" w:type="dxa"/>
            <w:shd w:val="clear" w:color="auto" w:fill="D9D9D9" w:themeFill="background1" w:themeFillShade="D9"/>
            <w:vAlign w:val="center"/>
          </w:tcPr>
          <w:p w:rsidR="003F6155" w:rsidRPr="008C53C4" w:rsidRDefault="003F6155" w:rsidP="00075414">
            <w:pPr>
              <w:pStyle w:val="TabletextLeft"/>
              <w:jc w:val="center"/>
              <w:rPr>
                <w:b/>
              </w:rPr>
            </w:pPr>
          </w:p>
        </w:tc>
        <w:tc>
          <w:tcPr>
            <w:tcW w:w="2110" w:type="dxa"/>
            <w:shd w:val="clear" w:color="auto" w:fill="D9D9D9" w:themeFill="background1" w:themeFillShade="D9"/>
            <w:vAlign w:val="center"/>
          </w:tcPr>
          <w:p w:rsidR="003F6155" w:rsidRPr="008C53C4" w:rsidRDefault="003F6155" w:rsidP="00075414">
            <w:pPr>
              <w:pStyle w:val="TabletextLeft"/>
              <w:jc w:val="center"/>
              <w:rPr>
                <w:b/>
              </w:rPr>
            </w:pPr>
          </w:p>
        </w:tc>
        <w:tc>
          <w:tcPr>
            <w:tcW w:w="2110" w:type="dxa"/>
            <w:shd w:val="clear" w:color="auto" w:fill="D9D9D9" w:themeFill="background1" w:themeFillShade="D9"/>
            <w:vAlign w:val="center"/>
          </w:tcPr>
          <w:p w:rsidR="003F6155" w:rsidRPr="001061F7" w:rsidRDefault="003F6155" w:rsidP="00075414">
            <w:pPr>
              <w:pStyle w:val="TabletextLeft"/>
              <w:jc w:val="center"/>
              <w:rPr>
                <w:b/>
              </w:rPr>
            </w:pPr>
          </w:p>
        </w:tc>
      </w:tr>
      <w:tr w:rsidR="003F6155" w:rsidRPr="008C53C4" w:rsidTr="00075414">
        <w:tc>
          <w:tcPr>
            <w:tcW w:w="2107" w:type="dxa"/>
            <w:vAlign w:val="center"/>
          </w:tcPr>
          <w:p w:rsidR="003F6155" w:rsidRPr="008C53C4" w:rsidRDefault="003F6155" w:rsidP="00075414">
            <w:pPr>
              <w:pStyle w:val="TabletextLeft"/>
            </w:pPr>
            <w:r>
              <w:t>Aged 30-34</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5D504A" w:rsidRDefault="003F6155" w:rsidP="00075414">
            <w:pPr>
              <w:pStyle w:val="TabletextLeft"/>
              <w:jc w:val="center"/>
            </w:pPr>
            <w:r w:rsidRPr="001061F7">
              <w:rPr>
                <w:color w:val="000000"/>
              </w:rPr>
              <w:t>0.031**</w:t>
            </w:r>
          </w:p>
        </w:tc>
        <w:tc>
          <w:tcPr>
            <w:tcW w:w="2110" w:type="dxa"/>
            <w:vAlign w:val="center"/>
          </w:tcPr>
          <w:p w:rsidR="003F6155" w:rsidRPr="001061F7" w:rsidRDefault="003F6155" w:rsidP="00075414">
            <w:pPr>
              <w:pStyle w:val="TabletextLeft"/>
              <w:jc w:val="center"/>
            </w:pPr>
            <w:r w:rsidRPr="002A1F0D">
              <w:rPr>
                <w:color w:val="000000"/>
              </w:rPr>
              <w:t>0.041**</w:t>
            </w:r>
          </w:p>
        </w:tc>
      </w:tr>
      <w:tr w:rsidR="003F6155" w:rsidRPr="008C53C4" w:rsidTr="00075414">
        <w:tc>
          <w:tcPr>
            <w:tcW w:w="2107" w:type="dxa"/>
            <w:vAlign w:val="center"/>
          </w:tcPr>
          <w:p w:rsidR="003F6155" w:rsidRDefault="003F6155" w:rsidP="00075414">
            <w:pPr>
              <w:pStyle w:val="TabletextLeft"/>
            </w:pPr>
            <w:r>
              <w:t>Aged 35-39</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5D504A" w:rsidRDefault="003F6155" w:rsidP="00075414">
            <w:pPr>
              <w:pStyle w:val="TabletextLeft"/>
              <w:jc w:val="center"/>
            </w:pPr>
            <w:r w:rsidRPr="001061F7">
              <w:rPr>
                <w:color w:val="000000"/>
              </w:rPr>
              <w:t>0.045**</w:t>
            </w:r>
          </w:p>
        </w:tc>
        <w:tc>
          <w:tcPr>
            <w:tcW w:w="2110" w:type="dxa"/>
            <w:vAlign w:val="center"/>
          </w:tcPr>
          <w:p w:rsidR="003F6155" w:rsidRPr="005D504A" w:rsidRDefault="003F6155" w:rsidP="00075414">
            <w:pPr>
              <w:pStyle w:val="TabletextLeft"/>
              <w:jc w:val="center"/>
            </w:pPr>
            <w:r w:rsidRPr="001061F7">
              <w:rPr>
                <w:color w:val="000000"/>
              </w:rPr>
              <w:t>0.048**</w:t>
            </w:r>
          </w:p>
        </w:tc>
      </w:tr>
      <w:tr w:rsidR="003F6155" w:rsidRPr="008C53C4" w:rsidTr="00075414">
        <w:tc>
          <w:tcPr>
            <w:tcW w:w="2107" w:type="dxa"/>
            <w:vAlign w:val="center"/>
          </w:tcPr>
          <w:p w:rsidR="003F6155" w:rsidRDefault="003F6155" w:rsidP="00075414">
            <w:pPr>
              <w:pStyle w:val="TabletextLeft"/>
            </w:pPr>
            <w:r>
              <w:t>Aged 40-44</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5D504A" w:rsidRDefault="003F6155" w:rsidP="00075414">
            <w:pPr>
              <w:pStyle w:val="TabletextLeft"/>
              <w:jc w:val="center"/>
            </w:pPr>
            <w:r w:rsidRPr="001061F7">
              <w:rPr>
                <w:color w:val="000000"/>
              </w:rPr>
              <w:t>0.035*</w:t>
            </w:r>
          </w:p>
        </w:tc>
        <w:tc>
          <w:tcPr>
            <w:tcW w:w="2110" w:type="dxa"/>
            <w:vAlign w:val="center"/>
          </w:tcPr>
          <w:p w:rsidR="003F6155" w:rsidRPr="005D504A" w:rsidRDefault="003F6155" w:rsidP="00075414">
            <w:pPr>
              <w:pStyle w:val="TabletextLeft"/>
              <w:jc w:val="center"/>
            </w:pPr>
            <w:r w:rsidRPr="001061F7">
              <w:rPr>
                <w:color w:val="000000"/>
              </w:rPr>
              <w:t>0.021</w:t>
            </w:r>
          </w:p>
        </w:tc>
      </w:tr>
      <w:tr w:rsidR="003F6155" w:rsidRPr="008C53C4" w:rsidTr="00075414">
        <w:tc>
          <w:tcPr>
            <w:tcW w:w="2107" w:type="dxa"/>
            <w:vAlign w:val="center"/>
          </w:tcPr>
          <w:p w:rsidR="003F6155" w:rsidRDefault="003F6155" w:rsidP="00075414">
            <w:pPr>
              <w:pStyle w:val="TabletextLeft"/>
            </w:pPr>
            <w:r>
              <w:t>Aged 45-49</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5D504A" w:rsidRDefault="003F6155" w:rsidP="00075414">
            <w:pPr>
              <w:pStyle w:val="TabletextLeft"/>
              <w:jc w:val="center"/>
            </w:pPr>
            <w:r w:rsidRPr="001061F7">
              <w:rPr>
                <w:color w:val="000000"/>
              </w:rPr>
              <w:t>0.036*</w:t>
            </w:r>
          </w:p>
        </w:tc>
        <w:tc>
          <w:tcPr>
            <w:tcW w:w="2110" w:type="dxa"/>
            <w:vAlign w:val="center"/>
          </w:tcPr>
          <w:p w:rsidR="003F6155" w:rsidRPr="005D504A" w:rsidRDefault="003F6155" w:rsidP="00075414">
            <w:pPr>
              <w:pStyle w:val="TabletextLeft"/>
              <w:jc w:val="center"/>
            </w:pPr>
            <w:r w:rsidRPr="001061F7">
              <w:rPr>
                <w:color w:val="000000"/>
              </w:rPr>
              <w:t>0.017</w:t>
            </w:r>
          </w:p>
        </w:tc>
      </w:tr>
      <w:tr w:rsidR="003F6155" w:rsidRPr="008C53C4" w:rsidTr="00075414">
        <w:tc>
          <w:tcPr>
            <w:tcW w:w="2107" w:type="dxa"/>
            <w:vAlign w:val="center"/>
          </w:tcPr>
          <w:p w:rsidR="003F6155" w:rsidRDefault="003F6155" w:rsidP="00075414">
            <w:pPr>
              <w:pStyle w:val="TabletextLeft"/>
            </w:pPr>
            <w:r>
              <w:t>Aged 50-54</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5D504A" w:rsidRDefault="003F6155" w:rsidP="00075414">
            <w:pPr>
              <w:pStyle w:val="TabletextLeft"/>
              <w:jc w:val="center"/>
            </w:pPr>
            <w:r w:rsidRPr="001061F7">
              <w:rPr>
                <w:color w:val="000000"/>
              </w:rPr>
              <w:t>-0.005</w:t>
            </w:r>
          </w:p>
        </w:tc>
        <w:tc>
          <w:tcPr>
            <w:tcW w:w="2110" w:type="dxa"/>
            <w:vAlign w:val="center"/>
          </w:tcPr>
          <w:p w:rsidR="003F6155" w:rsidRPr="005D504A" w:rsidRDefault="003F6155" w:rsidP="00075414">
            <w:pPr>
              <w:pStyle w:val="TabletextLeft"/>
              <w:jc w:val="center"/>
            </w:pPr>
            <w:r w:rsidRPr="001061F7">
              <w:rPr>
                <w:color w:val="000000"/>
              </w:rPr>
              <w:t>-0.008</w:t>
            </w:r>
          </w:p>
        </w:tc>
      </w:tr>
      <w:tr w:rsidR="003F6155" w:rsidRPr="008C53C4" w:rsidTr="00075414">
        <w:tc>
          <w:tcPr>
            <w:tcW w:w="2107" w:type="dxa"/>
            <w:vAlign w:val="center"/>
          </w:tcPr>
          <w:p w:rsidR="003F6155" w:rsidRDefault="003F6155" w:rsidP="00075414">
            <w:pPr>
              <w:pStyle w:val="TabletextLeft"/>
            </w:pPr>
            <w:r>
              <w:lastRenderedPageBreak/>
              <w:t>Aged 55-59</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5D504A" w:rsidRDefault="003F6155" w:rsidP="00075414">
            <w:pPr>
              <w:pStyle w:val="TabletextLeft"/>
              <w:jc w:val="center"/>
            </w:pPr>
            <w:r w:rsidRPr="001061F7">
              <w:rPr>
                <w:color w:val="000000"/>
              </w:rPr>
              <w:t>-0.080***</w:t>
            </w:r>
          </w:p>
        </w:tc>
        <w:tc>
          <w:tcPr>
            <w:tcW w:w="2110" w:type="dxa"/>
            <w:vAlign w:val="center"/>
          </w:tcPr>
          <w:p w:rsidR="003F6155" w:rsidRPr="005D504A" w:rsidRDefault="003F6155" w:rsidP="00075414">
            <w:pPr>
              <w:pStyle w:val="TabletextLeft"/>
              <w:jc w:val="center"/>
            </w:pPr>
            <w:r w:rsidRPr="001061F7">
              <w:rPr>
                <w:color w:val="000000"/>
              </w:rPr>
              <w:t>-0.100***</w:t>
            </w:r>
          </w:p>
        </w:tc>
      </w:tr>
      <w:tr w:rsidR="003F6155" w:rsidRPr="008C53C4" w:rsidTr="00075414">
        <w:tc>
          <w:tcPr>
            <w:tcW w:w="2107" w:type="dxa"/>
            <w:vAlign w:val="center"/>
          </w:tcPr>
          <w:p w:rsidR="003F6155" w:rsidRDefault="003F6155" w:rsidP="00075414">
            <w:pPr>
              <w:pStyle w:val="TabletextLeft"/>
            </w:pPr>
            <w:r>
              <w:t>Aged 60-64</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5D504A" w:rsidRDefault="003F6155" w:rsidP="00075414">
            <w:pPr>
              <w:pStyle w:val="TabletextLeft"/>
              <w:jc w:val="center"/>
            </w:pPr>
            <w:r w:rsidRPr="001061F7">
              <w:rPr>
                <w:color w:val="000000"/>
              </w:rPr>
              <w:t>-0.114***</w:t>
            </w:r>
          </w:p>
        </w:tc>
        <w:tc>
          <w:tcPr>
            <w:tcW w:w="2110" w:type="dxa"/>
            <w:vAlign w:val="center"/>
          </w:tcPr>
          <w:p w:rsidR="003F6155" w:rsidRPr="005D504A" w:rsidRDefault="003F6155" w:rsidP="00075414">
            <w:pPr>
              <w:pStyle w:val="TabletextLeft"/>
              <w:jc w:val="center"/>
            </w:pPr>
            <w:r w:rsidRPr="001061F7">
              <w:rPr>
                <w:color w:val="000000"/>
              </w:rPr>
              <w:t>-0.148***</w:t>
            </w:r>
          </w:p>
        </w:tc>
      </w:tr>
      <w:tr w:rsidR="003F6155" w:rsidRPr="008C53C4" w:rsidTr="00075414">
        <w:tc>
          <w:tcPr>
            <w:tcW w:w="2107" w:type="dxa"/>
            <w:vAlign w:val="center"/>
          </w:tcPr>
          <w:p w:rsidR="003F6155" w:rsidRPr="008C53C4" w:rsidRDefault="003F6155" w:rsidP="00075414">
            <w:pPr>
              <w:pStyle w:val="TabletextLeft"/>
            </w:pPr>
            <w:r>
              <w:t>Male</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1061F7" w:rsidRDefault="003F6155" w:rsidP="00075414">
            <w:pPr>
              <w:jc w:val="center"/>
              <w:rPr>
                <w:color w:val="000000"/>
              </w:rPr>
            </w:pPr>
            <w:r w:rsidRPr="001061F7">
              <w:rPr>
                <w:color w:val="000000"/>
                <w:sz w:val="20"/>
              </w:rPr>
              <w:t>0.054***</w:t>
            </w:r>
          </w:p>
        </w:tc>
        <w:tc>
          <w:tcPr>
            <w:tcW w:w="2110" w:type="dxa"/>
            <w:vAlign w:val="center"/>
          </w:tcPr>
          <w:p w:rsidR="003F6155" w:rsidRPr="001061F7" w:rsidRDefault="003F6155" w:rsidP="00075414">
            <w:pPr>
              <w:jc w:val="center"/>
              <w:rPr>
                <w:color w:val="000000"/>
                <w:sz w:val="20"/>
              </w:rPr>
            </w:pPr>
            <w:r w:rsidRPr="001061F7">
              <w:rPr>
                <w:color w:val="000000"/>
                <w:sz w:val="20"/>
              </w:rPr>
              <w:t>0.073***</w:t>
            </w:r>
          </w:p>
        </w:tc>
      </w:tr>
      <w:tr w:rsidR="003F6155" w:rsidRPr="008C53C4" w:rsidTr="00075414">
        <w:tc>
          <w:tcPr>
            <w:tcW w:w="2107" w:type="dxa"/>
            <w:vAlign w:val="center"/>
          </w:tcPr>
          <w:p w:rsidR="003F6155" w:rsidRPr="008C53C4" w:rsidRDefault="003F6155" w:rsidP="00075414">
            <w:pPr>
              <w:pStyle w:val="TabletextLeft"/>
            </w:pPr>
            <w:r>
              <w:t>Not born in Australia</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1061F7" w:rsidRDefault="003F6155" w:rsidP="00075414">
            <w:pPr>
              <w:jc w:val="center"/>
              <w:rPr>
                <w:color w:val="000000"/>
              </w:rPr>
            </w:pPr>
            <w:r w:rsidRPr="001061F7">
              <w:rPr>
                <w:color w:val="000000"/>
                <w:sz w:val="20"/>
              </w:rPr>
              <w:t>0.069***</w:t>
            </w:r>
          </w:p>
        </w:tc>
        <w:tc>
          <w:tcPr>
            <w:tcW w:w="2110" w:type="dxa"/>
            <w:vAlign w:val="center"/>
          </w:tcPr>
          <w:p w:rsidR="003F6155" w:rsidRPr="001061F7" w:rsidRDefault="003F6155" w:rsidP="00075414">
            <w:pPr>
              <w:jc w:val="center"/>
              <w:rPr>
                <w:color w:val="000000"/>
                <w:sz w:val="20"/>
              </w:rPr>
            </w:pPr>
            <w:r>
              <w:rPr>
                <w:color w:val="000000"/>
                <w:sz w:val="20"/>
              </w:rPr>
              <w:t>0.047*</w:t>
            </w:r>
          </w:p>
        </w:tc>
      </w:tr>
      <w:tr w:rsidR="003F6155" w:rsidRPr="008C53C4" w:rsidTr="00075414">
        <w:tc>
          <w:tcPr>
            <w:tcW w:w="2107" w:type="dxa"/>
            <w:vAlign w:val="center"/>
          </w:tcPr>
          <w:p w:rsidR="003F6155" w:rsidRDefault="003F6155" w:rsidP="00075414">
            <w:pPr>
              <w:pStyle w:val="TabletextLeft"/>
            </w:pPr>
            <w:r>
              <w:t>Indigenous</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5D504A" w:rsidRDefault="003F6155" w:rsidP="00075414">
            <w:pPr>
              <w:pStyle w:val="TabletextLeft"/>
              <w:jc w:val="center"/>
            </w:pPr>
            <w:r w:rsidRPr="001061F7">
              <w:rPr>
                <w:color w:val="000000"/>
              </w:rPr>
              <w:t>0.077*</w:t>
            </w:r>
          </w:p>
        </w:tc>
        <w:tc>
          <w:tcPr>
            <w:tcW w:w="2110" w:type="dxa"/>
            <w:vAlign w:val="center"/>
          </w:tcPr>
          <w:p w:rsidR="003F6155" w:rsidRPr="005D504A" w:rsidRDefault="003F6155" w:rsidP="00075414">
            <w:pPr>
              <w:pStyle w:val="TabletextLeft"/>
              <w:jc w:val="center"/>
            </w:pPr>
            <w:r w:rsidRPr="001061F7">
              <w:rPr>
                <w:color w:val="000000"/>
              </w:rPr>
              <w:t>0.150***</w:t>
            </w:r>
          </w:p>
        </w:tc>
      </w:tr>
      <w:tr w:rsidR="003F6155" w:rsidRPr="008C53C4" w:rsidTr="00075414">
        <w:tc>
          <w:tcPr>
            <w:tcW w:w="2107" w:type="dxa"/>
            <w:vAlign w:val="center"/>
          </w:tcPr>
          <w:p w:rsidR="003F6155" w:rsidRDefault="003F6155" w:rsidP="00075414">
            <w:pPr>
              <w:pStyle w:val="TabletextLeft"/>
            </w:pPr>
            <w:r>
              <w:t>Has long-term health condition</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5D504A" w:rsidRDefault="003F6155" w:rsidP="00075414">
            <w:pPr>
              <w:pStyle w:val="TabletextLeft"/>
              <w:jc w:val="center"/>
            </w:pPr>
            <w:r w:rsidRPr="001061F7">
              <w:rPr>
                <w:color w:val="000000"/>
              </w:rPr>
              <w:t>-0.114***</w:t>
            </w:r>
          </w:p>
        </w:tc>
        <w:tc>
          <w:tcPr>
            <w:tcW w:w="2110" w:type="dxa"/>
            <w:vAlign w:val="center"/>
          </w:tcPr>
          <w:p w:rsidR="003F6155" w:rsidRPr="005D504A" w:rsidRDefault="003F6155" w:rsidP="00075414">
            <w:pPr>
              <w:pStyle w:val="TabletextLeft"/>
              <w:jc w:val="center"/>
            </w:pPr>
            <w:r w:rsidRPr="001061F7">
              <w:rPr>
                <w:color w:val="000000"/>
              </w:rPr>
              <w:t>-0.073***</w:t>
            </w:r>
          </w:p>
        </w:tc>
      </w:tr>
      <w:tr w:rsidR="003F6155" w:rsidRPr="008C53C4" w:rsidTr="00075414">
        <w:tc>
          <w:tcPr>
            <w:tcW w:w="2107" w:type="dxa"/>
            <w:vAlign w:val="center"/>
          </w:tcPr>
          <w:p w:rsidR="003F6155" w:rsidRPr="008C53C4" w:rsidRDefault="003F6155" w:rsidP="00075414">
            <w:pPr>
              <w:pStyle w:val="TabletextLeft"/>
            </w:pPr>
            <w:r>
              <w:t>Low English language proficiency</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1061F7" w:rsidRDefault="003F6155" w:rsidP="00075414">
            <w:pPr>
              <w:jc w:val="center"/>
              <w:rPr>
                <w:color w:val="000000"/>
              </w:rPr>
            </w:pPr>
            <w:r>
              <w:rPr>
                <w:color w:val="000000"/>
                <w:sz w:val="20"/>
              </w:rPr>
              <w:t>-0.243***</w:t>
            </w:r>
          </w:p>
        </w:tc>
        <w:tc>
          <w:tcPr>
            <w:tcW w:w="2110" w:type="dxa"/>
            <w:vAlign w:val="center"/>
          </w:tcPr>
          <w:p w:rsidR="003F6155" w:rsidRPr="001061F7" w:rsidRDefault="003F6155" w:rsidP="00075414">
            <w:pPr>
              <w:jc w:val="center"/>
              <w:rPr>
                <w:color w:val="000000"/>
                <w:sz w:val="20"/>
              </w:rPr>
            </w:pPr>
            <w:r>
              <w:rPr>
                <w:color w:val="000000"/>
                <w:sz w:val="20"/>
              </w:rPr>
              <w:t>-0.169</w:t>
            </w:r>
          </w:p>
        </w:tc>
      </w:tr>
      <w:tr w:rsidR="003F6155" w:rsidRPr="008C53C4" w:rsidTr="00075414">
        <w:tc>
          <w:tcPr>
            <w:tcW w:w="2107" w:type="dxa"/>
            <w:shd w:val="clear" w:color="auto" w:fill="D9D9D9" w:themeFill="background1" w:themeFillShade="D9"/>
            <w:vAlign w:val="center"/>
          </w:tcPr>
          <w:p w:rsidR="003F6155" w:rsidRPr="001061F7" w:rsidRDefault="003F6155" w:rsidP="00075414">
            <w:pPr>
              <w:pStyle w:val="TabletextLeft"/>
              <w:rPr>
                <w:b/>
              </w:rPr>
            </w:pPr>
            <w:r w:rsidRPr="001061F7">
              <w:rPr>
                <w:b/>
              </w:rPr>
              <w:t>Cognitive ability</w:t>
            </w:r>
          </w:p>
        </w:tc>
        <w:tc>
          <w:tcPr>
            <w:tcW w:w="2110" w:type="dxa"/>
            <w:shd w:val="clear" w:color="auto" w:fill="D9D9D9" w:themeFill="background1" w:themeFillShade="D9"/>
            <w:vAlign w:val="center"/>
          </w:tcPr>
          <w:p w:rsidR="003F6155" w:rsidRPr="008C53C4" w:rsidRDefault="003F6155" w:rsidP="00075414">
            <w:pPr>
              <w:pStyle w:val="TabletextLeft"/>
              <w:jc w:val="center"/>
              <w:rPr>
                <w:b/>
              </w:rPr>
            </w:pPr>
          </w:p>
        </w:tc>
        <w:tc>
          <w:tcPr>
            <w:tcW w:w="2110" w:type="dxa"/>
            <w:shd w:val="clear" w:color="auto" w:fill="D9D9D9" w:themeFill="background1" w:themeFillShade="D9"/>
            <w:vAlign w:val="center"/>
          </w:tcPr>
          <w:p w:rsidR="003F6155" w:rsidRPr="005D504A" w:rsidRDefault="003F6155" w:rsidP="00075414">
            <w:pPr>
              <w:pStyle w:val="TabletextLeft"/>
              <w:jc w:val="center"/>
              <w:rPr>
                <w:b/>
              </w:rPr>
            </w:pPr>
          </w:p>
        </w:tc>
        <w:tc>
          <w:tcPr>
            <w:tcW w:w="2110" w:type="dxa"/>
            <w:shd w:val="clear" w:color="auto" w:fill="D9D9D9" w:themeFill="background1" w:themeFillShade="D9"/>
            <w:vAlign w:val="center"/>
          </w:tcPr>
          <w:p w:rsidR="003F6155" w:rsidRPr="001061F7" w:rsidRDefault="003F6155" w:rsidP="00075414">
            <w:pPr>
              <w:pStyle w:val="TabletextLeft"/>
              <w:jc w:val="center"/>
              <w:rPr>
                <w:b/>
              </w:rPr>
            </w:pPr>
          </w:p>
        </w:tc>
      </w:tr>
      <w:tr w:rsidR="003F6155" w:rsidRPr="008C53C4" w:rsidTr="00075414">
        <w:tc>
          <w:tcPr>
            <w:tcW w:w="2107" w:type="dxa"/>
            <w:vAlign w:val="center"/>
          </w:tcPr>
          <w:p w:rsidR="003F6155" w:rsidRPr="008C53C4" w:rsidRDefault="003F6155" w:rsidP="00075414">
            <w:pPr>
              <w:pStyle w:val="TabletextLeft"/>
            </w:pPr>
            <w:r>
              <w:t>Backward Digits Span (BDS)</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5D504A" w:rsidRDefault="003F6155" w:rsidP="00075414">
            <w:pPr>
              <w:pStyle w:val="TabletextLeft"/>
              <w:jc w:val="center"/>
            </w:pPr>
          </w:p>
        </w:tc>
        <w:tc>
          <w:tcPr>
            <w:tcW w:w="2110" w:type="dxa"/>
            <w:vAlign w:val="center"/>
          </w:tcPr>
          <w:p w:rsidR="003F6155" w:rsidRPr="001061F7" w:rsidRDefault="003F6155" w:rsidP="00075414">
            <w:pPr>
              <w:pStyle w:val="TabletextLeft"/>
              <w:jc w:val="center"/>
            </w:pPr>
            <w:r w:rsidRPr="002A1F0D">
              <w:rPr>
                <w:color w:val="000000"/>
              </w:rPr>
              <w:t>0.005</w:t>
            </w:r>
          </w:p>
        </w:tc>
      </w:tr>
      <w:tr w:rsidR="003F6155" w:rsidRPr="008C53C4" w:rsidTr="00075414">
        <w:trPr>
          <w:trHeight w:val="95"/>
        </w:trPr>
        <w:tc>
          <w:tcPr>
            <w:tcW w:w="2107" w:type="dxa"/>
            <w:vAlign w:val="center"/>
          </w:tcPr>
          <w:p w:rsidR="003F6155" w:rsidRPr="008C53C4" w:rsidRDefault="003F6155" w:rsidP="00075414">
            <w:pPr>
              <w:pStyle w:val="TabletextLeft"/>
            </w:pPr>
            <w:r>
              <w:t>Symbol Digits Modalities (SDM)</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5D504A" w:rsidRDefault="003F6155" w:rsidP="00075414">
            <w:pPr>
              <w:pStyle w:val="TabletextLeft"/>
              <w:jc w:val="center"/>
            </w:pPr>
          </w:p>
        </w:tc>
        <w:tc>
          <w:tcPr>
            <w:tcW w:w="2110" w:type="dxa"/>
            <w:vAlign w:val="center"/>
          </w:tcPr>
          <w:p w:rsidR="003F6155" w:rsidRPr="001061F7" w:rsidRDefault="003F6155" w:rsidP="00075414">
            <w:pPr>
              <w:pStyle w:val="TabletextLeft"/>
              <w:jc w:val="center"/>
            </w:pPr>
            <w:r w:rsidRPr="002A1F0D">
              <w:rPr>
                <w:color w:val="000000"/>
              </w:rPr>
              <w:t>0.002*</w:t>
            </w:r>
          </w:p>
        </w:tc>
      </w:tr>
      <w:tr w:rsidR="003F6155" w:rsidRPr="008C53C4" w:rsidTr="00075414">
        <w:tc>
          <w:tcPr>
            <w:tcW w:w="2107" w:type="dxa"/>
            <w:vAlign w:val="center"/>
          </w:tcPr>
          <w:p w:rsidR="003F6155" w:rsidRPr="008C53C4" w:rsidRDefault="003F6155" w:rsidP="00075414">
            <w:pPr>
              <w:pStyle w:val="TabletextLeft"/>
            </w:pPr>
            <w:r>
              <w:t xml:space="preserve">National Adult Reading Test (NART-25) </w:t>
            </w:r>
          </w:p>
        </w:tc>
        <w:tc>
          <w:tcPr>
            <w:tcW w:w="2110" w:type="dxa"/>
            <w:vAlign w:val="center"/>
          </w:tcPr>
          <w:p w:rsidR="003F6155" w:rsidRPr="008C53C4" w:rsidRDefault="003F6155" w:rsidP="00075414">
            <w:pPr>
              <w:pStyle w:val="TabletextLeft"/>
              <w:jc w:val="center"/>
            </w:pPr>
          </w:p>
        </w:tc>
        <w:tc>
          <w:tcPr>
            <w:tcW w:w="2110" w:type="dxa"/>
            <w:vAlign w:val="center"/>
          </w:tcPr>
          <w:p w:rsidR="003F6155" w:rsidRPr="005D504A" w:rsidRDefault="003F6155" w:rsidP="00075414">
            <w:pPr>
              <w:pStyle w:val="TabletextLeft"/>
              <w:jc w:val="center"/>
            </w:pPr>
          </w:p>
        </w:tc>
        <w:tc>
          <w:tcPr>
            <w:tcW w:w="2110" w:type="dxa"/>
            <w:vAlign w:val="center"/>
          </w:tcPr>
          <w:p w:rsidR="003F6155" w:rsidRPr="001061F7" w:rsidRDefault="003F6155" w:rsidP="00075414">
            <w:pPr>
              <w:pStyle w:val="TabletextLeft"/>
              <w:jc w:val="center"/>
            </w:pPr>
            <w:r w:rsidRPr="002A1F0D">
              <w:rPr>
                <w:color w:val="000000"/>
              </w:rPr>
              <w:t>0.016***</w:t>
            </w:r>
          </w:p>
        </w:tc>
      </w:tr>
    </w:tbl>
    <w:p w:rsidR="003F6155" w:rsidRDefault="003F6155" w:rsidP="003F6155">
      <w:pPr>
        <w:pStyle w:val="Source"/>
        <w:rPr>
          <w:lang w:eastAsia="en-AU"/>
        </w:rPr>
      </w:pPr>
      <w:r>
        <w:rPr>
          <w:lang w:eastAsia="en-AU"/>
        </w:rPr>
        <w:t xml:space="preserve">Source: Deloitte Access Economics. Note: *** represents significance at the 1% level; ** at the 5% level; and * at the 10% level. Base categories are: no post-school qualification, FoE Arts, and Aged 25-29. Coefficient estimates for: year fixed effects, state and remoteness area are not reported for brevity. </w:t>
      </w:r>
    </w:p>
    <w:p w:rsidR="003F6155" w:rsidRDefault="003F6155" w:rsidP="003F6155">
      <w:pPr>
        <w:pStyle w:val="BodyText"/>
        <w:rPr>
          <w:rStyle w:val="Boldword"/>
          <w:b w:val="0"/>
          <w:color w:val="auto"/>
        </w:rPr>
      </w:pPr>
      <w:r w:rsidRPr="001061F7">
        <w:rPr>
          <w:rStyle w:val="Boldword"/>
          <w:b w:val="0"/>
          <w:color w:val="auto"/>
        </w:rPr>
        <w:t xml:space="preserve">The </w:t>
      </w:r>
      <w:r>
        <w:rPr>
          <w:rStyle w:val="Boldword"/>
          <w:b w:val="0"/>
          <w:color w:val="auto"/>
        </w:rPr>
        <w:t>results suggest that bachelor and postgraduate degrees have a positive impact on an average individual’s earnings, relative to an individual with no post-school qualification</w:t>
      </w:r>
      <w:r w:rsidR="0003212B">
        <w:rPr>
          <w:rStyle w:val="Boldword"/>
          <w:b w:val="0"/>
          <w:color w:val="auto"/>
        </w:rPr>
        <w:t xml:space="preserve"> (the omitted category of qualification)</w:t>
      </w:r>
      <w:r>
        <w:rPr>
          <w:rStyle w:val="Boldword"/>
          <w:b w:val="0"/>
          <w:color w:val="auto"/>
        </w:rPr>
        <w:t xml:space="preserve">. The effect for sub-bachelor and Certificate III/IV holders is not statistically significant. </w:t>
      </w:r>
    </w:p>
    <w:p w:rsidR="003F6155" w:rsidRPr="001061F7" w:rsidRDefault="003F6155" w:rsidP="003F6155">
      <w:pPr>
        <w:pStyle w:val="BodyText"/>
        <w:rPr>
          <w:rStyle w:val="Boldword"/>
          <w:b w:val="0"/>
          <w:color w:val="auto"/>
        </w:rPr>
      </w:pPr>
      <w:r>
        <w:rPr>
          <w:rStyle w:val="Boldword"/>
          <w:b w:val="0"/>
          <w:color w:val="auto"/>
        </w:rPr>
        <w:t xml:space="preserve">Broadly, the results align with our understanding of the relationship between education and wages. The addition of field of education and cognitive ability variables represent new extensions on the existing literature. The inclusion of cognitive ability allows the model to control, to an extent, for unobserved ability bias – wherein higher ability individuals may self-select into more education, given the positive relationship between education and earnings. </w:t>
      </w:r>
    </w:p>
    <w:p w:rsidR="003F6155" w:rsidRPr="00FB382B" w:rsidRDefault="003F6155" w:rsidP="003F6155">
      <w:pPr>
        <w:pStyle w:val="BodyText"/>
        <w:tabs>
          <w:tab w:val="left" w:pos="6195"/>
        </w:tabs>
        <w:rPr>
          <w:rStyle w:val="Boldword"/>
        </w:rPr>
      </w:pPr>
      <w:r>
        <w:rPr>
          <w:rStyle w:val="Boldword"/>
        </w:rPr>
        <w:t>Impact of experience on earnings</w:t>
      </w:r>
    </w:p>
    <w:p w:rsidR="003F6155" w:rsidRDefault="003F6155" w:rsidP="003F6155">
      <w:pPr>
        <w:tabs>
          <w:tab w:val="left" w:pos="4873"/>
        </w:tabs>
        <w:spacing w:before="240"/>
        <w:jc w:val="both"/>
        <w:rPr>
          <w:lang w:eastAsia="en-AU"/>
        </w:rPr>
      </w:pPr>
      <w:r>
        <w:rPr>
          <w:lang w:eastAsia="en-AU"/>
        </w:rPr>
        <w:t>Sinning (2014) considers the impact that different levels of experience may have on the earnings of individuals with different levels of educational attainment. As such, models that included interaction term</w:t>
      </w:r>
      <w:r w:rsidR="0003212B">
        <w:rPr>
          <w:lang w:eastAsia="en-AU"/>
        </w:rPr>
        <w:t>s</w:t>
      </w:r>
      <w:r>
        <w:rPr>
          <w:lang w:eastAsia="en-AU"/>
        </w:rPr>
        <w:t xml:space="preserve"> between educational attainment and experience (proxied here by five year age groups) were also estimated</w:t>
      </w:r>
      <w:r w:rsidR="0003212B">
        <w:rPr>
          <w:lang w:eastAsia="en-AU"/>
        </w:rPr>
        <w:t xml:space="preserve">.  </w:t>
      </w:r>
      <w:r>
        <w:rPr>
          <w:lang w:eastAsia="en-AU"/>
        </w:rPr>
        <w:fldChar w:fldCharType="begin"/>
      </w:r>
      <w:r>
        <w:rPr>
          <w:lang w:eastAsia="en-AU"/>
        </w:rPr>
        <w:instrText xml:space="preserve"> REF _Ref460586242 \r \h </w:instrText>
      </w:r>
      <w:r>
        <w:rPr>
          <w:lang w:eastAsia="en-AU"/>
        </w:rPr>
      </w:r>
      <w:r>
        <w:rPr>
          <w:lang w:eastAsia="en-AU"/>
        </w:rPr>
        <w:fldChar w:fldCharType="separate"/>
      </w:r>
      <w:r w:rsidR="00534F9F">
        <w:rPr>
          <w:lang w:eastAsia="en-AU"/>
        </w:rPr>
        <w:t>Table B.5</w:t>
      </w:r>
      <w:r>
        <w:rPr>
          <w:lang w:eastAsia="en-AU"/>
        </w:rPr>
        <w:fldChar w:fldCharType="end"/>
      </w:r>
      <w:r w:rsidR="0003212B">
        <w:rPr>
          <w:lang w:eastAsia="en-AU"/>
        </w:rPr>
        <w:t xml:space="preserve"> presented selected results.</w:t>
      </w:r>
      <w:r>
        <w:rPr>
          <w:lang w:eastAsia="en-AU"/>
        </w:rPr>
        <w:t xml:space="preserve"> </w:t>
      </w:r>
    </w:p>
    <w:p w:rsidR="003F6155" w:rsidRDefault="003F6155" w:rsidP="003F6155">
      <w:pPr>
        <w:pStyle w:val="AppendixTableCaption"/>
        <w:rPr>
          <w:lang w:eastAsia="en-AU"/>
        </w:rPr>
      </w:pPr>
      <w:bookmarkStart w:id="323" w:name="_Ref460586242"/>
      <w:bookmarkStart w:id="324" w:name="_Toc460586426"/>
      <w:bookmarkStart w:id="325" w:name="_Toc465961138"/>
      <w:r w:rsidRPr="003D2096">
        <w:rPr>
          <w:lang w:eastAsia="en-AU"/>
        </w:rPr>
        <w:t xml:space="preserve">: </w:t>
      </w:r>
      <w:r>
        <w:rPr>
          <w:lang w:eastAsia="en-AU"/>
        </w:rPr>
        <w:t>Wage premium of employed graduates, key regression results</w:t>
      </w:r>
      <w:bookmarkEnd w:id="323"/>
      <w:bookmarkEnd w:id="324"/>
      <w:bookmarkEnd w:id="325"/>
      <w:r w:rsidRPr="003D2096">
        <w:rPr>
          <w:lang w:eastAsia="en-AU"/>
        </w:rPr>
        <w:t xml:space="preserve"> </w:t>
      </w:r>
    </w:p>
    <w:tbl>
      <w:tblPr>
        <w:tblStyle w:val="TableAE"/>
        <w:tblW w:w="0" w:type="auto"/>
        <w:tblLayout w:type="fixed"/>
        <w:tblLook w:val="04A0" w:firstRow="1" w:lastRow="0" w:firstColumn="1" w:lastColumn="0" w:noHBand="0" w:noVBand="1"/>
      </w:tblPr>
      <w:tblGrid>
        <w:gridCol w:w="2802"/>
        <w:gridCol w:w="1559"/>
        <w:gridCol w:w="1258"/>
        <w:gridCol w:w="1297"/>
        <w:gridCol w:w="1521"/>
      </w:tblGrid>
      <w:tr w:rsidR="003F6155" w:rsidRPr="00DB0EF0" w:rsidTr="00075414">
        <w:trPr>
          <w:cnfStyle w:val="100000000000" w:firstRow="1" w:lastRow="0" w:firstColumn="0" w:lastColumn="0" w:oddVBand="0" w:evenVBand="0" w:oddHBand="0" w:evenHBand="0" w:firstRowFirstColumn="0" w:firstRowLastColumn="0" w:lastRowFirstColumn="0" w:lastRowLastColumn="0"/>
          <w:trHeight w:val="255"/>
          <w:tblHeader/>
        </w:trPr>
        <w:tc>
          <w:tcPr>
            <w:tcW w:w="2802" w:type="dxa"/>
            <w:noWrap/>
            <w:hideMark/>
          </w:tcPr>
          <w:p w:rsidR="003F6155" w:rsidRPr="001061F7" w:rsidRDefault="003F6155" w:rsidP="00075414">
            <w:pPr>
              <w:pStyle w:val="TableHeadingCentre"/>
              <w:rPr>
                <w:lang w:eastAsia="en-AU"/>
              </w:rPr>
            </w:pPr>
            <w:r>
              <w:rPr>
                <w:lang w:eastAsia="en-AU"/>
              </w:rPr>
              <w:t>Dependent variable: log weekly wages</w:t>
            </w:r>
          </w:p>
        </w:tc>
        <w:tc>
          <w:tcPr>
            <w:tcW w:w="1559" w:type="dxa"/>
            <w:noWrap/>
            <w:hideMark/>
          </w:tcPr>
          <w:p w:rsidR="003F6155" w:rsidRPr="001061F7" w:rsidRDefault="003F6155" w:rsidP="00075414">
            <w:pPr>
              <w:pStyle w:val="TableHeadingCentre"/>
              <w:rPr>
                <w:lang w:eastAsia="en-AU"/>
              </w:rPr>
            </w:pPr>
            <w:r w:rsidRPr="001061F7">
              <w:rPr>
                <w:lang w:eastAsia="en-AU"/>
              </w:rPr>
              <w:t>Postgraduate</w:t>
            </w:r>
          </w:p>
        </w:tc>
        <w:tc>
          <w:tcPr>
            <w:tcW w:w="1258" w:type="dxa"/>
            <w:noWrap/>
            <w:hideMark/>
          </w:tcPr>
          <w:p w:rsidR="003F6155" w:rsidRPr="001061F7" w:rsidRDefault="003F6155" w:rsidP="00075414">
            <w:pPr>
              <w:pStyle w:val="TableHeadingCentre"/>
              <w:rPr>
                <w:lang w:eastAsia="en-AU"/>
              </w:rPr>
            </w:pPr>
            <w:r w:rsidRPr="001061F7">
              <w:rPr>
                <w:lang w:eastAsia="en-AU"/>
              </w:rPr>
              <w:t>Bachelor</w:t>
            </w:r>
          </w:p>
        </w:tc>
        <w:tc>
          <w:tcPr>
            <w:tcW w:w="1297" w:type="dxa"/>
            <w:noWrap/>
            <w:hideMark/>
          </w:tcPr>
          <w:p w:rsidR="003F6155" w:rsidRPr="001061F7" w:rsidRDefault="003F6155" w:rsidP="00075414">
            <w:pPr>
              <w:pStyle w:val="TableHeadingCentre"/>
              <w:rPr>
                <w:lang w:eastAsia="en-AU"/>
              </w:rPr>
            </w:pPr>
            <w:r w:rsidRPr="001061F7">
              <w:rPr>
                <w:lang w:eastAsia="en-AU"/>
              </w:rPr>
              <w:t>Sub-bachelor</w:t>
            </w:r>
          </w:p>
        </w:tc>
        <w:tc>
          <w:tcPr>
            <w:tcW w:w="1521" w:type="dxa"/>
            <w:noWrap/>
            <w:hideMark/>
          </w:tcPr>
          <w:p w:rsidR="003F6155" w:rsidRPr="001061F7" w:rsidRDefault="003F6155" w:rsidP="00075414">
            <w:pPr>
              <w:pStyle w:val="TableHeadingCentre"/>
              <w:rPr>
                <w:lang w:eastAsia="en-AU"/>
              </w:rPr>
            </w:pPr>
            <w:r w:rsidRPr="001061F7">
              <w:rPr>
                <w:lang w:eastAsia="en-AU"/>
              </w:rPr>
              <w:t xml:space="preserve">Certificate III/IV </w:t>
            </w:r>
          </w:p>
        </w:tc>
      </w:tr>
      <w:tr w:rsidR="003F6155" w:rsidRPr="00DB0EF0" w:rsidTr="00075414">
        <w:trPr>
          <w:trHeight w:val="255"/>
        </w:trPr>
        <w:tc>
          <w:tcPr>
            <w:tcW w:w="2802" w:type="dxa"/>
            <w:noWrap/>
            <w:hideMark/>
          </w:tcPr>
          <w:p w:rsidR="003F6155" w:rsidRPr="001061F7" w:rsidRDefault="003F6155" w:rsidP="00075414">
            <w:pPr>
              <w:rPr>
                <w:rFonts w:asciiTheme="minorHAnsi" w:hAnsiTheme="minorHAnsi" w:cs="Arial"/>
                <w:color w:val="000000"/>
                <w:sz w:val="20"/>
                <w:lang w:eastAsia="en-AU"/>
              </w:rPr>
            </w:pPr>
            <w:r>
              <w:rPr>
                <w:rFonts w:asciiTheme="minorHAnsi" w:hAnsiTheme="minorHAnsi" w:cs="Arial"/>
                <w:color w:val="000000"/>
                <w:sz w:val="20"/>
                <w:lang w:eastAsia="en-AU"/>
              </w:rPr>
              <w:t>Qualification level coefficient</w:t>
            </w:r>
          </w:p>
        </w:tc>
        <w:tc>
          <w:tcPr>
            <w:tcW w:w="1559"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0.059</w:t>
            </w:r>
          </w:p>
        </w:tc>
        <w:tc>
          <w:tcPr>
            <w:tcW w:w="1258"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0.084**</w:t>
            </w:r>
          </w:p>
        </w:tc>
        <w:tc>
          <w:tcPr>
            <w:tcW w:w="1297"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0.037</w:t>
            </w:r>
          </w:p>
        </w:tc>
        <w:tc>
          <w:tcPr>
            <w:tcW w:w="1521"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-0.024</w:t>
            </w:r>
          </w:p>
        </w:tc>
      </w:tr>
      <w:tr w:rsidR="003F6155" w:rsidRPr="00DB0EF0" w:rsidTr="00075414">
        <w:trPr>
          <w:trHeight w:val="255"/>
        </w:trPr>
        <w:tc>
          <w:tcPr>
            <w:tcW w:w="4361" w:type="dxa"/>
            <w:gridSpan w:val="2"/>
            <w:shd w:val="clear" w:color="auto" w:fill="D9D9D9" w:themeFill="background1" w:themeFillShade="D9"/>
            <w:noWrap/>
          </w:tcPr>
          <w:p w:rsidR="003F6155" w:rsidRPr="001061F7" w:rsidRDefault="003F6155" w:rsidP="00075414">
            <w:pPr>
              <w:rPr>
                <w:rFonts w:asciiTheme="minorHAnsi" w:hAnsiTheme="minorHAnsi" w:cs="Arial"/>
                <w:b/>
                <w:color w:val="000000"/>
                <w:sz w:val="20"/>
                <w:szCs w:val="22"/>
                <w:lang w:eastAsia="en-AU"/>
              </w:rPr>
            </w:pPr>
            <w:r w:rsidRPr="001061F7">
              <w:rPr>
                <w:rFonts w:asciiTheme="minorHAnsi" w:hAnsiTheme="minorHAnsi" w:cs="Arial"/>
                <w:b/>
                <w:color w:val="000000"/>
                <w:sz w:val="20"/>
                <w:lang w:eastAsia="en-AU"/>
              </w:rPr>
              <w:t>Additional interaction effect</w:t>
            </w:r>
            <w:r>
              <w:rPr>
                <w:rFonts w:asciiTheme="minorHAnsi" w:hAnsiTheme="minorHAnsi" w:cs="Arial"/>
                <w:b/>
                <w:color w:val="000000"/>
                <w:sz w:val="20"/>
                <w:lang w:eastAsia="en-AU"/>
              </w:rPr>
              <w:t xml:space="preserve"> (age x qual level)</w:t>
            </w:r>
          </w:p>
        </w:tc>
        <w:tc>
          <w:tcPr>
            <w:tcW w:w="1258" w:type="dxa"/>
            <w:shd w:val="clear" w:color="auto" w:fill="D9D9D9" w:themeFill="background1" w:themeFillShade="D9"/>
            <w:noWrap/>
          </w:tcPr>
          <w:p w:rsidR="003F6155" w:rsidRPr="001061F7" w:rsidRDefault="003F6155" w:rsidP="00075414">
            <w:pPr>
              <w:jc w:val="center"/>
              <w:rPr>
                <w:rFonts w:asciiTheme="minorHAnsi" w:hAnsiTheme="minorHAnsi" w:cs="Arial"/>
                <w:b/>
                <w:color w:val="000000"/>
                <w:sz w:val="20"/>
                <w:szCs w:val="22"/>
                <w:lang w:eastAsia="en-AU"/>
              </w:rPr>
            </w:pPr>
          </w:p>
        </w:tc>
        <w:tc>
          <w:tcPr>
            <w:tcW w:w="1297" w:type="dxa"/>
            <w:shd w:val="clear" w:color="auto" w:fill="D9D9D9" w:themeFill="background1" w:themeFillShade="D9"/>
            <w:noWrap/>
          </w:tcPr>
          <w:p w:rsidR="003F6155" w:rsidRPr="001061F7" w:rsidRDefault="003F6155" w:rsidP="00075414">
            <w:pPr>
              <w:jc w:val="center"/>
              <w:rPr>
                <w:rFonts w:asciiTheme="minorHAnsi" w:hAnsiTheme="minorHAnsi" w:cs="Arial"/>
                <w:b/>
                <w:color w:val="000000"/>
                <w:sz w:val="20"/>
                <w:szCs w:val="22"/>
                <w:lang w:eastAsia="en-AU"/>
              </w:rPr>
            </w:pPr>
          </w:p>
        </w:tc>
        <w:tc>
          <w:tcPr>
            <w:tcW w:w="1521" w:type="dxa"/>
            <w:shd w:val="clear" w:color="auto" w:fill="D9D9D9" w:themeFill="background1" w:themeFillShade="D9"/>
            <w:noWrap/>
          </w:tcPr>
          <w:p w:rsidR="003F6155" w:rsidRPr="001061F7" w:rsidRDefault="003F6155" w:rsidP="00075414">
            <w:pPr>
              <w:jc w:val="center"/>
              <w:rPr>
                <w:rFonts w:asciiTheme="minorHAnsi" w:hAnsiTheme="minorHAnsi" w:cs="Arial"/>
                <w:b/>
                <w:color w:val="000000"/>
                <w:sz w:val="20"/>
                <w:szCs w:val="22"/>
                <w:lang w:eastAsia="en-AU"/>
              </w:rPr>
            </w:pPr>
          </w:p>
        </w:tc>
      </w:tr>
      <w:tr w:rsidR="003F6155" w:rsidRPr="00DB0EF0" w:rsidTr="00075414">
        <w:trPr>
          <w:trHeight w:val="255"/>
        </w:trPr>
        <w:tc>
          <w:tcPr>
            <w:tcW w:w="2802" w:type="dxa"/>
            <w:noWrap/>
            <w:hideMark/>
          </w:tcPr>
          <w:p w:rsidR="003F6155" w:rsidRPr="001061F7" w:rsidRDefault="003F6155" w:rsidP="00075414">
            <w:pPr>
              <w:rPr>
                <w:rFonts w:asciiTheme="minorHAnsi" w:hAnsiTheme="minorHAnsi" w:cs="Arial"/>
                <w:color w:val="000000"/>
                <w:sz w:val="20"/>
                <w:lang w:eastAsia="en-AU"/>
              </w:rPr>
            </w:pPr>
            <w:r w:rsidRPr="001061F7">
              <w:rPr>
                <w:rFonts w:asciiTheme="minorHAnsi" w:hAnsiTheme="minorHAnsi" w:cs="Arial"/>
                <w:color w:val="000000"/>
                <w:sz w:val="20"/>
                <w:lang w:eastAsia="en-AU"/>
              </w:rPr>
              <w:t>Aged 30-34</w:t>
            </w:r>
          </w:p>
        </w:tc>
        <w:tc>
          <w:tcPr>
            <w:tcW w:w="1559"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0.138**</w:t>
            </w:r>
          </w:p>
        </w:tc>
        <w:tc>
          <w:tcPr>
            <w:tcW w:w="1258"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0.136***</w:t>
            </w:r>
          </w:p>
        </w:tc>
        <w:tc>
          <w:tcPr>
            <w:tcW w:w="1297"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-0.066</w:t>
            </w:r>
          </w:p>
        </w:tc>
        <w:tc>
          <w:tcPr>
            <w:tcW w:w="1521"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0.024</w:t>
            </w:r>
          </w:p>
        </w:tc>
      </w:tr>
      <w:tr w:rsidR="003F6155" w:rsidRPr="00DB0EF0" w:rsidTr="00075414">
        <w:trPr>
          <w:trHeight w:val="255"/>
        </w:trPr>
        <w:tc>
          <w:tcPr>
            <w:tcW w:w="2802" w:type="dxa"/>
            <w:noWrap/>
            <w:hideMark/>
          </w:tcPr>
          <w:p w:rsidR="003F6155" w:rsidRPr="001061F7" w:rsidRDefault="003F6155" w:rsidP="00075414">
            <w:pPr>
              <w:rPr>
                <w:rFonts w:asciiTheme="minorHAnsi" w:hAnsiTheme="minorHAnsi" w:cs="Arial"/>
                <w:color w:val="000000"/>
                <w:sz w:val="20"/>
                <w:lang w:eastAsia="en-AU"/>
              </w:rPr>
            </w:pPr>
            <w:r w:rsidRPr="001061F7">
              <w:rPr>
                <w:rFonts w:asciiTheme="minorHAnsi" w:hAnsiTheme="minorHAnsi" w:cs="Arial"/>
                <w:color w:val="000000"/>
                <w:sz w:val="20"/>
                <w:lang w:eastAsia="en-AU"/>
              </w:rPr>
              <w:t>Aged 35-39</w:t>
            </w:r>
          </w:p>
        </w:tc>
        <w:tc>
          <w:tcPr>
            <w:tcW w:w="1559"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0.210***</w:t>
            </w:r>
          </w:p>
        </w:tc>
        <w:tc>
          <w:tcPr>
            <w:tcW w:w="1258"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0.146**</w:t>
            </w:r>
          </w:p>
        </w:tc>
        <w:tc>
          <w:tcPr>
            <w:tcW w:w="1297"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0.043</w:t>
            </w:r>
          </w:p>
        </w:tc>
        <w:tc>
          <w:tcPr>
            <w:tcW w:w="1521"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0.014</w:t>
            </w:r>
          </w:p>
        </w:tc>
      </w:tr>
      <w:tr w:rsidR="003F6155" w:rsidRPr="00DB0EF0" w:rsidTr="00075414">
        <w:trPr>
          <w:trHeight w:val="255"/>
        </w:trPr>
        <w:tc>
          <w:tcPr>
            <w:tcW w:w="2802" w:type="dxa"/>
            <w:noWrap/>
            <w:hideMark/>
          </w:tcPr>
          <w:p w:rsidR="003F6155" w:rsidRPr="001061F7" w:rsidRDefault="003F6155" w:rsidP="00075414">
            <w:pPr>
              <w:rPr>
                <w:rFonts w:asciiTheme="minorHAnsi" w:hAnsiTheme="minorHAnsi" w:cs="Arial"/>
                <w:color w:val="000000"/>
                <w:sz w:val="20"/>
                <w:lang w:eastAsia="en-AU"/>
              </w:rPr>
            </w:pPr>
            <w:r w:rsidRPr="001061F7">
              <w:rPr>
                <w:rFonts w:asciiTheme="minorHAnsi" w:hAnsiTheme="minorHAnsi" w:cs="Arial"/>
                <w:color w:val="000000"/>
                <w:sz w:val="20"/>
                <w:lang w:eastAsia="en-AU"/>
              </w:rPr>
              <w:lastRenderedPageBreak/>
              <w:t>Aged 40-44</w:t>
            </w:r>
          </w:p>
        </w:tc>
        <w:tc>
          <w:tcPr>
            <w:tcW w:w="1559"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0.300***</w:t>
            </w:r>
          </w:p>
        </w:tc>
        <w:tc>
          <w:tcPr>
            <w:tcW w:w="1258"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0.192***</w:t>
            </w:r>
          </w:p>
        </w:tc>
        <w:tc>
          <w:tcPr>
            <w:tcW w:w="1297"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0.114*</w:t>
            </w:r>
          </w:p>
        </w:tc>
        <w:tc>
          <w:tcPr>
            <w:tcW w:w="1521"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-0.043</w:t>
            </w:r>
          </w:p>
        </w:tc>
      </w:tr>
      <w:tr w:rsidR="003F6155" w:rsidRPr="00DB0EF0" w:rsidTr="00075414">
        <w:trPr>
          <w:trHeight w:val="255"/>
        </w:trPr>
        <w:tc>
          <w:tcPr>
            <w:tcW w:w="2802" w:type="dxa"/>
            <w:noWrap/>
            <w:hideMark/>
          </w:tcPr>
          <w:p w:rsidR="003F6155" w:rsidRPr="001061F7" w:rsidRDefault="003F6155" w:rsidP="00075414">
            <w:pPr>
              <w:rPr>
                <w:rFonts w:asciiTheme="minorHAnsi" w:hAnsiTheme="minorHAnsi" w:cs="Arial"/>
                <w:color w:val="000000"/>
                <w:sz w:val="20"/>
                <w:lang w:eastAsia="en-AU"/>
              </w:rPr>
            </w:pPr>
            <w:r w:rsidRPr="001061F7">
              <w:rPr>
                <w:rFonts w:asciiTheme="minorHAnsi" w:hAnsiTheme="minorHAnsi" w:cs="Arial"/>
                <w:color w:val="000000"/>
                <w:sz w:val="20"/>
                <w:lang w:eastAsia="en-AU"/>
              </w:rPr>
              <w:t>Aged 44-49</w:t>
            </w:r>
          </w:p>
        </w:tc>
        <w:tc>
          <w:tcPr>
            <w:tcW w:w="1559"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0.299***</w:t>
            </w:r>
          </w:p>
        </w:tc>
        <w:tc>
          <w:tcPr>
            <w:tcW w:w="1258"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0.096</w:t>
            </w:r>
          </w:p>
        </w:tc>
        <w:tc>
          <w:tcPr>
            <w:tcW w:w="1297"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0.091</w:t>
            </w:r>
          </w:p>
        </w:tc>
        <w:tc>
          <w:tcPr>
            <w:tcW w:w="1521"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-0.083</w:t>
            </w:r>
          </w:p>
        </w:tc>
      </w:tr>
      <w:tr w:rsidR="003F6155" w:rsidRPr="00DB0EF0" w:rsidTr="00075414">
        <w:trPr>
          <w:trHeight w:val="255"/>
        </w:trPr>
        <w:tc>
          <w:tcPr>
            <w:tcW w:w="2802" w:type="dxa"/>
            <w:noWrap/>
            <w:hideMark/>
          </w:tcPr>
          <w:p w:rsidR="003F6155" w:rsidRPr="001061F7" w:rsidRDefault="003F6155" w:rsidP="00075414">
            <w:pPr>
              <w:rPr>
                <w:rFonts w:asciiTheme="minorHAnsi" w:hAnsiTheme="minorHAnsi" w:cs="Arial"/>
                <w:color w:val="000000"/>
                <w:sz w:val="20"/>
                <w:lang w:eastAsia="en-AU"/>
              </w:rPr>
            </w:pPr>
            <w:r w:rsidRPr="001061F7">
              <w:rPr>
                <w:rFonts w:asciiTheme="minorHAnsi" w:hAnsiTheme="minorHAnsi" w:cs="Arial"/>
                <w:color w:val="000000"/>
                <w:sz w:val="20"/>
                <w:lang w:eastAsia="en-AU"/>
              </w:rPr>
              <w:t>Aged 50-54</w:t>
            </w:r>
          </w:p>
        </w:tc>
        <w:tc>
          <w:tcPr>
            <w:tcW w:w="1559"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0.166**</w:t>
            </w:r>
          </w:p>
        </w:tc>
        <w:tc>
          <w:tcPr>
            <w:tcW w:w="1258"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0.078</w:t>
            </w:r>
          </w:p>
        </w:tc>
        <w:tc>
          <w:tcPr>
            <w:tcW w:w="1297"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0.042</w:t>
            </w:r>
          </w:p>
        </w:tc>
        <w:tc>
          <w:tcPr>
            <w:tcW w:w="1521"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-0.054</w:t>
            </w:r>
          </w:p>
        </w:tc>
      </w:tr>
      <w:tr w:rsidR="003F6155" w:rsidRPr="00DB0EF0" w:rsidTr="00075414">
        <w:trPr>
          <w:trHeight w:val="255"/>
        </w:trPr>
        <w:tc>
          <w:tcPr>
            <w:tcW w:w="2802" w:type="dxa"/>
            <w:noWrap/>
            <w:hideMark/>
          </w:tcPr>
          <w:p w:rsidR="003F6155" w:rsidRPr="001061F7" w:rsidRDefault="003F6155" w:rsidP="00075414">
            <w:pPr>
              <w:rPr>
                <w:rFonts w:asciiTheme="minorHAnsi" w:hAnsiTheme="minorHAnsi" w:cs="Arial"/>
                <w:color w:val="000000"/>
                <w:sz w:val="20"/>
                <w:lang w:eastAsia="en-AU"/>
              </w:rPr>
            </w:pPr>
            <w:r w:rsidRPr="001061F7">
              <w:rPr>
                <w:rFonts w:asciiTheme="minorHAnsi" w:hAnsiTheme="minorHAnsi" w:cs="Arial"/>
                <w:color w:val="000000"/>
                <w:sz w:val="20"/>
                <w:lang w:eastAsia="en-AU"/>
              </w:rPr>
              <w:t>Aged 55-59</w:t>
            </w:r>
          </w:p>
        </w:tc>
        <w:tc>
          <w:tcPr>
            <w:tcW w:w="1559"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0.171*</w:t>
            </w:r>
          </w:p>
        </w:tc>
        <w:tc>
          <w:tcPr>
            <w:tcW w:w="1258"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-0.08</w:t>
            </w:r>
          </w:p>
        </w:tc>
        <w:tc>
          <w:tcPr>
            <w:tcW w:w="1297"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-0.188</w:t>
            </w:r>
          </w:p>
        </w:tc>
        <w:tc>
          <w:tcPr>
            <w:tcW w:w="1521"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-0.067</w:t>
            </w:r>
          </w:p>
        </w:tc>
      </w:tr>
      <w:tr w:rsidR="003F6155" w:rsidRPr="00DB0EF0" w:rsidTr="00075414">
        <w:trPr>
          <w:trHeight w:val="255"/>
        </w:trPr>
        <w:tc>
          <w:tcPr>
            <w:tcW w:w="2802" w:type="dxa"/>
            <w:noWrap/>
            <w:hideMark/>
          </w:tcPr>
          <w:p w:rsidR="003F6155" w:rsidRPr="001061F7" w:rsidRDefault="003F6155" w:rsidP="00075414">
            <w:pPr>
              <w:rPr>
                <w:rFonts w:asciiTheme="minorHAnsi" w:hAnsiTheme="minorHAnsi" w:cs="Arial"/>
                <w:color w:val="000000"/>
                <w:sz w:val="20"/>
                <w:lang w:eastAsia="en-AU"/>
              </w:rPr>
            </w:pPr>
            <w:r w:rsidRPr="001061F7">
              <w:rPr>
                <w:rFonts w:asciiTheme="minorHAnsi" w:hAnsiTheme="minorHAnsi" w:cs="Arial"/>
                <w:color w:val="000000"/>
                <w:sz w:val="20"/>
                <w:lang w:eastAsia="en-AU"/>
              </w:rPr>
              <w:t>Aged 64-69</w:t>
            </w:r>
          </w:p>
        </w:tc>
        <w:tc>
          <w:tcPr>
            <w:tcW w:w="1559"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0.147</w:t>
            </w:r>
          </w:p>
        </w:tc>
        <w:tc>
          <w:tcPr>
            <w:tcW w:w="1258"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0.228*</w:t>
            </w:r>
          </w:p>
        </w:tc>
        <w:tc>
          <w:tcPr>
            <w:tcW w:w="1297"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0.187</w:t>
            </w:r>
          </w:p>
        </w:tc>
        <w:tc>
          <w:tcPr>
            <w:tcW w:w="1521" w:type="dxa"/>
            <w:noWrap/>
            <w:hideMark/>
          </w:tcPr>
          <w:p w:rsidR="003F6155" w:rsidRPr="001061F7" w:rsidRDefault="003F6155" w:rsidP="00075414">
            <w:pPr>
              <w:jc w:val="center"/>
              <w:rPr>
                <w:rFonts w:asciiTheme="minorHAnsi" w:hAnsiTheme="minorHAnsi" w:cs="Arial"/>
                <w:color w:val="000000"/>
                <w:sz w:val="20"/>
                <w:lang w:eastAsia="en-AU"/>
              </w:rPr>
            </w:pPr>
            <w:r w:rsidRPr="001061F7">
              <w:rPr>
                <w:rFonts w:asciiTheme="minorHAnsi" w:hAnsiTheme="minorHAnsi" w:cs="Arial"/>
                <w:color w:val="000000"/>
                <w:sz w:val="20"/>
                <w:szCs w:val="22"/>
                <w:lang w:eastAsia="en-AU"/>
              </w:rPr>
              <w:t>0.166</w:t>
            </w:r>
          </w:p>
        </w:tc>
      </w:tr>
    </w:tbl>
    <w:p w:rsidR="003F6155" w:rsidRDefault="003F6155" w:rsidP="003F6155">
      <w:pPr>
        <w:pStyle w:val="Source"/>
        <w:rPr>
          <w:lang w:eastAsia="en-AU"/>
        </w:rPr>
      </w:pPr>
      <w:r>
        <w:rPr>
          <w:lang w:eastAsia="en-AU"/>
        </w:rPr>
        <w:t xml:space="preserve">Source: Deloitte Access Economics. Note: *** represents significance at the 1% level; ** at the 5% level; and * at the 10% level. Base categories are: No post-school qualification, FoE Arts, and Aged 25-29. </w:t>
      </w:r>
    </w:p>
    <w:p w:rsidR="003F6155" w:rsidRDefault="003F6155" w:rsidP="003F6155">
      <w:pPr>
        <w:tabs>
          <w:tab w:val="left" w:pos="4873"/>
        </w:tabs>
        <w:spacing w:before="240"/>
        <w:jc w:val="both"/>
        <w:rPr>
          <w:lang w:eastAsia="en-AU"/>
        </w:rPr>
      </w:pPr>
      <w:r>
        <w:rPr>
          <w:lang w:eastAsia="en-AU"/>
        </w:rPr>
        <w:t>The results suggest that there are significant positive wage premiums for those with postgraduate degrees (between 20% and 36%, relative to an individual with no post school qualification, depending on age), and for most age groups holding bachelor degrees (between 0.4% and 28%</w:t>
      </w:r>
      <w:r w:rsidR="00A601B6">
        <w:rPr>
          <w:rStyle w:val="FootnoteReference"/>
          <w:lang w:eastAsia="en-AU"/>
        </w:rPr>
        <w:footnoteReference w:id="53"/>
      </w:r>
      <w:r>
        <w:rPr>
          <w:lang w:eastAsia="en-AU"/>
        </w:rPr>
        <w:t xml:space="preserve">). </w:t>
      </w:r>
    </w:p>
    <w:p w:rsidR="003F6155" w:rsidRDefault="003F6155" w:rsidP="003F6155">
      <w:pPr>
        <w:tabs>
          <w:tab w:val="left" w:pos="4873"/>
        </w:tabs>
        <w:spacing w:before="240"/>
        <w:jc w:val="both"/>
        <w:rPr>
          <w:lang w:eastAsia="en-AU"/>
        </w:rPr>
      </w:pPr>
      <w:r>
        <w:rPr>
          <w:lang w:eastAsia="en-AU"/>
        </w:rPr>
        <w:t xml:space="preserve">The results also suggest that there is no statistically significant wage premium from holding </w:t>
      </w:r>
      <w:r w:rsidR="0075680D">
        <w:rPr>
          <w:lang w:eastAsia="en-AU"/>
        </w:rPr>
        <w:t>s</w:t>
      </w:r>
      <w:r>
        <w:rPr>
          <w:lang w:eastAsia="en-AU"/>
        </w:rPr>
        <w:t>ub-bachelor and Certificate III/IV qualifications. The findings from this model for field of education (in terms of magnitude of coefficients and statistical significance) are broadly similar to those presented in Section 4.2.1.</w:t>
      </w:r>
    </w:p>
    <w:p w:rsidR="003F6155" w:rsidRPr="008C53C4" w:rsidRDefault="003F6155" w:rsidP="003F6155">
      <w:pPr>
        <w:pStyle w:val="BodyText"/>
      </w:pPr>
      <w:r>
        <w:t xml:space="preserve">Given the additional complexity that these interaction terms add to the interpretability of results (and limited additional explanatory power they provide), this form of the model was not selected as the final specification. </w:t>
      </w:r>
    </w:p>
    <w:p w:rsidR="003F6155" w:rsidRPr="00A55ACF" w:rsidRDefault="003F6155" w:rsidP="003F6155">
      <w:pPr>
        <w:pStyle w:val="BodyText"/>
        <w:rPr>
          <w:b/>
          <w:bCs/>
          <w:color w:val="00A1DE"/>
        </w:rPr>
      </w:pPr>
      <w:r>
        <w:rPr>
          <w:b/>
          <w:bCs/>
          <w:color w:val="00A1DE"/>
        </w:rPr>
        <w:t xml:space="preserve">B. </w:t>
      </w:r>
      <w:r w:rsidRPr="00A55ACF">
        <w:rPr>
          <w:b/>
          <w:bCs/>
          <w:color w:val="00A1DE"/>
        </w:rPr>
        <w:t xml:space="preserve">Employment model </w:t>
      </w:r>
      <w:r>
        <w:rPr>
          <w:b/>
          <w:bCs/>
          <w:color w:val="00A1DE"/>
        </w:rPr>
        <w:t xml:space="preserve">– conditional on participation in the labour force and </w:t>
      </w:r>
      <w:r w:rsidR="00046056">
        <w:rPr>
          <w:b/>
          <w:bCs/>
          <w:color w:val="00A1DE"/>
        </w:rPr>
        <w:t>p</w:t>
      </w:r>
      <w:r>
        <w:rPr>
          <w:b/>
          <w:bCs/>
          <w:color w:val="00A1DE"/>
        </w:rPr>
        <w:t>articipation model</w:t>
      </w:r>
    </w:p>
    <w:p w:rsidR="003F6155" w:rsidRPr="001061F7" w:rsidRDefault="003F6155" w:rsidP="003F6155">
      <w:pPr>
        <w:pStyle w:val="BodyText"/>
      </w:pPr>
      <w:r w:rsidRPr="001061F7">
        <w:t>Th</w:t>
      </w:r>
      <w:r>
        <w:t xml:space="preserve">e results in </w:t>
      </w:r>
      <w:r>
        <w:fldChar w:fldCharType="begin"/>
      </w:r>
      <w:r>
        <w:instrText xml:space="preserve"> REF _Ref460587822 \r \h </w:instrText>
      </w:r>
      <w:r>
        <w:fldChar w:fldCharType="separate"/>
      </w:r>
      <w:r w:rsidR="00534F9F">
        <w:t>Table B.6</w:t>
      </w:r>
      <w:r>
        <w:fldChar w:fldCharType="end"/>
      </w:r>
      <w:r>
        <w:t xml:space="preserve"> show the results of the modelling from the employment (likelihood of employment, conditional on participation) and participation (likelihood of labour force participation) model. </w:t>
      </w:r>
    </w:p>
    <w:p w:rsidR="003F6155" w:rsidRPr="008C53C4" w:rsidRDefault="003F6155" w:rsidP="003F6155">
      <w:pPr>
        <w:pStyle w:val="AppendixTableCaption"/>
      </w:pPr>
      <w:bookmarkStart w:id="326" w:name="_Toc460586427"/>
      <w:bookmarkStart w:id="327" w:name="_Ref460587822"/>
      <w:bookmarkStart w:id="328" w:name="_Toc465961139"/>
      <w:r w:rsidRPr="008C53C4">
        <w:t>:</w:t>
      </w:r>
      <w:r>
        <w:t xml:space="preserve"> Coefficient estimates on </w:t>
      </w:r>
      <w:r w:rsidR="00046056">
        <w:t>l</w:t>
      </w:r>
      <w:r>
        <w:t>ikelihood of employment (given participation), and likelihood of labour force participation of graduates</w:t>
      </w:r>
      <w:bookmarkEnd w:id="326"/>
      <w:bookmarkEnd w:id="327"/>
      <w:bookmarkEnd w:id="328"/>
    </w:p>
    <w:tbl>
      <w:tblPr>
        <w:tblStyle w:val="TableAE"/>
        <w:tblW w:w="0" w:type="auto"/>
        <w:tblLayout w:type="fixed"/>
        <w:tblLook w:val="04A0" w:firstRow="1" w:lastRow="0" w:firstColumn="1" w:lastColumn="0" w:noHBand="0" w:noVBand="1"/>
      </w:tblPr>
      <w:tblGrid>
        <w:gridCol w:w="4047"/>
        <w:gridCol w:w="2110"/>
        <w:gridCol w:w="2110"/>
      </w:tblGrid>
      <w:tr w:rsidR="003F6155" w:rsidRPr="008C53C4" w:rsidTr="00075414">
        <w:trPr>
          <w:cnfStyle w:val="100000000000" w:firstRow="1" w:lastRow="0" w:firstColumn="0" w:lastColumn="0" w:oddVBand="0" w:evenVBand="0" w:oddHBand="0" w:evenHBand="0" w:firstRowFirstColumn="0" w:firstRowLastColumn="0" w:lastRowFirstColumn="0" w:lastRowLastColumn="0"/>
          <w:tblHeader/>
        </w:trPr>
        <w:tc>
          <w:tcPr>
            <w:tcW w:w="4047" w:type="dxa"/>
          </w:tcPr>
          <w:p w:rsidR="003F6155" w:rsidRPr="008C53C4" w:rsidRDefault="00CB710D" w:rsidP="00075414">
            <w:pPr>
              <w:pStyle w:val="TableHeadingCentre"/>
            </w:pPr>
            <w:r>
              <w:t>Explanatory variable</w:t>
            </w:r>
          </w:p>
        </w:tc>
        <w:tc>
          <w:tcPr>
            <w:tcW w:w="2110" w:type="dxa"/>
          </w:tcPr>
          <w:p w:rsidR="003F6155" w:rsidRDefault="003F6155" w:rsidP="00EA47CF">
            <w:pPr>
              <w:pStyle w:val="TableHeadingCentre"/>
            </w:pPr>
            <w:r>
              <w:t>Employed, conditional on participation (1)</w:t>
            </w:r>
          </w:p>
        </w:tc>
        <w:tc>
          <w:tcPr>
            <w:tcW w:w="2110" w:type="dxa"/>
          </w:tcPr>
          <w:p w:rsidR="003F6155" w:rsidRDefault="003F6155" w:rsidP="00075414">
            <w:pPr>
              <w:pStyle w:val="TableHeadingCentre"/>
            </w:pPr>
            <w:r>
              <w:t>Labour force participation (2)</w:t>
            </w:r>
          </w:p>
        </w:tc>
      </w:tr>
      <w:tr w:rsidR="003F6155" w:rsidRPr="008C53C4" w:rsidTr="00075414">
        <w:tc>
          <w:tcPr>
            <w:tcW w:w="4047" w:type="dxa"/>
            <w:shd w:val="clear" w:color="auto" w:fill="D9D9D9" w:themeFill="background1" w:themeFillShade="D9"/>
            <w:vAlign w:val="center"/>
          </w:tcPr>
          <w:p w:rsidR="003F6155" w:rsidRPr="008C53C4" w:rsidRDefault="003F6155" w:rsidP="00075414">
            <w:pPr>
              <w:pStyle w:val="TabletextLeft"/>
            </w:pPr>
            <w:r w:rsidRPr="00AD48BC">
              <w:rPr>
                <w:b/>
                <w:lang w:eastAsia="en-AU"/>
              </w:rPr>
              <w:t>Qualification level</w:t>
            </w:r>
          </w:p>
        </w:tc>
        <w:tc>
          <w:tcPr>
            <w:tcW w:w="2110" w:type="dxa"/>
            <w:shd w:val="clear" w:color="auto" w:fill="D9D9D9" w:themeFill="background1" w:themeFillShade="D9"/>
          </w:tcPr>
          <w:p w:rsidR="003F6155" w:rsidRPr="008C53C4" w:rsidRDefault="003F6155" w:rsidP="00075414">
            <w:pPr>
              <w:pStyle w:val="TabletextLeft"/>
              <w:jc w:val="center"/>
            </w:pPr>
          </w:p>
        </w:tc>
        <w:tc>
          <w:tcPr>
            <w:tcW w:w="2110" w:type="dxa"/>
            <w:shd w:val="clear" w:color="auto" w:fill="D9D9D9" w:themeFill="background1" w:themeFillShade="D9"/>
          </w:tcPr>
          <w:p w:rsidR="003F6155" w:rsidRPr="008C53C4" w:rsidRDefault="003F6155" w:rsidP="00075414">
            <w:pPr>
              <w:pStyle w:val="TabletextLeft"/>
              <w:jc w:val="center"/>
            </w:pPr>
          </w:p>
        </w:tc>
      </w:tr>
      <w:tr w:rsidR="003F6155" w:rsidRPr="008C53C4" w:rsidTr="00075414">
        <w:tc>
          <w:tcPr>
            <w:tcW w:w="4047" w:type="dxa"/>
            <w:vAlign w:val="center"/>
          </w:tcPr>
          <w:p w:rsidR="003F6155" w:rsidRPr="008C53C4" w:rsidRDefault="003F6155" w:rsidP="00075414">
            <w:pPr>
              <w:pStyle w:val="TabletextLeft"/>
            </w:pPr>
            <w:r w:rsidRPr="00AD48BC">
              <w:rPr>
                <w:color w:val="000000"/>
              </w:rPr>
              <w:t>Postgraduate</w:t>
            </w:r>
          </w:p>
        </w:tc>
        <w:tc>
          <w:tcPr>
            <w:tcW w:w="2110" w:type="dxa"/>
            <w:vAlign w:val="bottom"/>
          </w:tcPr>
          <w:p w:rsidR="003F6155" w:rsidRPr="00177212" w:rsidRDefault="003F6155" w:rsidP="00075414">
            <w:pPr>
              <w:pStyle w:val="TabletextLeft"/>
              <w:jc w:val="center"/>
            </w:pPr>
            <w:r w:rsidRPr="00177212">
              <w:rPr>
                <w:color w:val="000000"/>
                <w:szCs w:val="22"/>
              </w:rPr>
              <w:t>0.000</w:t>
            </w:r>
          </w:p>
        </w:tc>
        <w:tc>
          <w:tcPr>
            <w:tcW w:w="2110" w:type="dxa"/>
            <w:vAlign w:val="bottom"/>
          </w:tcPr>
          <w:p w:rsidR="003F6155" w:rsidRPr="00177212" w:rsidRDefault="003F6155" w:rsidP="00075414">
            <w:pPr>
              <w:pStyle w:val="TabletextLeft"/>
              <w:jc w:val="center"/>
            </w:pPr>
            <w:r w:rsidRPr="00177212">
              <w:rPr>
                <w:color w:val="000000"/>
                <w:szCs w:val="22"/>
              </w:rPr>
              <w:t>0.057***</w:t>
            </w:r>
          </w:p>
        </w:tc>
      </w:tr>
      <w:tr w:rsidR="003F6155" w:rsidRPr="008C53C4" w:rsidTr="00075414">
        <w:tc>
          <w:tcPr>
            <w:tcW w:w="4047" w:type="dxa"/>
            <w:vAlign w:val="center"/>
          </w:tcPr>
          <w:p w:rsidR="003F6155" w:rsidRPr="008C53C4" w:rsidRDefault="003F6155" w:rsidP="00075414">
            <w:pPr>
              <w:pStyle w:val="TabletextLeft"/>
            </w:pPr>
            <w:r w:rsidRPr="00AD48BC">
              <w:rPr>
                <w:color w:val="000000"/>
              </w:rPr>
              <w:t>Bachelor</w:t>
            </w:r>
          </w:p>
        </w:tc>
        <w:tc>
          <w:tcPr>
            <w:tcW w:w="2110" w:type="dxa"/>
            <w:vAlign w:val="bottom"/>
          </w:tcPr>
          <w:p w:rsidR="003F6155" w:rsidRPr="00177212" w:rsidRDefault="003F6155" w:rsidP="00075414">
            <w:pPr>
              <w:pStyle w:val="TabletextLeft"/>
              <w:jc w:val="center"/>
            </w:pPr>
            <w:r w:rsidRPr="00177212">
              <w:rPr>
                <w:color w:val="000000"/>
                <w:szCs w:val="22"/>
              </w:rPr>
              <w:t>0.002</w:t>
            </w:r>
          </w:p>
        </w:tc>
        <w:tc>
          <w:tcPr>
            <w:tcW w:w="2110" w:type="dxa"/>
            <w:vAlign w:val="bottom"/>
          </w:tcPr>
          <w:p w:rsidR="003F6155" w:rsidRPr="00177212" w:rsidRDefault="003F6155" w:rsidP="00075414">
            <w:pPr>
              <w:pStyle w:val="TabletextLeft"/>
              <w:jc w:val="center"/>
            </w:pPr>
            <w:r w:rsidRPr="00177212">
              <w:rPr>
                <w:color w:val="000000"/>
                <w:szCs w:val="22"/>
              </w:rPr>
              <w:t>0.038***</w:t>
            </w:r>
          </w:p>
        </w:tc>
      </w:tr>
      <w:tr w:rsidR="003F6155" w:rsidRPr="008C53C4" w:rsidTr="00075414">
        <w:tc>
          <w:tcPr>
            <w:tcW w:w="4047" w:type="dxa"/>
            <w:vAlign w:val="center"/>
          </w:tcPr>
          <w:p w:rsidR="003F6155" w:rsidRPr="008C53C4" w:rsidRDefault="003F6155" w:rsidP="00075414">
            <w:pPr>
              <w:pStyle w:val="TabletextLeft"/>
            </w:pPr>
            <w:r w:rsidRPr="00AD48BC">
              <w:rPr>
                <w:color w:val="000000"/>
              </w:rPr>
              <w:t>Sub-bachelor</w:t>
            </w:r>
          </w:p>
        </w:tc>
        <w:tc>
          <w:tcPr>
            <w:tcW w:w="2110" w:type="dxa"/>
            <w:vAlign w:val="bottom"/>
          </w:tcPr>
          <w:p w:rsidR="003F6155" w:rsidRPr="00177212" w:rsidRDefault="003F6155" w:rsidP="00075414">
            <w:pPr>
              <w:pStyle w:val="TabletextLeft"/>
              <w:jc w:val="center"/>
            </w:pPr>
            <w:r w:rsidRPr="00177212">
              <w:rPr>
                <w:color w:val="000000"/>
                <w:szCs w:val="22"/>
              </w:rPr>
              <w:t xml:space="preserve"> -0.001</w:t>
            </w:r>
          </w:p>
        </w:tc>
        <w:tc>
          <w:tcPr>
            <w:tcW w:w="2110" w:type="dxa"/>
            <w:vAlign w:val="bottom"/>
          </w:tcPr>
          <w:p w:rsidR="003F6155" w:rsidRPr="00177212" w:rsidRDefault="003F6155" w:rsidP="00075414">
            <w:pPr>
              <w:pStyle w:val="TabletextLeft"/>
              <w:jc w:val="center"/>
            </w:pPr>
            <w:r w:rsidRPr="00177212">
              <w:rPr>
                <w:color w:val="000000"/>
                <w:szCs w:val="22"/>
              </w:rPr>
              <w:t>0.016</w:t>
            </w:r>
          </w:p>
        </w:tc>
      </w:tr>
      <w:tr w:rsidR="003F6155" w:rsidRPr="008C53C4" w:rsidTr="00075414">
        <w:tc>
          <w:tcPr>
            <w:tcW w:w="4047" w:type="dxa"/>
            <w:vAlign w:val="center"/>
          </w:tcPr>
          <w:p w:rsidR="003F6155" w:rsidRPr="008C53C4" w:rsidRDefault="003F6155" w:rsidP="00075414">
            <w:pPr>
              <w:pStyle w:val="TabletextLeft"/>
            </w:pPr>
            <w:r w:rsidRPr="00AD48BC">
              <w:rPr>
                <w:color w:val="000000"/>
              </w:rPr>
              <w:t xml:space="preserve">Certificate III/IV </w:t>
            </w:r>
          </w:p>
        </w:tc>
        <w:tc>
          <w:tcPr>
            <w:tcW w:w="2110" w:type="dxa"/>
            <w:vAlign w:val="bottom"/>
          </w:tcPr>
          <w:p w:rsidR="003F6155" w:rsidRPr="00177212" w:rsidRDefault="003F6155" w:rsidP="00075414">
            <w:pPr>
              <w:pStyle w:val="TabletextLeft"/>
              <w:jc w:val="center"/>
            </w:pPr>
            <w:r w:rsidRPr="00177212">
              <w:rPr>
                <w:color w:val="000000"/>
                <w:szCs w:val="22"/>
              </w:rPr>
              <w:t xml:space="preserve"> -0.003</w:t>
            </w:r>
          </w:p>
        </w:tc>
        <w:tc>
          <w:tcPr>
            <w:tcW w:w="2110" w:type="dxa"/>
            <w:vAlign w:val="bottom"/>
          </w:tcPr>
          <w:p w:rsidR="003F6155" w:rsidRPr="00177212" w:rsidRDefault="003F6155" w:rsidP="00075414">
            <w:pPr>
              <w:pStyle w:val="TabletextLeft"/>
              <w:jc w:val="center"/>
            </w:pPr>
            <w:r w:rsidRPr="00177212">
              <w:rPr>
                <w:color w:val="000000"/>
                <w:szCs w:val="22"/>
              </w:rPr>
              <w:t>0.038***</w:t>
            </w:r>
          </w:p>
        </w:tc>
      </w:tr>
      <w:tr w:rsidR="003F6155" w:rsidRPr="008C53C4" w:rsidTr="00075414">
        <w:tc>
          <w:tcPr>
            <w:tcW w:w="4047" w:type="dxa"/>
            <w:shd w:val="clear" w:color="auto" w:fill="D9D9D9" w:themeFill="background1" w:themeFillShade="D9"/>
            <w:vAlign w:val="center"/>
          </w:tcPr>
          <w:p w:rsidR="003F6155" w:rsidRPr="008C53C4" w:rsidRDefault="003F6155" w:rsidP="00075414">
            <w:pPr>
              <w:pStyle w:val="TabletextLeft"/>
            </w:pPr>
            <w:r w:rsidRPr="00AD48BC">
              <w:rPr>
                <w:b/>
                <w:color w:val="000000"/>
              </w:rPr>
              <w:t>Field of Education</w:t>
            </w:r>
          </w:p>
        </w:tc>
        <w:tc>
          <w:tcPr>
            <w:tcW w:w="2110" w:type="dxa"/>
            <w:shd w:val="clear" w:color="auto" w:fill="D9D9D9" w:themeFill="background1" w:themeFillShade="D9"/>
            <w:vAlign w:val="center"/>
          </w:tcPr>
          <w:p w:rsidR="003F6155" w:rsidRPr="00177212" w:rsidRDefault="003F6155" w:rsidP="00075414">
            <w:pPr>
              <w:pStyle w:val="TabletextLeft"/>
              <w:jc w:val="center"/>
            </w:pPr>
          </w:p>
        </w:tc>
        <w:tc>
          <w:tcPr>
            <w:tcW w:w="2110" w:type="dxa"/>
            <w:shd w:val="clear" w:color="auto" w:fill="D9D9D9" w:themeFill="background1" w:themeFillShade="D9"/>
            <w:vAlign w:val="center"/>
          </w:tcPr>
          <w:p w:rsidR="003F6155" w:rsidRPr="00177212" w:rsidRDefault="003F6155" w:rsidP="00075414">
            <w:pPr>
              <w:pStyle w:val="TabletextLeft"/>
              <w:jc w:val="center"/>
            </w:pPr>
          </w:p>
        </w:tc>
      </w:tr>
      <w:tr w:rsidR="003F6155" w:rsidRPr="008C53C4" w:rsidTr="00075414">
        <w:tc>
          <w:tcPr>
            <w:tcW w:w="4047" w:type="dxa"/>
            <w:vAlign w:val="center"/>
          </w:tcPr>
          <w:p w:rsidR="003F6155" w:rsidRPr="008C53C4" w:rsidRDefault="003F6155" w:rsidP="00075414">
            <w:pPr>
              <w:pStyle w:val="TabletextLeft"/>
            </w:pPr>
            <w:r w:rsidRPr="00AD48BC">
              <w:rPr>
                <w:color w:val="000000"/>
              </w:rPr>
              <w:t xml:space="preserve">Science </w:t>
            </w:r>
          </w:p>
        </w:tc>
        <w:tc>
          <w:tcPr>
            <w:tcW w:w="2110" w:type="dxa"/>
            <w:vAlign w:val="bottom"/>
          </w:tcPr>
          <w:p w:rsidR="003F6155" w:rsidRPr="00177212" w:rsidRDefault="003F6155" w:rsidP="00075414">
            <w:pPr>
              <w:pStyle w:val="TabletextLeft"/>
              <w:jc w:val="center"/>
            </w:pPr>
            <w:r w:rsidRPr="00177212">
              <w:rPr>
                <w:color w:val="000000"/>
                <w:szCs w:val="22"/>
              </w:rPr>
              <w:t>0.011*</w:t>
            </w:r>
          </w:p>
        </w:tc>
        <w:tc>
          <w:tcPr>
            <w:tcW w:w="2110" w:type="dxa"/>
            <w:vAlign w:val="bottom"/>
          </w:tcPr>
          <w:p w:rsidR="003F6155" w:rsidRPr="00177212" w:rsidRDefault="003F6155" w:rsidP="00075414">
            <w:pPr>
              <w:pStyle w:val="TabletextLeft"/>
              <w:jc w:val="center"/>
            </w:pPr>
            <w:r w:rsidRPr="00177212">
              <w:rPr>
                <w:color w:val="000000"/>
                <w:szCs w:val="22"/>
              </w:rPr>
              <w:t>0.036**</w:t>
            </w:r>
          </w:p>
        </w:tc>
      </w:tr>
      <w:tr w:rsidR="003F6155" w:rsidRPr="008C53C4" w:rsidTr="00075414">
        <w:tc>
          <w:tcPr>
            <w:tcW w:w="4047" w:type="dxa"/>
            <w:vAlign w:val="center"/>
          </w:tcPr>
          <w:p w:rsidR="003F6155" w:rsidRPr="008C53C4" w:rsidRDefault="003F6155" w:rsidP="00075414">
            <w:pPr>
              <w:pStyle w:val="TabletextLeft"/>
            </w:pPr>
            <w:r w:rsidRPr="00AD48BC">
              <w:rPr>
                <w:color w:val="000000"/>
              </w:rPr>
              <w:t xml:space="preserve">IT </w:t>
            </w:r>
          </w:p>
        </w:tc>
        <w:tc>
          <w:tcPr>
            <w:tcW w:w="2110" w:type="dxa"/>
            <w:vAlign w:val="bottom"/>
          </w:tcPr>
          <w:p w:rsidR="003F6155" w:rsidRPr="00177212" w:rsidRDefault="003F6155" w:rsidP="00075414">
            <w:pPr>
              <w:pStyle w:val="TabletextLeft"/>
              <w:jc w:val="center"/>
            </w:pPr>
            <w:r w:rsidRPr="00177212">
              <w:rPr>
                <w:color w:val="000000"/>
                <w:szCs w:val="22"/>
              </w:rPr>
              <w:t>0.003</w:t>
            </w:r>
          </w:p>
        </w:tc>
        <w:tc>
          <w:tcPr>
            <w:tcW w:w="2110" w:type="dxa"/>
            <w:vAlign w:val="bottom"/>
          </w:tcPr>
          <w:p w:rsidR="003F6155" w:rsidRPr="00177212" w:rsidRDefault="003F6155" w:rsidP="00075414">
            <w:pPr>
              <w:pStyle w:val="TabletextLeft"/>
              <w:jc w:val="center"/>
            </w:pPr>
            <w:r w:rsidRPr="00177212">
              <w:rPr>
                <w:color w:val="000000"/>
                <w:szCs w:val="22"/>
              </w:rPr>
              <w:t>0.035**</w:t>
            </w:r>
          </w:p>
        </w:tc>
      </w:tr>
      <w:tr w:rsidR="003F6155" w:rsidRPr="008C53C4" w:rsidTr="00075414">
        <w:tc>
          <w:tcPr>
            <w:tcW w:w="4047" w:type="dxa"/>
            <w:vAlign w:val="center"/>
          </w:tcPr>
          <w:p w:rsidR="003F6155" w:rsidRPr="008C53C4" w:rsidRDefault="003F6155" w:rsidP="00075414">
            <w:pPr>
              <w:pStyle w:val="TabletextLeft"/>
            </w:pPr>
            <w:r w:rsidRPr="00AD48BC">
              <w:rPr>
                <w:color w:val="000000"/>
              </w:rPr>
              <w:lastRenderedPageBreak/>
              <w:t xml:space="preserve">Engineering </w:t>
            </w:r>
          </w:p>
        </w:tc>
        <w:tc>
          <w:tcPr>
            <w:tcW w:w="2110" w:type="dxa"/>
            <w:vAlign w:val="bottom"/>
          </w:tcPr>
          <w:p w:rsidR="003F6155" w:rsidRPr="00177212" w:rsidRDefault="003F6155" w:rsidP="00075414">
            <w:pPr>
              <w:pStyle w:val="TabletextLeft"/>
              <w:jc w:val="center"/>
            </w:pPr>
            <w:r w:rsidRPr="00177212">
              <w:rPr>
                <w:color w:val="000000"/>
                <w:szCs w:val="22"/>
              </w:rPr>
              <w:t>0.022***</w:t>
            </w:r>
          </w:p>
        </w:tc>
        <w:tc>
          <w:tcPr>
            <w:tcW w:w="2110" w:type="dxa"/>
            <w:vAlign w:val="bottom"/>
          </w:tcPr>
          <w:p w:rsidR="003F6155" w:rsidRPr="00177212" w:rsidRDefault="003F6155" w:rsidP="00075414">
            <w:pPr>
              <w:pStyle w:val="TabletextLeft"/>
              <w:jc w:val="center"/>
            </w:pPr>
            <w:r w:rsidRPr="00177212">
              <w:rPr>
                <w:color w:val="000000"/>
                <w:szCs w:val="22"/>
              </w:rPr>
              <w:t>0.037***</w:t>
            </w:r>
          </w:p>
        </w:tc>
      </w:tr>
      <w:tr w:rsidR="003F6155" w:rsidRPr="008C53C4" w:rsidTr="00075414">
        <w:tc>
          <w:tcPr>
            <w:tcW w:w="4047" w:type="dxa"/>
            <w:vAlign w:val="center"/>
          </w:tcPr>
          <w:p w:rsidR="003F6155" w:rsidRPr="008C53C4" w:rsidRDefault="003F6155" w:rsidP="00075414">
            <w:pPr>
              <w:pStyle w:val="TabletextLeft"/>
            </w:pPr>
            <w:r w:rsidRPr="00AD48BC">
              <w:rPr>
                <w:color w:val="000000"/>
              </w:rPr>
              <w:t>Medicine</w:t>
            </w:r>
          </w:p>
        </w:tc>
        <w:tc>
          <w:tcPr>
            <w:tcW w:w="2110" w:type="dxa"/>
            <w:vAlign w:val="bottom"/>
          </w:tcPr>
          <w:p w:rsidR="003F6155" w:rsidRPr="00177212" w:rsidRDefault="003F6155" w:rsidP="00075414">
            <w:pPr>
              <w:pStyle w:val="TabletextLeft"/>
              <w:jc w:val="center"/>
            </w:pPr>
            <w:r w:rsidRPr="00177212">
              <w:rPr>
                <w:color w:val="000000"/>
                <w:szCs w:val="22"/>
              </w:rPr>
              <w:t>-0.002</w:t>
            </w:r>
          </w:p>
        </w:tc>
        <w:tc>
          <w:tcPr>
            <w:tcW w:w="2110" w:type="dxa"/>
            <w:vAlign w:val="bottom"/>
          </w:tcPr>
          <w:p w:rsidR="003F6155" w:rsidRPr="00177212" w:rsidRDefault="003F6155" w:rsidP="00075414">
            <w:pPr>
              <w:pStyle w:val="TabletextLeft"/>
              <w:jc w:val="center"/>
            </w:pPr>
            <w:r w:rsidRPr="00177212">
              <w:rPr>
                <w:color w:val="000000"/>
                <w:szCs w:val="22"/>
              </w:rPr>
              <w:t>0.053*</w:t>
            </w:r>
          </w:p>
        </w:tc>
      </w:tr>
      <w:tr w:rsidR="003F6155" w:rsidRPr="008C53C4" w:rsidTr="00075414">
        <w:tc>
          <w:tcPr>
            <w:tcW w:w="4047" w:type="dxa"/>
            <w:vAlign w:val="center"/>
          </w:tcPr>
          <w:p w:rsidR="003F6155" w:rsidRPr="008C53C4" w:rsidRDefault="003F6155" w:rsidP="00075414">
            <w:pPr>
              <w:pStyle w:val="TabletextLeft"/>
            </w:pPr>
            <w:r>
              <w:rPr>
                <w:color w:val="000000"/>
              </w:rPr>
              <w:t>Nursing</w:t>
            </w:r>
          </w:p>
        </w:tc>
        <w:tc>
          <w:tcPr>
            <w:tcW w:w="2110" w:type="dxa"/>
            <w:vAlign w:val="bottom"/>
          </w:tcPr>
          <w:p w:rsidR="003F6155" w:rsidRPr="00177212" w:rsidRDefault="003F6155" w:rsidP="00075414">
            <w:pPr>
              <w:pStyle w:val="TabletextLeft"/>
              <w:jc w:val="center"/>
            </w:pPr>
            <w:r w:rsidRPr="00177212">
              <w:rPr>
                <w:color w:val="000000"/>
                <w:szCs w:val="22"/>
              </w:rPr>
              <w:t>0.027***</w:t>
            </w:r>
          </w:p>
        </w:tc>
        <w:tc>
          <w:tcPr>
            <w:tcW w:w="2110" w:type="dxa"/>
            <w:vAlign w:val="bottom"/>
          </w:tcPr>
          <w:p w:rsidR="003F6155" w:rsidRPr="00177212" w:rsidRDefault="003F6155" w:rsidP="00075414">
            <w:pPr>
              <w:pStyle w:val="TabletextLeft"/>
              <w:jc w:val="center"/>
            </w:pPr>
            <w:r w:rsidRPr="00177212">
              <w:rPr>
                <w:color w:val="000000"/>
                <w:szCs w:val="22"/>
              </w:rPr>
              <w:t>0.105***</w:t>
            </w:r>
          </w:p>
        </w:tc>
      </w:tr>
      <w:tr w:rsidR="003F6155" w:rsidRPr="008C53C4" w:rsidTr="00075414">
        <w:tc>
          <w:tcPr>
            <w:tcW w:w="4047" w:type="dxa"/>
            <w:vAlign w:val="center"/>
          </w:tcPr>
          <w:p w:rsidR="003F6155" w:rsidRPr="008C53C4" w:rsidRDefault="003F6155" w:rsidP="00075414">
            <w:pPr>
              <w:pStyle w:val="TabletextLeft"/>
            </w:pPr>
            <w:r>
              <w:rPr>
                <w:color w:val="000000"/>
              </w:rPr>
              <w:t>Other Health</w:t>
            </w:r>
          </w:p>
        </w:tc>
        <w:tc>
          <w:tcPr>
            <w:tcW w:w="2110" w:type="dxa"/>
            <w:vAlign w:val="bottom"/>
          </w:tcPr>
          <w:p w:rsidR="003F6155" w:rsidRPr="00177212" w:rsidRDefault="003F6155" w:rsidP="00075414">
            <w:pPr>
              <w:pStyle w:val="TabletextLeft"/>
              <w:jc w:val="center"/>
            </w:pPr>
            <w:r w:rsidRPr="00177212">
              <w:rPr>
                <w:color w:val="000000"/>
                <w:szCs w:val="22"/>
              </w:rPr>
              <w:t>0.020***</w:t>
            </w:r>
          </w:p>
        </w:tc>
        <w:tc>
          <w:tcPr>
            <w:tcW w:w="2110" w:type="dxa"/>
            <w:vAlign w:val="bottom"/>
          </w:tcPr>
          <w:p w:rsidR="003F6155" w:rsidRPr="00177212" w:rsidRDefault="003F6155" w:rsidP="00075414">
            <w:pPr>
              <w:pStyle w:val="TabletextLeft"/>
              <w:jc w:val="center"/>
            </w:pPr>
            <w:r w:rsidRPr="00177212">
              <w:rPr>
                <w:color w:val="000000"/>
                <w:szCs w:val="22"/>
              </w:rPr>
              <w:t>0.108***</w:t>
            </w:r>
          </w:p>
        </w:tc>
      </w:tr>
      <w:tr w:rsidR="003F6155" w:rsidRPr="008C53C4" w:rsidTr="00075414">
        <w:tc>
          <w:tcPr>
            <w:tcW w:w="4047" w:type="dxa"/>
            <w:vAlign w:val="center"/>
          </w:tcPr>
          <w:p w:rsidR="003F6155" w:rsidRPr="008C53C4" w:rsidRDefault="003F6155" w:rsidP="00075414">
            <w:pPr>
              <w:pStyle w:val="TabletextLeft"/>
            </w:pPr>
            <w:r w:rsidRPr="00AD48BC">
              <w:rPr>
                <w:color w:val="000000"/>
              </w:rPr>
              <w:t xml:space="preserve">Education </w:t>
            </w:r>
          </w:p>
        </w:tc>
        <w:tc>
          <w:tcPr>
            <w:tcW w:w="2110" w:type="dxa"/>
            <w:vAlign w:val="bottom"/>
          </w:tcPr>
          <w:p w:rsidR="003F6155" w:rsidRPr="00177212" w:rsidRDefault="003F6155" w:rsidP="00075414">
            <w:pPr>
              <w:pStyle w:val="TabletextLeft"/>
              <w:jc w:val="center"/>
            </w:pPr>
            <w:r w:rsidRPr="00177212">
              <w:rPr>
                <w:color w:val="000000"/>
                <w:szCs w:val="22"/>
              </w:rPr>
              <w:t>0.022***</w:t>
            </w:r>
          </w:p>
        </w:tc>
        <w:tc>
          <w:tcPr>
            <w:tcW w:w="2110" w:type="dxa"/>
            <w:vAlign w:val="bottom"/>
          </w:tcPr>
          <w:p w:rsidR="003F6155" w:rsidRPr="00177212" w:rsidRDefault="003F6155" w:rsidP="00075414">
            <w:pPr>
              <w:pStyle w:val="TabletextLeft"/>
              <w:jc w:val="center"/>
            </w:pPr>
            <w:r w:rsidRPr="00177212">
              <w:rPr>
                <w:color w:val="000000"/>
                <w:szCs w:val="22"/>
              </w:rPr>
              <w:t>0.063***</w:t>
            </w:r>
          </w:p>
        </w:tc>
      </w:tr>
      <w:tr w:rsidR="003F6155" w:rsidRPr="008C53C4" w:rsidTr="00075414">
        <w:tc>
          <w:tcPr>
            <w:tcW w:w="4047" w:type="dxa"/>
            <w:vAlign w:val="center"/>
          </w:tcPr>
          <w:p w:rsidR="003F6155" w:rsidRPr="008C53C4" w:rsidRDefault="003F6155" w:rsidP="00075414">
            <w:pPr>
              <w:pStyle w:val="TabletextLeft"/>
            </w:pPr>
            <w:r>
              <w:rPr>
                <w:color w:val="000000"/>
              </w:rPr>
              <w:t>Management and Commerce</w:t>
            </w:r>
          </w:p>
        </w:tc>
        <w:tc>
          <w:tcPr>
            <w:tcW w:w="2110" w:type="dxa"/>
            <w:vAlign w:val="bottom"/>
          </w:tcPr>
          <w:p w:rsidR="003F6155" w:rsidRPr="00177212" w:rsidRDefault="003F6155" w:rsidP="00075414">
            <w:pPr>
              <w:pStyle w:val="TabletextLeft"/>
              <w:jc w:val="center"/>
            </w:pPr>
            <w:r w:rsidRPr="00177212">
              <w:rPr>
                <w:color w:val="000000"/>
                <w:szCs w:val="22"/>
              </w:rPr>
              <w:t>0.011**</w:t>
            </w:r>
          </w:p>
        </w:tc>
        <w:tc>
          <w:tcPr>
            <w:tcW w:w="2110" w:type="dxa"/>
            <w:vAlign w:val="bottom"/>
          </w:tcPr>
          <w:p w:rsidR="003F6155" w:rsidRPr="00177212" w:rsidRDefault="003F6155" w:rsidP="00075414">
            <w:pPr>
              <w:pStyle w:val="TabletextLeft"/>
              <w:jc w:val="center"/>
            </w:pPr>
            <w:r w:rsidRPr="00177212">
              <w:rPr>
                <w:color w:val="000000"/>
                <w:szCs w:val="22"/>
              </w:rPr>
              <w:t>0.047***</w:t>
            </w:r>
          </w:p>
        </w:tc>
      </w:tr>
      <w:tr w:rsidR="003F6155" w:rsidRPr="008C53C4" w:rsidTr="00075414">
        <w:tc>
          <w:tcPr>
            <w:tcW w:w="4047" w:type="dxa"/>
            <w:vAlign w:val="center"/>
          </w:tcPr>
          <w:p w:rsidR="003F6155" w:rsidRPr="008C53C4" w:rsidRDefault="003F6155" w:rsidP="00075414">
            <w:pPr>
              <w:pStyle w:val="TabletextLeft"/>
            </w:pPr>
            <w:r>
              <w:rPr>
                <w:color w:val="000000"/>
              </w:rPr>
              <w:t>Law</w:t>
            </w:r>
          </w:p>
        </w:tc>
        <w:tc>
          <w:tcPr>
            <w:tcW w:w="2110" w:type="dxa"/>
            <w:vAlign w:val="bottom"/>
          </w:tcPr>
          <w:p w:rsidR="003F6155" w:rsidRPr="00177212" w:rsidRDefault="003F6155" w:rsidP="00075414">
            <w:pPr>
              <w:pStyle w:val="TabletextLeft"/>
              <w:jc w:val="center"/>
            </w:pPr>
            <w:r w:rsidRPr="00177212">
              <w:rPr>
                <w:color w:val="000000"/>
                <w:szCs w:val="22"/>
              </w:rPr>
              <w:t>0.012</w:t>
            </w:r>
          </w:p>
        </w:tc>
        <w:tc>
          <w:tcPr>
            <w:tcW w:w="2110" w:type="dxa"/>
            <w:vAlign w:val="bottom"/>
          </w:tcPr>
          <w:p w:rsidR="003F6155" w:rsidRPr="00177212" w:rsidRDefault="003F6155" w:rsidP="00075414">
            <w:pPr>
              <w:pStyle w:val="TabletextLeft"/>
              <w:jc w:val="center"/>
            </w:pPr>
            <w:r w:rsidRPr="00177212">
              <w:rPr>
                <w:color w:val="000000"/>
                <w:szCs w:val="22"/>
              </w:rPr>
              <w:t>0.034</w:t>
            </w:r>
          </w:p>
        </w:tc>
      </w:tr>
      <w:tr w:rsidR="003F6155" w:rsidRPr="008C53C4" w:rsidTr="00075414">
        <w:tc>
          <w:tcPr>
            <w:tcW w:w="4047" w:type="dxa"/>
            <w:vAlign w:val="center"/>
          </w:tcPr>
          <w:p w:rsidR="003F6155" w:rsidRPr="008C53C4" w:rsidRDefault="003F6155" w:rsidP="00075414">
            <w:pPr>
              <w:pStyle w:val="TabletextLeft"/>
            </w:pPr>
            <w:r>
              <w:rPr>
                <w:color w:val="000000"/>
              </w:rPr>
              <w:t>Food and Hospitality</w:t>
            </w:r>
          </w:p>
        </w:tc>
        <w:tc>
          <w:tcPr>
            <w:tcW w:w="2110" w:type="dxa"/>
            <w:vAlign w:val="bottom"/>
          </w:tcPr>
          <w:p w:rsidR="003F6155" w:rsidRPr="00177212" w:rsidRDefault="003F6155" w:rsidP="00075414">
            <w:pPr>
              <w:pStyle w:val="TabletextLeft"/>
              <w:jc w:val="center"/>
            </w:pPr>
            <w:r w:rsidRPr="00177212">
              <w:rPr>
                <w:color w:val="000000"/>
                <w:szCs w:val="22"/>
              </w:rPr>
              <w:t>0.008</w:t>
            </w:r>
          </w:p>
        </w:tc>
        <w:tc>
          <w:tcPr>
            <w:tcW w:w="2110" w:type="dxa"/>
            <w:vAlign w:val="bottom"/>
          </w:tcPr>
          <w:p w:rsidR="003F6155" w:rsidRPr="00177212" w:rsidRDefault="003F6155" w:rsidP="00075414">
            <w:pPr>
              <w:pStyle w:val="TabletextLeft"/>
              <w:jc w:val="center"/>
            </w:pPr>
            <w:r w:rsidRPr="00177212">
              <w:rPr>
                <w:color w:val="000000"/>
                <w:szCs w:val="22"/>
              </w:rPr>
              <w:t>0.033</w:t>
            </w:r>
          </w:p>
        </w:tc>
      </w:tr>
      <w:tr w:rsidR="003F6155" w:rsidRPr="008C53C4" w:rsidTr="00075414">
        <w:tc>
          <w:tcPr>
            <w:tcW w:w="4047" w:type="dxa"/>
            <w:shd w:val="clear" w:color="auto" w:fill="D9D9D9" w:themeFill="background1" w:themeFillShade="D9"/>
            <w:vAlign w:val="center"/>
          </w:tcPr>
          <w:p w:rsidR="003F6155" w:rsidRPr="00177212" w:rsidRDefault="003F6155" w:rsidP="00075414">
            <w:pPr>
              <w:pStyle w:val="TabletextLeft"/>
              <w:rPr>
                <w:b/>
              </w:rPr>
            </w:pPr>
            <w:r w:rsidRPr="00177212">
              <w:rPr>
                <w:b/>
              </w:rPr>
              <w:t xml:space="preserve">Demographics </w:t>
            </w:r>
          </w:p>
        </w:tc>
        <w:tc>
          <w:tcPr>
            <w:tcW w:w="2110" w:type="dxa"/>
            <w:shd w:val="clear" w:color="auto" w:fill="D9D9D9" w:themeFill="background1" w:themeFillShade="D9"/>
            <w:vAlign w:val="center"/>
          </w:tcPr>
          <w:p w:rsidR="003F6155" w:rsidRPr="00177212" w:rsidRDefault="003F6155" w:rsidP="00075414">
            <w:pPr>
              <w:pStyle w:val="TabletextLeft"/>
              <w:jc w:val="center"/>
              <w:rPr>
                <w:b/>
              </w:rPr>
            </w:pPr>
          </w:p>
        </w:tc>
        <w:tc>
          <w:tcPr>
            <w:tcW w:w="2110" w:type="dxa"/>
            <w:shd w:val="clear" w:color="auto" w:fill="D9D9D9" w:themeFill="background1" w:themeFillShade="D9"/>
            <w:vAlign w:val="center"/>
          </w:tcPr>
          <w:p w:rsidR="003F6155" w:rsidRPr="00177212" w:rsidRDefault="003F6155" w:rsidP="00075414">
            <w:pPr>
              <w:pStyle w:val="TabletextLeft"/>
              <w:jc w:val="center"/>
              <w:rPr>
                <w:b/>
              </w:rPr>
            </w:pPr>
          </w:p>
        </w:tc>
      </w:tr>
      <w:tr w:rsidR="003F6155" w:rsidRPr="008C53C4" w:rsidTr="00075414">
        <w:tc>
          <w:tcPr>
            <w:tcW w:w="4047" w:type="dxa"/>
            <w:vAlign w:val="center"/>
          </w:tcPr>
          <w:p w:rsidR="003F6155" w:rsidRPr="008C53C4" w:rsidRDefault="003F6155" w:rsidP="00075414">
            <w:pPr>
              <w:pStyle w:val="TabletextLeft"/>
            </w:pPr>
            <w:r>
              <w:t>Aged 30-34</w:t>
            </w:r>
          </w:p>
        </w:tc>
        <w:tc>
          <w:tcPr>
            <w:tcW w:w="2110" w:type="dxa"/>
            <w:vAlign w:val="bottom"/>
          </w:tcPr>
          <w:p w:rsidR="003F6155" w:rsidRPr="00A728DE" w:rsidRDefault="003F6155" w:rsidP="00075414">
            <w:pPr>
              <w:pStyle w:val="TabletextLeft"/>
              <w:jc w:val="center"/>
            </w:pPr>
            <w:r w:rsidRPr="001061F7">
              <w:rPr>
                <w:color w:val="000000"/>
              </w:rPr>
              <w:t>0.003</w:t>
            </w:r>
          </w:p>
        </w:tc>
        <w:tc>
          <w:tcPr>
            <w:tcW w:w="2110" w:type="dxa"/>
            <w:vAlign w:val="bottom"/>
          </w:tcPr>
          <w:p w:rsidR="003F6155" w:rsidRPr="00A728DE" w:rsidRDefault="003F6155" w:rsidP="00075414">
            <w:pPr>
              <w:pStyle w:val="TabletextLeft"/>
              <w:jc w:val="center"/>
            </w:pPr>
            <w:r w:rsidRPr="001061F7">
              <w:rPr>
                <w:color w:val="000000"/>
              </w:rPr>
              <w:t>-0.001</w:t>
            </w:r>
          </w:p>
        </w:tc>
      </w:tr>
      <w:tr w:rsidR="003F6155" w:rsidRPr="008C53C4" w:rsidTr="00075414">
        <w:tc>
          <w:tcPr>
            <w:tcW w:w="4047" w:type="dxa"/>
            <w:vAlign w:val="center"/>
          </w:tcPr>
          <w:p w:rsidR="003F6155" w:rsidRDefault="003F6155" w:rsidP="00075414">
            <w:pPr>
              <w:pStyle w:val="TabletextLeft"/>
            </w:pPr>
            <w:r>
              <w:t>Aged 35-39</w:t>
            </w:r>
          </w:p>
        </w:tc>
        <w:tc>
          <w:tcPr>
            <w:tcW w:w="2110" w:type="dxa"/>
            <w:vAlign w:val="bottom"/>
          </w:tcPr>
          <w:p w:rsidR="003F6155" w:rsidRPr="00A728DE" w:rsidRDefault="003F6155" w:rsidP="00075414">
            <w:pPr>
              <w:pStyle w:val="TabletextLeft"/>
              <w:jc w:val="center"/>
            </w:pPr>
            <w:r w:rsidRPr="001061F7">
              <w:rPr>
                <w:color w:val="000000"/>
              </w:rPr>
              <w:t>0.010**</w:t>
            </w:r>
          </w:p>
        </w:tc>
        <w:tc>
          <w:tcPr>
            <w:tcW w:w="2110" w:type="dxa"/>
            <w:vAlign w:val="bottom"/>
          </w:tcPr>
          <w:p w:rsidR="003F6155" w:rsidRPr="00A728DE" w:rsidRDefault="003F6155" w:rsidP="00075414">
            <w:pPr>
              <w:pStyle w:val="TabletextLeft"/>
              <w:jc w:val="center"/>
            </w:pPr>
            <w:r w:rsidRPr="001061F7">
              <w:rPr>
                <w:color w:val="000000"/>
              </w:rPr>
              <w:t>0.008</w:t>
            </w:r>
          </w:p>
        </w:tc>
      </w:tr>
      <w:tr w:rsidR="003F6155" w:rsidRPr="008C53C4" w:rsidTr="00075414">
        <w:tc>
          <w:tcPr>
            <w:tcW w:w="4047" w:type="dxa"/>
            <w:vAlign w:val="center"/>
          </w:tcPr>
          <w:p w:rsidR="003F6155" w:rsidRDefault="003F6155" w:rsidP="00075414">
            <w:pPr>
              <w:pStyle w:val="TabletextLeft"/>
            </w:pPr>
            <w:r>
              <w:t>Aged 40-44</w:t>
            </w:r>
          </w:p>
        </w:tc>
        <w:tc>
          <w:tcPr>
            <w:tcW w:w="2110" w:type="dxa"/>
            <w:vAlign w:val="bottom"/>
          </w:tcPr>
          <w:p w:rsidR="003F6155" w:rsidRPr="00A728DE" w:rsidRDefault="003F6155" w:rsidP="00075414">
            <w:pPr>
              <w:pStyle w:val="TabletextLeft"/>
              <w:jc w:val="center"/>
            </w:pPr>
            <w:r w:rsidRPr="001061F7">
              <w:rPr>
                <w:color w:val="000000"/>
              </w:rPr>
              <w:t>0.019***</w:t>
            </w:r>
          </w:p>
        </w:tc>
        <w:tc>
          <w:tcPr>
            <w:tcW w:w="2110" w:type="dxa"/>
            <w:vAlign w:val="bottom"/>
          </w:tcPr>
          <w:p w:rsidR="003F6155" w:rsidRPr="00A728DE" w:rsidRDefault="003F6155" w:rsidP="00075414">
            <w:pPr>
              <w:pStyle w:val="TabletextLeft"/>
              <w:jc w:val="center"/>
            </w:pPr>
            <w:r w:rsidRPr="001061F7">
              <w:rPr>
                <w:color w:val="000000"/>
              </w:rPr>
              <w:t>0.001</w:t>
            </w:r>
          </w:p>
        </w:tc>
      </w:tr>
      <w:tr w:rsidR="003F6155" w:rsidRPr="008C53C4" w:rsidTr="00075414">
        <w:tc>
          <w:tcPr>
            <w:tcW w:w="4047" w:type="dxa"/>
            <w:vAlign w:val="center"/>
          </w:tcPr>
          <w:p w:rsidR="003F6155" w:rsidRDefault="003F6155" w:rsidP="00075414">
            <w:pPr>
              <w:pStyle w:val="TabletextLeft"/>
            </w:pPr>
            <w:r>
              <w:t>Aged 45-49</w:t>
            </w:r>
          </w:p>
        </w:tc>
        <w:tc>
          <w:tcPr>
            <w:tcW w:w="2110" w:type="dxa"/>
            <w:vAlign w:val="bottom"/>
          </w:tcPr>
          <w:p w:rsidR="003F6155" w:rsidRPr="00A728DE" w:rsidRDefault="003F6155" w:rsidP="00075414">
            <w:pPr>
              <w:pStyle w:val="TabletextLeft"/>
              <w:jc w:val="center"/>
            </w:pPr>
            <w:r w:rsidRPr="001061F7">
              <w:rPr>
                <w:color w:val="000000"/>
              </w:rPr>
              <w:t>0.024***</w:t>
            </w:r>
          </w:p>
        </w:tc>
        <w:tc>
          <w:tcPr>
            <w:tcW w:w="2110" w:type="dxa"/>
            <w:vAlign w:val="bottom"/>
          </w:tcPr>
          <w:p w:rsidR="003F6155" w:rsidRPr="00A728DE" w:rsidRDefault="003F6155" w:rsidP="00075414">
            <w:pPr>
              <w:pStyle w:val="TabletextLeft"/>
              <w:jc w:val="center"/>
            </w:pPr>
            <w:r w:rsidRPr="001061F7">
              <w:rPr>
                <w:color w:val="000000"/>
              </w:rPr>
              <w:t>-0.011</w:t>
            </w:r>
          </w:p>
        </w:tc>
      </w:tr>
      <w:tr w:rsidR="003F6155" w:rsidRPr="008C53C4" w:rsidTr="00075414">
        <w:tc>
          <w:tcPr>
            <w:tcW w:w="4047" w:type="dxa"/>
            <w:vAlign w:val="center"/>
          </w:tcPr>
          <w:p w:rsidR="003F6155" w:rsidRDefault="003F6155" w:rsidP="00075414">
            <w:pPr>
              <w:pStyle w:val="TabletextLeft"/>
            </w:pPr>
            <w:r>
              <w:t>Aged 50-54</w:t>
            </w:r>
          </w:p>
        </w:tc>
        <w:tc>
          <w:tcPr>
            <w:tcW w:w="2110" w:type="dxa"/>
            <w:vAlign w:val="bottom"/>
          </w:tcPr>
          <w:p w:rsidR="003F6155" w:rsidRPr="00A728DE" w:rsidRDefault="003F6155" w:rsidP="00075414">
            <w:pPr>
              <w:pStyle w:val="TabletextLeft"/>
              <w:jc w:val="center"/>
            </w:pPr>
            <w:r w:rsidRPr="001061F7">
              <w:rPr>
                <w:color w:val="000000"/>
              </w:rPr>
              <w:t>0.028***</w:t>
            </w:r>
          </w:p>
        </w:tc>
        <w:tc>
          <w:tcPr>
            <w:tcW w:w="2110" w:type="dxa"/>
            <w:vAlign w:val="bottom"/>
          </w:tcPr>
          <w:p w:rsidR="003F6155" w:rsidRPr="00A728DE" w:rsidRDefault="003F6155" w:rsidP="00075414">
            <w:pPr>
              <w:pStyle w:val="TabletextLeft"/>
              <w:jc w:val="center"/>
            </w:pPr>
            <w:r w:rsidRPr="001061F7">
              <w:rPr>
                <w:color w:val="000000"/>
              </w:rPr>
              <w:t>-0.040***</w:t>
            </w:r>
          </w:p>
        </w:tc>
      </w:tr>
      <w:tr w:rsidR="003F6155" w:rsidRPr="008C53C4" w:rsidTr="00075414">
        <w:tc>
          <w:tcPr>
            <w:tcW w:w="4047" w:type="dxa"/>
            <w:vAlign w:val="center"/>
          </w:tcPr>
          <w:p w:rsidR="003F6155" w:rsidRDefault="003F6155" w:rsidP="00075414">
            <w:pPr>
              <w:pStyle w:val="TabletextLeft"/>
            </w:pPr>
            <w:r>
              <w:t>Aged 55-59</w:t>
            </w:r>
          </w:p>
        </w:tc>
        <w:tc>
          <w:tcPr>
            <w:tcW w:w="2110" w:type="dxa"/>
            <w:vAlign w:val="bottom"/>
          </w:tcPr>
          <w:p w:rsidR="003F6155" w:rsidRPr="00A728DE" w:rsidRDefault="003F6155" w:rsidP="00075414">
            <w:pPr>
              <w:pStyle w:val="TabletextLeft"/>
              <w:jc w:val="center"/>
            </w:pPr>
            <w:r w:rsidRPr="001061F7">
              <w:rPr>
                <w:color w:val="000000"/>
              </w:rPr>
              <w:t>0.030***</w:t>
            </w:r>
          </w:p>
        </w:tc>
        <w:tc>
          <w:tcPr>
            <w:tcW w:w="2110" w:type="dxa"/>
            <w:vAlign w:val="bottom"/>
          </w:tcPr>
          <w:p w:rsidR="003F6155" w:rsidRPr="00A728DE" w:rsidRDefault="003F6155" w:rsidP="00075414">
            <w:pPr>
              <w:pStyle w:val="TabletextLeft"/>
              <w:jc w:val="center"/>
            </w:pPr>
            <w:r w:rsidRPr="001061F7">
              <w:rPr>
                <w:color w:val="000000"/>
              </w:rPr>
              <w:t>-0.147***</w:t>
            </w:r>
          </w:p>
        </w:tc>
      </w:tr>
      <w:tr w:rsidR="003F6155" w:rsidRPr="008C53C4" w:rsidTr="00075414">
        <w:tc>
          <w:tcPr>
            <w:tcW w:w="4047" w:type="dxa"/>
            <w:vAlign w:val="center"/>
          </w:tcPr>
          <w:p w:rsidR="003F6155" w:rsidRDefault="003F6155" w:rsidP="00075414">
            <w:pPr>
              <w:pStyle w:val="TabletextLeft"/>
            </w:pPr>
            <w:r>
              <w:t>Aged 60-64</w:t>
            </w:r>
          </w:p>
        </w:tc>
        <w:tc>
          <w:tcPr>
            <w:tcW w:w="2110" w:type="dxa"/>
            <w:vAlign w:val="bottom"/>
          </w:tcPr>
          <w:p w:rsidR="003F6155" w:rsidRPr="00A728DE" w:rsidRDefault="003F6155" w:rsidP="00075414">
            <w:pPr>
              <w:pStyle w:val="TabletextLeft"/>
              <w:jc w:val="center"/>
            </w:pPr>
            <w:r w:rsidRPr="001061F7">
              <w:rPr>
                <w:color w:val="000000"/>
              </w:rPr>
              <w:t>0.030***</w:t>
            </w:r>
          </w:p>
        </w:tc>
        <w:tc>
          <w:tcPr>
            <w:tcW w:w="2110" w:type="dxa"/>
            <w:vAlign w:val="bottom"/>
          </w:tcPr>
          <w:p w:rsidR="003F6155" w:rsidRPr="00A728DE" w:rsidRDefault="003F6155" w:rsidP="00075414">
            <w:pPr>
              <w:pStyle w:val="TabletextLeft"/>
              <w:jc w:val="center"/>
            </w:pPr>
            <w:r w:rsidRPr="001061F7">
              <w:rPr>
                <w:color w:val="000000"/>
              </w:rPr>
              <w:t>-0.348***</w:t>
            </w:r>
          </w:p>
        </w:tc>
      </w:tr>
      <w:tr w:rsidR="003F6155" w:rsidRPr="008C53C4" w:rsidTr="00075414">
        <w:tc>
          <w:tcPr>
            <w:tcW w:w="4047" w:type="dxa"/>
            <w:vAlign w:val="center"/>
          </w:tcPr>
          <w:p w:rsidR="003F6155" w:rsidRPr="008C53C4" w:rsidRDefault="003F6155" w:rsidP="00075414">
            <w:pPr>
              <w:pStyle w:val="TabletextLeft"/>
            </w:pPr>
            <w:r>
              <w:t>Male</w:t>
            </w:r>
          </w:p>
        </w:tc>
        <w:tc>
          <w:tcPr>
            <w:tcW w:w="2110" w:type="dxa"/>
            <w:vAlign w:val="bottom"/>
          </w:tcPr>
          <w:p w:rsidR="003F6155" w:rsidRPr="00A728DE" w:rsidRDefault="003F6155" w:rsidP="00075414">
            <w:pPr>
              <w:pStyle w:val="TabletextLeft"/>
              <w:jc w:val="center"/>
            </w:pPr>
            <w:r w:rsidRPr="001061F7">
              <w:rPr>
                <w:color w:val="000000"/>
              </w:rPr>
              <w:t>0.004</w:t>
            </w:r>
          </w:p>
        </w:tc>
        <w:tc>
          <w:tcPr>
            <w:tcW w:w="2110" w:type="dxa"/>
            <w:vAlign w:val="bottom"/>
          </w:tcPr>
          <w:p w:rsidR="003F6155" w:rsidRPr="00A728DE" w:rsidRDefault="003F6155" w:rsidP="00075414">
            <w:pPr>
              <w:jc w:val="center"/>
              <w:rPr>
                <w:color w:val="000000"/>
                <w:sz w:val="20"/>
              </w:rPr>
            </w:pPr>
            <w:r w:rsidRPr="001061F7">
              <w:rPr>
                <w:color w:val="000000"/>
                <w:sz w:val="20"/>
              </w:rPr>
              <w:t>0.095***</w:t>
            </w:r>
          </w:p>
        </w:tc>
      </w:tr>
      <w:tr w:rsidR="003F6155" w:rsidRPr="008C53C4" w:rsidTr="00075414">
        <w:tc>
          <w:tcPr>
            <w:tcW w:w="4047" w:type="dxa"/>
            <w:vAlign w:val="center"/>
          </w:tcPr>
          <w:p w:rsidR="003F6155" w:rsidRDefault="003F6155" w:rsidP="00075414">
            <w:pPr>
              <w:pStyle w:val="TabletextLeft"/>
            </w:pPr>
            <w:r>
              <w:t>Indigenous</w:t>
            </w:r>
          </w:p>
        </w:tc>
        <w:tc>
          <w:tcPr>
            <w:tcW w:w="2110" w:type="dxa"/>
            <w:vAlign w:val="bottom"/>
          </w:tcPr>
          <w:p w:rsidR="003F6155" w:rsidRPr="00A728DE" w:rsidRDefault="003F6155" w:rsidP="00075414">
            <w:pPr>
              <w:pStyle w:val="TabletextLeft"/>
              <w:jc w:val="center"/>
            </w:pPr>
            <w:r w:rsidRPr="001061F7">
              <w:rPr>
                <w:color w:val="000000"/>
              </w:rPr>
              <w:t>-0.077***</w:t>
            </w:r>
          </w:p>
        </w:tc>
        <w:tc>
          <w:tcPr>
            <w:tcW w:w="2110" w:type="dxa"/>
            <w:vAlign w:val="bottom"/>
          </w:tcPr>
          <w:p w:rsidR="003F6155" w:rsidRPr="00A728DE" w:rsidRDefault="003F6155" w:rsidP="00075414">
            <w:pPr>
              <w:pStyle w:val="TabletextLeft"/>
              <w:jc w:val="center"/>
            </w:pPr>
            <w:r w:rsidRPr="001061F7">
              <w:rPr>
                <w:color w:val="000000"/>
              </w:rPr>
              <w:t>-0.056**</w:t>
            </w:r>
          </w:p>
        </w:tc>
      </w:tr>
      <w:tr w:rsidR="003F6155" w:rsidRPr="008C53C4" w:rsidTr="00075414">
        <w:tc>
          <w:tcPr>
            <w:tcW w:w="4047" w:type="dxa"/>
            <w:vAlign w:val="center"/>
          </w:tcPr>
          <w:p w:rsidR="003F6155" w:rsidRDefault="003F6155" w:rsidP="00075414">
            <w:pPr>
              <w:pStyle w:val="TabletextLeft"/>
            </w:pPr>
            <w:r>
              <w:t>Has long-term health condition</w:t>
            </w:r>
          </w:p>
        </w:tc>
        <w:tc>
          <w:tcPr>
            <w:tcW w:w="2110" w:type="dxa"/>
            <w:vAlign w:val="bottom"/>
          </w:tcPr>
          <w:p w:rsidR="003F6155" w:rsidRPr="00A728DE" w:rsidRDefault="003F6155" w:rsidP="00075414">
            <w:pPr>
              <w:pStyle w:val="TabletextLeft"/>
              <w:jc w:val="center"/>
            </w:pPr>
            <w:r w:rsidRPr="001061F7">
              <w:rPr>
                <w:color w:val="000000"/>
              </w:rPr>
              <w:t>-0.034***</w:t>
            </w:r>
          </w:p>
        </w:tc>
        <w:tc>
          <w:tcPr>
            <w:tcW w:w="2110" w:type="dxa"/>
            <w:vAlign w:val="bottom"/>
          </w:tcPr>
          <w:p w:rsidR="003F6155" w:rsidRPr="00A728DE" w:rsidRDefault="003F6155" w:rsidP="00075414">
            <w:pPr>
              <w:pStyle w:val="TabletextLeft"/>
              <w:jc w:val="center"/>
            </w:pPr>
            <w:r w:rsidRPr="001061F7">
              <w:rPr>
                <w:color w:val="000000"/>
              </w:rPr>
              <w:t>-0.198***</w:t>
            </w:r>
          </w:p>
        </w:tc>
      </w:tr>
      <w:tr w:rsidR="003F6155" w:rsidRPr="008C53C4" w:rsidTr="00075414">
        <w:tc>
          <w:tcPr>
            <w:tcW w:w="4047" w:type="dxa"/>
            <w:vAlign w:val="center"/>
          </w:tcPr>
          <w:p w:rsidR="003F6155" w:rsidRDefault="003F6155" w:rsidP="00075414">
            <w:pPr>
              <w:pStyle w:val="TabletextLeft"/>
            </w:pPr>
            <w:r>
              <w:t>Youngest child aged 0-4</w:t>
            </w:r>
          </w:p>
        </w:tc>
        <w:tc>
          <w:tcPr>
            <w:tcW w:w="2110" w:type="dxa"/>
            <w:vAlign w:val="center"/>
          </w:tcPr>
          <w:p w:rsidR="003F6155" w:rsidRPr="00A728DE" w:rsidRDefault="003F6155" w:rsidP="00075414">
            <w:pPr>
              <w:pStyle w:val="TabletextLeft"/>
              <w:jc w:val="center"/>
            </w:pPr>
          </w:p>
        </w:tc>
        <w:tc>
          <w:tcPr>
            <w:tcW w:w="2110" w:type="dxa"/>
            <w:vAlign w:val="bottom"/>
          </w:tcPr>
          <w:p w:rsidR="003F6155" w:rsidRPr="00A728DE" w:rsidRDefault="003F6155" w:rsidP="00075414">
            <w:pPr>
              <w:jc w:val="center"/>
              <w:rPr>
                <w:color w:val="000000"/>
                <w:sz w:val="20"/>
              </w:rPr>
            </w:pPr>
            <w:r w:rsidRPr="001061F7">
              <w:rPr>
                <w:color w:val="000000"/>
                <w:sz w:val="20"/>
              </w:rPr>
              <w:t>-0.332***</w:t>
            </w:r>
          </w:p>
        </w:tc>
      </w:tr>
      <w:tr w:rsidR="003F6155" w:rsidRPr="008C53C4" w:rsidTr="00075414">
        <w:tc>
          <w:tcPr>
            <w:tcW w:w="4047" w:type="dxa"/>
            <w:vAlign w:val="center"/>
          </w:tcPr>
          <w:p w:rsidR="003F6155" w:rsidRDefault="003F6155" w:rsidP="00075414">
            <w:pPr>
              <w:pStyle w:val="TabletextLeft"/>
            </w:pPr>
            <w:r>
              <w:t>Youngest child aged 5-14</w:t>
            </w:r>
          </w:p>
        </w:tc>
        <w:tc>
          <w:tcPr>
            <w:tcW w:w="2110" w:type="dxa"/>
            <w:vAlign w:val="center"/>
          </w:tcPr>
          <w:p w:rsidR="003F6155" w:rsidRPr="00A728DE" w:rsidRDefault="003F6155" w:rsidP="00075414">
            <w:pPr>
              <w:pStyle w:val="TabletextLeft"/>
              <w:jc w:val="center"/>
            </w:pPr>
          </w:p>
        </w:tc>
        <w:tc>
          <w:tcPr>
            <w:tcW w:w="2110" w:type="dxa"/>
            <w:vAlign w:val="bottom"/>
          </w:tcPr>
          <w:p w:rsidR="003F6155" w:rsidRPr="00A728DE" w:rsidRDefault="003F6155" w:rsidP="00075414">
            <w:pPr>
              <w:jc w:val="center"/>
              <w:rPr>
                <w:color w:val="000000"/>
                <w:sz w:val="20"/>
              </w:rPr>
            </w:pPr>
            <w:r w:rsidRPr="001061F7">
              <w:rPr>
                <w:color w:val="000000"/>
                <w:sz w:val="20"/>
              </w:rPr>
              <w:t>-0.061***</w:t>
            </w:r>
          </w:p>
        </w:tc>
      </w:tr>
      <w:tr w:rsidR="003F6155" w:rsidRPr="008C53C4" w:rsidTr="00075414">
        <w:tc>
          <w:tcPr>
            <w:tcW w:w="4047" w:type="dxa"/>
            <w:vAlign w:val="center"/>
          </w:tcPr>
          <w:p w:rsidR="003F6155" w:rsidRDefault="003F6155" w:rsidP="00075414">
            <w:pPr>
              <w:pStyle w:val="TabletextLeft"/>
            </w:pPr>
            <w:r>
              <w:t>Youngest child aged 0-4 x Male</w:t>
            </w:r>
          </w:p>
        </w:tc>
        <w:tc>
          <w:tcPr>
            <w:tcW w:w="2110" w:type="dxa"/>
            <w:vAlign w:val="center"/>
          </w:tcPr>
          <w:p w:rsidR="003F6155" w:rsidRPr="00A728DE" w:rsidRDefault="003F6155" w:rsidP="00075414">
            <w:pPr>
              <w:pStyle w:val="TabletextLeft"/>
              <w:jc w:val="center"/>
            </w:pPr>
          </w:p>
        </w:tc>
        <w:tc>
          <w:tcPr>
            <w:tcW w:w="2110" w:type="dxa"/>
            <w:vAlign w:val="bottom"/>
          </w:tcPr>
          <w:p w:rsidR="003F6155" w:rsidRPr="00A728DE" w:rsidRDefault="003F6155" w:rsidP="00075414">
            <w:pPr>
              <w:jc w:val="center"/>
              <w:rPr>
                <w:color w:val="000000"/>
                <w:sz w:val="20"/>
              </w:rPr>
            </w:pPr>
            <w:r w:rsidRPr="001061F7">
              <w:rPr>
                <w:color w:val="000000"/>
                <w:sz w:val="20"/>
              </w:rPr>
              <w:t>0.310***</w:t>
            </w:r>
          </w:p>
        </w:tc>
      </w:tr>
      <w:tr w:rsidR="003F6155" w:rsidRPr="008C53C4" w:rsidTr="00075414">
        <w:tc>
          <w:tcPr>
            <w:tcW w:w="4047" w:type="dxa"/>
            <w:vAlign w:val="center"/>
          </w:tcPr>
          <w:p w:rsidR="003F6155" w:rsidRDefault="003F6155" w:rsidP="00075414">
            <w:pPr>
              <w:pStyle w:val="TabletextLeft"/>
            </w:pPr>
            <w:r>
              <w:t>Youngest child aged 5-14 x Male</w:t>
            </w:r>
          </w:p>
        </w:tc>
        <w:tc>
          <w:tcPr>
            <w:tcW w:w="2110" w:type="dxa"/>
            <w:vAlign w:val="center"/>
          </w:tcPr>
          <w:p w:rsidR="003F6155" w:rsidRPr="00A728DE" w:rsidRDefault="003F6155" w:rsidP="00075414">
            <w:pPr>
              <w:pStyle w:val="TabletextLeft"/>
              <w:jc w:val="center"/>
            </w:pPr>
          </w:p>
        </w:tc>
        <w:tc>
          <w:tcPr>
            <w:tcW w:w="2110" w:type="dxa"/>
            <w:vAlign w:val="bottom"/>
          </w:tcPr>
          <w:p w:rsidR="003F6155" w:rsidRPr="00A728DE" w:rsidRDefault="003F6155" w:rsidP="00075414">
            <w:pPr>
              <w:jc w:val="center"/>
              <w:rPr>
                <w:color w:val="000000"/>
                <w:sz w:val="20"/>
              </w:rPr>
            </w:pPr>
            <w:r w:rsidRPr="001061F7">
              <w:rPr>
                <w:color w:val="000000"/>
                <w:sz w:val="20"/>
              </w:rPr>
              <w:t>0.070***</w:t>
            </w:r>
          </w:p>
        </w:tc>
      </w:tr>
      <w:tr w:rsidR="003F6155" w:rsidRPr="008C53C4" w:rsidTr="00075414">
        <w:tc>
          <w:tcPr>
            <w:tcW w:w="4047" w:type="dxa"/>
            <w:shd w:val="clear" w:color="auto" w:fill="D9D9D9" w:themeFill="background1" w:themeFillShade="D9"/>
            <w:vAlign w:val="center"/>
          </w:tcPr>
          <w:p w:rsidR="003F6155" w:rsidRPr="00177212" w:rsidRDefault="003F6155" w:rsidP="00075414">
            <w:pPr>
              <w:pStyle w:val="TabletextLeft"/>
              <w:rPr>
                <w:b/>
              </w:rPr>
            </w:pPr>
            <w:r w:rsidRPr="00177212">
              <w:rPr>
                <w:b/>
              </w:rPr>
              <w:t>Cognitive ability</w:t>
            </w:r>
          </w:p>
        </w:tc>
        <w:tc>
          <w:tcPr>
            <w:tcW w:w="2110" w:type="dxa"/>
            <w:shd w:val="clear" w:color="auto" w:fill="D9D9D9" w:themeFill="background1" w:themeFillShade="D9"/>
            <w:vAlign w:val="center"/>
          </w:tcPr>
          <w:p w:rsidR="003F6155" w:rsidRPr="00A728DE" w:rsidRDefault="003F6155" w:rsidP="00075414">
            <w:pPr>
              <w:pStyle w:val="TabletextLeft"/>
              <w:jc w:val="center"/>
              <w:rPr>
                <w:b/>
              </w:rPr>
            </w:pPr>
          </w:p>
        </w:tc>
        <w:tc>
          <w:tcPr>
            <w:tcW w:w="2110" w:type="dxa"/>
            <w:shd w:val="clear" w:color="auto" w:fill="D9D9D9" w:themeFill="background1" w:themeFillShade="D9"/>
            <w:vAlign w:val="center"/>
          </w:tcPr>
          <w:p w:rsidR="003F6155" w:rsidRPr="00A728DE" w:rsidRDefault="003F6155" w:rsidP="00075414">
            <w:pPr>
              <w:pStyle w:val="TabletextLeft"/>
              <w:jc w:val="center"/>
              <w:rPr>
                <w:b/>
              </w:rPr>
            </w:pPr>
          </w:p>
        </w:tc>
      </w:tr>
      <w:tr w:rsidR="003F6155" w:rsidRPr="008C53C4" w:rsidTr="00075414">
        <w:tc>
          <w:tcPr>
            <w:tcW w:w="4047" w:type="dxa"/>
            <w:vAlign w:val="center"/>
          </w:tcPr>
          <w:p w:rsidR="003F6155" w:rsidRPr="008C53C4" w:rsidRDefault="003F6155" w:rsidP="00075414">
            <w:pPr>
              <w:pStyle w:val="TabletextLeft"/>
            </w:pPr>
            <w:r>
              <w:t>Backward Digits Span (BDS)</w:t>
            </w:r>
          </w:p>
        </w:tc>
        <w:tc>
          <w:tcPr>
            <w:tcW w:w="2110" w:type="dxa"/>
            <w:vAlign w:val="center"/>
          </w:tcPr>
          <w:p w:rsidR="003F6155" w:rsidRPr="00A728DE" w:rsidRDefault="003F6155" w:rsidP="00075414">
            <w:pPr>
              <w:pStyle w:val="TabletextLeft"/>
              <w:jc w:val="center"/>
            </w:pPr>
            <w:r w:rsidRPr="001061F7">
              <w:rPr>
                <w:color w:val="000000"/>
              </w:rPr>
              <w:t>0.000</w:t>
            </w:r>
          </w:p>
        </w:tc>
        <w:tc>
          <w:tcPr>
            <w:tcW w:w="2110" w:type="dxa"/>
            <w:vAlign w:val="center"/>
          </w:tcPr>
          <w:p w:rsidR="003F6155" w:rsidRPr="00A728DE" w:rsidRDefault="003F6155" w:rsidP="00075414">
            <w:pPr>
              <w:pStyle w:val="TabletextLeft"/>
              <w:jc w:val="center"/>
            </w:pPr>
            <w:r w:rsidRPr="001061F7">
              <w:rPr>
                <w:color w:val="000000"/>
              </w:rPr>
              <w:t>-0.001</w:t>
            </w:r>
          </w:p>
        </w:tc>
      </w:tr>
      <w:tr w:rsidR="003F6155" w:rsidRPr="008C53C4" w:rsidTr="00075414">
        <w:trPr>
          <w:trHeight w:val="95"/>
        </w:trPr>
        <w:tc>
          <w:tcPr>
            <w:tcW w:w="4047" w:type="dxa"/>
            <w:vAlign w:val="center"/>
          </w:tcPr>
          <w:p w:rsidR="003F6155" w:rsidRPr="008C53C4" w:rsidRDefault="003F6155" w:rsidP="00075414">
            <w:pPr>
              <w:pStyle w:val="TabletextLeft"/>
            </w:pPr>
            <w:r>
              <w:t>Symbol Digits Modalities (SDM)</w:t>
            </w:r>
          </w:p>
        </w:tc>
        <w:tc>
          <w:tcPr>
            <w:tcW w:w="2110" w:type="dxa"/>
            <w:vAlign w:val="center"/>
          </w:tcPr>
          <w:p w:rsidR="003F6155" w:rsidRPr="00A728DE" w:rsidRDefault="003F6155" w:rsidP="00075414">
            <w:pPr>
              <w:pStyle w:val="TabletextLeft"/>
              <w:jc w:val="center"/>
            </w:pPr>
            <w:r w:rsidRPr="001061F7">
              <w:rPr>
                <w:color w:val="000000"/>
              </w:rPr>
              <w:t>0.001***</w:t>
            </w:r>
          </w:p>
        </w:tc>
        <w:tc>
          <w:tcPr>
            <w:tcW w:w="2110" w:type="dxa"/>
            <w:vAlign w:val="center"/>
          </w:tcPr>
          <w:p w:rsidR="003F6155" w:rsidRPr="00A728DE" w:rsidRDefault="003F6155" w:rsidP="00075414">
            <w:pPr>
              <w:pStyle w:val="TabletextLeft"/>
              <w:jc w:val="center"/>
            </w:pPr>
            <w:r w:rsidRPr="001061F7">
              <w:rPr>
                <w:color w:val="000000"/>
              </w:rPr>
              <w:t>0.004***</w:t>
            </w:r>
          </w:p>
        </w:tc>
      </w:tr>
      <w:tr w:rsidR="003F6155" w:rsidRPr="008C53C4" w:rsidTr="00075414">
        <w:tc>
          <w:tcPr>
            <w:tcW w:w="4047" w:type="dxa"/>
            <w:vAlign w:val="center"/>
          </w:tcPr>
          <w:p w:rsidR="003F6155" w:rsidRPr="008C53C4" w:rsidRDefault="003F6155" w:rsidP="00075414">
            <w:pPr>
              <w:pStyle w:val="TabletextLeft"/>
            </w:pPr>
            <w:r>
              <w:t xml:space="preserve">National Adult Reading Test (NART-25) </w:t>
            </w:r>
          </w:p>
        </w:tc>
        <w:tc>
          <w:tcPr>
            <w:tcW w:w="2110" w:type="dxa"/>
            <w:vAlign w:val="center"/>
          </w:tcPr>
          <w:p w:rsidR="003F6155" w:rsidRPr="00A728DE" w:rsidRDefault="003F6155" w:rsidP="00075414">
            <w:pPr>
              <w:pStyle w:val="TabletextLeft"/>
              <w:jc w:val="center"/>
            </w:pPr>
            <w:r w:rsidRPr="001061F7">
              <w:rPr>
                <w:color w:val="000000"/>
              </w:rPr>
              <w:t>0.001***</w:t>
            </w:r>
          </w:p>
        </w:tc>
        <w:tc>
          <w:tcPr>
            <w:tcW w:w="2110" w:type="dxa"/>
            <w:vAlign w:val="center"/>
          </w:tcPr>
          <w:p w:rsidR="003F6155" w:rsidRPr="00A728DE" w:rsidRDefault="003F6155" w:rsidP="00075414">
            <w:pPr>
              <w:pStyle w:val="TabletextLeft"/>
              <w:jc w:val="center"/>
            </w:pPr>
            <w:r w:rsidRPr="001061F7">
              <w:rPr>
                <w:color w:val="000000"/>
              </w:rPr>
              <w:t>0.003***</w:t>
            </w:r>
          </w:p>
        </w:tc>
      </w:tr>
    </w:tbl>
    <w:p w:rsidR="003F6155" w:rsidRDefault="003F6155" w:rsidP="003F6155">
      <w:pPr>
        <w:pStyle w:val="Source"/>
        <w:rPr>
          <w:lang w:eastAsia="en-AU"/>
        </w:rPr>
      </w:pPr>
      <w:r>
        <w:rPr>
          <w:lang w:eastAsia="en-AU"/>
        </w:rPr>
        <w:t xml:space="preserve">Source: Deloitte Access Economics. Note: *** represents significance at the 1% level; ** at the 5% level; and * at the 10% level. Base categories are: no post-school qualification, FoE Arts, and Aged 25-29. Coefficient estimates for: year fixed effects, state, remoteness area, household family structure are not reported for brevity.  </w:t>
      </w:r>
    </w:p>
    <w:p w:rsidR="003F6155" w:rsidRPr="001061F7" w:rsidRDefault="003F6155" w:rsidP="003F6155">
      <w:pPr>
        <w:pStyle w:val="BodyText"/>
      </w:pPr>
      <w:r w:rsidRPr="001061F7">
        <w:t>The</w:t>
      </w:r>
      <w:r>
        <w:t xml:space="preserve"> key result from this analysis is </w:t>
      </w:r>
      <w:r w:rsidR="00381C85">
        <w:t xml:space="preserve">individuals with </w:t>
      </w:r>
      <w:r>
        <w:t xml:space="preserve">post-school qualifications </w:t>
      </w:r>
      <w:r w:rsidR="00381C85">
        <w:t xml:space="preserve">have higher </w:t>
      </w:r>
      <w:r>
        <w:t>likelihood</w:t>
      </w:r>
      <w:r w:rsidR="00381C85">
        <w:t>s</w:t>
      </w:r>
      <w:r>
        <w:t xml:space="preserve"> of participation in the labour force, but not necessarily likelihood</w:t>
      </w:r>
      <w:r w:rsidR="00381C85">
        <w:t>s</w:t>
      </w:r>
      <w:r>
        <w:t xml:space="preserve"> of employment</w:t>
      </w:r>
      <w:r w:rsidR="00381C85">
        <w:t xml:space="preserve"> given that participation</w:t>
      </w:r>
      <w:r>
        <w:t>. There is a positive impact from holding a qualification in most fields of education (relative to Arts) on the likelihood</w:t>
      </w:r>
      <w:r w:rsidR="00381C85">
        <w:t>s</w:t>
      </w:r>
      <w:r>
        <w:t xml:space="preserve"> of labour force participation and employment. </w:t>
      </w:r>
    </w:p>
    <w:p w:rsidR="003F6155" w:rsidRDefault="003F6155" w:rsidP="003F6155">
      <w:pPr>
        <w:pStyle w:val="HeadingB"/>
      </w:pPr>
      <w:r>
        <w:lastRenderedPageBreak/>
        <w:t>Labour market spillovers from higher education</w:t>
      </w:r>
    </w:p>
    <w:p w:rsidR="003F6155" w:rsidRDefault="003F6155" w:rsidP="003F6155">
      <w:pPr>
        <w:pStyle w:val="HeadingC"/>
      </w:pPr>
      <w:r>
        <w:t xml:space="preserve">Method </w:t>
      </w:r>
    </w:p>
    <w:p w:rsidR="003F6155" w:rsidRPr="0092684D" w:rsidRDefault="003F6155" w:rsidP="003F6155">
      <w:pPr>
        <w:pStyle w:val="BoldPara"/>
        <w:rPr>
          <w:rStyle w:val="Boldword"/>
          <w:color w:val="auto"/>
        </w:rPr>
      </w:pPr>
      <w:r>
        <w:rPr>
          <w:rStyle w:val="Boldword"/>
          <w:color w:val="auto"/>
        </w:rPr>
        <w:t xml:space="preserve">The purpose of this stream of econometric analysis is to </w:t>
      </w:r>
      <w:r w:rsidR="00581C66">
        <w:rPr>
          <w:rStyle w:val="Boldword"/>
          <w:color w:val="auto"/>
        </w:rPr>
        <w:t xml:space="preserve">gain an </w:t>
      </w:r>
      <w:r>
        <w:rPr>
          <w:rStyle w:val="Boldword"/>
          <w:color w:val="auto"/>
        </w:rPr>
        <w:t>understand</w:t>
      </w:r>
      <w:r w:rsidR="00581C66">
        <w:rPr>
          <w:rStyle w:val="Boldword"/>
          <w:color w:val="auto"/>
        </w:rPr>
        <w:t>ing</w:t>
      </w:r>
      <w:r>
        <w:rPr>
          <w:rStyle w:val="Boldword"/>
          <w:color w:val="auto"/>
        </w:rPr>
        <w:t xml:space="preserve"> </w:t>
      </w:r>
      <w:r w:rsidR="00581C66">
        <w:rPr>
          <w:rStyle w:val="Boldword"/>
          <w:color w:val="auto"/>
        </w:rPr>
        <w:t>of</w:t>
      </w:r>
      <w:r>
        <w:rPr>
          <w:rStyle w:val="Boldword"/>
          <w:color w:val="auto"/>
        </w:rPr>
        <w:t xml:space="preserve"> the labour market spillovers from higher education and the relative scarcity and productivity effects of higher education. </w:t>
      </w:r>
    </w:p>
    <w:p w:rsidR="003F6155" w:rsidRDefault="003F6155" w:rsidP="003F6155">
      <w:pPr>
        <w:pStyle w:val="BodyText"/>
      </w:pPr>
      <w:r>
        <w:t xml:space="preserve">This </w:t>
      </w:r>
      <w:r w:rsidR="00581C66">
        <w:t>specification is a</w:t>
      </w:r>
      <w:r>
        <w:t xml:space="preserve"> linear regression model, </w:t>
      </w:r>
      <w:r w:rsidR="00581C66">
        <w:t>with data obtained by</w:t>
      </w:r>
      <w:r>
        <w:t xml:space="preserve"> pooling across the waves of HILDA data (adapted from Clarke &amp; Skuterud, 2013).  </w:t>
      </w:r>
      <w:r w:rsidRPr="001357EC">
        <w:t xml:space="preserve">The </w:t>
      </w:r>
      <w:r>
        <w:t xml:space="preserve">functional form of the equation is shown below: </w:t>
      </w:r>
    </w:p>
    <w:p w:rsidR="003F6155" w:rsidRPr="00AE4DA1" w:rsidRDefault="009F06EE" w:rsidP="003F6155">
      <w:pPr>
        <w:pStyle w:val="BodyText"/>
        <w:ind w:left="720"/>
      </w:pPr>
      <m:oMathPara>
        <m:oMath>
          <m:func>
            <m:funcPr>
              <m:ctrlPr>
                <w:rPr>
                  <w:rFonts w:ascii="Cambria Math" w:hAnsi="Cambria Math"/>
                  <w:i/>
                  <w:iCs/>
                </w:rPr>
              </m:ctrlPr>
            </m:funcPr>
            <m:fName>
              <m:sSub>
                <m:sSubPr>
                  <m:ctrlPr>
                    <w:rPr>
                      <w:rFonts w:ascii="Cambria Math" w:hAnsi="Cambria Math"/>
                      <w:i/>
                      <w:iCs/>
                    </w:rPr>
                  </m:ctrlPr>
                </m:sSubPr>
                <m:e>
                  <m:r>
                    <m:rPr>
                      <m:sty m:val="p"/>
                    </m:rPr>
                    <w:rPr>
                      <w:rFonts w:ascii="Cambria Math" w:hAnsi="Cambria Math"/>
                    </w:rPr>
                    <m:t>log</m:t>
                  </m:r>
                  <m:ctrlPr>
                    <w:rPr>
                      <w:rFonts w:ascii="Cambria Math" w:hAnsi="Cambria Math"/>
                    </w:rPr>
                  </m:ctrlPr>
                </m:e>
                <m:sub>
                  <m:r>
                    <w:rPr>
                      <w:rFonts w:ascii="Cambria Math" w:hAnsi="Cambria Math"/>
                    </w:rPr>
                    <m:t>e</m:t>
                  </m:r>
                  <m:ctrlPr>
                    <w:rPr>
                      <w:rFonts w:ascii="Cambria Math" w:hAnsi="Cambria Math"/>
                    </w:rPr>
                  </m:ctrlPr>
                </m:sub>
              </m:sSub>
              <m:ctrlPr>
                <w:rPr>
                  <w:rFonts w:ascii="Cambria Math" w:hAnsi="Cambria Math"/>
                  <w:i/>
                </w:rPr>
              </m:ctrlPr>
            </m:fName>
            <m:e>
              <m:sSub>
                <m:sSubPr>
                  <m:ctrlPr>
                    <w:rPr>
                      <w:rFonts w:ascii="Cambria Math" w:hAnsi="Cambria Math"/>
                      <w:i/>
                      <w:iCs/>
                    </w:rPr>
                  </m:ctrlPr>
                </m:sSubPr>
                <m:e>
                  <m:r>
                    <w:rPr>
                      <w:rFonts w:ascii="Cambria Math" w:hAnsi="Cambria Math"/>
                    </w:rPr>
                    <m:t>w</m:t>
                  </m:r>
                </m:e>
                <m:sub>
                  <m:r>
                    <w:rPr>
                      <w:rFonts w:ascii="Cambria Math" w:hAnsi="Cambria Math"/>
                    </w:rPr>
                    <m:t>it</m:t>
                  </m:r>
                </m:sub>
              </m:sSub>
            </m:e>
          </m:func>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0</m:t>
              </m:r>
            </m:sub>
          </m:sSub>
          <m:r>
            <w:rPr>
              <w:rFonts w:ascii="Cambria Math" w:hAnsi="Cambria Math"/>
            </w:rPr>
            <m:t>+</m:t>
          </m:r>
          <m:sSub>
            <m:sSubPr>
              <m:ctrlPr>
                <w:rPr>
                  <w:rFonts w:ascii="Cambria Math" w:hAnsi="Cambria Math"/>
                  <w:b/>
                  <w:i/>
                </w:rPr>
              </m:ctrlPr>
            </m:sSubPr>
            <m:e>
              <m:r>
                <m:rPr>
                  <m:sty m:val="bi"/>
                </m:rPr>
                <w:rPr>
                  <w:rFonts w:ascii="Cambria Math" w:hAnsi="Cambria Math"/>
                </w:rPr>
                <m:t>δ</m:t>
              </m:r>
            </m:e>
            <m:sub>
              <m:r>
                <m:rPr>
                  <m:sty m:val="bi"/>
                </m:rPr>
                <w:rPr>
                  <w:rFonts w:ascii="Cambria Math" w:hAnsi="Cambria Math"/>
                </w:rPr>
                <m:t>1</m:t>
              </m:r>
            </m:sub>
          </m:sSub>
          <m:sSub>
            <m:sSubPr>
              <m:ctrlPr>
                <w:rPr>
                  <w:rFonts w:ascii="Cambria Math" w:hAnsi="Cambria Math"/>
                  <w:b/>
                  <w:i/>
                </w:rPr>
              </m:ctrlPr>
            </m:sSubPr>
            <m:e>
              <m:r>
                <m:rPr>
                  <m:sty m:val="bi"/>
                </m:rPr>
                <w:rPr>
                  <w:rFonts w:ascii="Cambria Math" w:hAnsi="Cambria Math"/>
                </w:rPr>
                <m:t>E</m:t>
              </m:r>
            </m:e>
            <m:sub>
              <m:r>
                <m:rPr>
                  <m:sty m:val="bi"/>
                </m:rPr>
                <w:rPr>
                  <w:rFonts w:ascii="Cambria Math" w:hAnsi="Cambria Math"/>
                </w:rPr>
                <m:t>it</m:t>
              </m:r>
            </m:sub>
          </m:sSub>
          <m:r>
            <w:rPr>
              <w:rFonts w:ascii="Cambria Math" w:hAnsi="Cambria Math"/>
            </w:rPr>
            <m:t>+</m:t>
          </m:r>
          <m:sSub>
            <m:sSubPr>
              <m:ctrlPr>
                <w:rPr>
                  <w:rFonts w:ascii="Cambria Math" w:hAnsi="Cambria Math"/>
                  <w:b/>
                  <w:i/>
                </w:rPr>
              </m:ctrlPr>
            </m:sSubPr>
            <m:e>
              <m:r>
                <m:rPr>
                  <m:sty m:val="bi"/>
                </m:rPr>
                <w:rPr>
                  <w:rFonts w:ascii="Cambria Math" w:hAnsi="Cambria Math"/>
                </w:rPr>
                <m:t>δ</m:t>
              </m:r>
            </m:e>
            <m:sub>
              <m:r>
                <m:rPr>
                  <m:sty m:val="bi"/>
                </m:rPr>
                <w:rPr>
                  <w:rFonts w:ascii="Cambria Math" w:hAnsi="Cambria Math"/>
                </w:rPr>
                <m:t>2</m:t>
              </m:r>
            </m:sub>
          </m:sSub>
          <m:sSub>
            <m:sSubPr>
              <m:ctrlPr>
                <w:rPr>
                  <w:rFonts w:ascii="Cambria Math" w:hAnsi="Cambria Math"/>
                  <w:b/>
                  <w:i/>
                  <w:iCs/>
                </w:rPr>
              </m:ctrlPr>
            </m:sSubPr>
            <m:e>
              <m:r>
                <m:rPr>
                  <m:sty m:val="bi"/>
                </m:rPr>
                <w:rPr>
                  <w:rFonts w:ascii="Cambria Math" w:hAnsi="Cambria Math"/>
                </w:rPr>
                <m:t>E</m:t>
              </m:r>
            </m:e>
            <m:sub>
              <m:r>
                <m:rPr>
                  <m:sty m:val="bi"/>
                </m:rPr>
                <w:rPr>
                  <w:rFonts w:ascii="Cambria Math" w:hAnsi="Cambria Math"/>
                </w:rPr>
                <m:t>it</m:t>
              </m:r>
            </m:sub>
          </m:sSub>
          <m:sSub>
            <m:sSubPr>
              <m:ctrlPr>
                <w:rPr>
                  <w:rFonts w:ascii="Cambria Math" w:hAnsi="Cambria Math"/>
                  <w:b/>
                  <w:i/>
                  <w:iCs/>
                </w:rPr>
              </m:ctrlPr>
            </m:sSubPr>
            <m:e>
              <m:acc>
                <m:accPr>
                  <m:chr m:val="̅"/>
                  <m:ctrlPr>
                    <w:rPr>
                      <w:rFonts w:ascii="Cambria Math" w:hAnsi="Cambria Math"/>
                      <w:b/>
                      <w:i/>
                    </w:rPr>
                  </m:ctrlPr>
                </m:accPr>
                <m:e>
                  <m:r>
                    <m:rPr>
                      <m:sty m:val="bi"/>
                    </m:rPr>
                    <w:rPr>
                      <w:rFonts w:ascii="Cambria Math" w:hAnsi="Cambria Math"/>
                    </w:rPr>
                    <m:t>E</m:t>
                  </m:r>
                </m:e>
              </m:acc>
            </m:e>
            <m:sub>
              <m:r>
                <m:rPr>
                  <m:sty m:val="bi"/>
                </m:rPr>
                <w:rPr>
                  <w:rFonts w:ascii="Cambria Math" w:hAnsi="Cambria Math"/>
                </w:rPr>
                <m:t>rqt</m:t>
              </m:r>
            </m:sub>
          </m:sSub>
          <m:r>
            <w:rPr>
              <w:rFonts w:ascii="Cambria Math" w:hAnsi="Cambria Math"/>
            </w:rPr>
            <m:t>+</m:t>
          </m:r>
          <m:sSub>
            <m:sSubPr>
              <m:ctrlPr>
                <w:rPr>
                  <w:rFonts w:ascii="Cambria Math" w:hAnsi="Cambria Math"/>
                  <w:b/>
                  <w:i/>
                </w:rPr>
              </m:ctrlPr>
            </m:sSubPr>
            <m:e>
              <m:r>
                <m:rPr>
                  <m:sty m:val="bi"/>
                </m:rPr>
                <w:rPr>
                  <w:rFonts w:ascii="Cambria Math" w:hAnsi="Cambria Math"/>
                </w:rPr>
                <m:t>δ</m:t>
              </m:r>
            </m:e>
            <m:sub>
              <m:r>
                <m:rPr>
                  <m:sty m:val="bi"/>
                </m:rPr>
                <w:rPr>
                  <w:rFonts w:ascii="Cambria Math" w:hAnsi="Cambria Math"/>
                </w:rPr>
                <m:t>3</m:t>
              </m:r>
            </m:sub>
          </m:sSub>
          <m:sSub>
            <m:sSubPr>
              <m:ctrlPr>
                <w:rPr>
                  <w:rFonts w:ascii="Cambria Math" w:hAnsi="Cambria Math"/>
                  <w:b/>
                  <w:i/>
                  <w:iCs/>
                </w:rPr>
              </m:ctrlPr>
            </m:sSubPr>
            <m:e>
              <m:r>
                <m:rPr>
                  <m:sty m:val="bi"/>
                </m:rPr>
                <w:rPr>
                  <w:rFonts w:ascii="Cambria Math" w:hAnsi="Cambria Math"/>
                </w:rPr>
                <m:t>X</m:t>
              </m:r>
            </m:e>
            <m:sub>
              <m:r>
                <m:rPr>
                  <m:sty m:val="bi"/>
                </m:rPr>
                <w:rPr>
                  <w:rFonts w:ascii="Cambria Math" w:hAnsi="Cambria Math"/>
                </w:rPr>
                <m:t>rt</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δ</m:t>
              </m:r>
            </m:e>
            <m:sub>
              <m:r>
                <m:rPr>
                  <m:sty m:val="bi"/>
                </m:rPr>
                <w:rPr>
                  <w:rFonts w:ascii="Cambria Math" w:hAnsi="Cambria Math"/>
                </w:rPr>
                <m:t>4</m:t>
              </m:r>
            </m:sub>
          </m:sSub>
          <m:r>
            <w:rPr>
              <w:rFonts w:ascii="Cambria Math" w:hAnsi="Cambria Math"/>
            </w:rPr>
            <m:t>β</m:t>
          </m:r>
          <m:sSub>
            <m:sSubPr>
              <m:ctrlPr>
                <w:rPr>
                  <w:rFonts w:ascii="Cambria Math" w:hAnsi="Cambria Math"/>
                  <w:i/>
                </w:rPr>
              </m:ctrlPr>
            </m:sSubPr>
            <m:e>
              <m:r>
                <w:rPr>
                  <w:rFonts w:ascii="Cambria Math" w:hAnsi="Cambria Math"/>
                </w:rPr>
                <m:t>E</m:t>
              </m:r>
            </m:e>
            <m:sub>
              <m:r>
                <w:rPr>
                  <w:rFonts w:ascii="Cambria Math" w:hAnsi="Cambria Math"/>
                </w:rPr>
                <m:t>it</m:t>
              </m:r>
            </m:sub>
          </m:sSub>
          <m:r>
            <w:rPr>
              <w:rFonts w:ascii="Cambria Math" w:hAnsi="Cambria Math"/>
            </w:rPr>
            <m:t>+β</m:t>
          </m:r>
          <m:sSub>
            <m:sSubPr>
              <m:ctrlPr>
                <w:rPr>
                  <w:rFonts w:ascii="Cambria Math" w:hAnsi="Cambria Math"/>
                  <w:i/>
                  <w:iCs/>
                </w:rPr>
              </m:ctrlPr>
            </m:sSubPr>
            <m:e>
              <m:r>
                <w:rPr>
                  <w:rFonts w:ascii="Cambria Math" w:hAnsi="Cambria Math"/>
                </w:rPr>
                <m:t>E</m:t>
              </m:r>
            </m:e>
            <m:sub>
              <m:r>
                <w:rPr>
                  <w:rFonts w:ascii="Cambria Math" w:hAnsi="Cambria Math"/>
                </w:rPr>
                <m:t>it</m:t>
              </m:r>
            </m:sub>
          </m:sSub>
          <m:sSub>
            <m:sSubPr>
              <m:ctrlPr>
                <w:rPr>
                  <w:rFonts w:ascii="Cambria Math" w:hAnsi="Cambria Math"/>
                  <w:i/>
                  <w:iCs/>
                </w:rPr>
              </m:ctrlPr>
            </m:sSubPr>
            <m:e>
              <m:acc>
                <m:accPr>
                  <m:chr m:val="̅"/>
                  <m:ctrlPr>
                    <w:rPr>
                      <w:rFonts w:ascii="Cambria Math" w:hAnsi="Cambria Math"/>
                      <w:i/>
                    </w:rPr>
                  </m:ctrlPr>
                </m:accPr>
                <m:e>
                  <m:r>
                    <w:rPr>
                      <w:rFonts w:ascii="Cambria Math" w:hAnsi="Cambria Math"/>
                    </w:rPr>
                    <m:t>E</m:t>
                  </m:r>
                </m:e>
              </m:acc>
            </m:e>
            <m:sub>
              <m:r>
                <w:rPr>
                  <w:rFonts w:ascii="Cambria Math" w:hAnsi="Cambria Math"/>
                </w:rPr>
                <m:t>rt</m:t>
              </m:r>
            </m:sub>
          </m:sSub>
          <m:r>
            <w:rPr>
              <w:rFonts w:ascii="Cambria Math" w:hAnsi="Cambria Math"/>
            </w:rPr>
            <m:t>+β</m:t>
          </m:r>
          <m:sSub>
            <m:sSubPr>
              <m:ctrlPr>
                <w:rPr>
                  <w:rFonts w:ascii="Cambria Math" w:hAnsi="Cambria Math"/>
                  <w:b/>
                  <w:i/>
                  <w:iCs/>
                </w:rPr>
              </m:ctrlPr>
            </m:sSubPr>
            <m:e>
              <m:r>
                <m:rPr>
                  <m:sty m:val="bi"/>
                </m:rPr>
                <w:rPr>
                  <w:rFonts w:ascii="Cambria Math" w:hAnsi="Cambria Math"/>
                </w:rPr>
                <m:t>X</m:t>
              </m:r>
            </m:e>
            <m:sub>
              <m:r>
                <m:rPr>
                  <m:sty m:val="bi"/>
                </m:rPr>
                <w:rPr>
                  <w:rFonts w:ascii="Cambria Math" w:hAnsi="Cambria Math"/>
                </w:rPr>
                <m:t>rt</m:t>
              </m:r>
            </m:sub>
          </m:sSub>
          <m:r>
            <m:rPr>
              <m:sty m:val="bi"/>
            </m:rPr>
            <w:rPr>
              <w:rFonts w:ascii="Cambria Math" w:hAnsi="Cambria Math"/>
            </w:rPr>
            <m:t>+</m:t>
          </m:r>
          <m:sSub>
            <m:sSubPr>
              <m:ctrlPr>
                <w:rPr>
                  <w:rFonts w:ascii="Cambria Math" w:hAnsi="Cambria Math"/>
                  <w:b/>
                  <w:i/>
                  <w:iCs/>
                </w:rPr>
              </m:ctrlPr>
            </m:sSubPr>
            <m:e>
              <m:r>
                <m:rPr>
                  <m:sty m:val="bi"/>
                </m:rPr>
                <w:rPr>
                  <w:rFonts w:ascii="Cambria Math" w:hAnsi="Cambria Math"/>
                </w:rPr>
                <m:t>Z</m:t>
              </m:r>
            </m:e>
            <m:sub>
              <m:r>
                <m:rPr>
                  <m:sty m:val="bi"/>
                </m:rPr>
                <w:rPr>
                  <w:rFonts w:ascii="Cambria Math" w:hAnsi="Cambria Math"/>
                </w:rPr>
                <m:t>it</m:t>
              </m:r>
            </m:sub>
          </m:sSub>
          <m:r>
            <w:rPr>
              <w:rFonts w:ascii="Cambria Math" w:hAnsi="Cambria Math"/>
            </w:rPr>
            <m:t>+</m:t>
          </m:r>
          <m:sSub>
            <m:sSubPr>
              <m:ctrlPr>
                <w:rPr>
                  <w:rFonts w:ascii="Cambria Math" w:hAnsi="Cambria Math" w:cs="Arial"/>
                  <w:i/>
                  <w:lang w:eastAsia="en-AU"/>
                </w:rPr>
              </m:ctrlPr>
            </m:sSubPr>
            <m:e>
              <m:r>
                <w:rPr>
                  <w:rFonts w:ascii="Cambria Math" w:hAnsi="Cambria Math" w:cs="Arial"/>
                  <w:lang w:eastAsia="en-AU"/>
                </w:rPr>
                <m:t>γ</m:t>
              </m:r>
            </m:e>
            <m:sub>
              <m:r>
                <w:rPr>
                  <w:rFonts w:ascii="Cambria Math" w:hAnsi="Cambria Math" w:cs="Arial"/>
                  <w:lang w:eastAsia="en-AU"/>
                </w:rPr>
                <m:t>t</m:t>
              </m:r>
            </m:sub>
          </m:sSub>
          <m:r>
            <w:rPr>
              <w:rFonts w:ascii="Cambria Math" w:hAnsi="Cambria Math" w:cs="Arial"/>
              <w:lang w:eastAsia="en-AU"/>
            </w:rPr>
            <m:t>+</m:t>
          </m:r>
          <m:sSub>
            <m:sSubPr>
              <m:ctrlPr>
                <w:rPr>
                  <w:rFonts w:ascii="Cambria Math" w:hAnsi="Cambria Math"/>
                  <w:i/>
                  <w:iCs/>
                </w:rPr>
              </m:ctrlPr>
            </m:sSubPr>
            <m:e>
              <m:r>
                <w:rPr>
                  <w:rFonts w:ascii="Cambria Math" w:hAnsi="Cambria Math"/>
                </w:rPr>
                <m:t>ϵ</m:t>
              </m:r>
            </m:e>
            <m:sub>
              <m:r>
                <w:rPr>
                  <w:rFonts w:ascii="Cambria Math" w:hAnsi="Cambria Math"/>
                </w:rPr>
                <m:t>it</m:t>
              </m:r>
            </m:sub>
          </m:sSub>
        </m:oMath>
      </m:oMathPara>
    </w:p>
    <w:p w:rsidR="003F6155" w:rsidRDefault="00581C66" w:rsidP="00DA4CA5">
      <w:pPr>
        <w:pStyle w:val="Bullet1"/>
        <w:numPr>
          <w:ilvl w:val="0"/>
          <w:numId w:val="0"/>
        </w:numPr>
        <w:ind w:left="567"/>
      </w:pPr>
      <w:proofErr w:type="gramStart"/>
      <w:r>
        <w:t>w</w:t>
      </w:r>
      <w:r w:rsidR="003F6155">
        <w:t>here</w:t>
      </w:r>
      <w:proofErr w:type="gramEnd"/>
      <w:r w:rsidR="003F6155">
        <w:t xml:space="preserve"> the variables are denoted as follows: </w:t>
      </w:r>
    </w:p>
    <w:p w:rsidR="003F6155" w:rsidRPr="004005EC" w:rsidRDefault="009F06EE" w:rsidP="003F6155">
      <w:pPr>
        <w:pStyle w:val="Bullet2"/>
      </w:pPr>
      <m:oMath>
        <m:sSub>
          <m:sSubPr>
            <m:ctrlPr>
              <w:rPr>
                <w:rFonts w:ascii="Cambria Math" w:hAnsi="Cambria Math"/>
                <w:i/>
              </w:rPr>
            </m:ctrlPr>
          </m:sSubPr>
          <m:e>
            <m:r>
              <w:rPr>
                <w:rFonts w:ascii="Cambria Math" w:hAnsi="Cambria Math"/>
              </w:rPr>
              <m:t>w</m:t>
            </m:r>
          </m:e>
          <m:sub>
            <m:r>
              <w:rPr>
                <w:rFonts w:ascii="Cambria Math" w:hAnsi="Cambria Math"/>
              </w:rPr>
              <m:t>it</m:t>
            </m:r>
          </m:sub>
        </m:sSub>
      </m:oMath>
      <w:r w:rsidR="003F6155">
        <w:t xml:space="preserve"> is the </w:t>
      </w:r>
      <w:r w:rsidR="003F6155" w:rsidRPr="004005EC">
        <w:t xml:space="preserve">wage of individual </w:t>
      </w:r>
      <w:r w:rsidR="003F6155" w:rsidRPr="004005EC">
        <w:rPr>
          <w:i/>
        </w:rPr>
        <w:t>i</w:t>
      </w:r>
      <w:r w:rsidR="003F6155" w:rsidRPr="004005EC">
        <w:t xml:space="preserve"> at time </w:t>
      </w:r>
      <w:r w:rsidR="003F6155" w:rsidRPr="004005EC">
        <w:rPr>
          <w:i/>
        </w:rPr>
        <w:t>t;</w:t>
      </w:r>
    </w:p>
    <w:p w:rsidR="003F6155" w:rsidRPr="003C0E8B" w:rsidRDefault="009F06EE" w:rsidP="003F6155">
      <w:pPr>
        <w:pStyle w:val="Bullet2"/>
      </w:pPr>
      <m:oMath>
        <m:sSub>
          <m:sSubPr>
            <m:ctrlPr>
              <w:rPr>
                <w:rFonts w:ascii="Cambria Math" w:hAnsi="Cambria Math"/>
                <w:i/>
              </w:rPr>
            </m:ctrlPr>
          </m:sSubPr>
          <m:e>
            <m:r>
              <w:rPr>
                <w:rFonts w:ascii="Cambria Math" w:hAnsi="Cambria Math"/>
              </w:rPr>
              <m:t>E</m:t>
            </m:r>
          </m:e>
          <m:sub>
            <m:r>
              <w:rPr>
                <w:rFonts w:ascii="Cambria Math" w:hAnsi="Cambria Math"/>
              </w:rPr>
              <m:t>ij</m:t>
            </m:r>
          </m:sub>
        </m:sSub>
      </m:oMath>
      <w:r w:rsidR="003F6155" w:rsidRPr="004005EC">
        <w:t xml:space="preserve"> is a </w:t>
      </w:r>
      <w:r w:rsidR="002C44E5">
        <w:t xml:space="preserve">vector of </w:t>
      </w:r>
      <w:r w:rsidR="003F6155" w:rsidRPr="004005EC">
        <w:t>dummy variable</w:t>
      </w:r>
      <w:r w:rsidR="002C44E5">
        <w:t>s</w:t>
      </w:r>
      <w:r w:rsidR="003F6155" w:rsidRPr="004005EC">
        <w:t xml:space="preserve"> indicating an individual’s</w:t>
      </w:r>
      <w:r w:rsidR="003F6155">
        <w:t xml:space="preserve"> highest level of qualification</w:t>
      </w:r>
      <w:r w:rsidR="003F6155" w:rsidRPr="004005EC">
        <w:t>;</w:t>
      </w:r>
    </w:p>
    <w:p w:rsidR="003F6155" w:rsidRDefault="009F06EE" w:rsidP="003F6155">
      <w:pPr>
        <w:pStyle w:val="Bullet2"/>
      </w:pPr>
      <m:oMath>
        <m:sSub>
          <m:sSubPr>
            <m:ctrlPr>
              <w:rPr>
                <w:rFonts w:ascii="Cambria Math" w:hAnsi="Cambria Math"/>
                <w:i/>
                <w:iCs/>
              </w:rPr>
            </m:ctrlPr>
          </m:sSubPr>
          <m:e>
            <m:r>
              <w:rPr>
                <w:rFonts w:ascii="Cambria Math" w:hAnsi="Cambria Math"/>
              </w:rPr>
              <m:t>E</m:t>
            </m:r>
          </m:e>
          <m:sub>
            <m:r>
              <w:rPr>
                <w:rFonts w:ascii="Cambria Math" w:hAnsi="Cambria Math"/>
              </w:rPr>
              <m:t>ijt</m:t>
            </m:r>
          </m:sub>
        </m:sSub>
        <m:sSub>
          <m:sSubPr>
            <m:ctrlPr>
              <w:rPr>
                <w:rFonts w:ascii="Cambria Math" w:hAnsi="Cambria Math"/>
                <w:i/>
                <w:iCs/>
              </w:rPr>
            </m:ctrlPr>
          </m:sSubPr>
          <m:e>
            <m:acc>
              <m:accPr>
                <m:chr m:val="̅"/>
                <m:ctrlPr>
                  <w:rPr>
                    <w:rFonts w:ascii="Cambria Math" w:hAnsi="Cambria Math"/>
                    <w:i/>
                  </w:rPr>
                </m:ctrlPr>
              </m:accPr>
              <m:e>
                <m:r>
                  <w:rPr>
                    <w:rFonts w:ascii="Cambria Math" w:hAnsi="Cambria Math"/>
                  </w:rPr>
                  <m:t>E</m:t>
                </m:r>
              </m:e>
            </m:acc>
          </m:e>
          <m:sub>
            <m:r>
              <w:rPr>
                <w:rFonts w:ascii="Cambria Math" w:hAnsi="Cambria Math"/>
              </w:rPr>
              <m:t>rqt</m:t>
            </m:r>
          </m:sub>
        </m:sSub>
        <m:r>
          <w:rPr>
            <w:rFonts w:ascii="Cambria Math" w:hAnsi="Cambria Math"/>
          </w:rPr>
          <m:t xml:space="preserve"> </m:t>
        </m:r>
      </m:oMath>
      <w:r w:rsidR="003F6155">
        <w:t>is a set of interaction terms between an individual’s education level and the average level of education in the region;</w:t>
      </w:r>
    </w:p>
    <w:p w:rsidR="003F6155" w:rsidRDefault="009F06EE" w:rsidP="003F6155">
      <w:pPr>
        <w:pStyle w:val="Bullet2"/>
      </w:pPr>
      <m:oMath>
        <m:sSub>
          <m:sSubPr>
            <m:ctrlPr>
              <w:rPr>
                <w:rFonts w:ascii="Cambria Math" w:hAnsi="Cambria Math"/>
                <w:i/>
              </w:rPr>
            </m:ctrlPr>
          </m:sSubPr>
          <m:e>
            <m:r>
              <w:rPr>
                <w:rFonts w:ascii="Cambria Math" w:hAnsi="Cambria Math"/>
              </w:rPr>
              <m:t>X</m:t>
            </m:r>
          </m:e>
          <m:sub>
            <m:r>
              <w:rPr>
                <w:rFonts w:ascii="Cambria Math" w:hAnsi="Cambria Math"/>
              </w:rPr>
              <m:t>rt</m:t>
            </m:r>
          </m:sub>
        </m:sSub>
      </m:oMath>
      <w:r w:rsidR="003F6155" w:rsidRPr="009000BF">
        <w:t xml:space="preserve"> is a vector of geography controls ind</w:t>
      </w:r>
      <w:proofErr w:type="spellStart"/>
      <w:r w:rsidR="003F6155">
        <w:t>icating</w:t>
      </w:r>
      <w:proofErr w:type="spellEnd"/>
      <w:r w:rsidR="003F6155">
        <w:t xml:space="preserve"> the region of residence,  unemployment rate in </w:t>
      </w:r>
      <w:r w:rsidR="00581C66">
        <w:t xml:space="preserve">the </w:t>
      </w:r>
      <w:r w:rsidR="003F6155">
        <w:t xml:space="preserve">region, and average education in the region; </w:t>
      </w:r>
    </w:p>
    <w:p w:rsidR="003F6155" w:rsidRDefault="009F06EE" w:rsidP="003F6155">
      <w:pPr>
        <w:pStyle w:val="Bullet2"/>
      </w:pPr>
      <m:oMath>
        <m:sSub>
          <m:sSubPr>
            <m:ctrlPr>
              <w:rPr>
                <w:rFonts w:ascii="Cambria Math" w:hAnsi="Cambria Math"/>
                <w:i/>
                <w:iCs/>
              </w:rPr>
            </m:ctrlPr>
          </m:sSubPr>
          <m:e>
            <m:r>
              <w:rPr>
                <w:rFonts w:ascii="Cambria Math" w:hAnsi="Cambria Math"/>
              </w:rPr>
              <m:t>Z</m:t>
            </m:r>
          </m:e>
          <m:sub>
            <m:r>
              <w:rPr>
                <w:rFonts w:ascii="Cambria Math" w:hAnsi="Cambria Math"/>
              </w:rPr>
              <m:t>it</m:t>
            </m:r>
          </m:sub>
        </m:sSub>
      </m:oMath>
      <w:r w:rsidR="003F6155">
        <w:rPr>
          <w:iCs/>
        </w:rPr>
        <w:t xml:space="preserve"> is a vector of individual characteristics (including demographic characteristics and cogni</w:t>
      </w:r>
      <w:proofErr w:type="spellStart"/>
      <w:r w:rsidR="003F6155">
        <w:rPr>
          <w:iCs/>
        </w:rPr>
        <w:t>tive</w:t>
      </w:r>
      <w:proofErr w:type="spellEnd"/>
      <w:r w:rsidR="003F6155">
        <w:rPr>
          <w:iCs/>
        </w:rPr>
        <w:t xml:space="preserve"> ability); </w:t>
      </w:r>
    </w:p>
    <w:p w:rsidR="003F6155" w:rsidRDefault="009F06EE" w:rsidP="003F6155">
      <w:pPr>
        <w:pStyle w:val="Bullet2"/>
      </w:pPr>
      <m:oMath>
        <m:sSub>
          <m:sSubPr>
            <m:ctrlPr>
              <w:rPr>
                <w:rFonts w:ascii="Cambria Math" w:hAnsi="Cambria Math" w:cs="Arial"/>
                <w:i/>
                <w:lang w:eastAsia="en-AU"/>
              </w:rPr>
            </m:ctrlPr>
          </m:sSubPr>
          <m:e>
            <m:r>
              <w:rPr>
                <w:rFonts w:ascii="Cambria Math" w:hAnsi="Cambria Math" w:cs="Arial"/>
                <w:lang w:eastAsia="en-AU"/>
              </w:rPr>
              <m:t>γ</m:t>
            </m:r>
          </m:e>
          <m:sub>
            <m:r>
              <w:rPr>
                <w:rFonts w:ascii="Cambria Math" w:hAnsi="Cambria Math" w:cs="Arial"/>
                <w:lang w:eastAsia="en-AU"/>
              </w:rPr>
              <m:t>t</m:t>
            </m:r>
          </m:sub>
        </m:sSub>
      </m:oMath>
      <w:r w:rsidR="003F6155">
        <w:t xml:space="preserve"> is a dummy variable capturing time-specific fixed effects; and</w:t>
      </w:r>
    </w:p>
    <w:p w:rsidR="003F6155" w:rsidRPr="009000BF" w:rsidRDefault="009F06EE" w:rsidP="003F6155">
      <w:pPr>
        <w:pStyle w:val="Bullet2"/>
      </w:pPr>
      <m:oMath>
        <m:sSub>
          <m:sSubPr>
            <m:ctrlPr>
              <w:rPr>
                <w:rFonts w:ascii="Cambria Math" w:hAnsi="Cambria Math"/>
                <w:i/>
              </w:rPr>
            </m:ctrlPr>
          </m:sSubPr>
          <m:e>
            <m:r>
              <w:rPr>
                <w:rFonts w:ascii="Cambria Math" w:hAnsi="Cambria Math"/>
              </w:rPr>
              <m:t>ϵ</m:t>
            </m:r>
          </m:e>
          <m:sub>
            <m:r>
              <w:rPr>
                <w:rFonts w:ascii="Cambria Math" w:hAnsi="Cambria Math"/>
              </w:rPr>
              <m:t>it</m:t>
            </m:r>
          </m:sub>
        </m:sSub>
      </m:oMath>
      <w:r w:rsidR="003F6155">
        <w:t xml:space="preserve"> </w:t>
      </w:r>
      <w:proofErr w:type="gramStart"/>
      <w:r w:rsidR="003F6155">
        <w:t>is</w:t>
      </w:r>
      <w:proofErr w:type="gramEnd"/>
      <w:r w:rsidR="003F6155">
        <w:t xml:space="preserve"> a random error. </w:t>
      </w:r>
    </w:p>
    <w:p w:rsidR="003F6155" w:rsidRDefault="003F6155" w:rsidP="003F6155">
      <w:pPr>
        <w:pStyle w:val="BodyText"/>
      </w:pPr>
      <w:r w:rsidRPr="00966EF5">
        <w:t>The average level of education in a region</w:t>
      </w:r>
      <w:r>
        <w:t>, denoted as</w:t>
      </w:r>
      <m:oMath>
        <m:r>
          <w:rPr>
            <w:rFonts w:ascii="Cambria Math" w:hAnsi="Cambria Math"/>
          </w:rPr>
          <m:t xml:space="preserve"> </m:t>
        </m:r>
        <m:sSub>
          <m:sSubPr>
            <m:ctrlPr>
              <w:rPr>
                <w:rFonts w:ascii="Cambria Math" w:hAnsi="Cambria Math"/>
                <w:i/>
                <w:iCs/>
              </w:rPr>
            </m:ctrlPr>
          </m:sSubPr>
          <m:e>
            <m:acc>
              <m:accPr>
                <m:chr m:val="̅"/>
                <m:ctrlPr>
                  <w:rPr>
                    <w:rFonts w:ascii="Cambria Math" w:hAnsi="Cambria Math"/>
                    <w:i/>
                  </w:rPr>
                </m:ctrlPr>
              </m:accPr>
              <m:e>
                <m:r>
                  <w:rPr>
                    <w:rFonts w:ascii="Cambria Math" w:hAnsi="Cambria Math"/>
                  </w:rPr>
                  <m:t>E</m:t>
                </m:r>
              </m:e>
            </m:acc>
          </m:e>
          <m:sub>
            <m:r>
              <w:rPr>
                <w:rFonts w:ascii="Cambria Math" w:hAnsi="Cambria Math"/>
              </w:rPr>
              <m:t>rqt</m:t>
            </m:r>
          </m:sub>
        </m:sSub>
      </m:oMath>
      <w:r>
        <w:rPr>
          <w:iCs/>
        </w:rPr>
        <w:t>, is</w:t>
      </w:r>
      <w:r w:rsidRPr="00966EF5">
        <w:t xml:space="preserve"> defined as the share of the workforce in </w:t>
      </w:r>
      <w:r w:rsidR="00D16F0B">
        <w:t>the r</w:t>
      </w:r>
      <w:r w:rsidRPr="00966EF5">
        <w:t>egion t</w:t>
      </w:r>
      <w:r w:rsidRPr="00F74D2F">
        <w:t xml:space="preserve">hat has a </w:t>
      </w:r>
      <w:r>
        <w:t>higher education qualification (that is, bachelor or higher).</w:t>
      </w:r>
      <w:r w:rsidR="00581C66">
        <w:t xml:space="preserve"> Regions are define</w:t>
      </w:r>
      <w:r w:rsidR="002C44E5">
        <w:t>d</w:t>
      </w:r>
      <w:r w:rsidR="00581C66">
        <w:t xml:space="preserve"> from the interaction of ABS Remoteness Area and State/Territory.</w:t>
      </w:r>
      <w:r>
        <w:t xml:space="preserve"> </w:t>
      </w:r>
      <w:r w:rsidR="002C44E5">
        <w:t xml:space="preserve">The </w:t>
      </w:r>
      <w:proofErr w:type="gramStart"/>
      <w:r w:rsidR="002C44E5">
        <w:rPr>
          <w:rFonts w:ascii="Times New Roman" w:hAnsi="Times New Roman"/>
        </w:rPr>
        <w:t>δ</w:t>
      </w:r>
      <w:r w:rsidR="002C44E5" w:rsidRPr="005F4BE1">
        <w:rPr>
          <w:rFonts w:ascii="Times New Roman" w:hAnsi="Times New Roman"/>
        </w:rPr>
        <w:t>’s</w:t>
      </w:r>
      <w:proofErr w:type="gramEnd"/>
      <w:r w:rsidR="002C44E5">
        <w:t xml:space="preserve"> are parameters to be estimated.</w:t>
      </w:r>
      <w:r>
        <w:t xml:space="preserve">  </w:t>
      </w:r>
    </w:p>
    <w:p w:rsidR="003F6155" w:rsidRDefault="003F6155" w:rsidP="003F6155">
      <w:pPr>
        <w:pStyle w:val="BodyText"/>
      </w:pPr>
      <w:r>
        <w:t xml:space="preserve">A model with a more complex form </w:t>
      </w:r>
      <w:r w:rsidR="00D16F0B">
        <w:t xml:space="preserve">for the </w:t>
      </w:r>
      <w:r>
        <w:t>average level of education in a region was also estimated</w:t>
      </w:r>
      <w:r w:rsidR="00D16F0B">
        <w:t>.  The average</w:t>
      </w:r>
      <w:r>
        <w:t xml:space="preserve"> </w:t>
      </w:r>
      <w:r w:rsidRPr="00966EF5">
        <w:t xml:space="preserve">level of education </w:t>
      </w:r>
      <w:r w:rsidR="00D16F0B">
        <w:t xml:space="preserve">was represented by a set of variables giving the </w:t>
      </w:r>
      <w:r w:rsidRPr="00ED7DB6">
        <w:t xml:space="preserve">shares of the workforce in </w:t>
      </w:r>
      <w:r w:rsidR="00D16F0B">
        <w:t>each</w:t>
      </w:r>
      <w:r w:rsidRPr="00ED7DB6">
        <w:t xml:space="preserve"> region </w:t>
      </w:r>
      <w:r w:rsidR="00D16F0B">
        <w:t xml:space="preserve">with </w:t>
      </w:r>
      <w:r w:rsidR="001D5B1F">
        <w:t xml:space="preserve">a particular </w:t>
      </w:r>
      <w:r w:rsidRPr="00ED7DB6">
        <w:t xml:space="preserve">qualification level </w:t>
      </w:r>
      <w:r w:rsidRPr="00F74D2F">
        <w:t>or</w:t>
      </w:r>
      <w:r w:rsidRPr="00ED7DB6">
        <w:t xml:space="preserve"> higher</w:t>
      </w:r>
      <w:r w:rsidR="00D16F0B">
        <w:t>.</w:t>
      </w:r>
      <w:r>
        <w:t xml:space="preserve"> (</w:t>
      </w:r>
      <w:r w:rsidR="00F6625A">
        <w:t xml:space="preserve">See </w:t>
      </w:r>
      <w:r w:rsidR="00F6625A">
        <w:fldChar w:fldCharType="begin"/>
      </w:r>
      <w:r w:rsidR="00F6625A">
        <w:instrText xml:space="preserve"> REF _Ref460948190 \r \h </w:instrText>
      </w:r>
      <w:r w:rsidR="00F6625A">
        <w:fldChar w:fldCharType="separate"/>
      </w:r>
      <w:r w:rsidR="00534F9F">
        <w:t>Table B.7</w:t>
      </w:r>
      <w:r w:rsidR="00F6625A">
        <w:fldChar w:fldCharType="end"/>
      </w:r>
      <w:r w:rsidR="00F6625A">
        <w:t xml:space="preserve"> f</w:t>
      </w:r>
      <w:r>
        <w:t>or an</w:t>
      </w:r>
      <w:r w:rsidR="00D16F0B">
        <w:t xml:space="preserve"> </w:t>
      </w:r>
      <w:r>
        <w:t>example</w:t>
      </w:r>
      <w:r w:rsidR="00F6625A">
        <w:t>.)</w:t>
      </w:r>
      <w:r w:rsidR="00CB710D">
        <w:t xml:space="preserve"> </w:t>
      </w:r>
      <w:r>
        <w:t>However, the results of this modelling were mixed and more complex to interpret, and ultimately, the simpler specification of the average level of education was chosen.</w:t>
      </w:r>
    </w:p>
    <w:p w:rsidR="003F6155" w:rsidRDefault="003F6155" w:rsidP="003F6155">
      <w:pPr>
        <w:pStyle w:val="AppendixTableCaption"/>
      </w:pPr>
      <w:bookmarkStart w:id="329" w:name="_Toc460586428"/>
      <w:bookmarkStart w:id="330" w:name="_Ref460948190"/>
      <w:bookmarkStart w:id="331" w:name="_Toc465961140"/>
      <w:r w:rsidRPr="00966EF5">
        <w:t>: Example of regional average levels of educa</w:t>
      </w:r>
      <w:r w:rsidRPr="008E07BF">
        <w:t>tion</w:t>
      </w:r>
      <w:bookmarkEnd w:id="329"/>
      <w:bookmarkEnd w:id="330"/>
      <w:bookmarkEnd w:id="331"/>
    </w:p>
    <w:tbl>
      <w:tblPr>
        <w:tblW w:w="8380" w:type="dxa"/>
        <w:jc w:val="center"/>
        <w:tblLook w:val="04A0" w:firstRow="1" w:lastRow="0" w:firstColumn="1" w:lastColumn="0" w:noHBand="0" w:noVBand="1"/>
      </w:tblPr>
      <w:tblGrid>
        <w:gridCol w:w="1678"/>
        <w:gridCol w:w="1419"/>
        <w:gridCol w:w="1443"/>
        <w:gridCol w:w="960"/>
        <w:gridCol w:w="960"/>
        <w:gridCol w:w="960"/>
        <w:gridCol w:w="960"/>
      </w:tblGrid>
      <w:tr w:rsidR="003F6155" w:rsidRPr="006A0E55" w:rsidTr="00075414">
        <w:trPr>
          <w:cantSplit/>
          <w:trHeight w:val="330"/>
          <w:tblHeader/>
          <w:jc w:val="center"/>
        </w:trPr>
        <w:tc>
          <w:tcPr>
            <w:tcW w:w="1678" w:type="dxa"/>
            <w:tcBorders>
              <w:top w:val="single" w:sz="12" w:space="0" w:color="002776"/>
              <w:left w:val="nil"/>
              <w:bottom w:val="single" w:sz="8" w:space="0" w:color="002776"/>
              <w:right w:val="nil"/>
            </w:tcBorders>
            <w:shd w:val="clear" w:color="auto" w:fill="auto"/>
            <w:vAlign w:val="center"/>
            <w:hideMark/>
          </w:tcPr>
          <w:p w:rsidR="003F6155" w:rsidRPr="006A0E55" w:rsidRDefault="003F6155" w:rsidP="00075414">
            <w:pPr>
              <w:jc w:val="center"/>
              <w:rPr>
                <w:color w:val="002776"/>
                <w:sz w:val="20"/>
                <w:lang w:eastAsia="en-AU"/>
              </w:rPr>
            </w:pPr>
            <w:r w:rsidRPr="006A0E55">
              <w:rPr>
                <w:rFonts w:cs="Arial"/>
                <w:bCs/>
                <w:color w:val="002776"/>
                <w:sz w:val="20"/>
                <w:lang w:eastAsia="en-AU"/>
              </w:rPr>
              <w:t> </w:t>
            </w:r>
          </w:p>
        </w:tc>
        <w:tc>
          <w:tcPr>
            <w:tcW w:w="1419" w:type="dxa"/>
            <w:tcBorders>
              <w:top w:val="single" w:sz="12" w:space="0" w:color="002776"/>
              <w:left w:val="nil"/>
              <w:bottom w:val="single" w:sz="8" w:space="0" w:color="002776"/>
              <w:right w:val="nil"/>
            </w:tcBorders>
            <w:shd w:val="clear" w:color="auto" w:fill="auto"/>
            <w:vAlign w:val="center"/>
            <w:hideMark/>
          </w:tcPr>
          <w:p w:rsidR="003F6155" w:rsidRPr="006A0E55" w:rsidRDefault="003F6155" w:rsidP="00075414">
            <w:pPr>
              <w:jc w:val="center"/>
              <w:rPr>
                <w:color w:val="002776"/>
                <w:sz w:val="20"/>
                <w:lang w:eastAsia="en-AU"/>
              </w:rPr>
            </w:pPr>
            <w:r w:rsidRPr="006A0E55">
              <w:rPr>
                <w:color w:val="002776"/>
                <w:sz w:val="20"/>
                <w:lang w:eastAsia="en-AU"/>
              </w:rPr>
              <w:t> </w:t>
            </w:r>
          </w:p>
        </w:tc>
        <w:tc>
          <w:tcPr>
            <w:tcW w:w="1443" w:type="dxa"/>
            <w:tcBorders>
              <w:top w:val="single" w:sz="12" w:space="0" w:color="002776"/>
              <w:left w:val="nil"/>
              <w:bottom w:val="single" w:sz="8" w:space="0" w:color="002776"/>
              <w:right w:val="nil"/>
            </w:tcBorders>
            <w:shd w:val="clear" w:color="auto" w:fill="auto"/>
            <w:vAlign w:val="center"/>
            <w:hideMark/>
          </w:tcPr>
          <w:p w:rsidR="003F6155" w:rsidRPr="006A0E55" w:rsidRDefault="003F6155" w:rsidP="00075414">
            <w:pPr>
              <w:jc w:val="center"/>
              <w:rPr>
                <w:color w:val="002776"/>
                <w:sz w:val="20"/>
                <w:lang w:eastAsia="en-AU"/>
              </w:rPr>
            </w:pPr>
            <w:r w:rsidRPr="006A0E55">
              <w:rPr>
                <w:color w:val="002776"/>
                <w:sz w:val="20"/>
                <w:lang w:eastAsia="en-AU"/>
              </w:rPr>
              <w:t> </w:t>
            </w:r>
          </w:p>
        </w:tc>
        <w:tc>
          <w:tcPr>
            <w:tcW w:w="960" w:type="dxa"/>
            <w:tcBorders>
              <w:top w:val="single" w:sz="12" w:space="0" w:color="002776"/>
              <w:left w:val="nil"/>
              <w:bottom w:val="single" w:sz="8" w:space="0" w:color="002776"/>
              <w:right w:val="nil"/>
            </w:tcBorders>
            <w:shd w:val="clear" w:color="auto" w:fill="auto"/>
            <w:vAlign w:val="center"/>
            <w:hideMark/>
          </w:tcPr>
          <w:p w:rsidR="003F6155" w:rsidRPr="006A0E55" w:rsidRDefault="003F6155" w:rsidP="00075414">
            <w:pPr>
              <w:jc w:val="center"/>
              <w:rPr>
                <w:b/>
                <w:bCs/>
                <w:color w:val="002776"/>
                <w:sz w:val="20"/>
                <w:lang w:eastAsia="en-AU"/>
              </w:rPr>
            </w:pPr>
            <w:r w:rsidRPr="006A0E55">
              <w:rPr>
                <w:rFonts w:cs="Arial"/>
                <w:b/>
                <w:bCs/>
                <w:color w:val="002776"/>
                <w:sz w:val="20"/>
                <w:lang w:eastAsia="en-AU"/>
              </w:rPr>
              <w:t>Region 1</w:t>
            </w:r>
          </w:p>
        </w:tc>
        <w:tc>
          <w:tcPr>
            <w:tcW w:w="960" w:type="dxa"/>
            <w:tcBorders>
              <w:top w:val="single" w:sz="12" w:space="0" w:color="002776"/>
              <w:left w:val="nil"/>
              <w:bottom w:val="single" w:sz="8" w:space="0" w:color="002776"/>
              <w:right w:val="nil"/>
            </w:tcBorders>
            <w:shd w:val="clear" w:color="auto" w:fill="auto"/>
            <w:vAlign w:val="center"/>
            <w:hideMark/>
          </w:tcPr>
          <w:p w:rsidR="003F6155" w:rsidRPr="006A0E55" w:rsidRDefault="003F6155" w:rsidP="00075414">
            <w:pPr>
              <w:jc w:val="center"/>
              <w:rPr>
                <w:b/>
                <w:bCs/>
                <w:color w:val="002776"/>
                <w:sz w:val="20"/>
                <w:lang w:eastAsia="en-AU"/>
              </w:rPr>
            </w:pPr>
            <w:r w:rsidRPr="006A0E55">
              <w:rPr>
                <w:rFonts w:cs="Arial"/>
                <w:b/>
                <w:bCs/>
                <w:color w:val="002776"/>
                <w:sz w:val="20"/>
                <w:lang w:eastAsia="en-AU"/>
              </w:rPr>
              <w:t>Region 2</w:t>
            </w:r>
          </w:p>
        </w:tc>
        <w:tc>
          <w:tcPr>
            <w:tcW w:w="960" w:type="dxa"/>
            <w:tcBorders>
              <w:top w:val="single" w:sz="12" w:space="0" w:color="002776"/>
              <w:left w:val="nil"/>
              <w:bottom w:val="single" w:sz="8" w:space="0" w:color="002776"/>
              <w:right w:val="nil"/>
            </w:tcBorders>
            <w:shd w:val="clear" w:color="auto" w:fill="auto"/>
            <w:vAlign w:val="center"/>
            <w:hideMark/>
          </w:tcPr>
          <w:p w:rsidR="003F6155" w:rsidRPr="006A0E55" w:rsidRDefault="003F6155" w:rsidP="00075414">
            <w:pPr>
              <w:jc w:val="center"/>
              <w:rPr>
                <w:b/>
                <w:bCs/>
                <w:color w:val="002776"/>
                <w:sz w:val="20"/>
                <w:lang w:eastAsia="en-AU"/>
              </w:rPr>
            </w:pPr>
            <w:r w:rsidRPr="006A0E55">
              <w:rPr>
                <w:rFonts w:cs="Arial"/>
                <w:b/>
                <w:bCs/>
                <w:color w:val="002776"/>
                <w:sz w:val="20"/>
                <w:lang w:eastAsia="en-AU"/>
              </w:rPr>
              <w:t>Region 3</w:t>
            </w:r>
          </w:p>
        </w:tc>
        <w:tc>
          <w:tcPr>
            <w:tcW w:w="960" w:type="dxa"/>
            <w:tcBorders>
              <w:top w:val="single" w:sz="12" w:space="0" w:color="002776"/>
              <w:left w:val="nil"/>
              <w:bottom w:val="single" w:sz="8" w:space="0" w:color="002776"/>
              <w:right w:val="nil"/>
            </w:tcBorders>
            <w:shd w:val="clear" w:color="auto" w:fill="auto"/>
            <w:vAlign w:val="center"/>
            <w:hideMark/>
          </w:tcPr>
          <w:p w:rsidR="003F6155" w:rsidRPr="006A0E55" w:rsidRDefault="003F6155" w:rsidP="00075414">
            <w:pPr>
              <w:jc w:val="center"/>
              <w:rPr>
                <w:b/>
                <w:bCs/>
                <w:color w:val="002776"/>
                <w:sz w:val="20"/>
                <w:lang w:eastAsia="en-AU"/>
              </w:rPr>
            </w:pPr>
            <w:r w:rsidRPr="006A0E55">
              <w:rPr>
                <w:rFonts w:cs="Arial"/>
                <w:b/>
                <w:bCs/>
                <w:color w:val="002776"/>
                <w:sz w:val="20"/>
                <w:lang w:eastAsia="en-AU"/>
              </w:rPr>
              <w:t>Region 4</w:t>
            </w:r>
          </w:p>
        </w:tc>
      </w:tr>
      <w:tr w:rsidR="003F6155" w:rsidRPr="006A0E55" w:rsidTr="00075414">
        <w:trPr>
          <w:cantSplit/>
          <w:trHeight w:val="300"/>
          <w:jc w:val="center"/>
        </w:trPr>
        <w:tc>
          <w:tcPr>
            <w:tcW w:w="4540" w:type="dxa"/>
            <w:gridSpan w:val="3"/>
            <w:tcBorders>
              <w:top w:val="single" w:sz="8" w:space="0" w:color="002776"/>
              <w:left w:val="nil"/>
              <w:bottom w:val="nil"/>
              <w:right w:val="nil"/>
            </w:tcBorders>
            <w:shd w:val="clear" w:color="000000" w:fill="F2F2F2"/>
            <w:vAlign w:val="center"/>
            <w:hideMark/>
          </w:tcPr>
          <w:p w:rsidR="003F6155" w:rsidRPr="006A0E55" w:rsidRDefault="003F6155" w:rsidP="00075414">
            <w:pPr>
              <w:jc w:val="center"/>
              <w:rPr>
                <w:b/>
                <w:bCs/>
                <w:i/>
                <w:iCs/>
                <w:sz w:val="20"/>
                <w:lang w:eastAsia="en-AU"/>
              </w:rPr>
            </w:pPr>
            <w:r w:rsidRPr="006A0E55">
              <w:rPr>
                <w:rFonts w:cs="Arial"/>
                <w:b/>
                <w:bCs/>
                <w:i/>
                <w:iCs/>
                <w:sz w:val="20"/>
                <w:lang w:eastAsia="en-AU"/>
              </w:rPr>
              <w:t>Attainment levels</w:t>
            </w:r>
          </w:p>
        </w:tc>
        <w:tc>
          <w:tcPr>
            <w:tcW w:w="960" w:type="dxa"/>
            <w:tcBorders>
              <w:top w:val="nil"/>
              <w:left w:val="nil"/>
              <w:bottom w:val="nil"/>
              <w:right w:val="nil"/>
            </w:tcBorders>
            <w:shd w:val="clear" w:color="000000" w:fill="F2F2F2"/>
            <w:vAlign w:val="center"/>
            <w:hideMark/>
          </w:tcPr>
          <w:p w:rsidR="003F6155" w:rsidRPr="006A0E55" w:rsidRDefault="003F6155" w:rsidP="00075414">
            <w:pPr>
              <w:jc w:val="center"/>
              <w:rPr>
                <w:b/>
                <w:bCs/>
                <w:color w:val="002776"/>
                <w:sz w:val="20"/>
                <w:lang w:eastAsia="en-AU"/>
              </w:rPr>
            </w:pPr>
            <w:r w:rsidRPr="006A0E55">
              <w:rPr>
                <w:rFonts w:cs="Arial"/>
                <w:b/>
                <w:bCs/>
                <w:color w:val="002776"/>
                <w:sz w:val="20"/>
                <w:lang w:eastAsia="en-AU"/>
              </w:rPr>
              <w:t> </w:t>
            </w:r>
          </w:p>
        </w:tc>
        <w:tc>
          <w:tcPr>
            <w:tcW w:w="960" w:type="dxa"/>
            <w:tcBorders>
              <w:top w:val="nil"/>
              <w:left w:val="nil"/>
              <w:bottom w:val="nil"/>
              <w:right w:val="nil"/>
            </w:tcBorders>
            <w:shd w:val="clear" w:color="000000" w:fill="F2F2F2"/>
            <w:vAlign w:val="center"/>
            <w:hideMark/>
          </w:tcPr>
          <w:p w:rsidR="003F6155" w:rsidRPr="006A0E55" w:rsidRDefault="003F6155" w:rsidP="00075414">
            <w:pPr>
              <w:jc w:val="center"/>
              <w:rPr>
                <w:b/>
                <w:bCs/>
                <w:color w:val="002776"/>
                <w:sz w:val="20"/>
                <w:lang w:eastAsia="en-AU"/>
              </w:rPr>
            </w:pPr>
            <w:r w:rsidRPr="006A0E55">
              <w:rPr>
                <w:rFonts w:cs="Arial"/>
                <w:b/>
                <w:bCs/>
                <w:color w:val="002776"/>
                <w:sz w:val="20"/>
                <w:lang w:eastAsia="en-AU"/>
              </w:rPr>
              <w:t> </w:t>
            </w:r>
          </w:p>
        </w:tc>
        <w:tc>
          <w:tcPr>
            <w:tcW w:w="960" w:type="dxa"/>
            <w:tcBorders>
              <w:top w:val="nil"/>
              <w:left w:val="nil"/>
              <w:bottom w:val="nil"/>
              <w:right w:val="nil"/>
            </w:tcBorders>
            <w:shd w:val="clear" w:color="000000" w:fill="F2F2F2"/>
            <w:vAlign w:val="center"/>
            <w:hideMark/>
          </w:tcPr>
          <w:p w:rsidR="003F6155" w:rsidRPr="006A0E55" w:rsidRDefault="003F6155" w:rsidP="00075414">
            <w:pPr>
              <w:jc w:val="center"/>
              <w:rPr>
                <w:b/>
                <w:bCs/>
                <w:color w:val="002776"/>
                <w:sz w:val="20"/>
                <w:lang w:eastAsia="en-AU"/>
              </w:rPr>
            </w:pPr>
            <w:r w:rsidRPr="006A0E55">
              <w:rPr>
                <w:rFonts w:cs="Arial"/>
                <w:b/>
                <w:bCs/>
                <w:color w:val="002776"/>
                <w:sz w:val="20"/>
                <w:lang w:eastAsia="en-AU"/>
              </w:rPr>
              <w:t> </w:t>
            </w:r>
          </w:p>
        </w:tc>
        <w:tc>
          <w:tcPr>
            <w:tcW w:w="960" w:type="dxa"/>
            <w:tcBorders>
              <w:top w:val="nil"/>
              <w:left w:val="nil"/>
              <w:bottom w:val="nil"/>
              <w:right w:val="nil"/>
            </w:tcBorders>
            <w:shd w:val="clear" w:color="000000" w:fill="F2F2F2"/>
            <w:vAlign w:val="center"/>
            <w:hideMark/>
          </w:tcPr>
          <w:p w:rsidR="003F6155" w:rsidRPr="006A0E55" w:rsidRDefault="003F6155" w:rsidP="00075414">
            <w:pPr>
              <w:jc w:val="center"/>
              <w:rPr>
                <w:b/>
                <w:bCs/>
                <w:color w:val="002776"/>
                <w:sz w:val="20"/>
                <w:lang w:eastAsia="en-AU"/>
              </w:rPr>
            </w:pPr>
            <w:r w:rsidRPr="006A0E55">
              <w:rPr>
                <w:rFonts w:cs="Arial"/>
                <w:b/>
                <w:bCs/>
                <w:color w:val="002776"/>
                <w:sz w:val="20"/>
                <w:lang w:eastAsia="en-AU"/>
              </w:rPr>
              <w:t> </w:t>
            </w:r>
          </w:p>
        </w:tc>
      </w:tr>
      <w:tr w:rsidR="003F6155" w:rsidRPr="006A0E55" w:rsidTr="00075414">
        <w:trPr>
          <w:cantSplit/>
          <w:trHeight w:val="300"/>
          <w:jc w:val="center"/>
        </w:trPr>
        <w:tc>
          <w:tcPr>
            <w:tcW w:w="4540" w:type="dxa"/>
            <w:gridSpan w:val="3"/>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Year 12 or below</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Pr>
                <w:rFonts w:cs="Arial"/>
                <w:color w:val="000000"/>
                <w:sz w:val="20"/>
                <w:lang w:eastAsia="en-AU"/>
              </w:rPr>
              <w:t>5</w:t>
            </w:r>
            <w:r w:rsidRPr="006A0E55">
              <w:rPr>
                <w:rFonts w:cs="Arial"/>
                <w:color w:val="000000"/>
                <w:sz w:val="20"/>
                <w:lang w:eastAsia="en-AU"/>
              </w:rPr>
              <w:t>%</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Pr>
                <w:rFonts w:cs="Arial"/>
                <w:color w:val="000000"/>
                <w:sz w:val="20"/>
                <w:lang w:eastAsia="en-AU"/>
              </w:rPr>
              <w:t>5</w:t>
            </w:r>
            <w:r w:rsidRPr="006A0E55">
              <w:rPr>
                <w:rFonts w:cs="Arial"/>
                <w:color w:val="000000"/>
                <w:sz w:val="20"/>
                <w:lang w:eastAsia="en-AU"/>
              </w:rPr>
              <w:t>%</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Pr>
                <w:rFonts w:cs="Arial"/>
                <w:color w:val="000000"/>
                <w:sz w:val="20"/>
                <w:lang w:eastAsia="en-AU"/>
              </w:rPr>
              <w:t>5</w:t>
            </w:r>
            <w:r w:rsidRPr="006A0E55">
              <w:rPr>
                <w:rFonts w:cs="Arial"/>
                <w:color w:val="000000"/>
                <w:sz w:val="20"/>
                <w:lang w:eastAsia="en-AU"/>
              </w:rPr>
              <w:t>%</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Pr>
                <w:rFonts w:cs="Arial"/>
                <w:color w:val="000000"/>
                <w:sz w:val="20"/>
                <w:lang w:eastAsia="en-AU"/>
              </w:rPr>
              <w:t>5</w:t>
            </w:r>
            <w:r w:rsidRPr="006A0E55">
              <w:rPr>
                <w:rFonts w:cs="Arial"/>
                <w:color w:val="000000"/>
                <w:sz w:val="20"/>
                <w:lang w:eastAsia="en-AU"/>
              </w:rPr>
              <w:t>%</w:t>
            </w:r>
          </w:p>
        </w:tc>
      </w:tr>
      <w:tr w:rsidR="003F6155" w:rsidRPr="006A0E55" w:rsidTr="00075414">
        <w:trPr>
          <w:cantSplit/>
          <w:trHeight w:val="300"/>
          <w:jc w:val="center"/>
        </w:trPr>
        <w:tc>
          <w:tcPr>
            <w:tcW w:w="4540" w:type="dxa"/>
            <w:gridSpan w:val="3"/>
            <w:tcBorders>
              <w:top w:val="nil"/>
              <w:left w:val="nil"/>
              <w:bottom w:val="nil"/>
              <w:right w:val="nil"/>
            </w:tcBorders>
            <w:shd w:val="clear" w:color="auto" w:fill="auto"/>
            <w:vAlign w:val="center"/>
          </w:tcPr>
          <w:p w:rsidR="003F6155" w:rsidRPr="006A0E55" w:rsidRDefault="003F6155" w:rsidP="00075414">
            <w:pPr>
              <w:jc w:val="center"/>
              <w:rPr>
                <w:rFonts w:cs="Arial"/>
                <w:color w:val="000000"/>
                <w:sz w:val="20"/>
                <w:lang w:eastAsia="en-AU"/>
              </w:rPr>
            </w:pPr>
            <w:r>
              <w:rPr>
                <w:rFonts w:cs="Arial"/>
                <w:color w:val="000000"/>
                <w:sz w:val="20"/>
                <w:lang w:eastAsia="en-AU"/>
              </w:rPr>
              <w:t>VET qualification (Certificate I-IV)</w:t>
            </w:r>
          </w:p>
        </w:tc>
        <w:tc>
          <w:tcPr>
            <w:tcW w:w="960" w:type="dxa"/>
            <w:tcBorders>
              <w:top w:val="nil"/>
              <w:left w:val="nil"/>
              <w:bottom w:val="nil"/>
              <w:right w:val="nil"/>
            </w:tcBorders>
            <w:shd w:val="clear" w:color="auto" w:fill="auto"/>
            <w:vAlign w:val="center"/>
          </w:tcPr>
          <w:p w:rsidR="003F6155" w:rsidRPr="006A0E55" w:rsidRDefault="003F6155" w:rsidP="00075414">
            <w:pPr>
              <w:jc w:val="center"/>
              <w:rPr>
                <w:rFonts w:cs="Arial"/>
                <w:color w:val="000000"/>
                <w:sz w:val="20"/>
                <w:lang w:eastAsia="en-AU"/>
              </w:rPr>
            </w:pPr>
            <w:r>
              <w:rPr>
                <w:rFonts w:cs="Arial"/>
                <w:color w:val="000000"/>
                <w:sz w:val="20"/>
                <w:lang w:eastAsia="en-AU"/>
              </w:rPr>
              <w:t>15%</w:t>
            </w:r>
          </w:p>
        </w:tc>
        <w:tc>
          <w:tcPr>
            <w:tcW w:w="960" w:type="dxa"/>
            <w:tcBorders>
              <w:top w:val="nil"/>
              <w:left w:val="nil"/>
              <w:bottom w:val="nil"/>
              <w:right w:val="nil"/>
            </w:tcBorders>
            <w:shd w:val="clear" w:color="auto" w:fill="auto"/>
            <w:vAlign w:val="center"/>
          </w:tcPr>
          <w:p w:rsidR="003F6155" w:rsidRPr="006A0E55" w:rsidRDefault="003F6155" w:rsidP="00075414">
            <w:pPr>
              <w:jc w:val="center"/>
              <w:rPr>
                <w:rFonts w:cs="Arial"/>
                <w:color w:val="000000"/>
                <w:sz w:val="20"/>
                <w:lang w:eastAsia="en-AU"/>
              </w:rPr>
            </w:pPr>
            <w:r>
              <w:rPr>
                <w:rFonts w:cs="Arial"/>
                <w:color w:val="000000"/>
                <w:sz w:val="20"/>
                <w:lang w:eastAsia="en-AU"/>
              </w:rPr>
              <w:t>5</w:t>
            </w:r>
            <w:r w:rsidRPr="006A0E55">
              <w:rPr>
                <w:rFonts w:cs="Arial"/>
                <w:color w:val="000000"/>
                <w:sz w:val="20"/>
                <w:lang w:eastAsia="en-AU"/>
              </w:rPr>
              <w:t>%</w:t>
            </w:r>
          </w:p>
        </w:tc>
        <w:tc>
          <w:tcPr>
            <w:tcW w:w="960" w:type="dxa"/>
            <w:tcBorders>
              <w:top w:val="nil"/>
              <w:left w:val="nil"/>
              <w:bottom w:val="nil"/>
              <w:right w:val="nil"/>
            </w:tcBorders>
            <w:shd w:val="clear" w:color="auto" w:fill="auto"/>
            <w:vAlign w:val="center"/>
          </w:tcPr>
          <w:p w:rsidR="003F6155" w:rsidRPr="006A0E55" w:rsidRDefault="003F6155" w:rsidP="00075414">
            <w:pPr>
              <w:jc w:val="center"/>
              <w:rPr>
                <w:rFonts w:cs="Arial"/>
                <w:color w:val="000000"/>
                <w:sz w:val="20"/>
                <w:lang w:eastAsia="en-AU"/>
              </w:rPr>
            </w:pPr>
            <w:r>
              <w:rPr>
                <w:rFonts w:cs="Arial"/>
                <w:color w:val="000000"/>
                <w:sz w:val="20"/>
                <w:lang w:eastAsia="en-AU"/>
              </w:rPr>
              <w:t>5</w:t>
            </w:r>
            <w:r w:rsidRPr="006A0E55">
              <w:rPr>
                <w:rFonts w:cs="Arial"/>
                <w:color w:val="000000"/>
                <w:sz w:val="20"/>
                <w:lang w:eastAsia="en-AU"/>
              </w:rPr>
              <w:t>%</w:t>
            </w:r>
          </w:p>
        </w:tc>
        <w:tc>
          <w:tcPr>
            <w:tcW w:w="960" w:type="dxa"/>
            <w:tcBorders>
              <w:top w:val="nil"/>
              <w:left w:val="nil"/>
              <w:bottom w:val="nil"/>
              <w:right w:val="nil"/>
            </w:tcBorders>
            <w:shd w:val="clear" w:color="auto" w:fill="auto"/>
            <w:vAlign w:val="center"/>
          </w:tcPr>
          <w:p w:rsidR="003F6155" w:rsidRPr="006A0E55" w:rsidRDefault="003F6155" w:rsidP="00075414">
            <w:pPr>
              <w:jc w:val="center"/>
              <w:rPr>
                <w:rFonts w:cs="Arial"/>
                <w:color w:val="000000"/>
                <w:sz w:val="20"/>
                <w:lang w:eastAsia="en-AU"/>
              </w:rPr>
            </w:pPr>
            <w:r>
              <w:rPr>
                <w:rFonts w:cs="Arial"/>
                <w:color w:val="000000"/>
                <w:sz w:val="20"/>
                <w:lang w:eastAsia="en-AU"/>
              </w:rPr>
              <w:t>5</w:t>
            </w:r>
            <w:r w:rsidRPr="006A0E55">
              <w:rPr>
                <w:rFonts w:cs="Arial"/>
                <w:color w:val="000000"/>
                <w:sz w:val="20"/>
                <w:lang w:eastAsia="en-AU"/>
              </w:rPr>
              <w:t>%</w:t>
            </w:r>
          </w:p>
        </w:tc>
      </w:tr>
      <w:tr w:rsidR="003F6155" w:rsidRPr="006A0E55" w:rsidTr="00075414">
        <w:trPr>
          <w:cantSplit/>
          <w:trHeight w:val="300"/>
          <w:jc w:val="center"/>
        </w:trPr>
        <w:tc>
          <w:tcPr>
            <w:tcW w:w="4540" w:type="dxa"/>
            <w:gridSpan w:val="3"/>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Sub-bachelor</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20%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30%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20%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20%</w:t>
            </w:r>
          </w:p>
        </w:tc>
      </w:tr>
      <w:tr w:rsidR="003F6155" w:rsidRPr="006A0E55" w:rsidTr="00075414">
        <w:trPr>
          <w:cantSplit/>
          <w:trHeight w:val="300"/>
          <w:jc w:val="center"/>
        </w:trPr>
        <w:tc>
          <w:tcPr>
            <w:tcW w:w="4540" w:type="dxa"/>
            <w:gridSpan w:val="3"/>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Bachelor</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40%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40%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50%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40%</w:t>
            </w:r>
          </w:p>
        </w:tc>
      </w:tr>
      <w:tr w:rsidR="003F6155" w:rsidRPr="006A0E55" w:rsidTr="00075414">
        <w:trPr>
          <w:cantSplit/>
          <w:trHeight w:val="300"/>
          <w:jc w:val="center"/>
        </w:trPr>
        <w:tc>
          <w:tcPr>
            <w:tcW w:w="4540" w:type="dxa"/>
            <w:gridSpan w:val="3"/>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Postgraduate</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20%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20%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20%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30%</w:t>
            </w:r>
          </w:p>
        </w:tc>
      </w:tr>
      <w:tr w:rsidR="003F6155" w:rsidRPr="006A0E55" w:rsidTr="00075414">
        <w:trPr>
          <w:cantSplit/>
          <w:trHeight w:val="870"/>
          <w:jc w:val="center"/>
        </w:trPr>
        <w:tc>
          <w:tcPr>
            <w:tcW w:w="1678" w:type="dxa"/>
            <w:tcBorders>
              <w:top w:val="nil"/>
              <w:left w:val="nil"/>
              <w:bottom w:val="nil"/>
              <w:right w:val="nil"/>
            </w:tcBorders>
            <w:shd w:val="clear" w:color="000000" w:fill="F2F2F2"/>
            <w:vAlign w:val="center"/>
            <w:hideMark/>
          </w:tcPr>
          <w:p w:rsidR="003F6155" w:rsidRPr="006A0E55" w:rsidRDefault="003F6155" w:rsidP="00075414">
            <w:pPr>
              <w:jc w:val="center"/>
              <w:rPr>
                <w:b/>
                <w:bCs/>
                <w:i/>
                <w:iCs/>
                <w:color w:val="000000"/>
                <w:sz w:val="20"/>
                <w:lang w:eastAsia="en-AU"/>
              </w:rPr>
            </w:pPr>
            <w:r w:rsidRPr="006A0E55">
              <w:rPr>
                <w:rFonts w:cs="Arial"/>
                <w:b/>
                <w:bCs/>
                <w:i/>
                <w:iCs/>
                <w:color w:val="000000"/>
                <w:sz w:val="20"/>
                <w:lang w:eastAsia="en-AU"/>
              </w:rPr>
              <w:t>Constructed variables</w:t>
            </w:r>
          </w:p>
        </w:tc>
        <w:tc>
          <w:tcPr>
            <w:tcW w:w="1419" w:type="dxa"/>
            <w:tcBorders>
              <w:top w:val="nil"/>
              <w:left w:val="nil"/>
              <w:bottom w:val="nil"/>
              <w:right w:val="nil"/>
            </w:tcBorders>
            <w:shd w:val="clear" w:color="000000" w:fill="F2F2F2"/>
            <w:vAlign w:val="center"/>
            <w:hideMark/>
          </w:tcPr>
          <w:p w:rsidR="003F6155" w:rsidRPr="006A0E55" w:rsidRDefault="003F6155" w:rsidP="00075414">
            <w:pPr>
              <w:jc w:val="center"/>
              <w:rPr>
                <w:b/>
                <w:bCs/>
                <w:i/>
                <w:iCs/>
                <w:color w:val="000000"/>
                <w:sz w:val="20"/>
                <w:lang w:eastAsia="en-AU"/>
              </w:rPr>
            </w:pPr>
            <w:r w:rsidRPr="006A0E55">
              <w:rPr>
                <w:b/>
                <w:bCs/>
                <w:i/>
                <w:iCs/>
                <w:color w:val="000000"/>
                <w:sz w:val="20"/>
                <w:lang w:eastAsia="en-AU"/>
              </w:rPr>
              <w:t>Variable label</w:t>
            </w:r>
          </w:p>
        </w:tc>
        <w:tc>
          <w:tcPr>
            <w:tcW w:w="1443" w:type="dxa"/>
            <w:tcBorders>
              <w:top w:val="nil"/>
              <w:left w:val="nil"/>
              <w:bottom w:val="nil"/>
              <w:right w:val="nil"/>
            </w:tcBorders>
            <w:shd w:val="clear" w:color="000000" w:fill="F2F2F2"/>
            <w:vAlign w:val="center"/>
            <w:hideMark/>
          </w:tcPr>
          <w:p w:rsidR="003F6155" w:rsidRPr="006A0E55" w:rsidRDefault="003F6155" w:rsidP="00075414">
            <w:pPr>
              <w:jc w:val="center"/>
              <w:rPr>
                <w:b/>
                <w:bCs/>
                <w:i/>
                <w:iCs/>
                <w:color w:val="000000"/>
                <w:sz w:val="20"/>
                <w:lang w:eastAsia="en-AU"/>
              </w:rPr>
            </w:pPr>
            <w:r w:rsidRPr="006A0E55">
              <w:rPr>
                <w:b/>
                <w:bCs/>
                <w:i/>
                <w:iCs/>
                <w:color w:val="000000"/>
                <w:sz w:val="20"/>
                <w:lang w:eastAsia="en-AU"/>
              </w:rPr>
              <w:t>Corresponding coefficient</w:t>
            </w:r>
            <w:r>
              <w:rPr>
                <w:b/>
                <w:bCs/>
                <w:i/>
                <w:iCs/>
                <w:color w:val="000000"/>
                <w:sz w:val="20"/>
                <w:lang w:eastAsia="en-AU"/>
              </w:rPr>
              <w:t>s</w:t>
            </w:r>
          </w:p>
        </w:tc>
        <w:tc>
          <w:tcPr>
            <w:tcW w:w="960" w:type="dxa"/>
            <w:tcBorders>
              <w:top w:val="nil"/>
              <w:left w:val="nil"/>
              <w:bottom w:val="nil"/>
              <w:right w:val="nil"/>
            </w:tcBorders>
            <w:shd w:val="clear" w:color="000000" w:fill="F2F2F2"/>
            <w:vAlign w:val="center"/>
            <w:hideMark/>
          </w:tcPr>
          <w:p w:rsidR="003F6155" w:rsidRPr="006A0E55" w:rsidRDefault="003F6155" w:rsidP="00075414">
            <w:pPr>
              <w:jc w:val="center"/>
              <w:rPr>
                <w:color w:val="000000"/>
                <w:sz w:val="20"/>
                <w:lang w:eastAsia="en-AU"/>
              </w:rPr>
            </w:pPr>
            <w:r w:rsidRPr="006A0E55">
              <w:rPr>
                <w:color w:val="000000"/>
                <w:sz w:val="20"/>
                <w:lang w:eastAsia="en-AU"/>
              </w:rPr>
              <w:t> </w:t>
            </w:r>
          </w:p>
        </w:tc>
        <w:tc>
          <w:tcPr>
            <w:tcW w:w="960" w:type="dxa"/>
            <w:tcBorders>
              <w:top w:val="nil"/>
              <w:left w:val="nil"/>
              <w:bottom w:val="nil"/>
              <w:right w:val="nil"/>
            </w:tcBorders>
            <w:shd w:val="clear" w:color="000000" w:fill="F2F2F2"/>
            <w:vAlign w:val="center"/>
            <w:hideMark/>
          </w:tcPr>
          <w:p w:rsidR="003F6155" w:rsidRPr="006A0E55" w:rsidRDefault="003F6155" w:rsidP="00075414">
            <w:pPr>
              <w:jc w:val="center"/>
              <w:rPr>
                <w:color w:val="000000"/>
                <w:sz w:val="20"/>
                <w:lang w:eastAsia="en-AU"/>
              </w:rPr>
            </w:pPr>
            <w:r w:rsidRPr="006A0E55">
              <w:rPr>
                <w:color w:val="000000"/>
                <w:sz w:val="20"/>
                <w:lang w:eastAsia="en-AU"/>
              </w:rPr>
              <w:t> </w:t>
            </w:r>
          </w:p>
        </w:tc>
        <w:tc>
          <w:tcPr>
            <w:tcW w:w="960" w:type="dxa"/>
            <w:tcBorders>
              <w:top w:val="nil"/>
              <w:left w:val="nil"/>
              <w:bottom w:val="nil"/>
              <w:right w:val="nil"/>
            </w:tcBorders>
            <w:shd w:val="clear" w:color="000000" w:fill="F2F2F2"/>
            <w:vAlign w:val="center"/>
            <w:hideMark/>
          </w:tcPr>
          <w:p w:rsidR="003F6155" w:rsidRPr="006A0E55" w:rsidRDefault="003F6155" w:rsidP="00075414">
            <w:pPr>
              <w:jc w:val="center"/>
              <w:rPr>
                <w:color w:val="000000"/>
                <w:sz w:val="20"/>
                <w:lang w:eastAsia="en-AU"/>
              </w:rPr>
            </w:pPr>
            <w:r w:rsidRPr="006A0E55">
              <w:rPr>
                <w:color w:val="000000"/>
                <w:sz w:val="20"/>
                <w:lang w:eastAsia="en-AU"/>
              </w:rPr>
              <w:t> </w:t>
            </w:r>
          </w:p>
        </w:tc>
        <w:tc>
          <w:tcPr>
            <w:tcW w:w="960" w:type="dxa"/>
            <w:tcBorders>
              <w:top w:val="nil"/>
              <w:left w:val="nil"/>
              <w:bottom w:val="nil"/>
              <w:right w:val="nil"/>
            </w:tcBorders>
            <w:shd w:val="clear" w:color="000000" w:fill="F2F2F2"/>
            <w:vAlign w:val="center"/>
            <w:hideMark/>
          </w:tcPr>
          <w:p w:rsidR="003F6155" w:rsidRPr="006A0E55" w:rsidRDefault="003F6155" w:rsidP="00075414">
            <w:pPr>
              <w:jc w:val="center"/>
              <w:rPr>
                <w:color w:val="000000"/>
                <w:sz w:val="20"/>
                <w:lang w:eastAsia="en-AU"/>
              </w:rPr>
            </w:pPr>
            <w:r w:rsidRPr="006A0E55">
              <w:rPr>
                <w:color w:val="000000"/>
                <w:sz w:val="20"/>
                <w:lang w:eastAsia="en-AU"/>
              </w:rPr>
              <w:t> </w:t>
            </w:r>
          </w:p>
        </w:tc>
      </w:tr>
      <w:tr w:rsidR="003F6155" w:rsidRPr="006A0E55" w:rsidTr="00075414">
        <w:trPr>
          <w:cantSplit/>
          <w:trHeight w:val="840"/>
          <w:jc w:val="center"/>
        </w:trPr>
        <w:tc>
          <w:tcPr>
            <w:tcW w:w="1678" w:type="dxa"/>
            <w:tcBorders>
              <w:top w:val="nil"/>
              <w:left w:val="nil"/>
              <w:bottom w:val="nil"/>
              <w:right w:val="nil"/>
            </w:tcBorders>
            <w:shd w:val="clear" w:color="auto" w:fill="auto"/>
            <w:vAlign w:val="center"/>
            <w:hideMark/>
          </w:tcPr>
          <w:p w:rsidR="003F6155" w:rsidRPr="006A0E55" w:rsidRDefault="003F6155" w:rsidP="00075414">
            <w:pPr>
              <w:rPr>
                <w:color w:val="000000"/>
                <w:sz w:val="20"/>
                <w:lang w:eastAsia="en-AU"/>
              </w:rPr>
            </w:pPr>
            <w:r w:rsidRPr="006A0E55">
              <w:rPr>
                <w:rFonts w:cs="Arial"/>
                <w:color w:val="000000"/>
                <w:sz w:val="20"/>
                <w:lang w:eastAsia="en-AU"/>
              </w:rPr>
              <w:t>Sub-bachelor or higher</w:t>
            </w:r>
          </w:p>
        </w:tc>
        <w:tc>
          <w:tcPr>
            <w:tcW w:w="1419" w:type="dxa"/>
            <w:tcBorders>
              <w:top w:val="nil"/>
              <w:left w:val="nil"/>
              <w:bottom w:val="nil"/>
              <w:right w:val="nil"/>
            </w:tcBorders>
            <w:shd w:val="clear" w:color="auto" w:fill="auto"/>
            <w:vAlign w:val="center"/>
            <w:hideMark/>
          </w:tcPr>
          <w:p w:rsidR="003F6155" w:rsidRPr="006A0E55" w:rsidRDefault="009F06EE" w:rsidP="00075414">
            <w:pPr>
              <w:pStyle w:val="NormalWeb"/>
              <w:spacing w:before="0" w:beforeAutospacing="0" w:after="0" w:afterAutospacing="0"/>
              <w:jc w:val="center"/>
            </w:pPr>
            <m:oMathPara>
              <m:oMath>
                <m:sSub>
                  <m:sSubPr>
                    <m:ctrlPr>
                      <w:rPr>
                        <w:rFonts w:ascii="Cambria Math" w:hAnsi="Cambria Math" w:cstheme="minorBidi"/>
                        <w:i/>
                        <w:iCs/>
                        <w:color w:val="000000" w:themeColor="text1"/>
                        <w:sz w:val="22"/>
                        <w:szCs w:val="22"/>
                      </w:rPr>
                    </m:ctrlPr>
                  </m:sSubPr>
                  <m:e>
                    <m:acc>
                      <m:accPr>
                        <m:chr m:val="̅"/>
                        <m:ctrlPr>
                          <w:rPr>
                            <w:rFonts w:ascii="Cambria Math" w:hAnsi="Cambria Math" w:cstheme="minorBidi"/>
                            <w:i/>
                            <w:iCs/>
                            <w:color w:val="000000" w:themeColor="text1"/>
                            <w:sz w:val="22"/>
                            <w:szCs w:val="22"/>
                          </w:rPr>
                        </m:ctrlPr>
                      </m:accPr>
                      <m:e>
                        <m:r>
                          <w:rPr>
                            <w:rFonts w:ascii="Cambria Math" w:hAnsi="Cambria Math" w:cstheme="minorBidi"/>
                            <w:color w:val="000000" w:themeColor="text1"/>
                            <w:sz w:val="22"/>
                            <w:szCs w:val="22"/>
                          </w:rPr>
                          <m:t>E</m:t>
                        </m:r>
                      </m:e>
                    </m:acc>
                  </m:e>
                  <m:sub>
                    <m:r>
                      <w:rPr>
                        <w:rFonts w:ascii="Cambria Math" w:hAnsi="Cambria Math" w:cstheme="minorBidi"/>
                        <w:color w:val="000000" w:themeColor="text1"/>
                        <w:sz w:val="22"/>
                        <w:szCs w:val="22"/>
                      </w:rPr>
                      <m:t>r1t</m:t>
                    </m:r>
                  </m:sub>
                </m:sSub>
              </m:oMath>
            </m:oMathPara>
          </w:p>
        </w:tc>
        <w:tc>
          <w:tcPr>
            <w:tcW w:w="1443" w:type="dxa"/>
            <w:tcBorders>
              <w:top w:val="nil"/>
              <w:left w:val="nil"/>
              <w:bottom w:val="nil"/>
              <w:right w:val="nil"/>
            </w:tcBorders>
            <w:shd w:val="clear" w:color="auto" w:fill="auto"/>
            <w:vAlign w:val="center"/>
          </w:tcPr>
          <w:p w:rsidR="003F6155" w:rsidRPr="006A0E55" w:rsidRDefault="009F06EE" w:rsidP="00075414">
            <w:pPr>
              <w:rPr>
                <w:color w:val="000000"/>
                <w:sz w:val="20"/>
                <w:lang w:eastAsia="en-AU"/>
              </w:rPr>
            </w:pPr>
            <m:oMathPara>
              <m:oMath>
                <m:sSub>
                  <m:sSubPr>
                    <m:ctrlPr>
                      <w:rPr>
                        <w:rFonts w:ascii="Cambria Math" w:eastAsiaTheme="minorEastAsia" w:hAnsi="Cambria Math" w:cstheme="minorBidi"/>
                        <w:i/>
                        <w:iCs/>
                        <w:color w:val="000000" w:themeColor="text1"/>
                        <w:szCs w:val="22"/>
                      </w:rPr>
                    </m:ctrlPr>
                  </m:sSubPr>
                  <m:e>
                    <m:r>
                      <w:rPr>
                        <w:rFonts w:ascii="Cambria Math" w:hAnsi="Cambria Math" w:cstheme="minorBidi"/>
                        <w:color w:val="000000" w:themeColor="text1"/>
                        <w:szCs w:val="22"/>
                      </w:rPr>
                      <m:t>θ</m:t>
                    </m:r>
                  </m:e>
                  <m:sub>
                    <m:r>
                      <w:rPr>
                        <w:rFonts w:ascii="Cambria Math" w:hAnsi="Cambria Math" w:cstheme="minorBidi"/>
                        <w:color w:val="000000" w:themeColor="text1"/>
                        <w:szCs w:val="22"/>
                      </w:rPr>
                      <m:t>j1</m:t>
                    </m:r>
                  </m:sub>
                </m:sSub>
              </m:oMath>
            </m:oMathPara>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80%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90%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90%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90%</w:t>
            </w:r>
          </w:p>
        </w:tc>
      </w:tr>
      <w:tr w:rsidR="003F6155" w:rsidRPr="006A0E55" w:rsidTr="00075414">
        <w:trPr>
          <w:cantSplit/>
          <w:trHeight w:val="570"/>
          <w:jc w:val="center"/>
        </w:trPr>
        <w:tc>
          <w:tcPr>
            <w:tcW w:w="1678" w:type="dxa"/>
            <w:tcBorders>
              <w:top w:val="nil"/>
              <w:left w:val="nil"/>
              <w:bottom w:val="nil"/>
              <w:right w:val="nil"/>
            </w:tcBorders>
            <w:shd w:val="clear" w:color="auto" w:fill="auto"/>
            <w:vAlign w:val="center"/>
            <w:hideMark/>
          </w:tcPr>
          <w:p w:rsidR="003F6155" w:rsidRPr="006A0E55" w:rsidRDefault="003F6155" w:rsidP="00075414">
            <w:pPr>
              <w:rPr>
                <w:color w:val="000000"/>
                <w:sz w:val="20"/>
                <w:lang w:eastAsia="en-AU"/>
              </w:rPr>
            </w:pPr>
            <w:r w:rsidRPr="006A0E55">
              <w:rPr>
                <w:rFonts w:cs="Arial"/>
                <w:color w:val="000000"/>
                <w:sz w:val="20"/>
                <w:lang w:eastAsia="en-AU"/>
              </w:rPr>
              <w:t>Bachelor or higher</w:t>
            </w:r>
          </w:p>
        </w:tc>
        <w:tc>
          <w:tcPr>
            <w:tcW w:w="1419" w:type="dxa"/>
            <w:tcBorders>
              <w:top w:val="nil"/>
              <w:left w:val="nil"/>
              <w:bottom w:val="nil"/>
              <w:right w:val="nil"/>
            </w:tcBorders>
            <w:shd w:val="clear" w:color="auto" w:fill="auto"/>
            <w:vAlign w:val="center"/>
            <w:hideMark/>
          </w:tcPr>
          <w:p w:rsidR="003F6155" w:rsidRPr="006A0E55" w:rsidRDefault="009F06EE" w:rsidP="00075414">
            <w:pPr>
              <w:jc w:val="center"/>
              <w:rPr>
                <w:color w:val="000000"/>
                <w:sz w:val="20"/>
                <w:lang w:eastAsia="en-AU"/>
              </w:rPr>
            </w:pPr>
            <m:oMathPara>
              <m:oMath>
                <m:sSub>
                  <m:sSubPr>
                    <m:ctrlPr>
                      <w:rPr>
                        <w:rFonts w:ascii="Cambria Math" w:eastAsiaTheme="minorEastAsia" w:hAnsi="Cambria Math" w:cstheme="minorBidi"/>
                        <w:i/>
                        <w:iCs/>
                        <w:color w:val="000000" w:themeColor="text1"/>
                        <w:szCs w:val="22"/>
                      </w:rPr>
                    </m:ctrlPr>
                  </m:sSubPr>
                  <m:e>
                    <m:acc>
                      <m:accPr>
                        <m:chr m:val="̅"/>
                        <m:ctrlPr>
                          <w:rPr>
                            <w:rFonts w:ascii="Cambria Math" w:eastAsiaTheme="minorEastAsia" w:hAnsi="Cambria Math" w:cstheme="minorBidi"/>
                            <w:i/>
                            <w:iCs/>
                            <w:color w:val="000000" w:themeColor="text1"/>
                            <w:szCs w:val="22"/>
                          </w:rPr>
                        </m:ctrlPr>
                      </m:accPr>
                      <m:e>
                        <m:r>
                          <w:rPr>
                            <w:rFonts w:ascii="Cambria Math" w:hAnsi="Cambria Math" w:cstheme="minorBidi"/>
                            <w:color w:val="000000" w:themeColor="text1"/>
                            <w:szCs w:val="22"/>
                          </w:rPr>
                          <m:t>E</m:t>
                        </m:r>
                      </m:e>
                    </m:acc>
                  </m:e>
                  <m:sub>
                    <m:r>
                      <w:rPr>
                        <w:rFonts w:ascii="Cambria Math" w:hAnsi="Cambria Math" w:cstheme="minorBidi"/>
                        <w:color w:val="000000" w:themeColor="text1"/>
                        <w:szCs w:val="22"/>
                      </w:rPr>
                      <m:t>r2t</m:t>
                    </m:r>
                  </m:sub>
                </m:sSub>
              </m:oMath>
            </m:oMathPara>
          </w:p>
        </w:tc>
        <w:tc>
          <w:tcPr>
            <w:tcW w:w="1443" w:type="dxa"/>
            <w:tcBorders>
              <w:top w:val="nil"/>
              <w:left w:val="nil"/>
              <w:bottom w:val="nil"/>
              <w:right w:val="nil"/>
            </w:tcBorders>
            <w:shd w:val="clear" w:color="auto" w:fill="auto"/>
            <w:vAlign w:val="center"/>
          </w:tcPr>
          <w:p w:rsidR="003F6155" w:rsidRPr="006A0E55" w:rsidRDefault="009F06EE" w:rsidP="00075414">
            <w:pPr>
              <w:rPr>
                <w:color w:val="000000"/>
                <w:sz w:val="20"/>
                <w:lang w:eastAsia="en-AU"/>
              </w:rPr>
            </w:pPr>
            <m:oMathPara>
              <m:oMath>
                <m:sSub>
                  <m:sSubPr>
                    <m:ctrlPr>
                      <w:rPr>
                        <w:rFonts w:ascii="Cambria Math" w:eastAsiaTheme="minorEastAsia" w:hAnsi="Cambria Math" w:cstheme="minorBidi"/>
                        <w:i/>
                        <w:iCs/>
                        <w:color w:val="000000" w:themeColor="text1"/>
                        <w:szCs w:val="22"/>
                      </w:rPr>
                    </m:ctrlPr>
                  </m:sSubPr>
                  <m:e>
                    <m:r>
                      <w:rPr>
                        <w:rFonts w:ascii="Cambria Math" w:hAnsi="Cambria Math" w:cstheme="minorBidi"/>
                        <w:color w:val="000000" w:themeColor="text1"/>
                        <w:szCs w:val="22"/>
                      </w:rPr>
                      <m:t>θ</m:t>
                    </m:r>
                  </m:e>
                  <m:sub>
                    <m:r>
                      <w:rPr>
                        <w:rFonts w:ascii="Cambria Math" w:hAnsi="Cambria Math" w:cstheme="minorBidi"/>
                        <w:color w:val="000000" w:themeColor="text1"/>
                        <w:szCs w:val="22"/>
                      </w:rPr>
                      <m:t>j2</m:t>
                    </m:r>
                  </m:sub>
                </m:sSub>
              </m:oMath>
            </m:oMathPara>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60%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60%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70%</w:t>
            </w:r>
          </w:p>
        </w:tc>
        <w:tc>
          <w:tcPr>
            <w:tcW w:w="960" w:type="dxa"/>
            <w:tcBorders>
              <w:top w:val="nil"/>
              <w:left w:val="nil"/>
              <w:bottom w:val="nil"/>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70%</w:t>
            </w:r>
          </w:p>
        </w:tc>
      </w:tr>
      <w:tr w:rsidR="003F6155" w:rsidRPr="006A0E55" w:rsidTr="00075414">
        <w:trPr>
          <w:cantSplit/>
          <w:trHeight w:val="570"/>
          <w:jc w:val="center"/>
        </w:trPr>
        <w:tc>
          <w:tcPr>
            <w:tcW w:w="1678" w:type="dxa"/>
            <w:tcBorders>
              <w:top w:val="nil"/>
              <w:left w:val="nil"/>
              <w:bottom w:val="single" w:sz="12" w:space="0" w:color="002776"/>
              <w:right w:val="nil"/>
            </w:tcBorders>
            <w:shd w:val="clear" w:color="auto" w:fill="auto"/>
            <w:vAlign w:val="center"/>
            <w:hideMark/>
          </w:tcPr>
          <w:p w:rsidR="003F6155" w:rsidRPr="006A0E55" w:rsidRDefault="003F6155" w:rsidP="00075414">
            <w:pPr>
              <w:rPr>
                <w:color w:val="000000"/>
                <w:sz w:val="20"/>
                <w:lang w:eastAsia="en-AU"/>
              </w:rPr>
            </w:pPr>
            <w:r w:rsidRPr="006A0E55">
              <w:rPr>
                <w:rFonts w:cs="Arial"/>
                <w:color w:val="000000"/>
                <w:sz w:val="20"/>
                <w:lang w:eastAsia="en-AU"/>
              </w:rPr>
              <w:t>Postgraduate or higher</w:t>
            </w:r>
          </w:p>
        </w:tc>
        <w:tc>
          <w:tcPr>
            <w:tcW w:w="1419" w:type="dxa"/>
            <w:tcBorders>
              <w:top w:val="nil"/>
              <w:left w:val="nil"/>
              <w:bottom w:val="single" w:sz="12" w:space="0" w:color="002776"/>
              <w:right w:val="nil"/>
            </w:tcBorders>
            <w:shd w:val="clear" w:color="auto" w:fill="auto"/>
            <w:vAlign w:val="center"/>
            <w:hideMark/>
          </w:tcPr>
          <w:p w:rsidR="003F6155" w:rsidRPr="006A0E55" w:rsidRDefault="009F06EE" w:rsidP="00075414">
            <w:pPr>
              <w:jc w:val="center"/>
              <w:rPr>
                <w:color w:val="000000"/>
                <w:sz w:val="20"/>
                <w:lang w:eastAsia="en-AU"/>
              </w:rPr>
            </w:pPr>
            <m:oMathPara>
              <m:oMath>
                <m:sSub>
                  <m:sSubPr>
                    <m:ctrlPr>
                      <w:rPr>
                        <w:rFonts w:ascii="Cambria Math" w:eastAsiaTheme="minorEastAsia" w:hAnsi="Cambria Math" w:cstheme="minorBidi"/>
                        <w:i/>
                        <w:iCs/>
                        <w:color w:val="000000" w:themeColor="text1"/>
                        <w:szCs w:val="22"/>
                      </w:rPr>
                    </m:ctrlPr>
                  </m:sSubPr>
                  <m:e>
                    <m:acc>
                      <m:accPr>
                        <m:chr m:val="̅"/>
                        <m:ctrlPr>
                          <w:rPr>
                            <w:rFonts w:ascii="Cambria Math" w:eastAsiaTheme="minorEastAsia" w:hAnsi="Cambria Math" w:cstheme="minorBidi"/>
                            <w:i/>
                            <w:iCs/>
                            <w:color w:val="000000" w:themeColor="text1"/>
                            <w:szCs w:val="22"/>
                          </w:rPr>
                        </m:ctrlPr>
                      </m:accPr>
                      <m:e>
                        <m:r>
                          <w:rPr>
                            <w:rFonts w:ascii="Cambria Math" w:hAnsi="Cambria Math" w:cstheme="minorBidi"/>
                            <w:color w:val="000000" w:themeColor="text1"/>
                            <w:szCs w:val="22"/>
                          </w:rPr>
                          <m:t>E</m:t>
                        </m:r>
                      </m:e>
                    </m:acc>
                  </m:e>
                  <m:sub>
                    <m:r>
                      <w:rPr>
                        <w:rFonts w:ascii="Cambria Math" w:hAnsi="Cambria Math" w:cstheme="minorBidi"/>
                        <w:color w:val="000000" w:themeColor="text1"/>
                        <w:szCs w:val="22"/>
                      </w:rPr>
                      <m:t>r2t</m:t>
                    </m:r>
                  </m:sub>
                </m:sSub>
              </m:oMath>
            </m:oMathPara>
          </w:p>
        </w:tc>
        <w:tc>
          <w:tcPr>
            <w:tcW w:w="1443" w:type="dxa"/>
            <w:tcBorders>
              <w:top w:val="nil"/>
              <w:left w:val="nil"/>
              <w:bottom w:val="single" w:sz="12" w:space="0" w:color="002776"/>
              <w:right w:val="nil"/>
            </w:tcBorders>
            <w:shd w:val="clear" w:color="auto" w:fill="auto"/>
            <w:vAlign w:val="center"/>
          </w:tcPr>
          <w:p w:rsidR="003F6155" w:rsidRPr="006A0E55" w:rsidRDefault="009F06EE" w:rsidP="00075414">
            <w:pPr>
              <w:rPr>
                <w:color w:val="000000"/>
                <w:sz w:val="20"/>
                <w:lang w:eastAsia="en-AU"/>
              </w:rPr>
            </w:pPr>
            <m:oMathPara>
              <m:oMath>
                <m:sSub>
                  <m:sSubPr>
                    <m:ctrlPr>
                      <w:rPr>
                        <w:rFonts w:ascii="Cambria Math" w:eastAsiaTheme="minorEastAsia" w:hAnsi="Cambria Math" w:cstheme="minorBidi"/>
                        <w:i/>
                        <w:iCs/>
                        <w:color w:val="000000" w:themeColor="text1"/>
                        <w:szCs w:val="22"/>
                      </w:rPr>
                    </m:ctrlPr>
                  </m:sSubPr>
                  <m:e>
                    <m:r>
                      <w:rPr>
                        <w:rFonts w:ascii="Cambria Math" w:hAnsi="Cambria Math" w:cstheme="minorBidi"/>
                        <w:color w:val="000000" w:themeColor="text1"/>
                        <w:szCs w:val="22"/>
                      </w:rPr>
                      <m:t>θ</m:t>
                    </m:r>
                  </m:e>
                  <m:sub>
                    <m:r>
                      <w:rPr>
                        <w:rFonts w:ascii="Cambria Math" w:hAnsi="Cambria Math" w:cstheme="minorBidi"/>
                        <w:color w:val="000000" w:themeColor="text1"/>
                        <w:szCs w:val="22"/>
                      </w:rPr>
                      <m:t>j3</m:t>
                    </m:r>
                  </m:sub>
                </m:sSub>
              </m:oMath>
            </m:oMathPara>
          </w:p>
        </w:tc>
        <w:tc>
          <w:tcPr>
            <w:tcW w:w="960" w:type="dxa"/>
            <w:tcBorders>
              <w:top w:val="nil"/>
              <w:left w:val="nil"/>
              <w:bottom w:val="single" w:sz="12" w:space="0" w:color="002776"/>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20%</w:t>
            </w:r>
          </w:p>
        </w:tc>
        <w:tc>
          <w:tcPr>
            <w:tcW w:w="960" w:type="dxa"/>
            <w:tcBorders>
              <w:top w:val="nil"/>
              <w:left w:val="nil"/>
              <w:bottom w:val="single" w:sz="12" w:space="0" w:color="002776"/>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20%</w:t>
            </w:r>
          </w:p>
        </w:tc>
        <w:tc>
          <w:tcPr>
            <w:tcW w:w="960" w:type="dxa"/>
            <w:tcBorders>
              <w:top w:val="nil"/>
              <w:left w:val="nil"/>
              <w:bottom w:val="single" w:sz="12" w:space="0" w:color="002776"/>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20%</w:t>
            </w:r>
          </w:p>
        </w:tc>
        <w:tc>
          <w:tcPr>
            <w:tcW w:w="960" w:type="dxa"/>
            <w:tcBorders>
              <w:top w:val="nil"/>
              <w:left w:val="nil"/>
              <w:bottom w:val="single" w:sz="12" w:space="0" w:color="002776"/>
              <w:right w:val="nil"/>
            </w:tcBorders>
            <w:shd w:val="clear" w:color="auto" w:fill="auto"/>
            <w:vAlign w:val="center"/>
            <w:hideMark/>
          </w:tcPr>
          <w:p w:rsidR="003F6155" w:rsidRPr="006A0E55" w:rsidRDefault="003F6155" w:rsidP="00075414">
            <w:pPr>
              <w:jc w:val="center"/>
              <w:rPr>
                <w:color w:val="000000"/>
                <w:sz w:val="20"/>
                <w:lang w:eastAsia="en-AU"/>
              </w:rPr>
            </w:pPr>
            <w:r w:rsidRPr="006A0E55">
              <w:rPr>
                <w:rFonts w:cs="Arial"/>
                <w:color w:val="000000"/>
                <w:sz w:val="20"/>
                <w:lang w:eastAsia="en-AU"/>
              </w:rPr>
              <w:t>30%</w:t>
            </w:r>
          </w:p>
        </w:tc>
      </w:tr>
    </w:tbl>
    <w:p w:rsidR="003F6155" w:rsidRDefault="003F6155" w:rsidP="003F6155">
      <w:pPr>
        <w:pStyle w:val="BodyText"/>
      </w:pPr>
      <w:r>
        <w:t xml:space="preserve">Regardless of the construction of the average level of education variable, it is important to note that there is a certain degree of simultaneity </w:t>
      </w:r>
      <w:r w:rsidR="002C44E5">
        <w:t xml:space="preserve">underlying the </w:t>
      </w:r>
      <w:r>
        <w:t>analysis, given depend</w:t>
      </w:r>
      <w:r w:rsidR="002C44E5">
        <w:t xml:space="preserve">encies between </w:t>
      </w:r>
      <w:r>
        <w:t xml:space="preserve">regional labour markets. </w:t>
      </w:r>
      <w:r w:rsidR="001D5B1F">
        <w:t>For example, if</w:t>
      </w:r>
      <w:r>
        <w:t xml:space="preserve"> a regional labour market receives an exogenous shift of labour from a low skill level to a higher skill level, </w:t>
      </w:r>
      <w:r w:rsidR="001D5B1F">
        <w:t xml:space="preserve">then </w:t>
      </w:r>
      <w:r>
        <w:t xml:space="preserve">this </w:t>
      </w:r>
      <w:r w:rsidR="001D5B1F">
        <w:t xml:space="preserve">may </w:t>
      </w:r>
      <w:r>
        <w:t>increase the productivity and wage</w:t>
      </w:r>
      <w:r w:rsidR="001D5B1F">
        <w:t>s</w:t>
      </w:r>
      <w:r>
        <w:t xml:space="preserve"> </w:t>
      </w:r>
      <w:r w:rsidR="001D5B1F">
        <w:t>of</w:t>
      </w:r>
      <w:r>
        <w:t xml:space="preserve"> the remaining low skill level group. Other</w:t>
      </w:r>
      <w:r w:rsidR="001D5B1F">
        <w:t xml:space="preserve"> low skill workers may</w:t>
      </w:r>
      <w:r>
        <w:t xml:space="preserve"> be drawn into that labour segment, either from outside the region, or </w:t>
      </w:r>
      <w:r w:rsidR="001D5B1F">
        <w:t>from</w:t>
      </w:r>
      <w:r>
        <w:t xml:space="preserve"> outside the labour force. These extra workers will dampen the observed wage increase </w:t>
      </w:r>
      <w:r w:rsidR="001D5B1F">
        <w:t xml:space="preserve">of </w:t>
      </w:r>
      <w:r>
        <w:t xml:space="preserve">those initially ‘left behind’ in the lower skilled segment of the labour force. </w:t>
      </w:r>
    </w:p>
    <w:p w:rsidR="003F6155" w:rsidRDefault="003F6155" w:rsidP="003F6155">
      <w:pPr>
        <w:pStyle w:val="HeadingC"/>
      </w:pPr>
      <w:r>
        <w:t>Results</w:t>
      </w:r>
    </w:p>
    <w:p w:rsidR="00590EF1" w:rsidRDefault="003F6155" w:rsidP="003F6155">
      <w:pPr>
        <w:pStyle w:val="BodyText"/>
      </w:pPr>
      <w:r>
        <w:t xml:space="preserve">The full results of this analysis are presented in </w:t>
      </w:r>
      <w:r>
        <w:fldChar w:fldCharType="begin"/>
      </w:r>
      <w:r>
        <w:instrText xml:space="preserve"> REF _Ref460588527 \r \h </w:instrText>
      </w:r>
      <w:r>
        <w:fldChar w:fldCharType="separate"/>
      </w:r>
      <w:r w:rsidR="00534F9F">
        <w:t>Table B.8</w:t>
      </w:r>
      <w:r>
        <w:fldChar w:fldCharType="end"/>
      </w:r>
      <w:r>
        <w:t xml:space="preserve">. Column (1) provides the results of the model with just the </w:t>
      </w:r>
      <w:r w:rsidR="002C44E5">
        <w:t xml:space="preserve">higher education </w:t>
      </w:r>
      <w:r>
        <w:t xml:space="preserve">qualification, proportion of population in a region with the </w:t>
      </w:r>
      <w:r w:rsidR="002C44E5">
        <w:t>higher education</w:t>
      </w:r>
      <w:r>
        <w:t xml:space="preserve"> qualification, and the interaction term. This shows that there is a positive relationship between the proportion of individuals in a region with a higher education qualification and weekly wages. Column (2) adds in controls for field of education, and the positive relationship still holds. </w:t>
      </w:r>
    </w:p>
    <w:p w:rsidR="003F6155" w:rsidRPr="00592A47" w:rsidRDefault="003F6155" w:rsidP="003F6155">
      <w:pPr>
        <w:pStyle w:val="BodyText"/>
      </w:pPr>
      <w:r>
        <w:t xml:space="preserve">Column (3) presents the full model, with controls for labour market characteristics demographics and cognitive ability. In this model, the coefficient on proportion of population in region with </w:t>
      </w:r>
      <w:r w:rsidR="002C44E5">
        <w:t xml:space="preserve">higher education </w:t>
      </w:r>
      <w:r>
        <w:t xml:space="preserve">qualification is much smaller, and no longer significant – suggesting that various demographic and labour force characteristics are stronger drivers of wage variation </w:t>
      </w:r>
      <w:r w:rsidR="002C44E5">
        <w:t xml:space="preserve">than </w:t>
      </w:r>
      <w:r w:rsidR="00CE5587">
        <w:t xml:space="preserve">are </w:t>
      </w:r>
      <w:r w:rsidR="002C44E5">
        <w:t>the regional effects.</w:t>
      </w:r>
      <w:r>
        <w:t xml:space="preserve">  </w:t>
      </w:r>
    </w:p>
    <w:p w:rsidR="003F6155" w:rsidRPr="008C53C4" w:rsidRDefault="003F6155" w:rsidP="003F6155">
      <w:pPr>
        <w:pStyle w:val="AppendixTableCaption"/>
      </w:pPr>
      <w:bookmarkStart w:id="332" w:name="_Ref460588527"/>
      <w:bookmarkStart w:id="333" w:name="_Toc465961141"/>
      <w:r w:rsidRPr="008C53C4">
        <w:t>:</w:t>
      </w:r>
      <w:r>
        <w:t xml:space="preserve"> Coefficient estimates </w:t>
      </w:r>
      <w:bookmarkEnd w:id="332"/>
      <w:r>
        <w:t>of labour productivity spillovers from higher education</w:t>
      </w:r>
      <w:bookmarkEnd w:id="333"/>
    </w:p>
    <w:tbl>
      <w:tblPr>
        <w:tblStyle w:val="TableAE"/>
        <w:tblW w:w="0" w:type="auto"/>
        <w:tblLayout w:type="fixed"/>
        <w:tblLook w:val="04A0" w:firstRow="1" w:lastRow="0" w:firstColumn="1" w:lastColumn="0" w:noHBand="0" w:noVBand="1"/>
      </w:tblPr>
      <w:tblGrid>
        <w:gridCol w:w="2847"/>
        <w:gridCol w:w="1688"/>
        <w:gridCol w:w="1688"/>
        <w:gridCol w:w="1688"/>
      </w:tblGrid>
      <w:tr w:rsidR="003F6155" w:rsidRPr="008C53C4" w:rsidTr="00075414">
        <w:trPr>
          <w:cnfStyle w:val="100000000000" w:firstRow="1" w:lastRow="0" w:firstColumn="0" w:lastColumn="0" w:oddVBand="0" w:evenVBand="0" w:oddHBand="0" w:evenHBand="0" w:firstRowFirstColumn="0" w:firstRowLastColumn="0" w:lastRowFirstColumn="0" w:lastRowLastColumn="0"/>
          <w:tblHeader/>
        </w:trPr>
        <w:tc>
          <w:tcPr>
            <w:tcW w:w="2847" w:type="dxa"/>
          </w:tcPr>
          <w:p w:rsidR="003F6155" w:rsidRPr="008C53C4" w:rsidRDefault="003F6155" w:rsidP="00075414">
            <w:pPr>
              <w:pStyle w:val="TableHeadingCentre"/>
            </w:pPr>
            <w:r>
              <w:t>Dependent variable: log weekly wages</w:t>
            </w:r>
          </w:p>
        </w:tc>
        <w:tc>
          <w:tcPr>
            <w:tcW w:w="1688" w:type="dxa"/>
          </w:tcPr>
          <w:p w:rsidR="003F6155" w:rsidRDefault="003F6155" w:rsidP="00075414">
            <w:pPr>
              <w:pStyle w:val="TableHeadingCentre"/>
            </w:pPr>
            <w:r>
              <w:t>(1)</w:t>
            </w:r>
          </w:p>
          <w:p w:rsidR="00CE6D67" w:rsidRDefault="00CE6D67" w:rsidP="00075414">
            <w:pPr>
              <w:pStyle w:val="TableHeadingCentre"/>
            </w:pPr>
            <w:r>
              <w:t>Qual. only</w:t>
            </w:r>
          </w:p>
        </w:tc>
        <w:tc>
          <w:tcPr>
            <w:tcW w:w="1688" w:type="dxa"/>
          </w:tcPr>
          <w:p w:rsidR="003F6155" w:rsidRDefault="003F6155" w:rsidP="00075414">
            <w:pPr>
              <w:pStyle w:val="TableHeadingCentre"/>
            </w:pPr>
            <w:r>
              <w:t>(2)</w:t>
            </w:r>
          </w:p>
          <w:p w:rsidR="00CE6D67" w:rsidRDefault="00CE6D67" w:rsidP="00CE6D67">
            <w:pPr>
              <w:pStyle w:val="TableHeadingCentre"/>
            </w:pPr>
            <w:r>
              <w:t xml:space="preserve">Incl. FOE </w:t>
            </w:r>
          </w:p>
        </w:tc>
        <w:tc>
          <w:tcPr>
            <w:tcW w:w="1688" w:type="dxa"/>
          </w:tcPr>
          <w:p w:rsidR="003F6155" w:rsidRDefault="003F6155" w:rsidP="00075414">
            <w:pPr>
              <w:pStyle w:val="TableHeadingCentre"/>
            </w:pPr>
            <w:r>
              <w:t>(3)</w:t>
            </w:r>
          </w:p>
          <w:p w:rsidR="00CE6D67" w:rsidRPr="008C53C4" w:rsidRDefault="00CE6D67" w:rsidP="00075414">
            <w:pPr>
              <w:pStyle w:val="TableHeadingCentre"/>
            </w:pPr>
            <w:r>
              <w:t xml:space="preserve"> Full model</w:t>
            </w:r>
          </w:p>
        </w:tc>
      </w:tr>
      <w:tr w:rsidR="003F6155" w:rsidRPr="003B4549" w:rsidTr="00075414">
        <w:tc>
          <w:tcPr>
            <w:tcW w:w="2847" w:type="dxa"/>
            <w:shd w:val="clear" w:color="auto" w:fill="D9D9D9" w:themeFill="background1" w:themeFillShade="D9"/>
            <w:vAlign w:val="center"/>
          </w:tcPr>
          <w:p w:rsidR="003F6155" w:rsidRPr="001061F7" w:rsidRDefault="003F6155" w:rsidP="00075414">
            <w:pPr>
              <w:pStyle w:val="TabletextLeft"/>
              <w:rPr>
                <w:b/>
              </w:rPr>
            </w:pPr>
            <w:r w:rsidRPr="001061F7">
              <w:rPr>
                <w:b/>
              </w:rPr>
              <w:t xml:space="preserve">Qualification level </w:t>
            </w:r>
          </w:p>
        </w:tc>
        <w:tc>
          <w:tcPr>
            <w:tcW w:w="1688" w:type="dxa"/>
            <w:shd w:val="clear" w:color="auto" w:fill="D9D9D9" w:themeFill="background1" w:themeFillShade="D9"/>
            <w:vAlign w:val="center"/>
          </w:tcPr>
          <w:p w:rsidR="003F6155" w:rsidRPr="001061F7" w:rsidRDefault="003F6155" w:rsidP="00075414">
            <w:pPr>
              <w:pStyle w:val="TabletextLeft"/>
              <w:jc w:val="center"/>
              <w:rPr>
                <w:b/>
              </w:rPr>
            </w:pPr>
          </w:p>
        </w:tc>
        <w:tc>
          <w:tcPr>
            <w:tcW w:w="1688" w:type="dxa"/>
            <w:shd w:val="clear" w:color="auto" w:fill="D9D9D9" w:themeFill="background1" w:themeFillShade="D9"/>
            <w:vAlign w:val="center"/>
          </w:tcPr>
          <w:p w:rsidR="003F6155" w:rsidRPr="001061F7" w:rsidRDefault="003F6155" w:rsidP="00075414">
            <w:pPr>
              <w:pStyle w:val="TabletextLeft"/>
              <w:jc w:val="center"/>
              <w:rPr>
                <w:b/>
              </w:rPr>
            </w:pPr>
          </w:p>
        </w:tc>
        <w:tc>
          <w:tcPr>
            <w:tcW w:w="1688" w:type="dxa"/>
            <w:shd w:val="clear" w:color="auto" w:fill="D9D9D9" w:themeFill="background1" w:themeFillShade="D9"/>
          </w:tcPr>
          <w:p w:rsidR="003F6155" w:rsidRPr="003B4549" w:rsidRDefault="003F6155" w:rsidP="00075414">
            <w:pPr>
              <w:pStyle w:val="TabletextLeft"/>
              <w:jc w:val="center"/>
              <w:rPr>
                <w:b/>
              </w:rPr>
            </w:pPr>
          </w:p>
        </w:tc>
      </w:tr>
      <w:tr w:rsidR="003F6155" w:rsidRPr="008C53C4" w:rsidTr="00075414">
        <w:tc>
          <w:tcPr>
            <w:tcW w:w="2847" w:type="dxa"/>
            <w:vAlign w:val="center"/>
          </w:tcPr>
          <w:p w:rsidR="003F6155" w:rsidRPr="008C53C4" w:rsidRDefault="003F6155" w:rsidP="00075414">
            <w:pPr>
              <w:pStyle w:val="TabletextLeft"/>
            </w:pPr>
            <w:r>
              <w:t xml:space="preserve">Has </w:t>
            </w:r>
            <w:r w:rsidR="002C44E5">
              <w:t>HE</w:t>
            </w:r>
            <w:r>
              <w:t xml:space="preserve"> qual</w:t>
            </w:r>
          </w:p>
        </w:tc>
        <w:tc>
          <w:tcPr>
            <w:tcW w:w="1688" w:type="dxa"/>
            <w:vAlign w:val="center"/>
          </w:tcPr>
          <w:p w:rsidR="003F6155" w:rsidRPr="00177212" w:rsidRDefault="003F6155" w:rsidP="00075414">
            <w:pPr>
              <w:pStyle w:val="TabletextLeft"/>
              <w:jc w:val="center"/>
            </w:pPr>
            <w:r>
              <w:rPr>
                <w:color w:val="000000"/>
              </w:rPr>
              <w:t>0.413***</w:t>
            </w:r>
          </w:p>
        </w:tc>
        <w:tc>
          <w:tcPr>
            <w:tcW w:w="1688" w:type="dxa"/>
            <w:vAlign w:val="center"/>
          </w:tcPr>
          <w:p w:rsidR="003F6155" w:rsidRPr="00177212" w:rsidRDefault="003F6155" w:rsidP="00075414">
            <w:pPr>
              <w:pStyle w:val="TabletextLeft"/>
              <w:jc w:val="center"/>
            </w:pPr>
            <w:r>
              <w:rPr>
                <w:color w:val="000000"/>
              </w:rPr>
              <w:t>0.362***</w:t>
            </w:r>
          </w:p>
        </w:tc>
        <w:tc>
          <w:tcPr>
            <w:tcW w:w="1688" w:type="dxa"/>
            <w:vAlign w:val="center"/>
          </w:tcPr>
          <w:p w:rsidR="003F6155" w:rsidRPr="00177212" w:rsidRDefault="003F6155" w:rsidP="00075414">
            <w:pPr>
              <w:pStyle w:val="TabletextLeft"/>
              <w:jc w:val="center"/>
            </w:pPr>
            <w:r>
              <w:rPr>
                <w:color w:val="000000"/>
              </w:rPr>
              <w:t>0.173***</w:t>
            </w:r>
          </w:p>
        </w:tc>
      </w:tr>
      <w:tr w:rsidR="003F6155" w:rsidRPr="008C53C4" w:rsidTr="00075414">
        <w:tc>
          <w:tcPr>
            <w:tcW w:w="2847" w:type="dxa"/>
            <w:vAlign w:val="center"/>
          </w:tcPr>
          <w:p w:rsidR="003F6155" w:rsidRPr="008C53C4" w:rsidRDefault="003F6155" w:rsidP="00075414">
            <w:pPr>
              <w:pStyle w:val="TabletextLeft"/>
            </w:pPr>
            <w:r>
              <w:t>Proportion of population in region with HE qual</w:t>
            </w:r>
          </w:p>
        </w:tc>
        <w:tc>
          <w:tcPr>
            <w:tcW w:w="1688" w:type="dxa"/>
            <w:vAlign w:val="center"/>
          </w:tcPr>
          <w:p w:rsidR="003F6155" w:rsidRPr="00177212" w:rsidRDefault="003F6155" w:rsidP="00075414">
            <w:pPr>
              <w:pStyle w:val="TabletextLeft"/>
              <w:jc w:val="center"/>
            </w:pPr>
            <w:r>
              <w:rPr>
                <w:color w:val="000000"/>
              </w:rPr>
              <w:t>0.659***</w:t>
            </w:r>
          </w:p>
        </w:tc>
        <w:tc>
          <w:tcPr>
            <w:tcW w:w="1688" w:type="dxa"/>
            <w:vAlign w:val="center"/>
          </w:tcPr>
          <w:p w:rsidR="003F6155" w:rsidRPr="00177212" w:rsidRDefault="003F6155" w:rsidP="00075414">
            <w:pPr>
              <w:pStyle w:val="TabletextLeft"/>
              <w:jc w:val="center"/>
            </w:pPr>
            <w:r>
              <w:rPr>
                <w:color w:val="000000"/>
              </w:rPr>
              <w:t>0.576***</w:t>
            </w:r>
          </w:p>
        </w:tc>
        <w:tc>
          <w:tcPr>
            <w:tcW w:w="1688" w:type="dxa"/>
            <w:vAlign w:val="center"/>
          </w:tcPr>
          <w:p w:rsidR="003F6155" w:rsidRPr="00177212" w:rsidRDefault="003F6155" w:rsidP="00075414">
            <w:pPr>
              <w:pStyle w:val="TabletextLeft"/>
              <w:jc w:val="center"/>
            </w:pPr>
            <w:r>
              <w:rPr>
                <w:color w:val="000000"/>
              </w:rPr>
              <w:t>0.069</w:t>
            </w:r>
          </w:p>
        </w:tc>
      </w:tr>
      <w:tr w:rsidR="003F6155" w:rsidRPr="008C53C4" w:rsidTr="00075414">
        <w:tc>
          <w:tcPr>
            <w:tcW w:w="2847" w:type="dxa"/>
            <w:vAlign w:val="center"/>
          </w:tcPr>
          <w:p w:rsidR="003F6155" w:rsidRPr="008C53C4" w:rsidRDefault="003F6155" w:rsidP="00075414">
            <w:pPr>
              <w:pStyle w:val="TabletextLeft"/>
            </w:pPr>
            <w:r>
              <w:t>Has HE qual x Proportion of pop in region with HE qual</w:t>
            </w:r>
          </w:p>
        </w:tc>
        <w:tc>
          <w:tcPr>
            <w:tcW w:w="1688" w:type="dxa"/>
            <w:vAlign w:val="center"/>
          </w:tcPr>
          <w:p w:rsidR="003F6155" w:rsidRPr="00177212" w:rsidRDefault="003F6155" w:rsidP="00075414">
            <w:pPr>
              <w:pStyle w:val="TabletextLeft"/>
              <w:jc w:val="center"/>
            </w:pPr>
            <w:r>
              <w:rPr>
                <w:color w:val="000000"/>
              </w:rPr>
              <w:t>-0.188</w:t>
            </w:r>
          </w:p>
        </w:tc>
        <w:tc>
          <w:tcPr>
            <w:tcW w:w="1688" w:type="dxa"/>
            <w:vAlign w:val="center"/>
          </w:tcPr>
          <w:p w:rsidR="003F6155" w:rsidRPr="00177212" w:rsidRDefault="003F6155" w:rsidP="00075414">
            <w:pPr>
              <w:pStyle w:val="TabletextLeft"/>
              <w:jc w:val="center"/>
            </w:pPr>
            <w:r>
              <w:rPr>
                <w:color w:val="000000"/>
              </w:rPr>
              <w:t>-0.231</w:t>
            </w:r>
          </w:p>
        </w:tc>
        <w:tc>
          <w:tcPr>
            <w:tcW w:w="1688" w:type="dxa"/>
            <w:vAlign w:val="center"/>
          </w:tcPr>
          <w:p w:rsidR="003F6155" w:rsidRPr="00177212" w:rsidRDefault="009B6C32" w:rsidP="00075414">
            <w:pPr>
              <w:pStyle w:val="TabletextLeft"/>
              <w:jc w:val="center"/>
            </w:pPr>
            <w:r>
              <w:rPr>
                <w:color w:val="000000"/>
              </w:rPr>
              <w:t>0.017</w:t>
            </w:r>
          </w:p>
        </w:tc>
      </w:tr>
      <w:tr w:rsidR="003F6155" w:rsidRPr="008C53C4" w:rsidTr="00075414">
        <w:tc>
          <w:tcPr>
            <w:tcW w:w="2847" w:type="dxa"/>
            <w:shd w:val="clear" w:color="auto" w:fill="D9D9D9" w:themeFill="background1" w:themeFillShade="D9"/>
            <w:vAlign w:val="center"/>
          </w:tcPr>
          <w:p w:rsidR="003F6155" w:rsidRPr="008C53C4" w:rsidRDefault="003F6155" w:rsidP="00075414">
            <w:pPr>
              <w:pStyle w:val="TabletextLeft"/>
            </w:pPr>
            <w:r w:rsidRPr="00AD48BC">
              <w:rPr>
                <w:b/>
                <w:color w:val="000000"/>
              </w:rPr>
              <w:t>Field of Education</w:t>
            </w:r>
          </w:p>
        </w:tc>
        <w:tc>
          <w:tcPr>
            <w:tcW w:w="1688" w:type="dxa"/>
            <w:shd w:val="clear" w:color="auto" w:fill="D9D9D9" w:themeFill="background1" w:themeFillShade="D9"/>
            <w:vAlign w:val="center"/>
          </w:tcPr>
          <w:p w:rsidR="003F6155" w:rsidRPr="00177212" w:rsidRDefault="003F6155" w:rsidP="00075414">
            <w:pPr>
              <w:pStyle w:val="TabletextLeft"/>
              <w:jc w:val="center"/>
            </w:pPr>
          </w:p>
        </w:tc>
        <w:tc>
          <w:tcPr>
            <w:tcW w:w="1688" w:type="dxa"/>
            <w:shd w:val="clear" w:color="auto" w:fill="D9D9D9" w:themeFill="background1" w:themeFillShade="D9"/>
            <w:vAlign w:val="center"/>
          </w:tcPr>
          <w:p w:rsidR="003F6155" w:rsidRPr="00177212" w:rsidRDefault="003F6155" w:rsidP="00075414">
            <w:pPr>
              <w:pStyle w:val="TabletextLeft"/>
              <w:jc w:val="center"/>
            </w:pPr>
          </w:p>
        </w:tc>
        <w:tc>
          <w:tcPr>
            <w:tcW w:w="1688" w:type="dxa"/>
            <w:shd w:val="clear" w:color="auto" w:fill="D9D9D9" w:themeFill="background1" w:themeFillShade="D9"/>
          </w:tcPr>
          <w:p w:rsidR="003F6155" w:rsidRPr="00177212" w:rsidRDefault="003F6155" w:rsidP="00075414">
            <w:pPr>
              <w:pStyle w:val="TabletextLeft"/>
              <w:jc w:val="center"/>
            </w:pPr>
          </w:p>
        </w:tc>
      </w:tr>
      <w:tr w:rsidR="003F6155" w:rsidRPr="008C53C4" w:rsidTr="00075414">
        <w:tc>
          <w:tcPr>
            <w:tcW w:w="2847" w:type="dxa"/>
            <w:vAlign w:val="center"/>
          </w:tcPr>
          <w:p w:rsidR="003F6155" w:rsidRPr="008C53C4" w:rsidRDefault="003F6155" w:rsidP="00075414">
            <w:pPr>
              <w:pStyle w:val="TabletextLeft"/>
            </w:pPr>
            <w:r w:rsidRPr="00AD48BC">
              <w:rPr>
                <w:color w:val="000000"/>
              </w:rPr>
              <w:t xml:space="preserve">Science </w:t>
            </w: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0.173***</w:t>
            </w:r>
          </w:p>
        </w:tc>
        <w:tc>
          <w:tcPr>
            <w:tcW w:w="1688" w:type="dxa"/>
            <w:vAlign w:val="bottom"/>
          </w:tcPr>
          <w:p w:rsidR="003F6155" w:rsidRPr="00177212" w:rsidRDefault="003F6155" w:rsidP="00075414">
            <w:pPr>
              <w:pStyle w:val="TabletextLeft"/>
              <w:jc w:val="center"/>
            </w:pPr>
            <w:r>
              <w:rPr>
                <w:color w:val="000000"/>
              </w:rPr>
              <w:t>-0.021</w:t>
            </w:r>
          </w:p>
        </w:tc>
      </w:tr>
      <w:tr w:rsidR="003F6155" w:rsidRPr="008C53C4" w:rsidTr="00075414">
        <w:tc>
          <w:tcPr>
            <w:tcW w:w="2847" w:type="dxa"/>
            <w:vAlign w:val="center"/>
          </w:tcPr>
          <w:p w:rsidR="003F6155" w:rsidRPr="008C53C4" w:rsidRDefault="003F6155" w:rsidP="00075414">
            <w:pPr>
              <w:pStyle w:val="TabletextLeft"/>
            </w:pPr>
            <w:r w:rsidRPr="00AD48BC">
              <w:rPr>
                <w:color w:val="000000"/>
              </w:rPr>
              <w:t xml:space="preserve">IT </w:t>
            </w: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0.326***</w:t>
            </w:r>
          </w:p>
        </w:tc>
        <w:tc>
          <w:tcPr>
            <w:tcW w:w="1688" w:type="dxa"/>
            <w:vAlign w:val="bottom"/>
          </w:tcPr>
          <w:p w:rsidR="003F6155" w:rsidRPr="00177212" w:rsidRDefault="003F6155" w:rsidP="00075414">
            <w:pPr>
              <w:pStyle w:val="TabletextLeft"/>
              <w:jc w:val="center"/>
            </w:pPr>
            <w:r>
              <w:rPr>
                <w:color w:val="000000"/>
              </w:rPr>
              <w:t>0.092</w:t>
            </w:r>
          </w:p>
        </w:tc>
      </w:tr>
      <w:tr w:rsidR="003F6155" w:rsidRPr="008C53C4" w:rsidTr="00075414">
        <w:tc>
          <w:tcPr>
            <w:tcW w:w="2847" w:type="dxa"/>
            <w:vAlign w:val="center"/>
          </w:tcPr>
          <w:p w:rsidR="003F6155" w:rsidRPr="008C53C4" w:rsidRDefault="003F6155" w:rsidP="00075414">
            <w:pPr>
              <w:pStyle w:val="TabletextLeft"/>
            </w:pPr>
            <w:r w:rsidRPr="00AD48BC">
              <w:rPr>
                <w:color w:val="000000"/>
              </w:rPr>
              <w:t xml:space="preserve">Engineering </w:t>
            </w: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0.349***</w:t>
            </w:r>
          </w:p>
        </w:tc>
        <w:tc>
          <w:tcPr>
            <w:tcW w:w="1688" w:type="dxa"/>
            <w:vAlign w:val="bottom"/>
          </w:tcPr>
          <w:p w:rsidR="003F6155" w:rsidRPr="00177212" w:rsidRDefault="003F6155" w:rsidP="00075414">
            <w:pPr>
              <w:pStyle w:val="TabletextLeft"/>
              <w:jc w:val="center"/>
            </w:pPr>
            <w:r>
              <w:rPr>
                <w:color w:val="000000"/>
              </w:rPr>
              <w:t>0.057</w:t>
            </w:r>
          </w:p>
        </w:tc>
      </w:tr>
      <w:tr w:rsidR="003F6155" w:rsidRPr="008C53C4" w:rsidTr="00075414">
        <w:tc>
          <w:tcPr>
            <w:tcW w:w="2847" w:type="dxa"/>
            <w:vAlign w:val="center"/>
          </w:tcPr>
          <w:p w:rsidR="003F6155" w:rsidRPr="008C53C4" w:rsidRDefault="003F6155" w:rsidP="00075414">
            <w:pPr>
              <w:pStyle w:val="TabletextLeft"/>
            </w:pPr>
            <w:r w:rsidRPr="00AD48BC">
              <w:rPr>
                <w:color w:val="000000"/>
              </w:rPr>
              <w:t>Medicine</w:t>
            </w: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0.218</w:t>
            </w:r>
          </w:p>
        </w:tc>
        <w:tc>
          <w:tcPr>
            <w:tcW w:w="1688" w:type="dxa"/>
            <w:vAlign w:val="bottom"/>
          </w:tcPr>
          <w:p w:rsidR="003F6155" w:rsidRPr="00177212" w:rsidRDefault="003F6155" w:rsidP="00075414">
            <w:pPr>
              <w:pStyle w:val="TabletextLeft"/>
              <w:jc w:val="center"/>
            </w:pPr>
            <w:r>
              <w:rPr>
                <w:color w:val="000000"/>
              </w:rPr>
              <w:t>0.157</w:t>
            </w:r>
          </w:p>
        </w:tc>
      </w:tr>
      <w:tr w:rsidR="003F6155" w:rsidRPr="008C53C4" w:rsidTr="00075414">
        <w:tc>
          <w:tcPr>
            <w:tcW w:w="2847" w:type="dxa"/>
            <w:vAlign w:val="center"/>
          </w:tcPr>
          <w:p w:rsidR="003F6155" w:rsidRPr="008C53C4" w:rsidRDefault="003F6155" w:rsidP="00075414">
            <w:pPr>
              <w:pStyle w:val="TabletextLeft"/>
            </w:pPr>
            <w:r>
              <w:rPr>
                <w:color w:val="000000"/>
              </w:rPr>
              <w:t>Nursing</w:t>
            </w: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0.168***</w:t>
            </w:r>
          </w:p>
        </w:tc>
        <w:tc>
          <w:tcPr>
            <w:tcW w:w="1688" w:type="dxa"/>
            <w:vAlign w:val="bottom"/>
          </w:tcPr>
          <w:p w:rsidR="003F6155" w:rsidRPr="00177212" w:rsidRDefault="003F6155" w:rsidP="00075414">
            <w:pPr>
              <w:pStyle w:val="TabletextLeft"/>
              <w:jc w:val="center"/>
            </w:pPr>
            <w:r>
              <w:rPr>
                <w:color w:val="000000"/>
              </w:rPr>
              <w:t>0.338***</w:t>
            </w:r>
          </w:p>
        </w:tc>
      </w:tr>
      <w:tr w:rsidR="003F6155" w:rsidRPr="008C53C4" w:rsidTr="00075414">
        <w:tc>
          <w:tcPr>
            <w:tcW w:w="2847" w:type="dxa"/>
            <w:vAlign w:val="center"/>
          </w:tcPr>
          <w:p w:rsidR="003F6155" w:rsidRPr="008C53C4" w:rsidRDefault="003F6155" w:rsidP="00075414">
            <w:pPr>
              <w:pStyle w:val="TabletextLeft"/>
            </w:pPr>
            <w:r>
              <w:rPr>
                <w:color w:val="000000"/>
              </w:rPr>
              <w:t>Other Health</w:t>
            </w: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0.016</w:t>
            </w:r>
          </w:p>
        </w:tc>
        <w:tc>
          <w:tcPr>
            <w:tcW w:w="1688" w:type="dxa"/>
            <w:vAlign w:val="bottom"/>
          </w:tcPr>
          <w:p w:rsidR="003F6155" w:rsidRPr="00177212" w:rsidRDefault="003F6155" w:rsidP="00075414">
            <w:pPr>
              <w:pStyle w:val="TabletextLeft"/>
              <w:jc w:val="center"/>
            </w:pPr>
            <w:r>
              <w:rPr>
                <w:color w:val="000000"/>
              </w:rPr>
              <w:t>0.077</w:t>
            </w:r>
          </w:p>
        </w:tc>
      </w:tr>
      <w:tr w:rsidR="003F6155" w:rsidRPr="008C53C4" w:rsidTr="00075414">
        <w:tc>
          <w:tcPr>
            <w:tcW w:w="2847" w:type="dxa"/>
            <w:vAlign w:val="center"/>
          </w:tcPr>
          <w:p w:rsidR="003F6155" w:rsidRPr="008C53C4" w:rsidRDefault="003F6155" w:rsidP="00075414">
            <w:pPr>
              <w:pStyle w:val="TabletextLeft"/>
            </w:pPr>
            <w:r w:rsidRPr="00AD48BC">
              <w:rPr>
                <w:color w:val="000000"/>
              </w:rPr>
              <w:t xml:space="preserve">Education </w:t>
            </w: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0.186***</w:t>
            </w:r>
          </w:p>
        </w:tc>
        <w:tc>
          <w:tcPr>
            <w:tcW w:w="1688" w:type="dxa"/>
            <w:vAlign w:val="bottom"/>
          </w:tcPr>
          <w:p w:rsidR="003F6155" w:rsidRPr="00177212" w:rsidRDefault="003F6155" w:rsidP="00075414">
            <w:pPr>
              <w:pStyle w:val="TabletextLeft"/>
              <w:jc w:val="center"/>
            </w:pPr>
            <w:r>
              <w:rPr>
                <w:color w:val="000000"/>
              </w:rPr>
              <w:t>0.173***</w:t>
            </w:r>
          </w:p>
        </w:tc>
      </w:tr>
      <w:tr w:rsidR="003F6155" w:rsidRPr="008C53C4" w:rsidTr="00075414">
        <w:tc>
          <w:tcPr>
            <w:tcW w:w="2847" w:type="dxa"/>
            <w:vAlign w:val="center"/>
          </w:tcPr>
          <w:p w:rsidR="003F6155" w:rsidRPr="008C53C4" w:rsidRDefault="003F6155" w:rsidP="00075414">
            <w:pPr>
              <w:pStyle w:val="TabletextLeft"/>
            </w:pPr>
            <w:r>
              <w:rPr>
                <w:color w:val="000000"/>
              </w:rPr>
              <w:t>Management and Commerce</w:t>
            </w: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0.413***</w:t>
            </w:r>
          </w:p>
        </w:tc>
        <w:tc>
          <w:tcPr>
            <w:tcW w:w="1688" w:type="dxa"/>
            <w:vAlign w:val="bottom"/>
          </w:tcPr>
          <w:p w:rsidR="003F6155" w:rsidRPr="00177212" w:rsidRDefault="003F6155" w:rsidP="00075414">
            <w:pPr>
              <w:pStyle w:val="TabletextLeft"/>
              <w:jc w:val="center"/>
            </w:pPr>
            <w:r>
              <w:rPr>
                <w:color w:val="000000"/>
              </w:rPr>
              <w:t>0.192**</w:t>
            </w:r>
          </w:p>
        </w:tc>
      </w:tr>
      <w:tr w:rsidR="003F6155" w:rsidRPr="008C53C4" w:rsidTr="00075414">
        <w:tc>
          <w:tcPr>
            <w:tcW w:w="2847" w:type="dxa"/>
            <w:vAlign w:val="center"/>
          </w:tcPr>
          <w:p w:rsidR="003F6155" w:rsidRPr="008C53C4" w:rsidRDefault="003F6155" w:rsidP="00075414">
            <w:pPr>
              <w:pStyle w:val="TabletextLeft"/>
            </w:pPr>
            <w:r>
              <w:rPr>
                <w:color w:val="000000"/>
              </w:rPr>
              <w:t>Law</w:t>
            </w: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0.289***</w:t>
            </w:r>
          </w:p>
        </w:tc>
        <w:tc>
          <w:tcPr>
            <w:tcW w:w="1688" w:type="dxa"/>
            <w:vAlign w:val="bottom"/>
          </w:tcPr>
          <w:p w:rsidR="003F6155" w:rsidRPr="00177212" w:rsidRDefault="003F6155" w:rsidP="00075414">
            <w:pPr>
              <w:pStyle w:val="TabletextLeft"/>
              <w:jc w:val="center"/>
            </w:pPr>
            <w:r>
              <w:rPr>
                <w:color w:val="000000"/>
              </w:rPr>
              <w:t>0.090**</w:t>
            </w:r>
          </w:p>
        </w:tc>
      </w:tr>
      <w:tr w:rsidR="003F6155" w:rsidRPr="008C53C4" w:rsidTr="00075414">
        <w:tc>
          <w:tcPr>
            <w:tcW w:w="2847" w:type="dxa"/>
            <w:vAlign w:val="center"/>
          </w:tcPr>
          <w:p w:rsidR="003F6155" w:rsidRPr="008C53C4" w:rsidRDefault="003F6155" w:rsidP="00075414">
            <w:pPr>
              <w:pStyle w:val="TabletextLeft"/>
            </w:pPr>
            <w:r>
              <w:rPr>
                <w:color w:val="000000"/>
              </w:rPr>
              <w:t>Food and Hospitality</w:t>
            </w: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-0.103</w:t>
            </w:r>
          </w:p>
        </w:tc>
        <w:tc>
          <w:tcPr>
            <w:tcW w:w="1688" w:type="dxa"/>
            <w:vAlign w:val="bottom"/>
          </w:tcPr>
          <w:p w:rsidR="003F6155" w:rsidRPr="00177212" w:rsidRDefault="003F6155" w:rsidP="00075414">
            <w:pPr>
              <w:pStyle w:val="TabletextLeft"/>
              <w:jc w:val="center"/>
            </w:pPr>
            <w:r>
              <w:rPr>
                <w:color w:val="000000"/>
              </w:rPr>
              <w:t>-0.192**</w:t>
            </w:r>
          </w:p>
        </w:tc>
      </w:tr>
      <w:tr w:rsidR="003F6155" w:rsidRPr="008C53C4" w:rsidTr="00075414">
        <w:tc>
          <w:tcPr>
            <w:tcW w:w="4535" w:type="dxa"/>
            <w:gridSpan w:val="2"/>
            <w:shd w:val="clear" w:color="auto" w:fill="D9D9D9" w:themeFill="background1" w:themeFillShade="D9"/>
            <w:vAlign w:val="center"/>
          </w:tcPr>
          <w:p w:rsidR="003F6155" w:rsidRPr="001061F7" w:rsidRDefault="003F6155" w:rsidP="00075414">
            <w:pPr>
              <w:pStyle w:val="TabletextLeft"/>
              <w:rPr>
                <w:b/>
              </w:rPr>
            </w:pPr>
            <w:r w:rsidRPr="001061F7">
              <w:rPr>
                <w:b/>
                <w:color w:val="000000"/>
              </w:rPr>
              <w:t>Labour force characteristics</w:t>
            </w:r>
          </w:p>
        </w:tc>
        <w:tc>
          <w:tcPr>
            <w:tcW w:w="1688" w:type="dxa"/>
            <w:shd w:val="clear" w:color="auto" w:fill="D9D9D9" w:themeFill="background1" w:themeFillShade="D9"/>
            <w:vAlign w:val="center"/>
          </w:tcPr>
          <w:p w:rsidR="003F6155" w:rsidRPr="00177212" w:rsidRDefault="003F6155" w:rsidP="00075414">
            <w:pPr>
              <w:pStyle w:val="TabletextLeft"/>
              <w:jc w:val="center"/>
            </w:pPr>
          </w:p>
        </w:tc>
        <w:tc>
          <w:tcPr>
            <w:tcW w:w="1688" w:type="dxa"/>
            <w:shd w:val="clear" w:color="auto" w:fill="D9D9D9" w:themeFill="background1" w:themeFillShade="D9"/>
          </w:tcPr>
          <w:p w:rsidR="003F6155" w:rsidRPr="00177212" w:rsidRDefault="003F6155" w:rsidP="00075414">
            <w:pPr>
              <w:pStyle w:val="TabletextLeft"/>
              <w:jc w:val="center"/>
            </w:pPr>
          </w:p>
        </w:tc>
      </w:tr>
      <w:tr w:rsidR="003F6155" w:rsidRPr="008C53C4" w:rsidTr="00075414">
        <w:tc>
          <w:tcPr>
            <w:tcW w:w="2847" w:type="dxa"/>
            <w:vAlign w:val="center"/>
          </w:tcPr>
          <w:p w:rsidR="003F6155" w:rsidRDefault="003F6155" w:rsidP="00075414">
            <w:pPr>
              <w:pStyle w:val="TabletextLeft"/>
              <w:rPr>
                <w:color w:val="000000"/>
              </w:rPr>
            </w:pPr>
            <w:r>
              <w:t>Employed full-time</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0.305***</w:t>
            </w:r>
          </w:p>
        </w:tc>
      </w:tr>
      <w:tr w:rsidR="003F6155" w:rsidRPr="008C53C4" w:rsidTr="00075414">
        <w:tc>
          <w:tcPr>
            <w:tcW w:w="2847" w:type="dxa"/>
            <w:vAlign w:val="center"/>
          </w:tcPr>
          <w:p w:rsidR="003F6155" w:rsidRDefault="003F6155" w:rsidP="00075414">
            <w:pPr>
              <w:pStyle w:val="TabletextLeft"/>
              <w:rPr>
                <w:color w:val="000000"/>
              </w:rPr>
            </w:pPr>
            <w:r>
              <w:t>Log hours worked</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0.760***</w:t>
            </w:r>
          </w:p>
        </w:tc>
      </w:tr>
      <w:tr w:rsidR="003F6155" w:rsidRPr="008C53C4" w:rsidTr="00075414">
        <w:tc>
          <w:tcPr>
            <w:tcW w:w="2847" w:type="dxa"/>
            <w:vAlign w:val="center"/>
          </w:tcPr>
          <w:p w:rsidR="003F6155" w:rsidRDefault="003F6155" w:rsidP="00075414">
            <w:pPr>
              <w:pStyle w:val="TabletextLeft"/>
              <w:rPr>
                <w:color w:val="000000"/>
              </w:rPr>
            </w:pPr>
            <w:r>
              <w:rPr>
                <w:color w:val="000000"/>
              </w:rPr>
              <w:t>Regional unemployment rate</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-0.037***</w:t>
            </w:r>
          </w:p>
        </w:tc>
      </w:tr>
      <w:tr w:rsidR="003F6155" w:rsidRPr="008C53C4" w:rsidTr="00075414">
        <w:tc>
          <w:tcPr>
            <w:tcW w:w="2847" w:type="dxa"/>
            <w:shd w:val="clear" w:color="auto" w:fill="D9D9D9" w:themeFill="background1" w:themeFillShade="D9"/>
            <w:vAlign w:val="center"/>
          </w:tcPr>
          <w:p w:rsidR="003F6155" w:rsidRDefault="003F6155" w:rsidP="00075414">
            <w:pPr>
              <w:pStyle w:val="TabletextLeft"/>
              <w:rPr>
                <w:color w:val="000000"/>
              </w:rPr>
            </w:pPr>
            <w:r w:rsidRPr="00177212">
              <w:rPr>
                <w:b/>
              </w:rPr>
              <w:t xml:space="preserve">Demographics </w:t>
            </w:r>
          </w:p>
        </w:tc>
        <w:tc>
          <w:tcPr>
            <w:tcW w:w="1688" w:type="dxa"/>
            <w:shd w:val="clear" w:color="auto" w:fill="D9D9D9" w:themeFill="background1" w:themeFillShade="D9"/>
            <w:vAlign w:val="center"/>
          </w:tcPr>
          <w:p w:rsidR="003F6155" w:rsidRPr="00177212" w:rsidRDefault="003F6155" w:rsidP="00075414">
            <w:pPr>
              <w:pStyle w:val="TabletextLeft"/>
              <w:jc w:val="center"/>
            </w:pPr>
          </w:p>
        </w:tc>
        <w:tc>
          <w:tcPr>
            <w:tcW w:w="1688" w:type="dxa"/>
            <w:shd w:val="clear" w:color="auto" w:fill="D9D9D9" w:themeFill="background1" w:themeFillShade="D9"/>
            <w:vAlign w:val="center"/>
          </w:tcPr>
          <w:p w:rsidR="003F6155" w:rsidRPr="00177212" w:rsidRDefault="003F6155" w:rsidP="00075414">
            <w:pPr>
              <w:pStyle w:val="TabletextLeft"/>
              <w:jc w:val="center"/>
            </w:pPr>
          </w:p>
        </w:tc>
        <w:tc>
          <w:tcPr>
            <w:tcW w:w="1688" w:type="dxa"/>
            <w:shd w:val="clear" w:color="auto" w:fill="D9D9D9" w:themeFill="background1" w:themeFillShade="D9"/>
          </w:tcPr>
          <w:p w:rsidR="003F6155" w:rsidRPr="00177212" w:rsidRDefault="003F6155" w:rsidP="00075414">
            <w:pPr>
              <w:pStyle w:val="TabletextLeft"/>
              <w:jc w:val="center"/>
            </w:pPr>
          </w:p>
        </w:tc>
      </w:tr>
      <w:tr w:rsidR="003F6155" w:rsidRPr="008C53C4" w:rsidTr="00075414">
        <w:tc>
          <w:tcPr>
            <w:tcW w:w="2847" w:type="dxa"/>
            <w:vAlign w:val="center"/>
          </w:tcPr>
          <w:p w:rsidR="003F6155" w:rsidRDefault="003F6155" w:rsidP="00075414">
            <w:pPr>
              <w:pStyle w:val="TabletextLeft"/>
              <w:rPr>
                <w:color w:val="000000"/>
              </w:rPr>
            </w:pPr>
            <w:r>
              <w:t>Aged 30-34</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0.033*</w:t>
            </w:r>
          </w:p>
        </w:tc>
      </w:tr>
      <w:tr w:rsidR="003F6155" w:rsidRPr="008C53C4" w:rsidTr="00075414">
        <w:tc>
          <w:tcPr>
            <w:tcW w:w="2847" w:type="dxa"/>
            <w:vAlign w:val="center"/>
          </w:tcPr>
          <w:p w:rsidR="003F6155" w:rsidRDefault="003F6155" w:rsidP="00075414">
            <w:pPr>
              <w:pStyle w:val="TabletextLeft"/>
            </w:pPr>
            <w:r>
              <w:t>Aged 35-39</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0.022</w:t>
            </w:r>
          </w:p>
        </w:tc>
      </w:tr>
      <w:tr w:rsidR="003F6155" w:rsidRPr="008C53C4" w:rsidTr="00075414">
        <w:tc>
          <w:tcPr>
            <w:tcW w:w="2847" w:type="dxa"/>
            <w:vAlign w:val="center"/>
          </w:tcPr>
          <w:p w:rsidR="003F6155" w:rsidRDefault="003F6155" w:rsidP="00075414">
            <w:pPr>
              <w:pStyle w:val="TabletextLeft"/>
            </w:pPr>
            <w:r>
              <w:t>Aged 40-44</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-0.011</w:t>
            </w:r>
          </w:p>
        </w:tc>
      </w:tr>
      <w:tr w:rsidR="003F6155" w:rsidRPr="008C53C4" w:rsidTr="00075414">
        <w:trPr>
          <w:trHeight w:val="307"/>
        </w:trPr>
        <w:tc>
          <w:tcPr>
            <w:tcW w:w="2847" w:type="dxa"/>
            <w:vAlign w:val="center"/>
          </w:tcPr>
          <w:p w:rsidR="003F6155" w:rsidRDefault="003F6155" w:rsidP="00075414">
            <w:pPr>
              <w:pStyle w:val="TabletextLeft"/>
            </w:pPr>
            <w:r>
              <w:t>Aged 45-49</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-0.022</w:t>
            </w:r>
          </w:p>
        </w:tc>
      </w:tr>
      <w:tr w:rsidR="003F6155" w:rsidRPr="008C53C4" w:rsidTr="00075414">
        <w:tc>
          <w:tcPr>
            <w:tcW w:w="2847" w:type="dxa"/>
            <w:vAlign w:val="center"/>
          </w:tcPr>
          <w:p w:rsidR="003F6155" w:rsidRDefault="003F6155" w:rsidP="00075414">
            <w:pPr>
              <w:pStyle w:val="TabletextLeft"/>
            </w:pPr>
            <w:r>
              <w:t>Aged 50-54</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-0.043</w:t>
            </w:r>
          </w:p>
        </w:tc>
      </w:tr>
      <w:tr w:rsidR="003F6155" w:rsidRPr="008C53C4" w:rsidTr="00075414">
        <w:tc>
          <w:tcPr>
            <w:tcW w:w="2847" w:type="dxa"/>
            <w:vAlign w:val="center"/>
          </w:tcPr>
          <w:p w:rsidR="003F6155" w:rsidRDefault="003F6155" w:rsidP="00075414">
            <w:pPr>
              <w:pStyle w:val="TabletextLeft"/>
            </w:pPr>
            <w:r>
              <w:t>Aged 55-59</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-0.141***</w:t>
            </w:r>
          </w:p>
        </w:tc>
      </w:tr>
      <w:tr w:rsidR="003F6155" w:rsidRPr="008C53C4" w:rsidTr="00075414">
        <w:tc>
          <w:tcPr>
            <w:tcW w:w="2847" w:type="dxa"/>
            <w:vAlign w:val="center"/>
          </w:tcPr>
          <w:p w:rsidR="003F6155" w:rsidRDefault="003F6155" w:rsidP="00075414">
            <w:pPr>
              <w:pStyle w:val="TabletextLeft"/>
            </w:pPr>
            <w:r>
              <w:t>Aged 60-64</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-0.281***</w:t>
            </w:r>
          </w:p>
        </w:tc>
      </w:tr>
      <w:tr w:rsidR="003F6155" w:rsidRPr="008C53C4" w:rsidTr="00075414">
        <w:tc>
          <w:tcPr>
            <w:tcW w:w="2847" w:type="dxa"/>
            <w:vAlign w:val="center"/>
          </w:tcPr>
          <w:p w:rsidR="003F6155" w:rsidRDefault="003F6155" w:rsidP="00075414">
            <w:pPr>
              <w:pStyle w:val="TabletextLeft"/>
            </w:pPr>
            <w:r>
              <w:t>Male</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0.052**</w:t>
            </w:r>
          </w:p>
        </w:tc>
      </w:tr>
      <w:tr w:rsidR="003F6155" w:rsidRPr="008C53C4" w:rsidTr="00075414">
        <w:tc>
          <w:tcPr>
            <w:tcW w:w="2847" w:type="dxa"/>
            <w:vAlign w:val="center"/>
          </w:tcPr>
          <w:p w:rsidR="003F6155" w:rsidRDefault="003F6155" w:rsidP="00075414">
            <w:pPr>
              <w:pStyle w:val="TabletextLeft"/>
            </w:pPr>
            <w:r>
              <w:t>Indigenous</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0.162***</w:t>
            </w:r>
          </w:p>
        </w:tc>
      </w:tr>
      <w:tr w:rsidR="003F6155" w:rsidRPr="008C53C4" w:rsidTr="00075414">
        <w:tc>
          <w:tcPr>
            <w:tcW w:w="2847" w:type="dxa"/>
            <w:vAlign w:val="center"/>
          </w:tcPr>
          <w:p w:rsidR="003F6155" w:rsidRDefault="003F6155" w:rsidP="00075414">
            <w:pPr>
              <w:pStyle w:val="TabletextLeft"/>
            </w:pPr>
            <w:r>
              <w:t>Has long term health condition</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bottom"/>
          </w:tcPr>
          <w:p w:rsidR="003F6155" w:rsidRPr="00177212" w:rsidRDefault="003F6155" w:rsidP="00075414">
            <w:pPr>
              <w:pStyle w:val="TabletextLeft"/>
              <w:jc w:val="center"/>
            </w:pPr>
            <w:r>
              <w:rPr>
                <w:color w:val="000000"/>
              </w:rPr>
              <w:t>-0.103***</w:t>
            </w:r>
          </w:p>
        </w:tc>
      </w:tr>
      <w:tr w:rsidR="003F6155" w:rsidRPr="008C53C4" w:rsidTr="00075414">
        <w:tc>
          <w:tcPr>
            <w:tcW w:w="2847" w:type="dxa"/>
            <w:shd w:val="clear" w:color="auto" w:fill="D9D9D9" w:themeFill="background1" w:themeFillShade="D9"/>
            <w:vAlign w:val="center"/>
          </w:tcPr>
          <w:p w:rsidR="003F6155" w:rsidRDefault="003F6155" w:rsidP="00075414">
            <w:pPr>
              <w:pStyle w:val="TabletextLeft"/>
            </w:pPr>
            <w:r w:rsidRPr="00177212">
              <w:rPr>
                <w:b/>
              </w:rPr>
              <w:t>Cognitive ability</w:t>
            </w:r>
          </w:p>
        </w:tc>
        <w:tc>
          <w:tcPr>
            <w:tcW w:w="1688" w:type="dxa"/>
            <w:shd w:val="clear" w:color="auto" w:fill="D9D9D9" w:themeFill="background1" w:themeFillShade="D9"/>
            <w:vAlign w:val="center"/>
          </w:tcPr>
          <w:p w:rsidR="003F6155" w:rsidRPr="00177212" w:rsidRDefault="003F6155" w:rsidP="00075414">
            <w:pPr>
              <w:pStyle w:val="TabletextLeft"/>
              <w:jc w:val="center"/>
            </w:pPr>
          </w:p>
        </w:tc>
        <w:tc>
          <w:tcPr>
            <w:tcW w:w="1688" w:type="dxa"/>
            <w:shd w:val="clear" w:color="auto" w:fill="D9D9D9" w:themeFill="background1" w:themeFillShade="D9"/>
            <w:vAlign w:val="center"/>
          </w:tcPr>
          <w:p w:rsidR="003F6155" w:rsidRPr="00177212" w:rsidRDefault="003F6155" w:rsidP="00075414">
            <w:pPr>
              <w:pStyle w:val="TabletextLeft"/>
              <w:jc w:val="center"/>
            </w:pPr>
          </w:p>
        </w:tc>
        <w:tc>
          <w:tcPr>
            <w:tcW w:w="1688" w:type="dxa"/>
            <w:shd w:val="clear" w:color="auto" w:fill="D9D9D9" w:themeFill="background1" w:themeFillShade="D9"/>
          </w:tcPr>
          <w:p w:rsidR="003F6155" w:rsidRPr="00177212" w:rsidRDefault="003F6155" w:rsidP="00075414">
            <w:pPr>
              <w:pStyle w:val="TabletextLeft"/>
              <w:jc w:val="center"/>
            </w:pPr>
          </w:p>
        </w:tc>
      </w:tr>
      <w:tr w:rsidR="003F6155" w:rsidRPr="008C53C4" w:rsidTr="00075414">
        <w:tc>
          <w:tcPr>
            <w:tcW w:w="2847" w:type="dxa"/>
            <w:vAlign w:val="center"/>
          </w:tcPr>
          <w:p w:rsidR="003F6155" w:rsidRPr="00177212" w:rsidRDefault="003F6155" w:rsidP="00075414">
            <w:pPr>
              <w:pStyle w:val="TabletextLeft"/>
              <w:rPr>
                <w:b/>
              </w:rPr>
            </w:pPr>
            <w:r>
              <w:t>Backward Digits Span (BDS)</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r>
              <w:rPr>
                <w:color w:val="000000"/>
              </w:rPr>
              <w:t>-0.003</w:t>
            </w:r>
          </w:p>
        </w:tc>
      </w:tr>
      <w:tr w:rsidR="003F6155" w:rsidRPr="008C53C4" w:rsidTr="00075414">
        <w:tc>
          <w:tcPr>
            <w:tcW w:w="2847" w:type="dxa"/>
            <w:vAlign w:val="center"/>
          </w:tcPr>
          <w:p w:rsidR="003F6155" w:rsidRDefault="003F6155" w:rsidP="00075414">
            <w:pPr>
              <w:pStyle w:val="TabletextLeft"/>
            </w:pPr>
            <w:r>
              <w:t>Symbol Digits Modalities (SDM)</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r>
              <w:rPr>
                <w:color w:val="000000"/>
              </w:rPr>
              <w:t>0.002</w:t>
            </w:r>
          </w:p>
        </w:tc>
      </w:tr>
      <w:tr w:rsidR="003F6155" w:rsidRPr="008C53C4" w:rsidTr="00075414">
        <w:tc>
          <w:tcPr>
            <w:tcW w:w="2847" w:type="dxa"/>
            <w:vAlign w:val="center"/>
          </w:tcPr>
          <w:p w:rsidR="003F6155" w:rsidRDefault="003F6155" w:rsidP="00075414">
            <w:pPr>
              <w:pStyle w:val="TabletextLeft"/>
            </w:pPr>
            <w:r>
              <w:t xml:space="preserve">National Adult Reading Test (NART-25) </w:t>
            </w: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p>
        </w:tc>
        <w:tc>
          <w:tcPr>
            <w:tcW w:w="1688" w:type="dxa"/>
            <w:vAlign w:val="center"/>
          </w:tcPr>
          <w:p w:rsidR="003F6155" w:rsidRPr="00177212" w:rsidRDefault="003F6155" w:rsidP="00075414">
            <w:pPr>
              <w:pStyle w:val="TabletextLeft"/>
              <w:jc w:val="center"/>
            </w:pPr>
            <w:r>
              <w:rPr>
                <w:color w:val="000000"/>
              </w:rPr>
              <w:t>0.018***</w:t>
            </w:r>
          </w:p>
        </w:tc>
      </w:tr>
    </w:tbl>
    <w:p w:rsidR="003F6155" w:rsidRDefault="003F6155" w:rsidP="003F6155">
      <w:pPr>
        <w:pStyle w:val="Source"/>
        <w:rPr>
          <w:lang w:eastAsia="en-AU"/>
        </w:rPr>
      </w:pPr>
      <w:r>
        <w:rPr>
          <w:lang w:eastAsia="en-AU"/>
        </w:rPr>
        <w:t xml:space="preserve">Source: Deloitte Access Economics. Note: *** represents significance at the 1% level; ** at the 5% level; and * at the 10% level. </w:t>
      </w:r>
      <w:r w:rsidR="002C44E5">
        <w:rPr>
          <w:lang w:eastAsia="en-AU"/>
        </w:rPr>
        <w:t xml:space="preserve">HE means higher education. </w:t>
      </w:r>
      <w:r>
        <w:rPr>
          <w:lang w:eastAsia="en-AU"/>
        </w:rPr>
        <w:t xml:space="preserve">Base categories are: no post-school qualification, FoE Arts, and Aged 25-29. Coefficient estimates for: year fixed effects, state, remoteness area and population density are not reported for brevity. </w:t>
      </w:r>
    </w:p>
    <w:p w:rsidR="00A75857" w:rsidRPr="00A75857" w:rsidRDefault="00A75857" w:rsidP="00250AFC">
      <w:bookmarkStart w:id="334" w:name="_Toc288029464"/>
      <w:bookmarkStart w:id="335" w:name="_Toc288198028"/>
      <w:bookmarkEnd w:id="284"/>
      <w:bookmarkEnd w:id="285"/>
    </w:p>
    <w:p w:rsidR="00977C78" w:rsidRDefault="00977C78" w:rsidP="00977C78">
      <w:pPr>
        <w:pStyle w:val="Appendix"/>
        <w:ind w:left="0"/>
      </w:pPr>
      <w:bookmarkStart w:id="336" w:name="_Ref465059047"/>
      <w:bookmarkStart w:id="337" w:name="_Toc465961220"/>
      <w:r>
        <w:t>: CGE modelling</w:t>
      </w:r>
      <w:bookmarkEnd w:id="336"/>
      <w:bookmarkEnd w:id="337"/>
      <w:r>
        <w:t xml:space="preserve"> </w:t>
      </w:r>
    </w:p>
    <w:p w:rsidR="00977C78" w:rsidRDefault="00977C78" w:rsidP="00977C78">
      <w:pPr>
        <w:pStyle w:val="BodyText"/>
        <w:rPr>
          <w:lang w:eastAsia="en-AU"/>
        </w:rPr>
      </w:pPr>
      <w:r>
        <w:rPr>
          <w:lang w:eastAsia="en-AU"/>
        </w:rPr>
        <w:t xml:space="preserve">This section describes the data and methods used to (i) parameterise the Deloitte Access Economics Regional General Equilibrium Model (DAE-RGEM) with different ‘skills’ as defined by the set of discipline specific qualifications, and (ii) </w:t>
      </w:r>
      <w:r w:rsidR="00CB710D">
        <w:rPr>
          <w:lang w:eastAsia="en-AU"/>
        </w:rPr>
        <w:t>simulate</w:t>
      </w:r>
      <w:r>
        <w:rPr>
          <w:lang w:eastAsia="en-AU"/>
        </w:rPr>
        <w:t xml:space="preserve"> the economy</w:t>
      </w:r>
      <w:r w:rsidR="00CB710D">
        <w:rPr>
          <w:lang w:eastAsia="en-AU"/>
        </w:rPr>
        <w:t>-wide impacts</w:t>
      </w:r>
      <w:r>
        <w:rPr>
          <w:lang w:eastAsia="en-AU"/>
        </w:rPr>
        <w:t xml:space="preserve"> for a given change in the skills mix. </w:t>
      </w:r>
    </w:p>
    <w:p w:rsidR="00977C78" w:rsidRDefault="00977C78" w:rsidP="00977C78">
      <w:pPr>
        <w:pStyle w:val="BodyText"/>
        <w:rPr>
          <w:lang w:eastAsia="en-AU"/>
        </w:rPr>
      </w:pPr>
      <w:r>
        <w:rPr>
          <w:lang w:eastAsia="en-AU"/>
        </w:rPr>
        <w:t xml:space="preserve">In particular, given that higher education </w:t>
      </w:r>
      <w:r w:rsidR="00CB710D" w:rsidRPr="00DA4CA5">
        <w:rPr>
          <w:i/>
          <w:lang w:eastAsia="en-AU"/>
        </w:rPr>
        <w:t>in general</w:t>
      </w:r>
      <w:r w:rsidR="00CB710D">
        <w:rPr>
          <w:lang w:eastAsia="en-AU"/>
        </w:rPr>
        <w:t xml:space="preserve"> </w:t>
      </w:r>
      <w:r>
        <w:rPr>
          <w:lang w:eastAsia="en-AU"/>
        </w:rPr>
        <w:t>improves labour outcome through three channels – (i) increased average wages for those employed, (ii) improved participation in work, and (iii) a higher chance of being employed – these factors are calibrated into the baseline model.</w:t>
      </w:r>
    </w:p>
    <w:p w:rsidR="00977C78" w:rsidRDefault="00977C78" w:rsidP="00977C78">
      <w:pPr>
        <w:pStyle w:val="HeadingB"/>
        <w:rPr>
          <w:lang w:eastAsia="en-AU"/>
        </w:rPr>
      </w:pPr>
      <w:r>
        <w:rPr>
          <w:lang w:eastAsia="en-AU"/>
        </w:rPr>
        <w:t>Database creation</w:t>
      </w:r>
    </w:p>
    <w:p w:rsidR="00977C78" w:rsidRPr="00D53200" w:rsidRDefault="00977C78" w:rsidP="00977C78">
      <w:pPr>
        <w:pStyle w:val="BodyText"/>
        <w:rPr>
          <w:lang w:eastAsia="en-AU"/>
        </w:rPr>
      </w:pPr>
      <w:r>
        <w:rPr>
          <w:lang w:eastAsia="en-AU"/>
        </w:rPr>
        <w:t xml:space="preserve">DAE-RGEM uses the </w:t>
      </w:r>
      <w:r w:rsidR="00CB710D">
        <w:rPr>
          <w:lang w:eastAsia="en-AU"/>
        </w:rPr>
        <w:t>Global Trade Analysis Project</w:t>
      </w:r>
      <w:r w:rsidR="00B91C00">
        <w:rPr>
          <w:rStyle w:val="FootnoteReference"/>
          <w:lang w:eastAsia="en-AU"/>
        </w:rPr>
        <w:footnoteReference w:id="54"/>
      </w:r>
      <w:r w:rsidR="00CB710D">
        <w:rPr>
          <w:lang w:eastAsia="en-AU"/>
        </w:rPr>
        <w:t xml:space="preserve"> (</w:t>
      </w:r>
      <w:r>
        <w:rPr>
          <w:lang w:eastAsia="en-AU"/>
        </w:rPr>
        <w:t>GTAP</w:t>
      </w:r>
      <w:r w:rsidR="00CB710D">
        <w:rPr>
          <w:lang w:eastAsia="en-AU"/>
        </w:rPr>
        <w:t>)</w:t>
      </w:r>
      <w:r>
        <w:rPr>
          <w:lang w:eastAsia="en-AU"/>
        </w:rPr>
        <w:t xml:space="preserve"> 9 database, which is a </w:t>
      </w:r>
      <w:r w:rsidRPr="00A47372">
        <w:rPr>
          <w:lang w:eastAsia="en-AU"/>
        </w:rPr>
        <w:t>fully documented, publicly available global data base contain</w:t>
      </w:r>
      <w:r>
        <w:rPr>
          <w:lang w:eastAsia="en-AU"/>
        </w:rPr>
        <w:t>ing</w:t>
      </w:r>
      <w:r w:rsidRPr="00A47372">
        <w:rPr>
          <w:lang w:eastAsia="en-AU"/>
        </w:rPr>
        <w:t xml:space="preserve"> complete </w:t>
      </w:r>
      <w:r>
        <w:rPr>
          <w:lang w:eastAsia="en-AU"/>
        </w:rPr>
        <w:t xml:space="preserve">input-output production functions, macro-economic data, and bilateral trade information for 140 countries and 57 sectors, as the starting point of the Australian economy in 2011. In particular, GTAP 9 splits labour into five major occupation </w:t>
      </w:r>
      <w:r w:rsidRPr="00D53200">
        <w:rPr>
          <w:lang w:eastAsia="en-AU"/>
        </w:rPr>
        <w:t>categories (</w:t>
      </w:r>
      <w:r w:rsidRPr="004946FF">
        <w:rPr>
          <w:lang w:eastAsia="en-AU"/>
        </w:rPr>
        <w:t>Walmsley and Carrico, 2014</w:t>
      </w:r>
      <w:r w:rsidRPr="00D53200">
        <w:rPr>
          <w:lang w:eastAsia="en-AU"/>
        </w:rPr>
        <w:t>).</w:t>
      </w:r>
      <w:r w:rsidRPr="00D53200">
        <w:rPr>
          <w:rStyle w:val="FootnoteReference"/>
          <w:lang w:eastAsia="en-AU"/>
        </w:rPr>
        <w:footnoteReference w:id="55"/>
      </w:r>
    </w:p>
    <w:p w:rsidR="00977C78" w:rsidRDefault="00977C78" w:rsidP="00977C78">
      <w:pPr>
        <w:pStyle w:val="BodyText"/>
        <w:rPr>
          <w:lang w:eastAsia="en-AU"/>
        </w:rPr>
      </w:pPr>
      <w:r w:rsidRPr="00D53200">
        <w:rPr>
          <w:lang w:eastAsia="en-AU"/>
        </w:rPr>
        <w:t>For the purpose of this exercise, the aggregate wage</w:t>
      </w:r>
      <w:r>
        <w:rPr>
          <w:lang w:eastAsia="en-AU"/>
        </w:rPr>
        <w:t xml:space="preserve">, labour supply and employment figures for the Australian economy are taken as given. Table C.1 shows the shares required to parameterise the </w:t>
      </w:r>
      <w:r w:rsidRPr="005620FC">
        <w:rPr>
          <w:lang w:eastAsia="en-AU"/>
        </w:rPr>
        <w:t xml:space="preserve">model </w:t>
      </w:r>
      <w:r>
        <w:rPr>
          <w:lang w:eastAsia="en-AU"/>
        </w:rPr>
        <w:t>with different skill categories</w:t>
      </w:r>
      <w:r w:rsidRPr="006B1772">
        <w:rPr>
          <w:lang w:eastAsia="en-AU"/>
        </w:rPr>
        <w:t>.</w:t>
      </w:r>
      <w:r>
        <w:rPr>
          <w:lang w:eastAsia="en-AU"/>
        </w:rPr>
        <w:t xml:space="preserve"> </w:t>
      </w:r>
    </w:p>
    <w:p w:rsidR="00977C78" w:rsidRDefault="00977C78" w:rsidP="00977C78">
      <w:pPr>
        <w:pStyle w:val="AppendixTableCaption"/>
        <w:rPr>
          <w:lang w:eastAsia="en-AU"/>
        </w:rPr>
      </w:pPr>
      <w:bookmarkStart w:id="338" w:name="_Toc465961142"/>
      <w:r>
        <w:rPr>
          <w:lang w:eastAsia="en-AU"/>
        </w:rPr>
        <w:t>: Model parameterisation data requirements and sources</w:t>
      </w:r>
      <w:bookmarkEnd w:id="338"/>
    </w:p>
    <w:tbl>
      <w:tblPr>
        <w:tblStyle w:val="TableAE"/>
        <w:tblW w:w="0" w:type="auto"/>
        <w:tblLayout w:type="fixed"/>
        <w:tblLook w:val="04A0" w:firstRow="1" w:lastRow="0" w:firstColumn="1" w:lastColumn="0" w:noHBand="0" w:noVBand="1"/>
      </w:tblPr>
      <w:tblGrid>
        <w:gridCol w:w="2660"/>
        <w:gridCol w:w="2693"/>
        <w:gridCol w:w="3367"/>
      </w:tblGrid>
      <w:tr w:rsidR="00977C78" w:rsidRPr="00423C9C" w:rsidTr="00261886">
        <w:trPr>
          <w:cnfStyle w:val="100000000000" w:firstRow="1" w:lastRow="0" w:firstColumn="0" w:lastColumn="0" w:oddVBand="0" w:evenVBand="0" w:oddHBand="0" w:evenHBand="0" w:firstRowFirstColumn="0" w:firstRowLastColumn="0" w:lastRowFirstColumn="0" w:lastRowLastColumn="0"/>
        </w:trPr>
        <w:tc>
          <w:tcPr>
            <w:tcW w:w="2660" w:type="dxa"/>
          </w:tcPr>
          <w:p w:rsidR="00977C78" w:rsidRPr="00423C9C" w:rsidRDefault="00977C78" w:rsidP="00261886">
            <w:pPr>
              <w:pStyle w:val="TableHeadingCentre"/>
              <w:jc w:val="left"/>
              <w:rPr>
                <w:rFonts w:asciiTheme="minorHAnsi" w:hAnsiTheme="minorHAnsi"/>
                <w:sz w:val="20"/>
                <w:szCs w:val="20"/>
                <w:lang w:eastAsia="en-AU"/>
              </w:rPr>
            </w:pPr>
            <w:r w:rsidRPr="00423C9C">
              <w:rPr>
                <w:rFonts w:asciiTheme="minorHAnsi" w:hAnsiTheme="minorHAnsi"/>
                <w:sz w:val="20"/>
                <w:szCs w:val="20"/>
                <w:lang w:eastAsia="en-AU"/>
              </w:rPr>
              <w:t>Input requirements</w:t>
            </w:r>
          </w:p>
        </w:tc>
        <w:tc>
          <w:tcPr>
            <w:tcW w:w="2693" w:type="dxa"/>
            <w:tcBorders>
              <w:right w:val="single" w:sz="12" w:space="0" w:color="FFFFFF" w:themeColor="background1"/>
            </w:tcBorders>
          </w:tcPr>
          <w:p w:rsidR="00977C78" w:rsidRPr="00423C9C" w:rsidRDefault="00977C78" w:rsidP="00261886">
            <w:pPr>
              <w:pStyle w:val="TableHeadingCentre"/>
              <w:jc w:val="left"/>
              <w:rPr>
                <w:rFonts w:asciiTheme="minorHAnsi" w:hAnsiTheme="minorHAnsi"/>
                <w:sz w:val="20"/>
                <w:szCs w:val="20"/>
                <w:lang w:eastAsia="en-AU"/>
              </w:rPr>
            </w:pPr>
            <w:r w:rsidRPr="00423C9C">
              <w:rPr>
                <w:rFonts w:asciiTheme="minorHAnsi" w:hAnsiTheme="minorHAnsi"/>
                <w:sz w:val="20"/>
                <w:szCs w:val="20"/>
                <w:lang w:eastAsia="en-AU"/>
              </w:rPr>
              <w:t>Source</w:t>
            </w:r>
          </w:p>
        </w:tc>
        <w:tc>
          <w:tcPr>
            <w:tcW w:w="3367" w:type="dxa"/>
            <w:tcBorders>
              <w:left w:val="single" w:sz="12" w:space="0" w:color="FFFFFF" w:themeColor="background1"/>
            </w:tcBorders>
          </w:tcPr>
          <w:p w:rsidR="00977C78" w:rsidRPr="00423C9C" w:rsidRDefault="00977C78" w:rsidP="00261886">
            <w:pPr>
              <w:pStyle w:val="TableHeadingCentre"/>
              <w:jc w:val="left"/>
              <w:rPr>
                <w:rFonts w:asciiTheme="minorHAnsi" w:hAnsiTheme="minorHAnsi"/>
                <w:sz w:val="20"/>
                <w:szCs w:val="20"/>
                <w:lang w:eastAsia="en-AU"/>
              </w:rPr>
            </w:pPr>
            <w:r>
              <w:rPr>
                <w:rFonts w:asciiTheme="minorHAnsi" w:hAnsiTheme="minorHAnsi"/>
                <w:sz w:val="20"/>
                <w:szCs w:val="20"/>
                <w:lang w:eastAsia="en-AU"/>
              </w:rPr>
              <w:t>Notes</w:t>
            </w:r>
          </w:p>
        </w:tc>
      </w:tr>
      <w:tr w:rsidR="00977C78" w:rsidRPr="00423C9C" w:rsidTr="00261886">
        <w:tc>
          <w:tcPr>
            <w:tcW w:w="2660" w:type="dxa"/>
            <w:tcBorders>
              <w:bottom w:val="single" w:sz="4" w:space="0" w:color="FFFFFF" w:themeColor="background1"/>
            </w:tcBorders>
          </w:tcPr>
          <w:p w:rsidR="00977C78" w:rsidRPr="00423C9C" w:rsidRDefault="00977C78" w:rsidP="00261886">
            <w:pPr>
              <w:pStyle w:val="TabletextLeft"/>
              <w:rPr>
                <w:rFonts w:asciiTheme="minorHAnsi" w:hAnsiTheme="minorHAnsi"/>
                <w:lang w:eastAsia="en-AU"/>
              </w:rPr>
            </w:pPr>
            <w:r w:rsidRPr="00423C9C">
              <w:rPr>
                <w:rFonts w:asciiTheme="minorHAnsi" w:hAnsiTheme="minorHAnsi"/>
                <w:b/>
                <w:lang w:eastAsia="en-AU"/>
              </w:rPr>
              <w:t>Wage</w:t>
            </w:r>
            <w:r w:rsidRPr="00423C9C">
              <w:rPr>
                <w:rFonts w:asciiTheme="minorHAnsi" w:hAnsiTheme="minorHAnsi"/>
                <w:lang w:eastAsia="en-AU"/>
              </w:rPr>
              <w:t xml:space="preserve"> share by occupation x industry x skill</w:t>
            </w:r>
          </w:p>
        </w:tc>
        <w:tc>
          <w:tcPr>
            <w:tcW w:w="2693" w:type="dxa"/>
            <w:tcBorders>
              <w:bottom w:val="single" w:sz="4" w:space="0" w:color="FFFFFF" w:themeColor="background1"/>
              <w:right w:val="single" w:sz="12" w:space="0" w:color="FFFFFF" w:themeColor="background1"/>
            </w:tcBorders>
            <w:vAlign w:val="center"/>
          </w:tcPr>
          <w:p w:rsidR="00977C78" w:rsidRPr="00423C9C" w:rsidRDefault="00977C78" w:rsidP="00261886">
            <w:pPr>
              <w:pStyle w:val="TabletextLeft"/>
              <w:rPr>
                <w:rFonts w:asciiTheme="minorHAnsi" w:hAnsiTheme="minorHAnsi"/>
                <w:lang w:eastAsia="en-AU"/>
              </w:rPr>
            </w:pPr>
            <w:r>
              <w:rPr>
                <w:rFonts w:asciiTheme="minorHAnsi" w:hAnsiTheme="minorHAnsi"/>
                <w:lang w:eastAsia="en-AU"/>
              </w:rPr>
              <w:t xml:space="preserve">Estimated from </w:t>
            </w:r>
            <w:r w:rsidRPr="00423C9C">
              <w:rPr>
                <w:rFonts w:asciiTheme="minorHAnsi" w:hAnsiTheme="minorHAnsi"/>
                <w:lang w:eastAsia="en-AU"/>
              </w:rPr>
              <w:t>ABS 2011 Census of Population and Housing</w:t>
            </w:r>
          </w:p>
        </w:tc>
        <w:tc>
          <w:tcPr>
            <w:tcW w:w="3367" w:type="dxa"/>
            <w:tcBorders>
              <w:left w:val="single" w:sz="12" w:space="0" w:color="FFFFFF" w:themeColor="background1"/>
              <w:bottom w:val="single" w:sz="4" w:space="0" w:color="FFFFFF" w:themeColor="background1"/>
            </w:tcBorders>
            <w:vAlign w:val="center"/>
          </w:tcPr>
          <w:p w:rsidR="00977C78" w:rsidRPr="00423C9C" w:rsidRDefault="00977C78" w:rsidP="00261886">
            <w:pPr>
              <w:pStyle w:val="TabletextLeft"/>
              <w:rPr>
                <w:rFonts w:asciiTheme="minorHAnsi" w:hAnsiTheme="minorHAnsi"/>
                <w:lang w:eastAsia="en-AU"/>
              </w:rPr>
            </w:pPr>
            <w:r>
              <w:rPr>
                <w:rFonts w:asciiTheme="minorHAnsi" w:hAnsiTheme="minorHAnsi"/>
                <w:lang w:eastAsia="en-AU"/>
              </w:rPr>
              <w:t>The wage is calculated as the product of (i) average weekly wages and (ii) employment.</w:t>
            </w:r>
          </w:p>
        </w:tc>
      </w:tr>
      <w:tr w:rsidR="00977C78" w:rsidRPr="00423C9C" w:rsidTr="00261886">
        <w:tc>
          <w:tcPr>
            <w:tcW w:w="2660" w:type="dxa"/>
            <w:tcBorders>
              <w:top w:val="single" w:sz="4" w:space="0" w:color="FFFFFF" w:themeColor="background1"/>
            </w:tcBorders>
          </w:tcPr>
          <w:p w:rsidR="00977C78" w:rsidRPr="00423C9C" w:rsidRDefault="00977C78" w:rsidP="00261886">
            <w:pPr>
              <w:pStyle w:val="TabletextLeft"/>
              <w:rPr>
                <w:rFonts w:asciiTheme="minorHAnsi" w:hAnsiTheme="minorHAnsi"/>
                <w:lang w:eastAsia="en-AU"/>
              </w:rPr>
            </w:pPr>
            <w:r w:rsidRPr="00423C9C">
              <w:rPr>
                <w:rFonts w:asciiTheme="minorHAnsi" w:hAnsiTheme="minorHAnsi"/>
                <w:b/>
                <w:lang w:eastAsia="en-AU"/>
              </w:rPr>
              <w:t>Employment</w:t>
            </w:r>
            <w:r>
              <w:rPr>
                <w:rFonts w:asciiTheme="minorHAnsi" w:hAnsiTheme="minorHAnsi"/>
                <w:b/>
                <w:lang w:eastAsia="en-AU"/>
              </w:rPr>
              <w:t xml:space="preserve"> share</w:t>
            </w:r>
            <w:r w:rsidRPr="00423C9C">
              <w:rPr>
                <w:rFonts w:asciiTheme="minorHAnsi" w:hAnsiTheme="minorHAnsi"/>
                <w:lang w:eastAsia="en-AU"/>
              </w:rPr>
              <w:t xml:space="preserve"> by occupation x industry x skill</w:t>
            </w:r>
          </w:p>
        </w:tc>
        <w:tc>
          <w:tcPr>
            <w:tcW w:w="2693" w:type="dxa"/>
            <w:tcBorders>
              <w:top w:val="single" w:sz="4" w:space="0" w:color="FFFFFF" w:themeColor="background1"/>
              <w:bottom w:val="single" w:sz="4" w:space="0" w:color="FFFFFF" w:themeColor="background1"/>
              <w:right w:val="single" w:sz="12" w:space="0" w:color="FFFFFF" w:themeColor="background1"/>
            </w:tcBorders>
          </w:tcPr>
          <w:p w:rsidR="00977C78" w:rsidRPr="00423C9C" w:rsidRDefault="00977C78" w:rsidP="00261886">
            <w:pPr>
              <w:pStyle w:val="TabletextLeft"/>
              <w:rPr>
                <w:rFonts w:asciiTheme="minorHAnsi" w:hAnsiTheme="minorHAnsi"/>
                <w:lang w:eastAsia="en-AU"/>
              </w:rPr>
            </w:pPr>
          </w:p>
        </w:tc>
        <w:tc>
          <w:tcPr>
            <w:tcW w:w="3367" w:type="dxa"/>
            <w:tcBorders>
              <w:top w:val="single" w:sz="4" w:space="0" w:color="FFFFFF" w:themeColor="background1"/>
              <w:left w:val="single" w:sz="12" w:space="0" w:color="FFFFFF" w:themeColor="background1"/>
              <w:bottom w:val="single" w:sz="4" w:space="0" w:color="FFFFFF" w:themeColor="background1"/>
            </w:tcBorders>
          </w:tcPr>
          <w:p w:rsidR="00977C78" w:rsidRPr="00423C9C" w:rsidRDefault="00977C78" w:rsidP="00261886">
            <w:pPr>
              <w:pStyle w:val="TabletextLeft"/>
              <w:rPr>
                <w:rFonts w:asciiTheme="minorHAnsi" w:hAnsiTheme="minorHAnsi"/>
                <w:lang w:eastAsia="en-AU"/>
              </w:rPr>
            </w:pPr>
          </w:p>
        </w:tc>
      </w:tr>
      <w:tr w:rsidR="00977C78" w:rsidRPr="00423C9C" w:rsidTr="00261886">
        <w:tc>
          <w:tcPr>
            <w:tcW w:w="2660" w:type="dxa"/>
          </w:tcPr>
          <w:p w:rsidR="00977C78" w:rsidRPr="00423C9C" w:rsidRDefault="00977C78" w:rsidP="00261886">
            <w:pPr>
              <w:pStyle w:val="TabletextLeft"/>
              <w:rPr>
                <w:rFonts w:asciiTheme="minorHAnsi" w:hAnsiTheme="minorHAnsi"/>
                <w:lang w:eastAsia="en-AU"/>
              </w:rPr>
            </w:pPr>
            <w:r w:rsidRPr="00423C9C">
              <w:rPr>
                <w:rFonts w:asciiTheme="minorHAnsi" w:hAnsiTheme="minorHAnsi"/>
                <w:b/>
                <w:lang w:eastAsia="en-AU"/>
              </w:rPr>
              <w:t>Labour supply</w:t>
            </w:r>
            <w:r w:rsidRPr="00423C9C">
              <w:rPr>
                <w:rFonts w:asciiTheme="minorHAnsi" w:hAnsiTheme="minorHAnsi"/>
                <w:lang w:eastAsia="en-AU"/>
              </w:rPr>
              <w:t xml:space="preserve"> </w:t>
            </w:r>
            <w:r>
              <w:rPr>
                <w:rFonts w:asciiTheme="minorHAnsi" w:hAnsiTheme="minorHAnsi"/>
                <w:lang w:eastAsia="en-AU"/>
              </w:rPr>
              <w:t xml:space="preserve">share </w:t>
            </w:r>
            <w:r w:rsidRPr="00423C9C">
              <w:rPr>
                <w:rFonts w:asciiTheme="minorHAnsi" w:hAnsiTheme="minorHAnsi"/>
                <w:lang w:eastAsia="en-AU"/>
              </w:rPr>
              <w:t>by skill</w:t>
            </w:r>
          </w:p>
        </w:tc>
        <w:tc>
          <w:tcPr>
            <w:tcW w:w="2693" w:type="dxa"/>
            <w:tcBorders>
              <w:top w:val="single" w:sz="4" w:space="0" w:color="FFFFFF" w:themeColor="background1"/>
              <w:bottom w:val="single" w:sz="4" w:space="0" w:color="FFFFFF" w:themeColor="background1"/>
              <w:right w:val="single" w:sz="12" w:space="0" w:color="FFFFFF" w:themeColor="background1"/>
            </w:tcBorders>
          </w:tcPr>
          <w:p w:rsidR="00977C78" w:rsidRPr="00423C9C" w:rsidRDefault="00977C78" w:rsidP="00261886">
            <w:pPr>
              <w:pStyle w:val="TabletextLeft"/>
              <w:rPr>
                <w:rFonts w:asciiTheme="minorHAnsi" w:hAnsiTheme="minorHAnsi"/>
                <w:lang w:eastAsia="en-AU"/>
              </w:rPr>
            </w:pPr>
          </w:p>
        </w:tc>
        <w:tc>
          <w:tcPr>
            <w:tcW w:w="3367" w:type="dxa"/>
            <w:tcBorders>
              <w:top w:val="single" w:sz="4" w:space="0" w:color="FFFFFF" w:themeColor="background1"/>
              <w:left w:val="single" w:sz="12" w:space="0" w:color="FFFFFF" w:themeColor="background1"/>
              <w:bottom w:val="single" w:sz="4" w:space="0" w:color="FFFFFF" w:themeColor="background1"/>
            </w:tcBorders>
          </w:tcPr>
          <w:p w:rsidR="00977C78" w:rsidRPr="00423C9C" w:rsidRDefault="00977C78" w:rsidP="00261886">
            <w:pPr>
              <w:pStyle w:val="TabletextLeft"/>
              <w:rPr>
                <w:rFonts w:asciiTheme="minorHAnsi" w:hAnsiTheme="minorHAnsi"/>
                <w:lang w:eastAsia="en-AU"/>
              </w:rPr>
            </w:pPr>
          </w:p>
        </w:tc>
      </w:tr>
      <w:tr w:rsidR="00977C78" w:rsidRPr="00423C9C" w:rsidTr="00261886">
        <w:tc>
          <w:tcPr>
            <w:tcW w:w="2660" w:type="dxa"/>
          </w:tcPr>
          <w:p w:rsidR="00977C78" w:rsidRPr="00423C9C" w:rsidRDefault="00977C78" w:rsidP="00261886">
            <w:pPr>
              <w:pStyle w:val="TabletextLeft"/>
              <w:rPr>
                <w:rFonts w:asciiTheme="minorHAnsi" w:hAnsiTheme="minorHAnsi"/>
                <w:lang w:eastAsia="en-AU"/>
              </w:rPr>
            </w:pPr>
            <w:r w:rsidRPr="00423C9C">
              <w:rPr>
                <w:rFonts w:asciiTheme="minorHAnsi" w:hAnsiTheme="minorHAnsi"/>
                <w:b/>
                <w:lang w:eastAsia="en-AU"/>
              </w:rPr>
              <w:t>Average unemployment rate</w:t>
            </w:r>
            <w:r w:rsidRPr="00423C9C">
              <w:rPr>
                <w:rFonts w:asciiTheme="minorHAnsi" w:hAnsiTheme="minorHAnsi"/>
                <w:lang w:eastAsia="en-AU"/>
              </w:rPr>
              <w:t xml:space="preserve"> by skill</w:t>
            </w:r>
          </w:p>
        </w:tc>
        <w:tc>
          <w:tcPr>
            <w:tcW w:w="2693" w:type="dxa"/>
            <w:tcBorders>
              <w:top w:val="single" w:sz="4" w:space="0" w:color="FFFFFF" w:themeColor="background1"/>
              <w:right w:val="single" w:sz="12" w:space="0" w:color="FFFFFF" w:themeColor="background1"/>
            </w:tcBorders>
          </w:tcPr>
          <w:p w:rsidR="00977C78" w:rsidRPr="00423C9C" w:rsidRDefault="00977C78" w:rsidP="00261886">
            <w:pPr>
              <w:pStyle w:val="TabletextLeft"/>
              <w:rPr>
                <w:rFonts w:asciiTheme="minorHAnsi" w:hAnsiTheme="minorHAnsi"/>
                <w:lang w:eastAsia="en-AU"/>
              </w:rPr>
            </w:pPr>
          </w:p>
        </w:tc>
        <w:tc>
          <w:tcPr>
            <w:tcW w:w="3367" w:type="dxa"/>
            <w:tcBorders>
              <w:top w:val="single" w:sz="4" w:space="0" w:color="FFFFFF" w:themeColor="background1"/>
              <w:left w:val="single" w:sz="12" w:space="0" w:color="FFFFFF" w:themeColor="background1"/>
            </w:tcBorders>
          </w:tcPr>
          <w:p w:rsidR="00977C78" w:rsidRPr="00423C9C" w:rsidRDefault="00977C78" w:rsidP="00261886">
            <w:pPr>
              <w:pStyle w:val="TabletextLeft"/>
              <w:rPr>
                <w:rFonts w:asciiTheme="minorHAnsi" w:hAnsiTheme="minorHAnsi"/>
                <w:lang w:eastAsia="en-AU"/>
              </w:rPr>
            </w:pPr>
          </w:p>
        </w:tc>
      </w:tr>
    </w:tbl>
    <w:p w:rsidR="00977C78" w:rsidRPr="006632A7" w:rsidRDefault="00977C78" w:rsidP="00977C78">
      <w:pPr>
        <w:pStyle w:val="BodyText"/>
        <w:rPr>
          <w:lang w:eastAsia="en-AU"/>
        </w:rPr>
      </w:pPr>
      <w:r>
        <w:rPr>
          <w:lang w:eastAsia="en-AU"/>
        </w:rPr>
        <w:t>The above shares are calculated using data from the ABS 2011 Census of Population and Housing, which provides a count of persons in the Australian economy based on (i) their highest level of education and field of study, (ii) their labour force status, (iii) their industry of employment, (iv) their occupation, and (iii) their average weekly wage.</w:t>
      </w:r>
    </w:p>
    <w:p w:rsidR="00977C78" w:rsidRDefault="00977C78" w:rsidP="00977C78">
      <w:pPr>
        <w:pStyle w:val="BodyText"/>
        <w:rPr>
          <w:lang w:val="en-US" w:eastAsia="en-AU"/>
        </w:rPr>
      </w:pPr>
      <w:r>
        <w:rPr>
          <w:lang w:eastAsia="en-AU"/>
        </w:rPr>
        <w:t xml:space="preserve">The ABS reporting categories, such as the </w:t>
      </w:r>
      <w:r w:rsidRPr="008C6B59">
        <w:rPr>
          <w:lang w:val="en-US" w:eastAsia="en-AU"/>
        </w:rPr>
        <w:t>Australian and New Zealand Standard Industry Classification</w:t>
      </w:r>
      <w:r>
        <w:rPr>
          <w:lang w:val="en-US" w:eastAsia="en-AU"/>
        </w:rPr>
        <w:t xml:space="preserve"> (ANZSIC)</w:t>
      </w:r>
      <w:r>
        <w:rPr>
          <w:lang w:eastAsia="en-AU"/>
        </w:rPr>
        <w:t xml:space="preserve"> industries</w:t>
      </w:r>
      <w:r w:rsidR="00FB6BC9">
        <w:rPr>
          <w:lang w:eastAsia="en-AU"/>
        </w:rPr>
        <w:t xml:space="preserve"> </w:t>
      </w:r>
      <w:r>
        <w:rPr>
          <w:lang w:val="en-US" w:eastAsia="en-AU"/>
        </w:rPr>
        <w:t>and Australian and New Zealand Standard Classification of Occupations (ANZSCO) were mapped to the relevant GTAP industries and occupations, while</w:t>
      </w:r>
      <w:r>
        <w:rPr>
          <w:lang w:eastAsia="en-AU"/>
        </w:rPr>
        <w:t xml:space="preserve"> the </w:t>
      </w:r>
      <w:r w:rsidRPr="00430AA3">
        <w:rPr>
          <w:lang w:val="en-US" w:eastAsia="en-AU"/>
        </w:rPr>
        <w:t>Australian Standard Classification of Education</w:t>
      </w:r>
      <w:r>
        <w:rPr>
          <w:lang w:val="en-US" w:eastAsia="en-AU"/>
        </w:rPr>
        <w:t xml:space="preserve"> (ASCED) level of education and field of study were mapped to the specified </w:t>
      </w:r>
      <w:r w:rsidRPr="00D85804">
        <w:rPr>
          <w:lang w:val="en-US" w:eastAsia="en-AU"/>
        </w:rPr>
        <w:t>3</w:t>
      </w:r>
      <w:r>
        <w:rPr>
          <w:lang w:val="en-US" w:eastAsia="en-AU"/>
        </w:rPr>
        <w:t>7 skill categories of interest.</w:t>
      </w:r>
      <w:r>
        <w:rPr>
          <w:rStyle w:val="FootnoteReference"/>
          <w:lang w:val="en-US" w:eastAsia="en-AU"/>
        </w:rPr>
        <w:footnoteReference w:id="56"/>
      </w:r>
      <w:r>
        <w:rPr>
          <w:lang w:val="en-US" w:eastAsia="en-AU"/>
        </w:rPr>
        <w:t xml:space="preserve"> The skill mappings for the level of </w:t>
      </w:r>
      <w:r w:rsidRPr="002422DF">
        <w:rPr>
          <w:lang w:val="en-US" w:eastAsia="en-AU"/>
        </w:rPr>
        <w:t>education (</w:t>
      </w:r>
      <w:r>
        <w:rPr>
          <w:lang w:val="en-US" w:eastAsia="en-AU"/>
        </w:rPr>
        <w:t>Table C.2</w:t>
      </w:r>
      <w:r w:rsidRPr="005620FC">
        <w:rPr>
          <w:lang w:val="en-US" w:eastAsia="en-AU"/>
        </w:rPr>
        <w:t>) and field of study (</w:t>
      </w:r>
      <w:r>
        <w:rPr>
          <w:lang w:val="en-US" w:eastAsia="en-AU"/>
        </w:rPr>
        <w:t>Table C.3</w:t>
      </w:r>
      <w:r w:rsidRPr="002422DF">
        <w:rPr>
          <w:lang w:val="en-US" w:eastAsia="en-AU"/>
        </w:rPr>
        <w:t>)</w:t>
      </w:r>
      <w:r>
        <w:rPr>
          <w:lang w:val="en-US" w:eastAsia="en-AU"/>
        </w:rPr>
        <w:t xml:space="preserve"> are given below, with each combination of mapped level and field of education giving a skill category. </w:t>
      </w:r>
    </w:p>
    <w:p w:rsidR="00977C78" w:rsidRPr="001466BF" w:rsidRDefault="00977C78" w:rsidP="00977C78">
      <w:pPr>
        <w:pStyle w:val="AppendixTableCaption"/>
        <w:rPr>
          <w:lang w:eastAsia="en-AU"/>
        </w:rPr>
      </w:pPr>
      <w:bookmarkStart w:id="339" w:name="_Toc465961143"/>
      <w:r>
        <w:rPr>
          <w:lang w:eastAsia="en-AU"/>
        </w:rPr>
        <w:t>: Mapping levels of education into skills</w:t>
      </w:r>
      <w:bookmarkEnd w:id="339"/>
    </w:p>
    <w:tbl>
      <w:tblPr>
        <w:tblStyle w:val="TableAE"/>
        <w:tblW w:w="0" w:type="auto"/>
        <w:tblLayout w:type="fixed"/>
        <w:tblLook w:val="04A0" w:firstRow="1" w:lastRow="0" w:firstColumn="1" w:lastColumn="0" w:noHBand="0" w:noVBand="1"/>
      </w:tblPr>
      <w:tblGrid>
        <w:gridCol w:w="5778"/>
        <w:gridCol w:w="2942"/>
      </w:tblGrid>
      <w:tr w:rsidR="00977C78" w:rsidRPr="00423C9C" w:rsidTr="00261886">
        <w:trPr>
          <w:cnfStyle w:val="100000000000" w:firstRow="1" w:lastRow="0" w:firstColumn="0" w:lastColumn="0" w:oddVBand="0" w:evenVBand="0" w:oddHBand="0" w:evenHBand="0" w:firstRowFirstColumn="0" w:firstRowLastColumn="0" w:lastRowFirstColumn="0" w:lastRowLastColumn="0"/>
        </w:trPr>
        <w:tc>
          <w:tcPr>
            <w:tcW w:w="5778" w:type="dxa"/>
          </w:tcPr>
          <w:p w:rsidR="00977C78" w:rsidRPr="00423C9C" w:rsidRDefault="00977C78" w:rsidP="00261886">
            <w:pPr>
              <w:pStyle w:val="TableHeadingCentre"/>
              <w:jc w:val="left"/>
              <w:rPr>
                <w:rFonts w:asciiTheme="minorHAnsi" w:hAnsiTheme="minorHAnsi"/>
                <w:sz w:val="20"/>
                <w:szCs w:val="20"/>
                <w:lang w:eastAsia="en-AU"/>
              </w:rPr>
            </w:pPr>
            <w:r w:rsidRPr="00423C9C">
              <w:rPr>
                <w:rFonts w:asciiTheme="minorHAnsi" w:hAnsiTheme="minorHAnsi"/>
                <w:sz w:val="20"/>
                <w:szCs w:val="20"/>
                <w:lang w:eastAsia="en-AU"/>
              </w:rPr>
              <w:t>ASCED level of education (narrow fields)</w:t>
            </w:r>
          </w:p>
        </w:tc>
        <w:tc>
          <w:tcPr>
            <w:tcW w:w="2942" w:type="dxa"/>
          </w:tcPr>
          <w:p w:rsidR="00977C78" w:rsidRPr="00423C9C" w:rsidRDefault="00977C78" w:rsidP="00261886">
            <w:pPr>
              <w:pStyle w:val="TableHeadingCentre"/>
              <w:jc w:val="left"/>
              <w:rPr>
                <w:rFonts w:asciiTheme="minorHAnsi" w:hAnsiTheme="minorHAnsi"/>
                <w:sz w:val="20"/>
                <w:szCs w:val="20"/>
                <w:lang w:eastAsia="en-AU"/>
              </w:rPr>
            </w:pPr>
            <w:r w:rsidRPr="00423C9C">
              <w:rPr>
                <w:rFonts w:asciiTheme="minorHAnsi" w:hAnsiTheme="minorHAnsi"/>
                <w:sz w:val="20"/>
                <w:szCs w:val="20"/>
                <w:lang w:eastAsia="en-AU"/>
              </w:rPr>
              <w:t>Mapped level of education</w:t>
            </w:r>
          </w:p>
        </w:tc>
      </w:tr>
      <w:tr w:rsidR="00977C78" w:rsidRPr="00423C9C" w:rsidTr="00261886">
        <w:tc>
          <w:tcPr>
            <w:tcW w:w="5778" w:type="dxa"/>
            <w:tcBorders>
              <w:bottom w:val="single" w:sz="4" w:space="0" w:color="FFFFFF" w:themeColor="background1"/>
            </w:tcBorders>
          </w:tcPr>
          <w:p w:rsidR="00977C78" w:rsidRPr="00423C9C" w:rsidRDefault="00977C78" w:rsidP="00261886">
            <w:pPr>
              <w:contextualSpacing/>
              <w:rPr>
                <w:rFonts w:asciiTheme="minorHAnsi" w:hAnsiTheme="minorHAnsi"/>
                <w:sz w:val="20"/>
              </w:rPr>
            </w:pPr>
            <w:r w:rsidRPr="00423C9C">
              <w:rPr>
                <w:rFonts w:asciiTheme="minorHAnsi" w:hAnsiTheme="minorHAnsi"/>
                <w:sz w:val="20"/>
              </w:rPr>
              <w:t>Postgraduate Degree Level, nfd</w:t>
            </w:r>
          </w:p>
        </w:tc>
        <w:tc>
          <w:tcPr>
            <w:tcW w:w="2942" w:type="dxa"/>
            <w:tcBorders>
              <w:bottom w:val="single" w:sz="4" w:space="0" w:color="FFFFFF" w:themeColor="background1"/>
            </w:tcBorders>
            <w:vAlign w:val="center"/>
          </w:tcPr>
          <w:p w:rsidR="00977C78" w:rsidRPr="00423C9C" w:rsidRDefault="00977C78" w:rsidP="00261886">
            <w:pPr>
              <w:contextualSpacing/>
              <w:rPr>
                <w:rFonts w:asciiTheme="minorHAnsi" w:hAnsiTheme="minorHAnsi"/>
                <w:sz w:val="20"/>
                <w:lang w:eastAsia="en-AU"/>
              </w:rPr>
            </w:pPr>
            <w:r w:rsidRPr="00423C9C">
              <w:rPr>
                <w:rFonts w:asciiTheme="minorHAnsi" w:hAnsiTheme="minorHAnsi"/>
                <w:sz w:val="20"/>
              </w:rPr>
              <w:t>Postgraduate level</w:t>
            </w:r>
          </w:p>
        </w:tc>
      </w:tr>
      <w:tr w:rsidR="00977C78" w:rsidRPr="00423C9C" w:rsidTr="00261886">
        <w:tc>
          <w:tcPr>
            <w:tcW w:w="5778" w:type="dxa"/>
            <w:tcBorders>
              <w:top w:val="single" w:sz="4" w:space="0" w:color="FFFFFF" w:themeColor="background1"/>
            </w:tcBorders>
          </w:tcPr>
          <w:p w:rsidR="00977C78" w:rsidRPr="00423C9C" w:rsidRDefault="00977C78" w:rsidP="00261886">
            <w:pPr>
              <w:contextualSpacing/>
              <w:rPr>
                <w:rFonts w:asciiTheme="minorHAnsi" w:hAnsiTheme="minorHAnsi"/>
                <w:sz w:val="20"/>
              </w:rPr>
            </w:pPr>
            <w:r w:rsidRPr="00423C9C">
              <w:rPr>
                <w:rFonts w:asciiTheme="minorHAnsi" w:hAnsiTheme="minorHAnsi"/>
                <w:sz w:val="20"/>
              </w:rPr>
              <w:t>Doctoral Degree Level</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contextualSpacing/>
              <w:rPr>
                <w:rFonts w:asciiTheme="minorHAnsi" w:hAnsiTheme="minorHAnsi"/>
                <w:sz w:val="20"/>
              </w:rPr>
            </w:pPr>
            <w:r w:rsidRPr="00423C9C">
              <w:rPr>
                <w:rFonts w:asciiTheme="minorHAnsi" w:hAnsiTheme="minorHAnsi"/>
                <w:sz w:val="20"/>
              </w:rPr>
              <w:t>Postgraduate level</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Master Degree Level</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contextualSpacing/>
              <w:rPr>
                <w:rFonts w:asciiTheme="minorHAnsi" w:hAnsiTheme="minorHAnsi"/>
                <w:sz w:val="20"/>
              </w:rPr>
            </w:pPr>
            <w:r w:rsidRPr="00423C9C">
              <w:rPr>
                <w:rFonts w:asciiTheme="minorHAnsi" w:hAnsiTheme="minorHAnsi"/>
                <w:sz w:val="20"/>
              </w:rPr>
              <w:t>Postgraduate level</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Graduate Diploma and Graduate Certificate Level, nfd</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contextualSpacing/>
              <w:rPr>
                <w:rFonts w:asciiTheme="minorHAnsi" w:hAnsiTheme="minorHAnsi"/>
                <w:sz w:val="20"/>
              </w:rPr>
            </w:pPr>
            <w:r w:rsidRPr="00423C9C">
              <w:rPr>
                <w:rFonts w:asciiTheme="minorHAnsi" w:hAnsiTheme="minorHAnsi"/>
                <w:sz w:val="20"/>
              </w:rPr>
              <w:t>Postgraduate level</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Graduate Diploma Level</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contextualSpacing/>
              <w:rPr>
                <w:rFonts w:asciiTheme="minorHAnsi" w:hAnsiTheme="minorHAnsi"/>
                <w:sz w:val="20"/>
              </w:rPr>
            </w:pPr>
            <w:r w:rsidRPr="00423C9C">
              <w:rPr>
                <w:rFonts w:asciiTheme="minorHAnsi" w:hAnsiTheme="minorHAnsi"/>
                <w:sz w:val="20"/>
              </w:rPr>
              <w:t>Postgraduate level</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Graduate Certificate Level</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pStyle w:val="TabletextLeft"/>
              <w:spacing w:before="0"/>
              <w:contextualSpacing/>
              <w:rPr>
                <w:rFonts w:asciiTheme="minorHAnsi" w:hAnsiTheme="minorHAnsi"/>
                <w:lang w:eastAsia="en-AU"/>
              </w:rPr>
            </w:pPr>
            <w:r w:rsidRPr="00423C9C">
              <w:rPr>
                <w:rFonts w:asciiTheme="minorHAnsi" w:hAnsiTheme="minorHAnsi"/>
              </w:rPr>
              <w:t>Postgraduate level</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Bachelor Degree Level</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pStyle w:val="TabletextLeft"/>
              <w:spacing w:before="0"/>
              <w:contextualSpacing/>
              <w:rPr>
                <w:rFonts w:asciiTheme="minorHAnsi" w:hAnsiTheme="minorHAnsi"/>
                <w:lang w:eastAsia="en-AU"/>
              </w:rPr>
            </w:pPr>
            <w:r w:rsidRPr="00423C9C">
              <w:rPr>
                <w:rFonts w:asciiTheme="minorHAnsi" w:hAnsiTheme="minorHAnsi"/>
              </w:rPr>
              <w:t>Bachelor level</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Advanced Diploma and Diploma Level, nfd</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pStyle w:val="TabletextLeft"/>
              <w:spacing w:before="0"/>
              <w:contextualSpacing/>
              <w:rPr>
                <w:rFonts w:asciiTheme="minorHAnsi" w:hAnsiTheme="minorHAnsi"/>
                <w:lang w:eastAsia="en-AU"/>
              </w:rPr>
            </w:pPr>
            <w:r w:rsidRPr="00423C9C">
              <w:rPr>
                <w:rFonts w:asciiTheme="minorHAnsi" w:hAnsiTheme="minorHAnsi"/>
                <w:lang w:eastAsia="en-AU"/>
              </w:rPr>
              <w:t>Sub-bachelor level</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Advanced Diploma and Associate Degree Level</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pStyle w:val="TabletextLeft"/>
              <w:spacing w:before="0"/>
              <w:contextualSpacing/>
              <w:rPr>
                <w:rFonts w:asciiTheme="minorHAnsi" w:hAnsiTheme="minorHAnsi"/>
                <w:lang w:eastAsia="en-AU"/>
              </w:rPr>
            </w:pPr>
            <w:r w:rsidRPr="00423C9C">
              <w:rPr>
                <w:rFonts w:asciiTheme="minorHAnsi" w:hAnsiTheme="minorHAnsi"/>
                <w:lang w:eastAsia="en-AU"/>
              </w:rPr>
              <w:t>Sub-bachelor level</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Diploma Level</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pStyle w:val="TabletextLeft"/>
              <w:spacing w:before="0"/>
              <w:contextualSpacing/>
              <w:rPr>
                <w:rFonts w:asciiTheme="minorHAnsi" w:hAnsiTheme="minorHAnsi"/>
                <w:lang w:eastAsia="en-AU"/>
              </w:rPr>
            </w:pPr>
            <w:r w:rsidRPr="00423C9C">
              <w:rPr>
                <w:rFonts w:asciiTheme="minorHAnsi" w:hAnsiTheme="minorHAnsi"/>
                <w:lang w:eastAsia="en-AU"/>
              </w:rPr>
              <w:t>Sub-bachelor level</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Certificate Level, nfd</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pStyle w:val="TabletextLeft"/>
              <w:spacing w:before="0"/>
              <w:contextualSpacing/>
              <w:rPr>
                <w:rFonts w:asciiTheme="minorHAnsi" w:hAnsiTheme="minorHAnsi"/>
                <w:lang w:eastAsia="en-AU"/>
              </w:rPr>
            </w:pPr>
            <w:r w:rsidRPr="00423C9C">
              <w:rPr>
                <w:rFonts w:asciiTheme="minorHAnsi" w:hAnsiTheme="minorHAnsi"/>
                <w:lang w:eastAsia="en-AU"/>
              </w:rPr>
              <w:t>VET level</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Certificate III &amp; IV Level</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pStyle w:val="TabletextLeft"/>
              <w:spacing w:before="0"/>
              <w:contextualSpacing/>
              <w:rPr>
                <w:rFonts w:asciiTheme="minorHAnsi" w:hAnsiTheme="minorHAnsi"/>
                <w:lang w:eastAsia="en-AU"/>
              </w:rPr>
            </w:pPr>
            <w:r w:rsidRPr="00423C9C">
              <w:rPr>
                <w:rFonts w:asciiTheme="minorHAnsi" w:hAnsiTheme="minorHAnsi"/>
                <w:lang w:eastAsia="en-AU"/>
              </w:rPr>
              <w:t>VET level</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Certificate I &amp; II Level</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pStyle w:val="TabletextLeft"/>
              <w:spacing w:before="0"/>
              <w:contextualSpacing/>
              <w:rPr>
                <w:rFonts w:asciiTheme="minorHAnsi" w:hAnsiTheme="minorHAnsi"/>
                <w:lang w:eastAsia="en-AU"/>
              </w:rPr>
            </w:pPr>
            <w:r w:rsidRPr="00423C9C">
              <w:rPr>
                <w:rFonts w:asciiTheme="minorHAnsi" w:hAnsiTheme="minorHAnsi"/>
                <w:lang w:eastAsia="en-AU"/>
              </w:rPr>
              <w:t>High school leavers</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Level of education inadequately described</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pStyle w:val="TabletextLeft"/>
              <w:spacing w:before="0"/>
              <w:contextualSpacing/>
              <w:rPr>
                <w:rFonts w:asciiTheme="minorHAnsi" w:hAnsiTheme="minorHAnsi"/>
                <w:lang w:eastAsia="en-AU"/>
              </w:rPr>
            </w:pPr>
            <w:r w:rsidRPr="00423C9C">
              <w:rPr>
                <w:rFonts w:asciiTheme="minorHAnsi" w:hAnsiTheme="minorHAnsi"/>
                <w:lang w:eastAsia="en-AU"/>
              </w:rPr>
              <w:t>Not applicable</w:t>
            </w:r>
          </w:p>
        </w:tc>
      </w:tr>
      <w:tr w:rsidR="00977C78" w:rsidRPr="00423C9C" w:rsidTr="00261886">
        <w:trPr>
          <w:trHeight w:val="96"/>
        </w:trPr>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Level of education not stated</w:t>
            </w:r>
          </w:p>
        </w:tc>
        <w:tc>
          <w:tcPr>
            <w:tcW w:w="2942" w:type="dxa"/>
            <w:tcBorders>
              <w:top w:val="single" w:sz="4" w:space="0" w:color="FFFFFF" w:themeColor="background1"/>
              <w:bottom w:val="single" w:sz="4" w:space="0" w:color="FFFFFF" w:themeColor="background1"/>
            </w:tcBorders>
          </w:tcPr>
          <w:p w:rsidR="00977C78" w:rsidRPr="00423C9C" w:rsidRDefault="00977C78" w:rsidP="00261886">
            <w:pPr>
              <w:pStyle w:val="TabletextLeft"/>
              <w:spacing w:before="0"/>
              <w:contextualSpacing/>
              <w:rPr>
                <w:rFonts w:asciiTheme="minorHAnsi" w:hAnsiTheme="minorHAnsi"/>
                <w:lang w:eastAsia="en-AU"/>
              </w:rPr>
            </w:pPr>
            <w:r w:rsidRPr="00423C9C">
              <w:rPr>
                <w:rFonts w:asciiTheme="minorHAnsi" w:hAnsiTheme="minorHAnsi"/>
                <w:lang w:eastAsia="en-AU"/>
              </w:rPr>
              <w:t>Not applicable</w:t>
            </w:r>
          </w:p>
        </w:tc>
      </w:tr>
      <w:tr w:rsidR="00977C78" w:rsidRPr="00423C9C" w:rsidTr="00261886">
        <w:tc>
          <w:tcPr>
            <w:tcW w:w="5778" w:type="dxa"/>
          </w:tcPr>
          <w:p w:rsidR="00977C78" w:rsidRPr="00423C9C" w:rsidRDefault="00977C78" w:rsidP="00261886">
            <w:pPr>
              <w:contextualSpacing/>
              <w:rPr>
                <w:rFonts w:asciiTheme="minorHAnsi" w:hAnsiTheme="minorHAnsi"/>
                <w:sz w:val="20"/>
              </w:rPr>
            </w:pPr>
            <w:r w:rsidRPr="00423C9C">
              <w:rPr>
                <w:rFonts w:asciiTheme="minorHAnsi" w:hAnsiTheme="minorHAnsi"/>
                <w:sz w:val="20"/>
              </w:rPr>
              <w:t>Not applicable</w:t>
            </w:r>
          </w:p>
        </w:tc>
        <w:tc>
          <w:tcPr>
            <w:tcW w:w="2942" w:type="dxa"/>
            <w:tcBorders>
              <w:top w:val="single" w:sz="4" w:space="0" w:color="FFFFFF" w:themeColor="background1"/>
            </w:tcBorders>
          </w:tcPr>
          <w:p w:rsidR="00977C78" w:rsidRPr="00423C9C" w:rsidRDefault="00977C78" w:rsidP="00261886">
            <w:pPr>
              <w:pStyle w:val="TabletextLeft"/>
              <w:spacing w:before="0"/>
              <w:contextualSpacing/>
              <w:rPr>
                <w:rFonts w:asciiTheme="minorHAnsi" w:hAnsiTheme="minorHAnsi"/>
                <w:lang w:eastAsia="en-AU"/>
              </w:rPr>
            </w:pPr>
            <w:r w:rsidRPr="00423C9C">
              <w:rPr>
                <w:rFonts w:asciiTheme="minorHAnsi" w:hAnsiTheme="minorHAnsi"/>
                <w:lang w:eastAsia="en-AU"/>
              </w:rPr>
              <w:t>High school leavers</w:t>
            </w:r>
          </w:p>
        </w:tc>
      </w:tr>
    </w:tbl>
    <w:p w:rsidR="00977C78" w:rsidRDefault="00977C78" w:rsidP="00977C78">
      <w:pPr>
        <w:pStyle w:val="BodyText"/>
        <w:rPr>
          <w:lang w:eastAsia="en-AU"/>
        </w:rPr>
      </w:pPr>
    </w:p>
    <w:p w:rsidR="00977C78" w:rsidRPr="001466BF" w:rsidRDefault="00977C78" w:rsidP="00977C78">
      <w:pPr>
        <w:pStyle w:val="AppendixTableCaption"/>
        <w:rPr>
          <w:lang w:eastAsia="en-AU"/>
        </w:rPr>
      </w:pPr>
      <w:bookmarkStart w:id="340" w:name="_Toc465961144"/>
      <w:r>
        <w:rPr>
          <w:lang w:eastAsia="en-AU"/>
        </w:rPr>
        <w:t>: Mapping fields of study into skills</w:t>
      </w:r>
      <w:bookmarkEnd w:id="340"/>
    </w:p>
    <w:tbl>
      <w:tblPr>
        <w:tblStyle w:val="TableAE"/>
        <w:tblW w:w="0" w:type="auto"/>
        <w:tblLayout w:type="fixed"/>
        <w:tblLook w:val="04A0" w:firstRow="1" w:lastRow="0" w:firstColumn="1" w:lastColumn="0" w:noHBand="0" w:noVBand="1"/>
      </w:tblPr>
      <w:tblGrid>
        <w:gridCol w:w="5778"/>
        <w:gridCol w:w="2942"/>
      </w:tblGrid>
      <w:tr w:rsidR="00977C78" w:rsidRPr="00423C9C" w:rsidTr="00261886">
        <w:trPr>
          <w:cnfStyle w:val="100000000000" w:firstRow="1" w:lastRow="0" w:firstColumn="0" w:lastColumn="0" w:oddVBand="0" w:evenVBand="0" w:oddHBand="0" w:evenHBand="0" w:firstRowFirstColumn="0" w:firstRowLastColumn="0" w:lastRowFirstColumn="0" w:lastRowLastColumn="0"/>
          <w:tblHeader/>
        </w:trPr>
        <w:tc>
          <w:tcPr>
            <w:tcW w:w="5778" w:type="dxa"/>
            <w:vAlign w:val="center"/>
          </w:tcPr>
          <w:p w:rsidR="00977C78" w:rsidRPr="00423C9C" w:rsidRDefault="00977C78" w:rsidP="00261886">
            <w:pPr>
              <w:pStyle w:val="TableHeadingCentre"/>
              <w:spacing w:before="0" w:after="0"/>
              <w:jc w:val="left"/>
              <w:rPr>
                <w:rFonts w:asciiTheme="minorHAnsi" w:hAnsiTheme="minorHAnsi"/>
                <w:sz w:val="20"/>
                <w:szCs w:val="20"/>
                <w:lang w:eastAsia="en-AU"/>
              </w:rPr>
            </w:pPr>
            <w:r w:rsidRPr="00423C9C">
              <w:rPr>
                <w:rFonts w:asciiTheme="minorHAnsi" w:hAnsiTheme="minorHAnsi"/>
                <w:sz w:val="20"/>
                <w:szCs w:val="20"/>
                <w:lang w:eastAsia="en-AU"/>
              </w:rPr>
              <w:t>ASCED field of study (narrow fields)</w:t>
            </w:r>
          </w:p>
        </w:tc>
        <w:tc>
          <w:tcPr>
            <w:tcW w:w="2942" w:type="dxa"/>
            <w:vAlign w:val="center"/>
          </w:tcPr>
          <w:p w:rsidR="00977C78" w:rsidRPr="00423C9C" w:rsidRDefault="00977C78" w:rsidP="00261886">
            <w:pPr>
              <w:pStyle w:val="TableHeadingCentre"/>
              <w:spacing w:before="0" w:after="0"/>
              <w:jc w:val="left"/>
              <w:rPr>
                <w:rFonts w:asciiTheme="minorHAnsi" w:hAnsiTheme="minorHAnsi"/>
                <w:sz w:val="20"/>
                <w:szCs w:val="20"/>
                <w:lang w:eastAsia="en-AU"/>
              </w:rPr>
            </w:pPr>
            <w:r w:rsidRPr="00423C9C">
              <w:rPr>
                <w:rFonts w:asciiTheme="minorHAnsi" w:hAnsiTheme="minorHAnsi"/>
                <w:sz w:val="20"/>
                <w:szCs w:val="20"/>
                <w:lang w:eastAsia="en-AU"/>
              </w:rPr>
              <w:t xml:space="preserve">Mapped </w:t>
            </w:r>
            <w:r>
              <w:rPr>
                <w:rFonts w:asciiTheme="minorHAnsi" w:hAnsiTheme="minorHAnsi"/>
                <w:sz w:val="20"/>
                <w:szCs w:val="20"/>
                <w:lang w:eastAsia="en-AU"/>
              </w:rPr>
              <w:t>field</w:t>
            </w:r>
            <w:r w:rsidRPr="00423C9C">
              <w:rPr>
                <w:rFonts w:asciiTheme="minorHAnsi" w:hAnsiTheme="minorHAnsi"/>
                <w:sz w:val="20"/>
                <w:szCs w:val="20"/>
                <w:lang w:eastAsia="en-AU"/>
              </w:rPr>
              <w:t xml:space="preserve"> of education</w:t>
            </w:r>
          </w:p>
        </w:tc>
      </w:tr>
      <w:tr w:rsidR="00977C78" w:rsidRPr="00423C9C" w:rsidTr="00261886">
        <w:tc>
          <w:tcPr>
            <w:tcW w:w="5778" w:type="dxa"/>
            <w:tcBorders>
              <w:bottom w:val="single" w:sz="4" w:space="0" w:color="FFFFFF" w:themeColor="background1"/>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Natural and Physical Sciences, nfd</w:t>
            </w:r>
          </w:p>
        </w:tc>
        <w:tc>
          <w:tcPr>
            <w:tcW w:w="2942" w:type="dxa"/>
            <w:tcBorders>
              <w:bottom w:val="single" w:sz="4" w:space="0" w:color="FFFFFF" w:themeColor="background1"/>
            </w:tcBorders>
            <w:vAlign w:val="center"/>
          </w:tcPr>
          <w:p w:rsidR="00977C78" w:rsidRPr="00423C9C" w:rsidRDefault="00977C78" w:rsidP="00261886">
            <w:pPr>
              <w:contextualSpacing/>
              <w:rPr>
                <w:rFonts w:asciiTheme="minorHAnsi" w:hAnsiTheme="minorHAnsi"/>
                <w:sz w:val="20"/>
              </w:rPr>
            </w:pPr>
            <w:r>
              <w:rPr>
                <w:rFonts w:asciiTheme="minorHAnsi" w:hAnsiTheme="minorHAnsi"/>
                <w:sz w:val="20"/>
              </w:rPr>
              <w:t>Science</w:t>
            </w:r>
          </w:p>
        </w:tc>
      </w:tr>
      <w:tr w:rsidR="00977C78" w:rsidRPr="00423C9C" w:rsidTr="00261886">
        <w:tc>
          <w:tcPr>
            <w:tcW w:w="5778" w:type="dxa"/>
            <w:tcBorders>
              <w:top w:val="single" w:sz="4" w:space="0" w:color="FFFFFF" w:themeColor="background1"/>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Mathematical Sciences</w:t>
            </w:r>
          </w:p>
        </w:tc>
        <w:tc>
          <w:tcPr>
            <w:tcW w:w="2942" w:type="dxa"/>
            <w:tcBorders>
              <w:top w:val="single" w:sz="4" w:space="0" w:color="FFFFFF" w:themeColor="background1"/>
              <w:bottom w:val="single" w:sz="4" w:space="0" w:color="FFFFFF" w:themeColor="background1"/>
            </w:tcBorders>
            <w:vAlign w:val="center"/>
          </w:tcPr>
          <w:p w:rsidR="00977C78" w:rsidRPr="00423C9C" w:rsidRDefault="00977C78" w:rsidP="00261886">
            <w:pPr>
              <w:contextualSpacing/>
              <w:rPr>
                <w:rFonts w:asciiTheme="minorHAnsi" w:hAnsiTheme="minorHAnsi"/>
                <w:sz w:val="20"/>
              </w:rPr>
            </w:pPr>
            <w:r w:rsidRPr="004B0C94">
              <w:rPr>
                <w:rFonts w:asciiTheme="minorHAnsi" w:hAnsiTheme="minorHAnsi"/>
                <w:sz w:val="20"/>
              </w:rPr>
              <w:t>Science</w:t>
            </w:r>
          </w:p>
        </w:tc>
      </w:tr>
      <w:tr w:rsidR="00977C78" w:rsidRPr="00423C9C" w:rsidTr="00261886">
        <w:tc>
          <w:tcPr>
            <w:tcW w:w="5778" w:type="dxa"/>
            <w:tcBorders>
              <w:top w:val="single" w:sz="4" w:space="0" w:color="FFFFFF" w:themeColor="background1"/>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Physics and Astronomy</w:t>
            </w:r>
          </w:p>
        </w:tc>
        <w:tc>
          <w:tcPr>
            <w:tcW w:w="2942" w:type="dxa"/>
            <w:tcBorders>
              <w:top w:val="single" w:sz="4" w:space="0" w:color="FFFFFF" w:themeColor="background1"/>
              <w:bottom w:val="single" w:sz="4" w:space="0" w:color="FFFFFF" w:themeColor="background1"/>
            </w:tcBorders>
            <w:vAlign w:val="center"/>
          </w:tcPr>
          <w:p w:rsidR="00977C78" w:rsidRPr="00423C9C" w:rsidRDefault="00977C78" w:rsidP="00261886">
            <w:pPr>
              <w:contextualSpacing/>
              <w:rPr>
                <w:rFonts w:asciiTheme="minorHAnsi" w:hAnsiTheme="minorHAnsi"/>
                <w:sz w:val="20"/>
              </w:rPr>
            </w:pPr>
            <w:r w:rsidRPr="004B0C94">
              <w:rPr>
                <w:rFonts w:asciiTheme="minorHAnsi" w:hAnsiTheme="minorHAnsi"/>
                <w:sz w:val="20"/>
              </w:rPr>
              <w:t>Science</w:t>
            </w:r>
          </w:p>
        </w:tc>
      </w:tr>
      <w:tr w:rsidR="00977C78" w:rsidRPr="00423C9C" w:rsidTr="00261886">
        <w:tc>
          <w:tcPr>
            <w:tcW w:w="5778" w:type="dxa"/>
            <w:tcBorders>
              <w:top w:val="single" w:sz="4" w:space="0" w:color="FFFFFF" w:themeColor="background1"/>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Chemical Sciences</w:t>
            </w:r>
          </w:p>
        </w:tc>
        <w:tc>
          <w:tcPr>
            <w:tcW w:w="2942" w:type="dxa"/>
            <w:tcBorders>
              <w:top w:val="single" w:sz="4" w:space="0" w:color="FFFFFF" w:themeColor="background1"/>
              <w:bottom w:val="single" w:sz="4" w:space="0" w:color="FFFFFF" w:themeColor="background1"/>
            </w:tcBorders>
            <w:vAlign w:val="center"/>
          </w:tcPr>
          <w:p w:rsidR="00977C78" w:rsidRPr="00423C9C" w:rsidRDefault="00977C78" w:rsidP="00261886">
            <w:pPr>
              <w:contextualSpacing/>
              <w:rPr>
                <w:rFonts w:asciiTheme="minorHAnsi" w:hAnsiTheme="minorHAnsi"/>
                <w:sz w:val="20"/>
              </w:rPr>
            </w:pPr>
            <w:r w:rsidRPr="004B0C94">
              <w:rPr>
                <w:rFonts w:asciiTheme="minorHAnsi" w:hAnsiTheme="minorHAnsi"/>
                <w:sz w:val="20"/>
              </w:rPr>
              <w:t>Science</w:t>
            </w:r>
          </w:p>
        </w:tc>
      </w:tr>
      <w:tr w:rsidR="00977C78" w:rsidRPr="00423C9C" w:rsidTr="00261886">
        <w:trPr>
          <w:trHeight w:val="77"/>
        </w:trPr>
        <w:tc>
          <w:tcPr>
            <w:tcW w:w="5778" w:type="dxa"/>
            <w:tcBorders>
              <w:top w:val="single" w:sz="4" w:space="0" w:color="FFFFFF" w:themeColor="background1"/>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Earth Sciences</w:t>
            </w:r>
          </w:p>
        </w:tc>
        <w:tc>
          <w:tcPr>
            <w:tcW w:w="2942" w:type="dxa"/>
            <w:tcBorders>
              <w:top w:val="single" w:sz="4" w:space="0" w:color="FFFFFF" w:themeColor="background1"/>
              <w:bottom w:val="single" w:sz="4" w:space="0" w:color="FFFFFF" w:themeColor="background1"/>
            </w:tcBorders>
            <w:vAlign w:val="center"/>
          </w:tcPr>
          <w:p w:rsidR="00977C78" w:rsidRPr="00423C9C" w:rsidRDefault="00977C78" w:rsidP="00261886">
            <w:pPr>
              <w:contextualSpacing/>
              <w:rPr>
                <w:rFonts w:asciiTheme="minorHAnsi" w:hAnsiTheme="minorHAnsi"/>
                <w:sz w:val="20"/>
              </w:rPr>
            </w:pPr>
            <w:r w:rsidRPr="004B0C94">
              <w:rPr>
                <w:rFonts w:asciiTheme="minorHAnsi" w:hAnsiTheme="minorHAnsi"/>
                <w:sz w:val="20"/>
              </w:rPr>
              <w:t>Science</w:t>
            </w:r>
          </w:p>
        </w:tc>
      </w:tr>
      <w:tr w:rsidR="00977C78" w:rsidRPr="00423C9C" w:rsidTr="00261886">
        <w:tc>
          <w:tcPr>
            <w:tcW w:w="5778" w:type="dxa"/>
            <w:tcBorders>
              <w:top w:val="single" w:sz="4" w:space="0" w:color="FFFFFF" w:themeColor="background1"/>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Biological Sciences</w:t>
            </w:r>
          </w:p>
        </w:tc>
        <w:tc>
          <w:tcPr>
            <w:tcW w:w="2942" w:type="dxa"/>
            <w:tcBorders>
              <w:top w:val="single" w:sz="4" w:space="0" w:color="FFFFFF" w:themeColor="background1"/>
              <w:bottom w:val="single" w:sz="4" w:space="0" w:color="FFFFFF" w:themeColor="background1"/>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Science</w:t>
            </w:r>
          </w:p>
        </w:tc>
      </w:tr>
      <w:tr w:rsidR="00977C78" w:rsidRPr="00423C9C" w:rsidTr="00261886">
        <w:tc>
          <w:tcPr>
            <w:tcW w:w="5778" w:type="dxa"/>
            <w:tcBorders>
              <w:top w:val="single" w:sz="4" w:space="0" w:color="FFFFFF" w:themeColor="background1"/>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Other Natural and Physical Sciences</w:t>
            </w:r>
          </w:p>
        </w:tc>
        <w:tc>
          <w:tcPr>
            <w:tcW w:w="2942" w:type="dxa"/>
            <w:tcBorders>
              <w:top w:val="single" w:sz="4" w:space="0" w:color="FFFFFF" w:themeColor="background1"/>
              <w:bottom w:val="single" w:sz="4" w:space="0" w:color="FFFFFF" w:themeColor="background1"/>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Science</w:t>
            </w:r>
          </w:p>
        </w:tc>
      </w:tr>
      <w:tr w:rsidR="00977C78" w:rsidRPr="00423C9C" w:rsidTr="00261886">
        <w:tc>
          <w:tcPr>
            <w:tcW w:w="5778" w:type="dxa"/>
            <w:tcBorders>
              <w:top w:val="single" w:sz="4" w:space="0" w:color="FFFFFF" w:themeColor="background1"/>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Information Technology, nfd</w:t>
            </w:r>
          </w:p>
        </w:tc>
        <w:tc>
          <w:tcPr>
            <w:tcW w:w="2942" w:type="dxa"/>
            <w:tcBorders>
              <w:top w:val="single" w:sz="4" w:space="0" w:color="FFFFFF" w:themeColor="background1"/>
              <w:bottom w:val="single" w:sz="4" w:space="0" w:color="FFFFFF" w:themeColor="background1"/>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IT</w:t>
            </w:r>
          </w:p>
        </w:tc>
      </w:tr>
      <w:tr w:rsidR="00977C78" w:rsidRPr="00423C9C" w:rsidTr="00261886">
        <w:tc>
          <w:tcPr>
            <w:tcW w:w="5778" w:type="dxa"/>
            <w:tcBorders>
              <w:top w:val="single" w:sz="4" w:space="0" w:color="FFFFFF" w:themeColor="background1"/>
              <w:bottom w:val="nil"/>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Computer Science</w:t>
            </w:r>
          </w:p>
        </w:tc>
        <w:tc>
          <w:tcPr>
            <w:tcW w:w="2942" w:type="dxa"/>
            <w:tcBorders>
              <w:top w:val="single" w:sz="4" w:space="0" w:color="FFFFFF" w:themeColor="background1"/>
              <w:bottom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IT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Information Systems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IT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Other Information Technology</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IT</w:t>
            </w:r>
          </w:p>
        </w:tc>
      </w:tr>
      <w:tr w:rsidR="00977C78" w:rsidRPr="00423C9C" w:rsidTr="00261886">
        <w:trPr>
          <w:trHeight w:val="106"/>
        </w:trPr>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Engineering and Related Technologies, nfd</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rPr>
          <w:trHeight w:val="87"/>
        </w:trPr>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Manufacturing Engineering and Technology</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rPr>
          <w:trHeight w:val="106"/>
        </w:trPr>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Process and Resources Engineering</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Automotive Engineering and Technology</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Mechanical and Industrial Engineering and Technology</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Civil Engineering</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Geomatic Engineering</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Electrical and Electronic Engineering and Technology</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Aerospace Engineering and Technology</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Maritime Engineering and Technology</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Other Engineering and Related Technologies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Architecture and Building, nfd</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Architecture and Urban Environment</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rPr>
          <w:trHeight w:val="357"/>
        </w:trPr>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Building</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Engineering</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Agriculture, Environmental and Related Studies, nfd</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Science</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Agriculture</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Science</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Horticulture and Viticulture</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Science</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Forestry Studies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Science</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Fisheries Studies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Science</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Environmental Studies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Science</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Other Agriculture, Environmental and Related Studies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Science</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Health, nfd</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Pr>
                <w:rFonts w:asciiTheme="minorHAnsi" w:hAnsiTheme="minorHAnsi" w:cs="Arial"/>
                <w:sz w:val="20"/>
              </w:rPr>
              <w:t>Other health</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Medical Studies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Medicine</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Nursing</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Pr>
                <w:rFonts w:asciiTheme="minorHAnsi" w:hAnsiTheme="minorHAnsi" w:cs="Arial"/>
                <w:sz w:val="20"/>
              </w:rPr>
              <w:t>Other health</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Pharmacy</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Pr>
                <w:rFonts w:asciiTheme="minorHAnsi" w:hAnsiTheme="minorHAnsi" w:cs="Arial"/>
                <w:sz w:val="20"/>
              </w:rPr>
              <w:t>Other health</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Dental Studies</w:t>
            </w:r>
          </w:p>
        </w:tc>
        <w:tc>
          <w:tcPr>
            <w:tcW w:w="2942" w:type="dxa"/>
            <w:tcBorders>
              <w:top w:val="nil"/>
              <w:left w:val="nil"/>
              <w:bottom w:val="nil"/>
              <w:right w:val="nil"/>
            </w:tcBorders>
          </w:tcPr>
          <w:p w:rsidR="00977C78" w:rsidRDefault="00977C78" w:rsidP="00261886">
            <w:pPr>
              <w:contextualSpacing/>
            </w:pPr>
            <w:r w:rsidRPr="001E25BB">
              <w:rPr>
                <w:rFonts w:asciiTheme="minorHAnsi" w:hAnsiTheme="minorHAnsi" w:cs="Arial"/>
                <w:sz w:val="20"/>
              </w:rPr>
              <w:t>Other health</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Optical Science</w:t>
            </w:r>
          </w:p>
        </w:tc>
        <w:tc>
          <w:tcPr>
            <w:tcW w:w="2942" w:type="dxa"/>
            <w:tcBorders>
              <w:top w:val="nil"/>
              <w:left w:val="nil"/>
              <w:bottom w:val="nil"/>
              <w:right w:val="nil"/>
            </w:tcBorders>
          </w:tcPr>
          <w:p w:rsidR="00977C78" w:rsidRDefault="00977C78" w:rsidP="00261886">
            <w:pPr>
              <w:contextualSpacing/>
            </w:pPr>
            <w:r w:rsidRPr="001E25BB">
              <w:rPr>
                <w:rFonts w:asciiTheme="minorHAnsi" w:hAnsiTheme="minorHAnsi" w:cs="Arial"/>
                <w:sz w:val="20"/>
              </w:rPr>
              <w:t>Other health</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Veterinary Studies</w:t>
            </w:r>
          </w:p>
        </w:tc>
        <w:tc>
          <w:tcPr>
            <w:tcW w:w="2942" w:type="dxa"/>
            <w:tcBorders>
              <w:top w:val="nil"/>
              <w:left w:val="nil"/>
              <w:bottom w:val="nil"/>
              <w:right w:val="nil"/>
            </w:tcBorders>
          </w:tcPr>
          <w:p w:rsidR="00977C78" w:rsidRDefault="00977C78" w:rsidP="00261886">
            <w:pPr>
              <w:contextualSpacing/>
            </w:pPr>
            <w:r w:rsidRPr="001E25BB">
              <w:rPr>
                <w:rFonts w:asciiTheme="minorHAnsi" w:hAnsiTheme="minorHAnsi" w:cs="Arial"/>
                <w:sz w:val="20"/>
              </w:rPr>
              <w:t>Other health</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Public Health</w:t>
            </w:r>
          </w:p>
        </w:tc>
        <w:tc>
          <w:tcPr>
            <w:tcW w:w="2942" w:type="dxa"/>
            <w:tcBorders>
              <w:top w:val="nil"/>
              <w:left w:val="nil"/>
              <w:bottom w:val="nil"/>
              <w:right w:val="nil"/>
            </w:tcBorders>
          </w:tcPr>
          <w:p w:rsidR="00977C78" w:rsidRDefault="00977C78" w:rsidP="00261886">
            <w:pPr>
              <w:contextualSpacing/>
            </w:pPr>
            <w:r w:rsidRPr="001E25BB">
              <w:rPr>
                <w:rFonts w:asciiTheme="minorHAnsi" w:hAnsiTheme="minorHAnsi" w:cs="Arial"/>
                <w:sz w:val="20"/>
              </w:rPr>
              <w:t>Other health</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Radiography</w:t>
            </w:r>
          </w:p>
        </w:tc>
        <w:tc>
          <w:tcPr>
            <w:tcW w:w="2942" w:type="dxa"/>
            <w:tcBorders>
              <w:top w:val="nil"/>
              <w:left w:val="nil"/>
              <w:bottom w:val="nil"/>
              <w:right w:val="nil"/>
            </w:tcBorders>
          </w:tcPr>
          <w:p w:rsidR="00977C78" w:rsidRDefault="00977C78" w:rsidP="00261886">
            <w:pPr>
              <w:contextualSpacing/>
            </w:pPr>
            <w:r w:rsidRPr="001E25BB">
              <w:rPr>
                <w:rFonts w:asciiTheme="minorHAnsi" w:hAnsiTheme="minorHAnsi" w:cs="Arial"/>
                <w:sz w:val="20"/>
              </w:rPr>
              <w:t>Other health</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Rehabilitation Therapies</w:t>
            </w:r>
          </w:p>
        </w:tc>
        <w:tc>
          <w:tcPr>
            <w:tcW w:w="2942" w:type="dxa"/>
            <w:tcBorders>
              <w:top w:val="nil"/>
              <w:left w:val="nil"/>
              <w:bottom w:val="nil"/>
              <w:right w:val="nil"/>
            </w:tcBorders>
          </w:tcPr>
          <w:p w:rsidR="00977C78" w:rsidRDefault="00977C78" w:rsidP="00261886">
            <w:pPr>
              <w:contextualSpacing/>
            </w:pPr>
            <w:r w:rsidRPr="001E25BB">
              <w:rPr>
                <w:rFonts w:asciiTheme="minorHAnsi" w:hAnsiTheme="minorHAnsi" w:cs="Arial"/>
                <w:sz w:val="20"/>
              </w:rPr>
              <w:t>Other health</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Complementary Therapies</w:t>
            </w:r>
          </w:p>
        </w:tc>
        <w:tc>
          <w:tcPr>
            <w:tcW w:w="2942" w:type="dxa"/>
            <w:tcBorders>
              <w:top w:val="nil"/>
              <w:left w:val="nil"/>
              <w:bottom w:val="nil"/>
              <w:right w:val="nil"/>
            </w:tcBorders>
          </w:tcPr>
          <w:p w:rsidR="00977C78" w:rsidRDefault="00977C78" w:rsidP="00261886">
            <w:pPr>
              <w:contextualSpacing/>
            </w:pPr>
            <w:r w:rsidRPr="001E25BB">
              <w:rPr>
                <w:rFonts w:asciiTheme="minorHAnsi" w:hAnsiTheme="minorHAnsi" w:cs="Arial"/>
                <w:sz w:val="20"/>
              </w:rPr>
              <w:t>Other health</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Other Health</w:t>
            </w:r>
          </w:p>
        </w:tc>
        <w:tc>
          <w:tcPr>
            <w:tcW w:w="2942" w:type="dxa"/>
            <w:tcBorders>
              <w:top w:val="nil"/>
              <w:left w:val="nil"/>
              <w:bottom w:val="nil"/>
              <w:right w:val="nil"/>
            </w:tcBorders>
            <w:vAlign w:val="center"/>
          </w:tcPr>
          <w:p w:rsidR="00977C78" w:rsidRPr="00F51C3B" w:rsidRDefault="007A6C35" w:rsidP="00261886">
            <w:pPr>
              <w:contextualSpacing/>
              <w:rPr>
                <w:rFonts w:asciiTheme="minorHAnsi" w:hAnsiTheme="minorHAnsi" w:cs="Arial"/>
                <w:sz w:val="20"/>
              </w:rPr>
            </w:pPr>
            <w:r>
              <w:rPr>
                <w:rFonts w:asciiTheme="minorHAnsi" w:hAnsiTheme="minorHAnsi" w:cs="Arial"/>
                <w:sz w:val="20"/>
              </w:rPr>
              <w:t>Other health</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Education, nfd</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Education</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Teacher Education</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Education</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Curriculum and Education Studies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Education</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Other Education</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Education</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Management and Commerce, nfd</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Business</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Accounting</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Business</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Business and Management</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Business</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Sales and Marketing</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Business</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Tourism</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Business</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Office Studies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Business</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Banking, Finance and Related Fields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Business</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Other Management and Commerce</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Business</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Society and Culture, nfd</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Political Science and Policy Studies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Studies in Human Society</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Human Welfare Studies and Services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Behavioural Science</w:t>
            </w:r>
          </w:p>
        </w:tc>
        <w:tc>
          <w:tcPr>
            <w:tcW w:w="2942" w:type="dxa"/>
            <w:tcBorders>
              <w:top w:val="nil"/>
              <w:left w:val="nil"/>
              <w:bottom w:val="nil"/>
              <w:right w:val="nil"/>
            </w:tcBorders>
            <w:vAlign w:val="center"/>
          </w:tcPr>
          <w:p w:rsidR="00977C78" w:rsidRPr="00F51C3B" w:rsidRDefault="007A6C35" w:rsidP="00261886">
            <w:pPr>
              <w:contextualSpacing/>
              <w:rPr>
                <w:rFonts w:asciiTheme="minorHAnsi" w:hAnsiTheme="minorHAnsi" w:cs="Arial"/>
                <w:sz w:val="20"/>
              </w:rPr>
            </w:pPr>
            <w:r>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Law</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Business</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Justice and Law Enforcement</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Business</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Librarianship, Information Management and Curatorial Studies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Language and Literature</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Philosophy and Religious Studies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rPr>
          <w:trHeight w:val="96"/>
        </w:trPr>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Economics and Econometrics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Business</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Sport and Recreation</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Other Society and Culture</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Creative Arts, nfd</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Performing Arts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Visual Arts and Crafts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Graphic and Design Studies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Communication and Media Studies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contextualSpacing/>
              <w:rPr>
                <w:rFonts w:asciiTheme="minorHAnsi" w:hAnsiTheme="minorHAnsi" w:cs="Arial"/>
                <w:sz w:val="20"/>
              </w:rPr>
            </w:pPr>
            <w:r w:rsidRPr="00423C9C">
              <w:rPr>
                <w:rFonts w:asciiTheme="minorHAnsi" w:hAnsiTheme="minorHAnsi" w:cs="Arial"/>
                <w:sz w:val="20"/>
              </w:rPr>
              <w:t>Other Creative Arts</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Art</w:t>
            </w:r>
          </w:p>
        </w:tc>
      </w:tr>
      <w:tr w:rsidR="00977C78" w:rsidRPr="00423C9C" w:rsidTr="00261886">
        <w:trPr>
          <w:trHeight w:val="131"/>
        </w:trPr>
        <w:tc>
          <w:tcPr>
            <w:tcW w:w="5778"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Food, Hospitality and Personal Services, nfd</w:t>
            </w:r>
          </w:p>
        </w:tc>
        <w:tc>
          <w:tcPr>
            <w:tcW w:w="2942"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Food and hospitality</w:t>
            </w:r>
          </w:p>
        </w:tc>
      </w:tr>
      <w:tr w:rsidR="00977C78" w:rsidRPr="00423C9C" w:rsidTr="00261886">
        <w:tc>
          <w:tcPr>
            <w:tcW w:w="5778"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Food and Hospitality</w:t>
            </w:r>
          </w:p>
        </w:tc>
        <w:tc>
          <w:tcPr>
            <w:tcW w:w="2942"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Food and hospitality</w:t>
            </w:r>
          </w:p>
        </w:tc>
      </w:tr>
      <w:tr w:rsidR="00977C78" w:rsidRPr="00423C9C" w:rsidTr="00261886">
        <w:tc>
          <w:tcPr>
            <w:tcW w:w="5778"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Personal Services</w:t>
            </w:r>
          </w:p>
        </w:tc>
        <w:tc>
          <w:tcPr>
            <w:tcW w:w="2942"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Food and hospitality</w:t>
            </w:r>
          </w:p>
        </w:tc>
      </w:tr>
      <w:tr w:rsidR="00977C78" w:rsidRPr="00423C9C" w:rsidTr="00261886">
        <w:tc>
          <w:tcPr>
            <w:tcW w:w="5778"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Mixed Field Programmes, nfd</w:t>
            </w:r>
          </w:p>
        </w:tc>
        <w:tc>
          <w:tcPr>
            <w:tcW w:w="2942"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Food and hospitality</w:t>
            </w:r>
          </w:p>
        </w:tc>
      </w:tr>
      <w:tr w:rsidR="00977C78" w:rsidRPr="00423C9C" w:rsidTr="00261886">
        <w:tc>
          <w:tcPr>
            <w:tcW w:w="5778"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General Education Programmes</w:t>
            </w:r>
          </w:p>
        </w:tc>
        <w:tc>
          <w:tcPr>
            <w:tcW w:w="2942"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Food and hospitality</w:t>
            </w:r>
          </w:p>
        </w:tc>
      </w:tr>
      <w:tr w:rsidR="00977C78" w:rsidRPr="00423C9C" w:rsidTr="00261886">
        <w:tc>
          <w:tcPr>
            <w:tcW w:w="5778"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Social Skills Programmes</w:t>
            </w:r>
          </w:p>
        </w:tc>
        <w:tc>
          <w:tcPr>
            <w:tcW w:w="2942"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Food and hospitality</w:t>
            </w:r>
          </w:p>
        </w:tc>
      </w:tr>
      <w:tr w:rsidR="00977C78" w:rsidRPr="00423C9C" w:rsidTr="00261886">
        <w:tc>
          <w:tcPr>
            <w:tcW w:w="5778"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Employment Skills Programmes</w:t>
            </w:r>
          </w:p>
        </w:tc>
        <w:tc>
          <w:tcPr>
            <w:tcW w:w="2942"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Food and hospitality</w:t>
            </w:r>
          </w:p>
        </w:tc>
      </w:tr>
      <w:tr w:rsidR="00977C78" w:rsidRPr="00423C9C" w:rsidTr="00261886">
        <w:tc>
          <w:tcPr>
            <w:tcW w:w="5778"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Other Mixed Field Programmes</w:t>
            </w:r>
          </w:p>
        </w:tc>
        <w:tc>
          <w:tcPr>
            <w:tcW w:w="2942" w:type="dxa"/>
            <w:tcBorders>
              <w:top w:val="nil"/>
              <w:left w:val="nil"/>
              <w:bottom w:val="nil"/>
              <w:right w:val="nil"/>
            </w:tcBorders>
            <w:vAlign w:val="center"/>
          </w:tcPr>
          <w:p w:rsidR="00977C78" w:rsidRPr="005620FC" w:rsidRDefault="00977C78" w:rsidP="00261886">
            <w:pPr>
              <w:contextualSpacing/>
              <w:rPr>
                <w:rFonts w:asciiTheme="minorHAnsi" w:hAnsiTheme="minorHAnsi" w:cs="Arial"/>
                <w:sz w:val="20"/>
              </w:rPr>
            </w:pPr>
            <w:r w:rsidRPr="005620FC">
              <w:rPr>
                <w:rFonts w:asciiTheme="minorHAnsi" w:hAnsiTheme="minorHAnsi" w:cs="Arial"/>
                <w:sz w:val="20"/>
              </w:rPr>
              <w:t>Food and hospitality</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Field of study inadequately described</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Not applicable</w:t>
            </w:r>
          </w:p>
        </w:tc>
      </w:tr>
      <w:tr w:rsidR="00977C78" w:rsidRPr="00423C9C" w:rsidTr="00261886">
        <w:tc>
          <w:tcPr>
            <w:tcW w:w="5778" w:type="dxa"/>
            <w:tcBorders>
              <w:top w:val="nil"/>
              <w:left w:val="nil"/>
              <w:bottom w:val="nil"/>
              <w:right w:val="nil"/>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Field of study not stated</w:t>
            </w:r>
          </w:p>
        </w:tc>
        <w:tc>
          <w:tcPr>
            <w:tcW w:w="2942" w:type="dxa"/>
            <w:tcBorders>
              <w:top w:val="nil"/>
              <w:left w:val="nil"/>
              <w:bottom w:val="nil"/>
              <w:right w:val="nil"/>
            </w:tcBorders>
            <w:vAlign w:val="center"/>
          </w:tcPr>
          <w:p w:rsidR="00977C78" w:rsidRPr="00F51C3B" w:rsidRDefault="00977C78" w:rsidP="00261886">
            <w:pPr>
              <w:contextualSpacing/>
              <w:rPr>
                <w:rFonts w:asciiTheme="minorHAnsi" w:hAnsiTheme="minorHAnsi" w:cs="Arial"/>
                <w:sz w:val="20"/>
              </w:rPr>
            </w:pPr>
            <w:r w:rsidRPr="00F51C3B">
              <w:rPr>
                <w:rFonts w:asciiTheme="minorHAnsi" w:hAnsiTheme="minorHAnsi" w:cs="Arial"/>
                <w:sz w:val="20"/>
              </w:rPr>
              <w:t>Not applicable</w:t>
            </w:r>
          </w:p>
        </w:tc>
      </w:tr>
      <w:tr w:rsidR="00977C78" w:rsidRPr="00423C9C" w:rsidTr="00261886">
        <w:tc>
          <w:tcPr>
            <w:tcW w:w="5778" w:type="dxa"/>
            <w:tcBorders>
              <w:top w:val="nil"/>
              <w:left w:val="nil"/>
              <w:bottom w:val="single" w:sz="12" w:space="0" w:color="1F497D" w:themeColor="text2"/>
              <w:right w:val="nil"/>
            </w:tcBorders>
            <w:vAlign w:val="center"/>
          </w:tcPr>
          <w:p w:rsidR="00977C78" w:rsidRPr="00423C9C" w:rsidRDefault="00977C78" w:rsidP="00261886">
            <w:pPr>
              <w:rPr>
                <w:rFonts w:asciiTheme="minorHAnsi" w:hAnsiTheme="minorHAnsi" w:cs="Arial"/>
                <w:sz w:val="20"/>
              </w:rPr>
            </w:pPr>
            <w:r w:rsidRPr="00423C9C">
              <w:rPr>
                <w:rFonts w:asciiTheme="minorHAnsi" w:hAnsiTheme="minorHAnsi" w:cs="Arial"/>
                <w:sz w:val="20"/>
              </w:rPr>
              <w:t>Not applicable</w:t>
            </w:r>
          </w:p>
        </w:tc>
        <w:tc>
          <w:tcPr>
            <w:tcW w:w="2942" w:type="dxa"/>
            <w:tcBorders>
              <w:top w:val="nil"/>
              <w:left w:val="nil"/>
              <w:bottom w:val="single" w:sz="12" w:space="0" w:color="1F497D" w:themeColor="text2"/>
              <w:right w:val="nil"/>
            </w:tcBorders>
            <w:vAlign w:val="center"/>
          </w:tcPr>
          <w:p w:rsidR="00977C78" w:rsidRPr="00423C9C" w:rsidRDefault="00977C78" w:rsidP="00261886">
            <w:pPr>
              <w:contextualSpacing/>
              <w:rPr>
                <w:rFonts w:asciiTheme="minorHAnsi" w:hAnsiTheme="minorHAnsi"/>
                <w:sz w:val="20"/>
              </w:rPr>
            </w:pPr>
            <w:r>
              <w:rPr>
                <w:rFonts w:asciiTheme="minorHAnsi" w:hAnsiTheme="minorHAnsi"/>
                <w:sz w:val="20"/>
              </w:rPr>
              <w:t>Not applicable</w:t>
            </w:r>
          </w:p>
        </w:tc>
      </w:tr>
    </w:tbl>
    <w:p w:rsidR="00977C78" w:rsidRDefault="00977C78" w:rsidP="00977C78">
      <w:pPr>
        <w:pStyle w:val="BodyText"/>
        <w:rPr>
          <w:lang w:eastAsia="en-AU"/>
        </w:rPr>
      </w:pPr>
      <w:r>
        <w:rPr>
          <w:lang w:eastAsia="en-AU"/>
        </w:rPr>
        <w:t>Chart C.1 shows the employment industry composition for different disciplines of study compared to high school leavers. While high school leavers are hired across the economy, higher education graduates tend to be employed predominantly in the service industries. In particular, over 80% of graduates in medicine, other health, and education are employed in ‘other government services’, which includes the education and training, and health and social assistance industries.</w:t>
      </w:r>
    </w:p>
    <w:p w:rsidR="00977C78" w:rsidRDefault="00977C78" w:rsidP="00977C78">
      <w:pPr>
        <w:pStyle w:val="AppendixChartCaption"/>
        <w:rPr>
          <w:lang w:eastAsia="en-AU"/>
        </w:rPr>
      </w:pPr>
      <w:bookmarkStart w:id="341" w:name="_Toc465961178"/>
      <w:r>
        <w:rPr>
          <w:lang w:eastAsia="en-AU"/>
        </w:rPr>
        <w:t>: industry of employment for different disciplines (postgraduate and bachelor combined)</w:t>
      </w:r>
      <w:bookmarkEnd w:id="341"/>
    </w:p>
    <w:p w:rsidR="00977C78" w:rsidRDefault="00EA47CF" w:rsidP="00977C78">
      <w:pPr>
        <w:pStyle w:val="BodyText"/>
        <w:rPr>
          <w:lang w:eastAsia="en-AU"/>
        </w:rPr>
      </w:pPr>
      <w:r>
        <w:rPr>
          <w:noProof/>
          <w:lang w:eastAsia="en-AU"/>
        </w:rPr>
        <w:drawing>
          <wp:inline distT="0" distB="0" distL="0" distR="0" wp14:anchorId="4083C7E8" wp14:editId="1A98EDB2">
            <wp:extent cx="4858247" cy="2335403"/>
            <wp:effectExtent l="0" t="0" r="0" b="8255"/>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59484" cy="2335998"/>
                    </a:xfrm>
                    <a:prstGeom prst="rect">
                      <a:avLst/>
                    </a:prstGeom>
                    <a:noFill/>
                  </pic:spPr>
                </pic:pic>
              </a:graphicData>
            </a:graphic>
          </wp:inline>
        </w:drawing>
      </w:r>
    </w:p>
    <w:p w:rsidR="00E74CEE" w:rsidRDefault="00E74CEE" w:rsidP="00E74CEE">
      <w:pPr>
        <w:pStyle w:val="Source"/>
      </w:pPr>
      <w:r>
        <w:t xml:space="preserve">Source: </w:t>
      </w:r>
      <w:r w:rsidRPr="00423C9C">
        <w:rPr>
          <w:rFonts w:asciiTheme="minorHAnsi" w:hAnsiTheme="minorHAnsi"/>
          <w:lang w:eastAsia="en-AU"/>
        </w:rPr>
        <w:t>ABS 2011 Census of Population and Housing</w:t>
      </w:r>
      <w:r>
        <w:t>, Deloitte Access Economics</w:t>
      </w:r>
    </w:p>
    <w:p w:rsidR="00977C78" w:rsidRDefault="00977C78" w:rsidP="00977C78">
      <w:pPr>
        <w:pStyle w:val="BodyText"/>
        <w:rPr>
          <w:lang w:eastAsia="en-AU"/>
        </w:rPr>
      </w:pPr>
      <w:r>
        <w:rPr>
          <w:lang w:eastAsia="en-AU"/>
        </w:rPr>
        <w:t>Graduates with post-schooling qualification on average earn more than high school leavers (Chart C.2). While the returns to each level of additional qualifications differ across the disciplines, there is in general a</w:t>
      </w:r>
      <w:r w:rsidR="00B91C00">
        <w:rPr>
          <w:lang w:eastAsia="en-AU"/>
        </w:rPr>
        <w:t xml:space="preserve">n increase in earnings associated with higher AQF level study, from </w:t>
      </w:r>
      <w:r>
        <w:rPr>
          <w:lang w:eastAsia="en-AU"/>
        </w:rPr>
        <w:t>VET through to the postgraduate level.</w:t>
      </w:r>
    </w:p>
    <w:p w:rsidR="00977C78" w:rsidRDefault="00977C78" w:rsidP="00977C78">
      <w:pPr>
        <w:pStyle w:val="AppendixChartCaption"/>
        <w:rPr>
          <w:lang w:eastAsia="en-AU"/>
        </w:rPr>
      </w:pPr>
      <w:bookmarkStart w:id="342" w:name="_Toc465961179"/>
      <w:r>
        <w:rPr>
          <w:lang w:eastAsia="en-AU"/>
        </w:rPr>
        <w:t xml:space="preserve">: average annual </w:t>
      </w:r>
      <w:r w:rsidR="00B91C00">
        <w:rPr>
          <w:lang w:eastAsia="en-AU"/>
        </w:rPr>
        <w:t>earnings</w:t>
      </w:r>
      <w:r>
        <w:rPr>
          <w:lang w:eastAsia="en-AU"/>
        </w:rPr>
        <w:t xml:space="preserve"> for different disciplines</w:t>
      </w:r>
      <w:r w:rsidR="00B91C00">
        <w:rPr>
          <w:lang w:eastAsia="en-AU"/>
        </w:rPr>
        <w:t>, incremental from high school averages</w:t>
      </w:r>
      <w:bookmarkEnd w:id="342"/>
    </w:p>
    <w:p w:rsidR="00977C78" w:rsidRDefault="00EA47CF" w:rsidP="00977C78">
      <w:pPr>
        <w:pStyle w:val="BodyText"/>
        <w:jc w:val="center"/>
        <w:rPr>
          <w:lang w:eastAsia="en-AU"/>
        </w:rPr>
      </w:pPr>
      <w:r>
        <w:rPr>
          <w:noProof/>
          <w:lang w:eastAsia="en-AU"/>
        </w:rPr>
        <w:drawing>
          <wp:inline distT="0" distB="0" distL="0" distR="0" wp14:anchorId="77E3740B" wp14:editId="6BE7B48B">
            <wp:extent cx="4945711" cy="3048875"/>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43789" cy="3047690"/>
                    </a:xfrm>
                    <a:prstGeom prst="rect">
                      <a:avLst/>
                    </a:prstGeom>
                    <a:noFill/>
                  </pic:spPr>
                </pic:pic>
              </a:graphicData>
            </a:graphic>
          </wp:inline>
        </w:drawing>
      </w:r>
    </w:p>
    <w:p w:rsidR="00E74CEE" w:rsidRDefault="00E74CEE" w:rsidP="00E74CEE">
      <w:pPr>
        <w:pStyle w:val="Source"/>
      </w:pPr>
      <w:r>
        <w:t xml:space="preserve">Source: </w:t>
      </w:r>
      <w:r w:rsidRPr="00423C9C">
        <w:rPr>
          <w:rFonts w:asciiTheme="minorHAnsi" w:hAnsiTheme="minorHAnsi"/>
          <w:lang w:eastAsia="en-AU"/>
        </w:rPr>
        <w:t>ABS 2011 Census of Population and Housing</w:t>
      </w:r>
      <w:r>
        <w:t>, Deloitte Access Economics</w:t>
      </w:r>
    </w:p>
    <w:p w:rsidR="00977C78" w:rsidRDefault="00977C78" w:rsidP="00977C78">
      <w:pPr>
        <w:pStyle w:val="BodyText"/>
        <w:rPr>
          <w:lang w:eastAsia="en-AU"/>
        </w:rPr>
      </w:pPr>
      <w:r>
        <w:rPr>
          <w:lang w:eastAsia="en-AU"/>
        </w:rPr>
        <w:t>The higher average wages earned by individuals with post-school qualifications mean that a greater share of wages is attributed to them relative to their share of employment (Chart C.3). For instance, while business undergraduates compose 3.1% of the employed population, their wages make up 5.1% of the total wage bill. In comparison, while high school leavers make up 41% of the workforce, their wage makes up only 30%.</w:t>
      </w:r>
    </w:p>
    <w:p w:rsidR="00977C78" w:rsidRDefault="00977C78" w:rsidP="00977C78">
      <w:pPr>
        <w:pStyle w:val="AppendixChartCaption"/>
        <w:rPr>
          <w:lang w:eastAsia="en-AU"/>
        </w:rPr>
      </w:pPr>
      <w:bookmarkStart w:id="343" w:name="_Toc465961180"/>
      <w:r>
        <w:rPr>
          <w:lang w:eastAsia="en-AU"/>
        </w:rPr>
        <w:t>: share of employment and wage for postgraduate and undergraduate graduates by discipline</w:t>
      </w:r>
      <w:bookmarkEnd w:id="343"/>
    </w:p>
    <w:p w:rsidR="00977C78" w:rsidRDefault="00977C78" w:rsidP="00977C78">
      <w:pPr>
        <w:pStyle w:val="BodyText"/>
        <w:jc w:val="center"/>
        <w:rPr>
          <w:lang w:eastAsia="en-AU"/>
        </w:rPr>
      </w:pPr>
      <w:r w:rsidRPr="002D50AB">
        <w:rPr>
          <w:noProof/>
          <w:lang w:eastAsia="en-AU"/>
        </w:rPr>
        <w:drawing>
          <wp:inline distT="0" distB="0" distL="0" distR="0" wp14:anchorId="33061DBA" wp14:editId="0CAF2B56">
            <wp:extent cx="5400040" cy="299394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040" cy="2993946"/>
                    </a:xfrm>
                    <a:prstGeom prst="rect">
                      <a:avLst/>
                    </a:prstGeom>
                    <a:noFill/>
                    <a:ln>
                      <a:noFill/>
                    </a:ln>
                  </pic:spPr>
                </pic:pic>
              </a:graphicData>
            </a:graphic>
          </wp:inline>
        </w:drawing>
      </w:r>
    </w:p>
    <w:p w:rsidR="00E74CEE" w:rsidRDefault="00E74CEE" w:rsidP="00E74CEE">
      <w:pPr>
        <w:pStyle w:val="Source"/>
      </w:pPr>
      <w:r>
        <w:t xml:space="preserve">Source: </w:t>
      </w:r>
      <w:r w:rsidRPr="00423C9C">
        <w:rPr>
          <w:rFonts w:asciiTheme="minorHAnsi" w:hAnsiTheme="minorHAnsi"/>
          <w:lang w:eastAsia="en-AU"/>
        </w:rPr>
        <w:t>ABS 2011 Census of Population and Housing</w:t>
      </w:r>
      <w:r>
        <w:t>, Deloitte Access Economics</w:t>
      </w:r>
    </w:p>
    <w:p w:rsidR="00977C78" w:rsidRDefault="00977C78" w:rsidP="00977C78">
      <w:pPr>
        <w:pStyle w:val="BodyText"/>
        <w:rPr>
          <w:lang w:eastAsia="en-AU"/>
        </w:rPr>
      </w:pPr>
      <w:r>
        <w:rPr>
          <w:lang w:eastAsia="en-AU"/>
        </w:rPr>
        <w:t xml:space="preserve">The average unemployment rate for each skill category in 2011 is summarised </w:t>
      </w:r>
      <w:r w:rsidRPr="00B018FE">
        <w:rPr>
          <w:lang w:eastAsia="en-AU"/>
        </w:rPr>
        <w:t xml:space="preserve">in </w:t>
      </w:r>
      <w:r w:rsidR="004210DC" w:rsidRPr="00B018FE">
        <w:rPr>
          <w:lang w:eastAsia="en-AU"/>
        </w:rPr>
        <w:t>Chart C.4</w:t>
      </w:r>
      <w:r w:rsidRPr="00B018FE">
        <w:rPr>
          <w:lang w:eastAsia="en-AU"/>
        </w:rPr>
        <w:t>. The unemployment rate is highest for high school leavers – at 8.1% - and varies</w:t>
      </w:r>
      <w:r>
        <w:rPr>
          <w:lang w:eastAsia="en-AU"/>
        </w:rPr>
        <w:t xml:space="preserve"> across the disciplines. In particular, the unemployment rate is lowest for graduates in health (medicine and other health) and education. </w:t>
      </w:r>
    </w:p>
    <w:p w:rsidR="00977C78" w:rsidRDefault="00977C78" w:rsidP="00977C78">
      <w:pPr>
        <w:pStyle w:val="BodyText"/>
        <w:rPr>
          <w:lang w:eastAsia="en-AU"/>
        </w:rPr>
      </w:pPr>
      <w:r>
        <w:rPr>
          <w:lang w:eastAsia="en-AU"/>
        </w:rPr>
        <w:t xml:space="preserve">The effect of a postgraduate degree versus a bachelor degree on the unemployment rate is ambiguous. While it is associated with a lower unemployment rate for science, medicine, other health, and arts, the opposite is true for IT, engineering and education. </w:t>
      </w:r>
    </w:p>
    <w:p w:rsidR="00977C78" w:rsidRDefault="00977C78" w:rsidP="00977C78">
      <w:pPr>
        <w:pStyle w:val="AppendixChartCaption"/>
        <w:rPr>
          <w:lang w:eastAsia="en-AU"/>
        </w:rPr>
      </w:pPr>
      <w:bookmarkStart w:id="344" w:name="_Toc465961181"/>
      <w:r>
        <w:rPr>
          <w:lang w:eastAsia="en-AU"/>
        </w:rPr>
        <w:t>: Average unemployment rate for postgraduate and bachelor graduates by discipline</w:t>
      </w:r>
      <w:bookmarkEnd w:id="344"/>
    </w:p>
    <w:p w:rsidR="00977C78" w:rsidRDefault="00EA47CF" w:rsidP="00977C78">
      <w:pPr>
        <w:pStyle w:val="BodyText"/>
        <w:jc w:val="center"/>
        <w:rPr>
          <w:lang w:eastAsia="en-AU"/>
        </w:rPr>
      </w:pPr>
      <w:r>
        <w:rPr>
          <w:noProof/>
          <w:lang w:eastAsia="en-AU"/>
        </w:rPr>
        <w:drawing>
          <wp:inline distT="0" distB="0" distL="0" distR="0" wp14:anchorId="371E2FA6" wp14:editId="1C16CFFE">
            <wp:extent cx="3927944" cy="2539164"/>
            <wp:effectExtent l="0" t="0" r="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23524" cy="2536307"/>
                    </a:xfrm>
                    <a:prstGeom prst="rect">
                      <a:avLst/>
                    </a:prstGeom>
                    <a:noFill/>
                  </pic:spPr>
                </pic:pic>
              </a:graphicData>
            </a:graphic>
          </wp:inline>
        </w:drawing>
      </w:r>
    </w:p>
    <w:p w:rsidR="00E74CEE" w:rsidRDefault="00E74CEE" w:rsidP="00E74CEE">
      <w:pPr>
        <w:pStyle w:val="Source"/>
      </w:pPr>
      <w:r>
        <w:t xml:space="preserve">Source: </w:t>
      </w:r>
      <w:r w:rsidRPr="00423C9C">
        <w:rPr>
          <w:rFonts w:asciiTheme="minorHAnsi" w:hAnsiTheme="minorHAnsi"/>
          <w:lang w:eastAsia="en-AU"/>
        </w:rPr>
        <w:t>ABS 2011 Census of Population and Housing</w:t>
      </w:r>
      <w:r>
        <w:t>, Deloitte Access Economics</w:t>
      </w:r>
    </w:p>
    <w:p w:rsidR="00977C78" w:rsidRDefault="00977C78" w:rsidP="00977C78">
      <w:pPr>
        <w:pStyle w:val="BodyText"/>
        <w:rPr>
          <w:lang w:eastAsia="en-AU"/>
        </w:rPr>
      </w:pPr>
      <w:r>
        <w:rPr>
          <w:lang w:eastAsia="en-AU"/>
        </w:rPr>
        <w:t xml:space="preserve">Once the database is parameterised for the base year (2011), the skills mix of the economy is assumed to remain constant unless otherwise specified or shocked. The distribution of the skilled workers across industries and occupations, the average wage and unemployment rate is then determined endogenously within the model based on industry requirements and the relative price of the factor inputs. </w:t>
      </w:r>
    </w:p>
    <w:p w:rsidR="00977C78" w:rsidRDefault="00B91C00" w:rsidP="00977C78">
      <w:pPr>
        <w:pStyle w:val="HeadingB"/>
        <w:rPr>
          <w:lang w:eastAsia="en-AU"/>
        </w:rPr>
      </w:pPr>
      <w:r>
        <w:rPr>
          <w:lang w:eastAsia="en-AU"/>
        </w:rPr>
        <w:t>Development of simulations</w:t>
      </w:r>
    </w:p>
    <w:p w:rsidR="00977C78" w:rsidRDefault="00977C78" w:rsidP="00977C78">
      <w:pPr>
        <w:pStyle w:val="Bullet1"/>
        <w:numPr>
          <w:ilvl w:val="0"/>
          <w:numId w:val="0"/>
        </w:numPr>
        <w:spacing w:before="240"/>
      </w:pPr>
      <w:r>
        <w:t xml:space="preserve">This section outlines the approach used to simulate moving a group of high school leavers into another skill category, i.e. higher education graduates of a particular discipline. Here, the labour supply </w:t>
      </w:r>
      <w:r w:rsidR="00B91C00">
        <w:t>increase</w:t>
      </w:r>
      <w:r>
        <w:t xml:space="preserve"> is adjusted to account for:</w:t>
      </w:r>
    </w:p>
    <w:p w:rsidR="00977C78" w:rsidRDefault="00977C78" w:rsidP="00977C78">
      <w:pPr>
        <w:pStyle w:val="Bullet1"/>
        <w:ind w:left="567" w:hanging="567"/>
        <w:jc w:val="left"/>
      </w:pPr>
      <w:r>
        <w:t xml:space="preserve">the premium attributable to the qualification itself; and </w:t>
      </w:r>
    </w:p>
    <w:p w:rsidR="00977C78" w:rsidRDefault="00977C78" w:rsidP="00977C78">
      <w:pPr>
        <w:pStyle w:val="Bullet1"/>
        <w:ind w:left="567" w:hanging="567"/>
        <w:jc w:val="left"/>
      </w:pPr>
      <w:proofErr w:type="gramStart"/>
      <w:r>
        <w:t>other</w:t>
      </w:r>
      <w:proofErr w:type="gramEnd"/>
      <w:r>
        <w:t xml:space="preserve"> time-varying dynamics, with an individual’s wages, participation rates and unemployment rates likely to vary over their working life.</w:t>
      </w:r>
    </w:p>
    <w:p w:rsidR="00977C78" w:rsidRPr="00B53171" w:rsidRDefault="00977C78" w:rsidP="00977C78">
      <w:pPr>
        <w:pStyle w:val="BodyText"/>
        <w:rPr>
          <w:rFonts w:asciiTheme="minorHAnsi" w:hAnsiTheme="minorHAnsi"/>
          <w:lang w:eastAsia="en-AU"/>
        </w:rPr>
      </w:pPr>
      <w:r>
        <w:rPr>
          <w:lang w:eastAsia="en-AU"/>
        </w:rPr>
        <w:t xml:space="preserve">Table C.4 outlines the data requirements for generating a dynamic labour supply shock. </w:t>
      </w:r>
      <w:r>
        <w:rPr>
          <w:rFonts w:asciiTheme="minorHAnsi" w:hAnsiTheme="minorHAnsi"/>
          <w:lang w:eastAsia="en-AU"/>
        </w:rPr>
        <w:t>It is assumed that the same age-specific change in wages, unemployment and participation applies equally for all industries and occupations for the same skill category.</w:t>
      </w:r>
    </w:p>
    <w:p w:rsidR="00977C78" w:rsidRDefault="00977C78" w:rsidP="00977C78">
      <w:pPr>
        <w:pStyle w:val="AppendixTableCaption"/>
        <w:rPr>
          <w:lang w:eastAsia="en-AU"/>
        </w:rPr>
      </w:pPr>
      <w:bookmarkStart w:id="345" w:name="_Toc465961145"/>
      <w:r>
        <w:rPr>
          <w:lang w:eastAsia="en-AU"/>
        </w:rPr>
        <w:t>: Shock generation data requirements and sources</w:t>
      </w:r>
      <w:bookmarkEnd w:id="345"/>
    </w:p>
    <w:tbl>
      <w:tblPr>
        <w:tblStyle w:val="TableAE"/>
        <w:tblW w:w="8720" w:type="dxa"/>
        <w:tblLayout w:type="fixed"/>
        <w:tblLook w:val="04A0" w:firstRow="1" w:lastRow="0" w:firstColumn="1" w:lastColumn="0" w:noHBand="0" w:noVBand="1"/>
      </w:tblPr>
      <w:tblGrid>
        <w:gridCol w:w="1951"/>
        <w:gridCol w:w="425"/>
        <w:gridCol w:w="2127"/>
        <w:gridCol w:w="141"/>
        <w:gridCol w:w="4076"/>
      </w:tblGrid>
      <w:tr w:rsidR="00977C78" w:rsidRPr="00423C9C" w:rsidTr="00261886">
        <w:trPr>
          <w:cnfStyle w:val="100000000000" w:firstRow="1" w:lastRow="0" w:firstColumn="0" w:lastColumn="0" w:oddVBand="0" w:evenVBand="0" w:oddHBand="0" w:evenHBand="0" w:firstRowFirstColumn="0" w:firstRowLastColumn="0" w:lastRowFirstColumn="0" w:lastRowLastColumn="0"/>
        </w:trPr>
        <w:tc>
          <w:tcPr>
            <w:tcW w:w="1951" w:type="dxa"/>
          </w:tcPr>
          <w:p w:rsidR="00977C78" w:rsidRPr="00423C9C" w:rsidRDefault="00977C78" w:rsidP="00261886">
            <w:pPr>
              <w:pStyle w:val="TableHeadingCentre"/>
              <w:jc w:val="left"/>
              <w:rPr>
                <w:rFonts w:asciiTheme="minorHAnsi" w:hAnsiTheme="minorHAnsi"/>
                <w:sz w:val="20"/>
                <w:szCs w:val="20"/>
                <w:lang w:eastAsia="en-AU"/>
              </w:rPr>
            </w:pPr>
            <w:r w:rsidRPr="00423C9C">
              <w:rPr>
                <w:rFonts w:asciiTheme="minorHAnsi" w:hAnsiTheme="minorHAnsi"/>
                <w:sz w:val="20"/>
                <w:szCs w:val="20"/>
                <w:lang w:eastAsia="en-AU"/>
              </w:rPr>
              <w:t>Input requirements</w:t>
            </w:r>
          </w:p>
        </w:tc>
        <w:tc>
          <w:tcPr>
            <w:tcW w:w="2552" w:type="dxa"/>
            <w:gridSpan w:val="2"/>
          </w:tcPr>
          <w:p w:rsidR="00977C78" w:rsidRPr="00423C9C" w:rsidRDefault="00977C78" w:rsidP="00261886">
            <w:pPr>
              <w:pStyle w:val="TableHeadingCentre"/>
              <w:jc w:val="left"/>
              <w:rPr>
                <w:rFonts w:asciiTheme="minorHAnsi" w:hAnsiTheme="minorHAnsi"/>
                <w:sz w:val="20"/>
                <w:szCs w:val="20"/>
                <w:lang w:eastAsia="en-AU"/>
              </w:rPr>
            </w:pPr>
            <w:r w:rsidRPr="00423C9C">
              <w:rPr>
                <w:rFonts w:asciiTheme="minorHAnsi" w:hAnsiTheme="minorHAnsi"/>
                <w:sz w:val="20"/>
                <w:szCs w:val="20"/>
                <w:lang w:eastAsia="en-AU"/>
              </w:rPr>
              <w:t>Source</w:t>
            </w:r>
          </w:p>
        </w:tc>
        <w:tc>
          <w:tcPr>
            <w:tcW w:w="4217" w:type="dxa"/>
            <w:gridSpan w:val="2"/>
          </w:tcPr>
          <w:p w:rsidR="00977C78" w:rsidRPr="00423C9C" w:rsidRDefault="00977C78" w:rsidP="00261886">
            <w:pPr>
              <w:pStyle w:val="TableHeadingCentre"/>
              <w:jc w:val="left"/>
              <w:rPr>
                <w:rFonts w:asciiTheme="minorHAnsi" w:hAnsiTheme="minorHAnsi"/>
                <w:sz w:val="20"/>
                <w:szCs w:val="20"/>
                <w:lang w:eastAsia="en-AU"/>
              </w:rPr>
            </w:pPr>
            <w:r>
              <w:rPr>
                <w:rFonts w:asciiTheme="minorHAnsi" w:hAnsiTheme="minorHAnsi"/>
                <w:sz w:val="20"/>
                <w:szCs w:val="20"/>
                <w:lang w:eastAsia="en-AU"/>
              </w:rPr>
              <w:t>Notes</w:t>
            </w:r>
          </w:p>
        </w:tc>
      </w:tr>
      <w:tr w:rsidR="00977C78" w:rsidRPr="00423C9C" w:rsidTr="00261886">
        <w:tc>
          <w:tcPr>
            <w:tcW w:w="8720" w:type="dxa"/>
            <w:gridSpan w:val="5"/>
            <w:tcBorders>
              <w:bottom w:val="single" w:sz="4" w:space="0" w:color="FFFFFF" w:themeColor="background1"/>
            </w:tcBorders>
            <w:shd w:val="clear" w:color="auto" w:fill="C6D9F1" w:themeFill="text2" w:themeFillTint="33"/>
          </w:tcPr>
          <w:p w:rsidR="00977C78" w:rsidRDefault="00977C78" w:rsidP="00261886">
            <w:pPr>
              <w:pStyle w:val="TabletextLeft"/>
              <w:rPr>
                <w:rFonts w:asciiTheme="minorHAnsi" w:hAnsiTheme="minorHAnsi"/>
                <w:lang w:eastAsia="en-AU"/>
              </w:rPr>
            </w:pPr>
            <w:r w:rsidRPr="00820031">
              <w:rPr>
                <w:rFonts w:asciiTheme="minorHAnsi" w:hAnsiTheme="minorHAnsi"/>
                <w:i/>
                <w:lang w:eastAsia="en-AU"/>
              </w:rPr>
              <w:t>Isolating the effects of the qualification</w:t>
            </w:r>
          </w:p>
        </w:tc>
      </w:tr>
      <w:tr w:rsidR="00977C78" w:rsidRPr="00423C9C" w:rsidTr="00261886">
        <w:tc>
          <w:tcPr>
            <w:tcW w:w="2376" w:type="dxa"/>
            <w:gridSpan w:val="2"/>
            <w:tcBorders>
              <w:top w:val="single" w:sz="4" w:space="0" w:color="FFFFFF" w:themeColor="background1"/>
            </w:tcBorders>
          </w:tcPr>
          <w:p w:rsidR="00977C78" w:rsidRPr="00423C9C" w:rsidRDefault="00977C78" w:rsidP="00261886">
            <w:pPr>
              <w:pStyle w:val="TabletextLeft"/>
              <w:rPr>
                <w:rFonts w:asciiTheme="minorHAnsi" w:hAnsiTheme="minorHAnsi"/>
                <w:lang w:eastAsia="en-AU"/>
              </w:rPr>
            </w:pPr>
            <w:r w:rsidRPr="00D06A1E">
              <w:rPr>
                <w:rFonts w:asciiTheme="minorHAnsi" w:hAnsiTheme="minorHAnsi"/>
                <w:b/>
                <w:lang w:eastAsia="en-AU"/>
              </w:rPr>
              <w:t>Wage premium</w:t>
            </w:r>
            <w:r>
              <w:rPr>
                <w:rFonts w:asciiTheme="minorHAnsi" w:hAnsiTheme="minorHAnsi"/>
                <w:lang w:eastAsia="en-AU"/>
              </w:rPr>
              <w:t xml:space="preserve"> attributable to qualification </w:t>
            </w:r>
          </w:p>
        </w:tc>
        <w:tc>
          <w:tcPr>
            <w:tcW w:w="2268" w:type="dxa"/>
            <w:gridSpan w:val="2"/>
            <w:tcBorders>
              <w:top w:val="single" w:sz="4" w:space="0" w:color="FFFFFF" w:themeColor="background1"/>
              <w:bottom w:val="single" w:sz="4" w:space="0" w:color="FFFFFF" w:themeColor="background1"/>
            </w:tcBorders>
          </w:tcPr>
          <w:p w:rsidR="00977C78" w:rsidRPr="00423C9C" w:rsidRDefault="00977C78" w:rsidP="00261886">
            <w:pPr>
              <w:pStyle w:val="TabletextLeft"/>
              <w:rPr>
                <w:rFonts w:asciiTheme="minorHAnsi" w:hAnsiTheme="minorHAnsi"/>
                <w:lang w:eastAsia="en-AU"/>
              </w:rPr>
            </w:pPr>
            <w:r>
              <w:rPr>
                <w:rFonts w:asciiTheme="minorHAnsi" w:hAnsiTheme="minorHAnsi"/>
                <w:lang w:eastAsia="en-AU"/>
              </w:rPr>
              <w:t>Econometrics results</w:t>
            </w:r>
          </w:p>
        </w:tc>
        <w:tc>
          <w:tcPr>
            <w:tcW w:w="4076" w:type="dxa"/>
            <w:tcBorders>
              <w:top w:val="single" w:sz="4" w:space="0" w:color="FFFFFF" w:themeColor="background1"/>
              <w:bottom w:val="single" w:sz="4" w:space="0" w:color="FFFFFF" w:themeColor="background1"/>
            </w:tcBorders>
          </w:tcPr>
          <w:p w:rsidR="00977C78" w:rsidRPr="00423C9C" w:rsidRDefault="00977C78" w:rsidP="00261886">
            <w:pPr>
              <w:pStyle w:val="TabletextLeft"/>
              <w:rPr>
                <w:rFonts w:asciiTheme="minorHAnsi" w:hAnsiTheme="minorHAnsi"/>
                <w:lang w:eastAsia="en-AU"/>
              </w:rPr>
            </w:pPr>
            <w:r>
              <w:rPr>
                <w:rFonts w:asciiTheme="minorHAnsi" w:hAnsiTheme="minorHAnsi"/>
                <w:lang w:eastAsia="en-AU"/>
              </w:rPr>
              <w:t>Assumed to be constant over an individual’s working life time.</w:t>
            </w:r>
          </w:p>
        </w:tc>
      </w:tr>
      <w:tr w:rsidR="00977C78" w:rsidRPr="00423C9C" w:rsidTr="00261886">
        <w:tc>
          <w:tcPr>
            <w:tcW w:w="2376" w:type="dxa"/>
            <w:gridSpan w:val="2"/>
          </w:tcPr>
          <w:p w:rsidR="00977C78" w:rsidRPr="00423C9C" w:rsidRDefault="00977C78" w:rsidP="00261886">
            <w:pPr>
              <w:pStyle w:val="TabletextLeft"/>
              <w:rPr>
                <w:rFonts w:asciiTheme="minorHAnsi" w:hAnsiTheme="minorHAnsi"/>
                <w:lang w:eastAsia="en-AU"/>
              </w:rPr>
            </w:pPr>
            <w:r>
              <w:rPr>
                <w:rFonts w:asciiTheme="minorHAnsi" w:hAnsiTheme="minorHAnsi"/>
                <w:b/>
                <w:lang w:eastAsia="en-AU"/>
              </w:rPr>
              <w:t>Participation</w:t>
            </w:r>
            <w:r w:rsidRPr="00D06A1E">
              <w:rPr>
                <w:rFonts w:asciiTheme="minorHAnsi" w:hAnsiTheme="minorHAnsi"/>
                <w:b/>
                <w:lang w:eastAsia="en-AU"/>
              </w:rPr>
              <w:t xml:space="preserve"> premium</w:t>
            </w:r>
            <w:r>
              <w:rPr>
                <w:rFonts w:asciiTheme="minorHAnsi" w:hAnsiTheme="minorHAnsi"/>
                <w:lang w:eastAsia="en-AU"/>
              </w:rPr>
              <w:t xml:space="preserve"> attributable to qualification </w:t>
            </w:r>
          </w:p>
        </w:tc>
        <w:tc>
          <w:tcPr>
            <w:tcW w:w="2268" w:type="dxa"/>
            <w:gridSpan w:val="2"/>
            <w:tcBorders>
              <w:top w:val="single" w:sz="4" w:space="0" w:color="FFFFFF" w:themeColor="background1"/>
              <w:bottom w:val="single" w:sz="4" w:space="0" w:color="FFFFFF" w:themeColor="background1"/>
            </w:tcBorders>
          </w:tcPr>
          <w:p w:rsidR="00977C78" w:rsidRPr="00423C9C" w:rsidRDefault="00977C78" w:rsidP="00261886">
            <w:pPr>
              <w:pStyle w:val="TabletextLeft"/>
              <w:rPr>
                <w:rFonts w:asciiTheme="minorHAnsi" w:hAnsiTheme="minorHAnsi"/>
                <w:lang w:eastAsia="en-AU"/>
              </w:rPr>
            </w:pPr>
            <w:r>
              <w:rPr>
                <w:rFonts w:asciiTheme="minorHAnsi" w:hAnsiTheme="minorHAnsi"/>
                <w:lang w:eastAsia="en-AU"/>
              </w:rPr>
              <w:t>Econometrics results</w:t>
            </w:r>
          </w:p>
        </w:tc>
        <w:tc>
          <w:tcPr>
            <w:tcW w:w="4076" w:type="dxa"/>
            <w:tcBorders>
              <w:top w:val="single" w:sz="4" w:space="0" w:color="FFFFFF" w:themeColor="background1"/>
              <w:bottom w:val="single" w:sz="4" w:space="0" w:color="FFFFFF" w:themeColor="background1"/>
            </w:tcBorders>
          </w:tcPr>
          <w:p w:rsidR="00977C78" w:rsidRPr="00423C9C" w:rsidRDefault="00977C78" w:rsidP="00261886">
            <w:pPr>
              <w:pStyle w:val="TabletextLeft"/>
              <w:rPr>
                <w:rFonts w:asciiTheme="minorHAnsi" w:hAnsiTheme="minorHAnsi"/>
                <w:lang w:eastAsia="en-AU"/>
              </w:rPr>
            </w:pPr>
          </w:p>
        </w:tc>
      </w:tr>
      <w:tr w:rsidR="00977C78" w:rsidRPr="00423C9C" w:rsidTr="00261886">
        <w:tc>
          <w:tcPr>
            <w:tcW w:w="2376" w:type="dxa"/>
            <w:gridSpan w:val="2"/>
          </w:tcPr>
          <w:p w:rsidR="00977C78" w:rsidRPr="00423C9C" w:rsidRDefault="00977C78" w:rsidP="00261886">
            <w:pPr>
              <w:pStyle w:val="TabletextLeft"/>
              <w:rPr>
                <w:rFonts w:asciiTheme="minorHAnsi" w:hAnsiTheme="minorHAnsi"/>
                <w:lang w:eastAsia="en-AU"/>
              </w:rPr>
            </w:pPr>
            <w:r>
              <w:rPr>
                <w:rFonts w:asciiTheme="minorHAnsi" w:hAnsiTheme="minorHAnsi"/>
                <w:b/>
                <w:lang w:eastAsia="en-AU"/>
              </w:rPr>
              <w:t>Employment</w:t>
            </w:r>
            <w:r w:rsidRPr="00D06A1E">
              <w:rPr>
                <w:rFonts w:asciiTheme="minorHAnsi" w:hAnsiTheme="minorHAnsi"/>
                <w:b/>
                <w:lang w:eastAsia="en-AU"/>
              </w:rPr>
              <w:t xml:space="preserve"> premium</w:t>
            </w:r>
            <w:r>
              <w:rPr>
                <w:rFonts w:asciiTheme="minorHAnsi" w:hAnsiTheme="minorHAnsi"/>
                <w:lang w:eastAsia="en-AU"/>
              </w:rPr>
              <w:t xml:space="preserve"> attributable to qualification </w:t>
            </w:r>
          </w:p>
        </w:tc>
        <w:tc>
          <w:tcPr>
            <w:tcW w:w="2268" w:type="dxa"/>
            <w:gridSpan w:val="2"/>
            <w:tcBorders>
              <w:top w:val="single" w:sz="4" w:space="0" w:color="FFFFFF" w:themeColor="background1"/>
              <w:bottom w:val="single" w:sz="4" w:space="0" w:color="FFFFFF" w:themeColor="background1"/>
            </w:tcBorders>
          </w:tcPr>
          <w:p w:rsidR="00977C78" w:rsidRPr="00423C9C" w:rsidRDefault="00977C78" w:rsidP="00261886">
            <w:pPr>
              <w:pStyle w:val="TabletextLeft"/>
              <w:rPr>
                <w:rFonts w:asciiTheme="minorHAnsi" w:hAnsiTheme="minorHAnsi"/>
                <w:lang w:eastAsia="en-AU"/>
              </w:rPr>
            </w:pPr>
            <w:r>
              <w:rPr>
                <w:rFonts w:asciiTheme="minorHAnsi" w:hAnsiTheme="minorHAnsi"/>
                <w:lang w:eastAsia="en-AU"/>
              </w:rPr>
              <w:t>Econometrics results</w:t>
            </w:r>
          </w:p>
        </w:tc>
        <w:tc>
          <w:tcPr>
            <w:tcW w:w="4076" w:type="dxa"/>
            <w:tcBorders>
              <w:top w:val="single" w:sz="4" w:space="0" w:color="FFFFFF" w:themeColor="background1"/>
              <w:bottom w:val="single" w:sz="4" w:space="0" w:color="FFFFFF" w:themeColor="background1"/>
            </w:tcBorders>
          </w:tcPr>
          <w:p w:rsidR="00977C78" w:rsidRPr="00423C9C" w:rsidRDefault="00977C78" w:rsidP="00261886">
            <w:pPr>
              <w:pStyle w:val="TabletextLeft"/>
              <w:rPr>
                <w:rFonts w:asciiTheme="minorHAnsi" w:hAnsiTheme="minorHAnsi"/>
                <w:lang w:eastAsia="en-AU"/>
              </w:rPr>
            </w:pPr>
          </w:p>
        </w:tc>
      </w:tr>
      <w:tr w:rsidR="00977C78" w:rsidRPr="00423C9C" w:rsidTr="00261886">
        <w:tc>
          <w:tcPr>
            <w:tcW w:w="8720" w:type="dxa"/>
            <w:gridSpan w:val="5"/>
            <w:shd w:val="clear" w:color="auto" w:fill="C6D9F1" w:themeFill="text2" w:themeFillTint="33"/>
          </w:tcPr>
          <w:p w:rsidR="00977C78" w:rsidRPr="00423C9C" w:rsidRDefault="00977C78" w:rsidP="00261886">
            <w:pPr>
              <w:pStyle w:val="TabletextLeft"/>
              <w:rPr>
                <w:rFonts w:asciiTheme="minorHAnsi" w:hAnsiTheme="minorHAnsi"/>
                <w:lang w:eastAsia="en-AU"/>
              </w:rPr>
            </w:pPr>
            <w:r>
              <w:rPr>
                <w:rFonts w:asciiTheme="minorHAnsi" w:hAnsiTheme="minorHAnsi"/>
                <w:i/>
                <w:lang w:eastAsia="en-AU"/>
              </w:rPr>
              <w:t>Accounting for time-varying dynamics</w:t>
            </w:r>
          </w:p>
        </w:tc>
      </w:tr>
      <w:tr w:rsidR="00977C78" w:rsidRPr="00423C9C" w:rsidTr="00261886">
        <w:tc>
          <w:tcPr>
            <w:tcW w:w="2376" w:type="dxa"/>
            <w:gridSpan w:val="2"/>
          </w:tcPr>
          <w:p w:rsidR="00977C78" w:rsidRPr="00423C9C" w:rsidRDefault="00977C78" w:rsidP="00261886">
            <w:pPr>
              <w:pStyle w:val="TabletextLeft"/>
              <w:rPr>
                <w:rFonts w:asciiTheme="minorHAnsi" w:hAnsiTheme="minorHAnsi"/>
                <w:lang w:eastAsia="en-AU"/>
              </w:rPr>
            </w:pPr>
            <w:r w:rsidRPr="00281CF1">
              <w:rPr>
                <w:rFonts w:asciiTheme="minorHAnsi" w:hAnsiTheme="minorHAnsi"/>
                <w:b/>
                <w:lang w:eastAsia="en-AU"/>
              </w:rPr>
              <w:t>Wage</w:t>
            </w:r>
            <w:r>
              <w:rPr>
                <w:rFonts w:asciiTheme="minorHAnsi" w:hAnsiTheme="minorHAnsi"/>
                <w:lang w:eastAsia="en-AU"/>
              </w:rPr>
              <w:t xml:space="preserve"> by skill x age (working period)</w:t>
            </w:r>
          </w:p>
        </w:tc>
        <w:tc>
          <w:tcPr>
            <w:tcW w:w="2268" w:type="dxa"/>
            <w:gridSpan w:val="2"/>
            <w:tcBorders>
              <w:top w:val="single" w:sz="4" w:space="0" w:color="FFFFFF" w:themeColor="background1"/>
              <w:bottom w:val="single" w:sz="4" w:space="0" w:color="FFFFFF" w:themeColor="background1"/>
            </w:tcBorders>
            <w:vAlign w:val="center"/>
          </w:tcPr>
          <w:p w:rsidR="00977C78" w:rsidRPr="00423C9C" w:rsidRDefault="00977C78" w:rsidP="00261886">
            <w:pPr>
              <w:pStyle w:val="TabletextLeft"/>
              <w:rPr>
                <w:rFonts w:asciiTheme="minorHAnsi" w:hAnsiTheme="minorHAnsi"/>
                <w:lang w:eastAsia="en-AU"/>
              </w:rPr>
            </w:pPr>
            <w:r>
              <w:rPr>
                <w:rFonts w:asciiTheme="minorHAnsi" w:hAnsiTheme="minorHAnsi"/>
                <w:lang w:eastAsia="en-AU"/>
              </w:rPr>
              <w:t xml:space="preserve">Estimated from </w:t>
            </w:r>
            <w:r w:rsidRPr="00423C9C">
              <w:rPr>
                <w:rFonts w:asciiTheme="minorHAnsi" w:hAnsiTheme="minorHAnsi"/>
                <w:lang w:eastAsia="en-AU"/>
              </w:rPr>
              <w:t>ABS 2011 Census of Population and Housing</w:t>
            </w:r>
          </w:p>
        </w:tc>
        <w:tc>
          <w:tcPr>
            <w:tcW w:w="4076" w:type="dxa"/>
            <w:tcBorders>
              <w:top w:val="single" w:sz="4" w:space="0" w:color="FFFFFF" w:themeColor="background1"/>
              <w:bottom w:val="single" w:sz="4" w:space="0" w:color="FFFFFF" w:themeColor="background1"/>
            </w:tcBorders>
          </w:tcPr>
          <w:p w:rsidR="00977C78" w:rsidRDefault="00977C78" w:rsidP="00261886">
            <w:pPr>
              <w:pStyle w:val="TabletextLeft"/>
              <w:rPr>
                <w:rFonts w:asciiTheme="minorHAnsi" w:hAnsiTheme="minorHAnsi"/>
                <w:lang w:eastAsia="en-AU"/>
              </w:rPr>
            </w:pPr>
            <w:r>
              <w:rPr>
                <w:rFonts w:asciiTheme="minorHAnsi" w:hAnsiTheme="minorHAnsi"/>
                <w:lang w:eastAsia="en-AU"/>
              </w:rPr>
              <w:t>The age profiles were smoothed using ABS wages over the working life (25-29 years old to 60-64 years old).</w:t>
            </w:r>
          </w:p>
        </w:tc>
      </w:tr>
      <w:tr w:rsidR="00977C78" w:rsidRPr="00423C9C" w:rsidTr="00261886">
        <w:tc>
          <w:tcPr>
            <w:tcW w:w="2376" w:type="dxa"/>
            <w:gridSpan w:val="2"/>
          </w:tcPr>
          <w:p w:rsidR="00977C78" w:rsidRPr="00423C9C" w:rsidRDefault="00977C78" w:rsidP="00261886">
            <w:pPr>
              <w:pStyle w:val="TabletextLeft"/>
              <w:rPr>
                <w:rFonts w:asciiTheme="minorHAnsi" w:hAnsiTheme="minorHAnsi"/>
                <w:lang w:eastAsia="en-AU"/>
              </w:rPr>
            </w:pPr>
            <w:r w:rsidRPr="0091643F">
              <w:rPr>
                <w:rFonts w:asciiTheme="minorHAnsi" w:hAnsiTheme="minorHAnsi"/>
                <w:b/>
                <w:lang w:eastAsia="en-AU"/>
              </w:rPr>
              <w:t>Unemployment rate</w:t>
            </w:r>
            <w:r>
              <w:rPr>
                <w:rFonts w:asciiTheme="minorHAnsi" w:hAnsiTheme="minorHAnsi"/>
                <w:lang w:eastAsia="en-AU"/>
              </w:rPr>
              <w:t xml:space="preserve"> by skill x age (working period)</w:t>
            </w:r>
          </w:p>
        </w:tc>
        <w:tc>
          <w:tcPr>
            <w:tcW w:w="2268" w:type="dxa"/>
            <w:gridSpan w:val="2"/>
            <w:tcBorders>
              <w:top w:val="single" w:sz="4" w:space="0" w:color="FFFFFF" w:themeColor="background1"/>
              <w:bottom w:val="single" w:sz="4" w:space="0" w:color="FFFFFF" w:themeColor="background1"/>
            </w:tcBorders>
          </w:tcPr>
          <w:p w:rsidR="00977C78" w:rsidRPr="00423C9C" w:rsidRDefault="00977C78" w:rsidP="00261886">
            <w:pPr>
              <w:pStyle w:val="TabletextLeft"/>
              <w:rPr>
                <w:rFonts w:asciiTheme="minorHAnsi" w:hAnsiTheme="minorHAnsi"/>
                <w:lang w:eastAsia="en-AU"/>
              </w:rPr>
            </w:pPr>
            <w:r>
              <w:rPr>
                <w:rFonts w:asciiTheme="minorHAnsi" w:hAnsiTheme="minorHAnsi"/>
                <w:lang w:eastAsia="en-AU"/>
              </w:rPr>
              <w:t xml:space="preserve">Estimated from </w:t>
            </w:r>
            <w:r w:rsidRPr="00423C9C">
              <w:rPr>
                <w:rFonts w:asciiTheme="minorHAnsi" w:hAnsiTheme="minorHAnsi"/>
                <w:lang w:eastAsia="en-AU"/>
              </w:rPr>
              <w:t>ABS 2011 Census of Population and Housing</w:t>
            </w:r>
          </w:p>
        </w:tc>
        <w:tc>
          <w:tcPr>
            <w:tcW w:w="4076" w:type="dxa"/>
            <w:tcBorders>
              <w:top w:val="single" w:sz="4" w:space="0" w:color="FFFFFF" w:themeColor="background1"/>
              <w:bottom w:val="single" w:sz="4" w:space="0" w:color="FFFFFF" w:themeColor="background1"/>
            </w:tcBorders>
          </w:tcPr>
          <w:p w:rsidR="00977C78" w:rsidRPr="00423C9C" w:rsidRDefault="00977C78" w:rsidP="00261886">
            <w:pPr>
              <w:pStyle w:val="TabletextLeft"/>
              <w:rPr>
                <w:rFonts w:asciiTheme="minorHAnsi" w:hAnsiTheme="minorHAnsi"/>
                <w:lang w:eastAsia="en-AU"/>
              </w:rPr>
            </w:pPr>
          </w:p>
        </w:tc>
      </w:tr>
      <w:tr w:rsidR="00977C78" w:rsidRPr="00423C9C" w:rsidTr="00261886">
        <w:tc>
          <w:tcPr>
            <w:tcW w:w="2376" w:type="dxa"/>
            <w:gridSpan w:val="2"/>
          </w:tcPr>
          <w:p w:rsidR="00977C78" w:rsidRDefault="00977C78" w:rsidP="00261886">
            <w:pPr>
              <w:pStyle w:val="TabletextLeft"/>
              <w:rPr>
                <w:rFonts w:asciiTheme="minorHAnsi" w:hAnsiTheme="minorHAnsi"/>
                <w:lang w:eastAsia="en-AU"/>
              </w:rPr>
            </w:pPr>
            <w:r>
              <w:rPr>
                <w:rFonts w:asciiTheme="minorHAnsi" w:hAnsiTheme="minorHAnsi"/>
                <w:b/>
                <w:lang w:eastAsia="en-AU"/>
              </w:rPr>
              <w:t>Participation</w:t>
            </w:r>
            <w:r w:rsidRPr="0091643F">
              <w:rPr>
                <w:rFonts w:asciiTheme="minorHAnsi" w:hAnsiTheme="minorHAnsi"/>
                <w:b/>
                <w:lang w:eastAsia="en-AU"/>
              </w:rPr>
              <w:t xml:space="preserve"> rate</w:t>
            </w:r>
            <w:r>
              <w:rPr>
                <w:rFonts w:asciiTheme="minorHAnsi" w:hAnsiTheme="minorHAnsi"/>
                <w:lang w:eastAsia="en-AU"/>
              </w:rPr>
              <w:t xml:space="preserve"> by skill x age (working period)</w:t>
            </w:r>
          </w:p>
        </w:tc>
        <w:tc>
          <w:tcPr>
            <w:tcW w:w="2268" w:type="dxa"/>
            <w:gridSpan w:val="2"/>
            <w:tcBorders>
              <w:top w:val="single" w:sz="4" w:space="0" w:color="FFFFFF" w:themeColor="background1"/>
              <w:bottom w:val="single" w:sz="4" w:space="0" w:color="FFFFFF" w:themeColor="background1"/>
            </w:tcBorders>
          </w:tcPr>
          <w:p w:rsidR="00977C78" w:rsidRDefault="00977C78" w:rsidP="00261886">
            <w:pPr>
              <w:pStyle w:val="TabletextLeft"/>
              <w:rPr>
                <w:rFonts w:asciiTheme="minorHAnsi" w:hAnsiTheme="minorHAnsi"/>
                <w:lang w:eastAsia="en-AU"/>
              </w:rPr>
            </w:pPr>
            <w:r>
              <w:rPr>
                <w:rFonts w:asciiTheme="minorHAnsi" w:hAnsiTheme="minorHAnsi"/>
                <w:lang w:eastAsia="en-AU"/>
              </w:rPr>
              <w:t xml:space="preserve">Estimated from </w:t>
            </w:r>
            <w:r w:rsidRPr="00423C9C">
              <w:rPr>
                <w:rFonts w:asciiTheme="minorHAnsi" w:hAnsiTheme="minorHAnsi"/>
                <w:lang w:eastAsia="en-AU"/>
              </w:rPr>
              <w:t>ABS 2011 Census of Population and Housing</w:t>
            </w:r>
          </w:p>
        </w:tc>
        <w:tc>
          <w:tcPr>
            <w:tcW w:w="4076" w:type="dxa"/>
            <w:tcBorders>
              <w:top w:val="single" w:sz="4" w:space="0" w:color="FFFFFF" w:themeColor="background1"/>
              <w:bottom w:val="single" w:sz="4" w:space="0" w:color="FFFFFF" w:themeColor="background1"/>
            </w:tcBorders>
          </w:tcPr>
          <w:p w:rsidR="00977C78" w:rsidRDefault="00977C78" w:rsidP="00261886">
            <w:pPr>
              <w:pStyle w:val="TabletextLeft"/>
              <w:rPr>
                <w:rFonts w:asciiTheme="minorHAnsi" w:hAnsiTheme="minorHAnsi"/>
                <w:lang w:eastAsia="en-AU"/>
              </w:rPr>
            </w:pPr>
          </w:p>
        </w:tc>
      </w:tr>
      <w:tr w:rsidR="00977C78" w:rsidRPr="00423C9C" w:rsidTr="00261886">
        <w:tc>
          <w:tcPr>
            <w:tcW w:w="2376" w:type="dxa"/>
            <w:gridSpan w:val="2"/>
          </w:tcPr>
          <w:p w:rsidR="00977C78" w:rsidRPr="00423C9C" w:rsidRDefault="00977C78" w:rsidP="00261886">
            <w:pPr>
              <w:pStyle w:val="TabletextLeft"/>
              <w:rPr>
                <w:rFonts w:asciiTheme="minorHAnsi" w:hAnsiTheme="minorHAnsi"/>
                <w:lang w:eastAsia="en-AU"/>
              </w:rPr>
            </w:pPr>
            <w:r w:rsidRPr="00D06A1E">
              <w:rPr>
                <w:rFonts w:asciiTheme="minorHAnsi" w:hAnsiTheme="minorHAnsi"/>
                <w:b/>
                <w:lang w:eastAsia="en-AU"/>
              </w:rPr>
              <w:t>Period of study</w:t>
            </w:r>
            <w:r>
              <w:rPr>
                <w:rFonts w:asciiTheme="minorHAnsi" w:hAnsiTheme="minorHAnsi"/>
                <w:lang w:eastAsia="en-AU"/>
              </w:rPr>
              <w:t xml:space="preserve"> for each skill </w:t>
            </w:r>
          </w:p>
        </w:tc>
        <w:tc>
          <w:tcPr>
            <w:tcW w:w="2268" w:type="dxa"/>
            <w:gridSpan w:val="2"/>
            <w:tcBorders>
              <w:top w:val="single" w:sz="4" w:space="0" w:color="FFFFFF" w:themeColor="background1"/>
              <w:bottom w:val="single" w:sz="4" w:space="0" w:color="FFFFFF" w:themeColor="background1"/>
            </w:tcBorders>
          </w:tcPr>
          <w:p w:rsidR="00977C78" w:rsidRPr="00423C9C" w:rsidRDefault="00977C78" w:rsidP="00261886">
            <w:pPr>
              <w:pStyle w:val="TabletextLeft"/>
              <w:rPr>
                <w:rFonts w:asciiTheme="minorHAnsi" w:hAnsiTheme="minorHAnsi"/>
                <w:lang w:eastAsia="en-AU"/>
              </w:rPr>
            </w:pPr>
            <w:r>
              <w:rPr>
                <w:rFonts w:asciiTheme="minorHAnsi" w:hAnsiTheme="minorHAnsi"/>
                <w:lang w:eastAsia="en-AU"/>
              </w:rPr>
              <w:t>Assumption</w:t>
            </w:r>
          </w:p>
        </w:tc>
        <w:tc>
          <w:tcPr>
            <w:tcW w:w="4076" w:type="dxa"/>
            <w:tcBorders>
              <w:top w:val="single" w:sz="4" w:space="0" w:color="FFFFFF" w:themeColor="background1"/>
              <w:bottom w:val="single" w:sz="4" w:space="0" w:color="FFFFFF" w:themeColor="background1"/>
            </w:tcBorders>
          </w:tcPr>
          <w:p w:rsidR="00977C78" w:rsidRPr="00423C9C" w:rsidRDefault="00977C78" w:rsidP="00261886">
            <w:pPr>
              <w:pStyle w:val="TabletextLeft"/>
              <w:rPr>
                <w:rFonts w:asciiTheme="minorHAnsi" w:hAnsiTheme="minorHAnsi"/>
                <w:lang w:eastAsia="en-AU"/>
              </w:rPr>
            </w:pPr>
            <w:r>
              <w:rPr>
                <w:rFonts w:asciiTheme="minorHAnsi" w:hAnsiTheme="minorHAnsi"/>
                <w:lang w:eastAsia="en-AU"/>
              </w:rPr>
              <w:t>It is assumed each bachelor’s degree requires three years of study (five years for Medicine), and each postgraduate degree requires five years of study (seven years for Medicine).</w:t>
            </w:r>
          </w:p>
        </w:tc>
      </w:tr>
      <w:tr w:rsidR="00977C78" w:rsidRPr="00423C9C" w:rsidTr="00261886">
        <w:tc>
          <w:tcPr>
            <w:tcW w:w="2376" w:type="dxa"/>
            <w:gridSpan w:val="2"/>
          </w:tcPr>
          <w:p w:rsidR="00977C78" w:rsidRPr="00423C9C" w:rsidRDefault="00977C78" w:rsidP="00261886">
            <w:pPr>
              <w:pStyle w:val="TabletextLeft"/>
              <w:rPr>
                <w:rFonts w:asciiTheme="minorHAnsi" w:hAnsiTheme="minorHAnsi"/>
                <w:lang w:eastAsia="en-AU"/>
              </w:rPr>
            </w:pPr>
            <w:r>
              <w:rPr>
                <w:rFonts w:asciiTheme="minorHAnsi" w:hAnsiTheme="minorHAnsi"/>
                <w:lang w:eastAsia="en-AU"/>
              </w:rPr>
              <w:t xml:space="preserve">Wage and </w:t>
            </w:r>
            <w:r w:rsidR="00B91C00">
              <w:rPr>
                <w:rFonts w:asciiTheme="minorHAnsi" w:hAnsiTheme="minorHAnsi"/>
                <w:lang w:eastAsia="en-AU"/>
              </w:rPr>
              <w:t xml:space="preserve">likelihood of </w:t>
            </w:r>
            <w:r>
              <w:rPr>
                <w:rFonts w:asciiTheme="minorHAnsi" w:hAnsiTheme="minorHAnsi"/>
                <w:lang w:eastAsia="en-AU"/>
              </w:rPr>
              <w:t xml:space="preserve">employment during </w:t>
            </w:r>
            <w:r w:rsidRPr="00D06A1E">
              <w:rPr>
                <w:rFonts w:asciiTheme="minorHAnsi" w:hAnsiTheme="minorHAnsi"/>
                <w:b/>
                <w:lang w:eastAsia="en-AU"/>
              </w:rPr>
              <w:t>study period</w:t>
            </w:r>
          </w:p>
        </w:tc>
        <w:tc>
          <w:tcPr>
            <w:tcW w:w="2268" w:type="dxa"/>
            <w:gridSpan w:val="2"/>
            <w:tcBorders>
              <w:top w:val="single" w:sz="4" w:space="0" w:color="FFFFFF" w:themeColor="background1"/>
            </w:tcBorders>
          </w:tcPr>
          <w:p w:rsidR="00977C78" w:rsidRPr="00423C9C" w:rsidRDefault="005D5FA1" w:rsidP="00EA47CF">
            <w:pPr>
              <w:pStyle w:val="TabletextLeft"/>
              <w:rPr>
                <w:rFonts w:asciiTheme="minorHAnsi" w:hAnsiTheme="minorHAnsi"/>
                <w:lang w:eastAsia="en-AU"/>
              </w:rPr>
            </w:pPr>
            <w:r>
              <w:rPr>
                <w:rFonts w:asciiTheme="minorHAnsi" w:hAnsiTheme="minorHAnsi"/>
                <w:lang w:eastAsia="en-AU"/>
              </w:rPr>
              <w:t xml:space="preserve">Estimated from </w:t>
            </w:r>
            <w:r w:rsidRPr="00423C9C">
              <w:rPr>
                <w:rFonts w:asciiTheme="minorHAnsi" w:hAnsiTheme="minorHAnsi"/>
                <w:lang w:eastAsia="en-AU"/>
              </w:rPr>
              <w:t>ABS 2011 Census of Population and Housing</w:t>
            </w:r>
            <w:r w:rsidR="00B91C00">
              <w:rPr>
                <w:rFonts w:asciiTheme="minorHAnsi" w:hAnsiTheme="minorHAnsi"/>
                <w:lang w:eastAsia="en-AU"/>
              </w:rPr>
              <w:t xml:space="preserve">, </w:t>
            </w:r>
            <w:r w:rsidR="00977C78">
              <w:rPr>
                <w:rFonts w:asciiTheme="minorHAnsi" w:hAnsiTheme="minorHAnsi"/>
                <w:lang w:eastAsia="en-AU"/>
              </w:rPr>
              <w:t xml:space="preserve">Universities Australia (2013) </w:t>
            </w:r>
          </w:p>
        </w:tc>
        <w:tc>
          <w:tcPr>
            <w:tcW w:w="4076" w:type="dxa"/>
            <w:tcBorders>
              <w:top w:val="single" w:sz="4" w:space="0" w:color="FFFFFF" w:themeColor="background1"/>
            </w:tcBorders>
          </w:tcPr>
          <w:p w:rsidR="00977C78" w:rsidRPr="00423C9C" w:rsidRDefault="00977C78" w:rsidP="00261886">
            <w:pPr>
              <w:pStyle w:val="TabletextLeft"/>
              <w:rPr>
                <w:rFonts w:asciiTheme="minorHAnsi" w:hAnsiTheme="minorHAnsi"/>
                <w:lang w:eastAsia="en-AU"/>
              </w:rPr>
            </w:pPr>
            <w:r>
              <w:rPr>
                <w:rFonts w:asciiTheme="minorHAnsi" w:hAnsiTheme="minorHAnsi"/>
                <w:lang w:eastAsia="en-AU"/>
              </w:rPr>
              <w:t>Assumed to be equal across all student disciplines.</w:t>
            </w:r>
          </w:p>
        </w:tc>
      </w:tr>
    </w:tbl>
    <w:p w:rsidR="00977C78" w:rsidRDefault="00977C78" w:rsidP="00977C78">
      <w:pPr>
        <w:pStyle w:val="BodyText"/>
        <w:rPr>
          <w:lang w:eastAsia="en-AU"/>
        </w:rPr>
      </w:pPr>
      <w:r>
        <w:rPr>
          <w:lang w:eastAsia="en-AU"/>
        </w:rPr>
        <w:t xml:space="preserve">Further details on the econometric estimates for the proportion of wage, participation and employment rate premiums attributable to the different degrees can be found in </w:t>
      </w:r>
      <w:r w:rsidR="005D5FA1">
        <w:rPr>
          <w:lang w:eastAsia="en-AU"/>
        </w:rPr>
        <w:t>Appendix B</w:t>
      </w:r>
      <w:r>
        <w:rPr>
          <w:lang w:eastAsia="en-AU"/>
        </w:rPr>
        <w:t xml:space="preserve">. </w:t>
      </w:r>
    </w:p>
    <w:p w:rsidR="005712DF" w:rsidRDefault="00977C78" w:rsidP="00977C78">
      <w:pPr>
        <w:pStyle w:val="BodyText"/>
        <w:rPr>
          <w:lang w:eastAsia="en-AU"/>
        </w:rPr>
      </w:pPr>
      <w:r>
        <w:rPr>
          <w:lang w:eastAsia="en-AU"/>
        </w:rPr>
        <w:t xml:space="preserve">Figure C.1 summarises the approach for transforming additional graduates with a particular qualification into effective additional labour supply units in a static context. </w:t>
      </w:r>
      <w:r w:rsidR="007222D0">
        <w:rPr>
          <w:lang w:eastAsia="en-AU"/>
        </w:rPr>
        <w:t xml:space="preserve">This uses the </w:t>
      </w:r>
      <w:r w:rsidR="007222D0">
        <w:t xml:space="preserve">so-called Harberger Convention, which means that physical quantities (such </w:t>
      </w:r>
      <w:r w:rsidR="005712DF">
        <w:t xml:space="preserve">as a week of full time equivalent labour) can be represented as </w:t>
      </w:r>
      <w:r w:rsidR="007222D0">
        <w:t>value quantities or units of factor services, (</w:t>
      </w:r>
      <w:r w:rsidR="005712DF">
        <w:t xml:space="preserve">such as $1000 of labour services). This allows us to adjust on the quantity or price side, for an equivalent value of labour services to the economy. </w:t>
      </w:r>
    </w:p>
    <w:p w:rsidR="00977C78" w:rsidRDefault="00977C78" w:rsidP="00977C78">
      <w:pPr>
        <w:pStyle w:val="BodyText"/>
        <w:rPr>
          <w:lang w:eastAsia="en-AU"/>
        </w:rPr>
      </w:pPr>
      <w:r>
        <w:rPr>
          <w:lang w:eastAsia="en-AU"/>
        </w:rPr>
        <w:t xml:space="preserve">For example, to </w:t>
      </w:r>
      <w:r w:rsidR="005712DF">
        <w:rPr>
          <w:lang w:eastAsia="en-AU"/>
        </w:rPr>
        <w:t>simulate the impact of providing</w:t>
      </w:r>
      <w:r>
        <w:rPr>
          <w:lang w:eastAsia="en-AU"/>
        </w:rPr>
        <w:t xml:space="preserve"> 1,000 </w:t>
      </w:r>
      <w:r w:rsidR="005712DF">
        <w:rPr>
          <w:lang w:eastAsia="en-AU"/>
        </w:rPr>
        <w:t xml:space="preserve">typical </w:t>
      </w:r>
      <w:r>
        <w:rPr>
          <w:lang w:eastAsia="en-AU"/>
        </w:rPr>
        <w:t xml:space="preserve">individuals with no post-school qualification a bachelor </w:t>
      </w:r>
      <w:r w:rsidR="005712DF">
        <w:rPr>
          <w:lang w:eastAsia="en-AU"/>
        </w:rPr>
        <w:t xml:space="preserve">level </w:t>
      </w:r>
      <w:r>
        <w:rPr>
          <w:lang w:eastAsia="en-AU"/>
        </w:rPr>
        <w:t>engineering degree, the following steps are required:</w:t>
      </w:r>
    </w:p>
    <w:p w:rsidR="00977C78" w:rsidRDefault="00977C78" w:rsidP="00977C78">
      <w:pPr>
        <w:pStyle w:val="Bullet1"/>
      </w:pPr>
      <w:r>
        <w:t>Calculate the wage premium associated with an average engineering graduate over a high school leaver. The average engineering graduate earns 120% more than their high school leaver counterpart.</w:t>
      </w:r>
    </w:p>
    <w:p w:rsidR="00977C78" w:rsidRDefault="00977C78" w:rsidP="00977C78">
      <w:pPr>
        <w:pStyle w:val="Bullet2"/>
      </w:pPr>
      <w:r>
        <w:t xml:space="preserve">Use econometric results on the proportion of the wage premium attributable to the qualification. </w:t>
      </w:r>
      <w:r w:rsidR="005D5FA1">
        <w:t>I</w:t>
      </w:r>
      <w:r>
        <w:t>t</w:t>
      </w:r>
      <w:r w:rsidR="005D5FA1">
        <w:t xml:space="preserve"> i</w:t>
      </w:r>
      <w:r>
        <w:t>s 38%</w:t>
      </w:r>
      <w:r w:rsidR="005D5FA1">
        <w:t xml:space="preserve"> for the case of engineering</w:t>
      </w:r>
      <w:r>
        <w:t>. Consequently, the qualification-specific wage premium over high school leavers is 45% (120% x 38%).</w:t>
      </w:r>
    </w:p>
    <w:p w:rsidR="00977C78" w:rsidRDefault="00977C78" w:rsidP="00977C78">
      <w:pPr>
        <w:pStyle w:val="Bullet2"/>
      </w:pPr>
      <w:r>
        <w:t>Use the qualification-specific wage premium to adjust for the number of additional ‘average’ individuals to be added to engineering. The part attributable to the qualification is equal to 659 individuals.</w:t>
      </w:r>
    </w:p>
    <w:p w:rsidR="00977C78" w:rsidRDefault="00977C78" w:rsidP="00977C78">
      <w:pPr>
        <w:pStyle w:val="Bullet1"/>
      </w:pPr>
      <w:r>
        <w:t>From the 659 average engineering graduates and 1,000 high school leavers, work out the resultant labour supply based on the skill-specific participation rates. The average participation rate for engineering graduates between the ages of 25-64 is 90%, compared to 70% for high school graduates. This gives a participation rate premium of 29%.</w:t>
      </w:r>
    </w:p>
    <w:p w:rsidR="00977C78" w:rsidRDefault="00977C78" w:rsidP="00977C78">
      <w:pPr>
        <w:pStyle w:val="Bullet2"/>
      </w:pPr>
      <w:r>
        <w:t xml:space="preserve">Similar to the method used for the wage premium, attribute a proportion to the qualification. In this case, </w:t>
      </w:r>
      <w:r w:rsidR="00E74CEE">
        <w:t>it is</w:t>
      </w:r>
      <w:r>
        <w:t xml:space="preserve"> 38%. The qualification-specific participation rate premium is 11% (38% x 29%).</w:t>
      </w:r>
    </w:p>
    <w:p w:rsidR="00977C78" w:rsidRDefault="00977C78" w:rsidP="00977C78">
      <w:pPr>
        <w:pStyle w:val="Bullet2"/>
      </w:pPr>
      <w:r>
        <w:t>Consequently, 700 high school leavers will be taken from the labour supply (1,000 x 70%), while 512 engineering graduates will be added (111% x 70% x 659).</w:t>
      </w:r>
    </w:p>
    <w:p w:rsidR="00977C78" w:rsidRDefault="00977C78" w:rsidP="00977C78">
      <w:pPr>
        <w:pStyle w:val="Bullet1"/>
      </w:pPr>
      <w:r>
        <w:t>While employment is determined within the model, an out of model adjustment to the labour supply is required to account for the qualification premium associated with lower unemployment rates for the engineering graduates.</w:t>
      </w:r>
    </w:p>
    <w:p w:rsidR="00977C78" w:rsidRDefault="00977C78" w:rsidP="00977C78">
      <w:pPr>
        <w:pStyle w:val="Bullet2"/>
      </w:pPr>
      <w:r>
        <w:t>Using the skill-specific unemployment rates from the DAE-RGEM baseline</w:t>
      </w:r>
      <w:r w:rsidR="005712DF">
        <w:t xml:space="preserve"> results</w:t>
      </w:r>
      <w:r>
        <w:t xml:space="preserve">, </w:t>
      </w:r>
      <w:r w:rsidR="005712DF">
        <w:t xml:space="preserve">determine </w:t>
      </w:r>
      <w:r>
        <w:t xml:space="preserve">the number of employed </w:t>
      </w:r>
      <w:proofErr w:type="gramStart"/>
      <w:r>
        <w:t>persons</w:t>
      </w:r>
      <w:proofErr w:type="gramEnd"/>
      <w:r>
        <w:t xml:space="preserve"> out</w:t>
      </w:r>
      <w:r w:rsidR="005712DF">
        <w:t>-</w:t>
      </w:r>
      <w:r>
        <w:t>of</w:t>
      </w:r>
      <w:r w:rsidR="005712DF">
        <w:t>-</w:t>
      </w:r>
      <w:r>
        <w:t>model for the two skill categories. For instance, bachelor engineering graduates face an average unemployment rate of 3.4% compared to 8.1% for high school leavers. This represents a premium (in employment) of 5%.</w:t>
      </w:r>
    </w:p>
    <w:p w:rsidR="00977C78" w:rsidRDefault="00977C78" w:rsidP="00977C78">
      <w:pPr>
        <w:pStyle w:val="Bullet2"/>
      </w:pPr>
      <w:r>
        <w:t xml:space="preserve"> Attributing a </w:t>
      </w:r>
      <w:r w:rsidR="00832D4A">
        <w:t>share</w:t>
      </w:r>
      <w:r>
        <w:t xml:space="preserve"> of the employment premium to the degree (71%), the qualification adjusted premium is 3.5%.</w:t>
      </w:r>
    </w:p>
    <w:p w:rsidR="00977C78" w:rsidRDefault="00977C78" w:rsidP="00977C78">
      <w:pPr>
        <w:pStyle w:val="Bullet2"/>
      </w:pPr>
      <w:r>
        <w:t xml:space="preserve">Consequently, to mimic a qualification-adjusted unemployment rate of 4.9%, and employment of 487 individuals, the labour supply for engineering needs to be shocked by an additional 503 units to account for the full unemployment rate of 3.5%.  </w:t>
      </w:r>
    </w:p>
    <w:p w:rsidR="00977C78" w:rsidRDefault="00977C78" w:rsidP="00977C78">
      <w:pPr>
        <w:pStyle w:val="Bullet1"/>
      </w:pPr>
      <w:r>
        <w:t>The adjusted labour suppl</w:t>
      </w:r>
      <w:r w:rsidR="00832D4A">
        <w:t>y</w:t>
      </w:r>
      <w:r>
        <w:t xml:space="preserve"> </w:t>
      </w:r>
      <w:r w:rsidR="00832D4A">
        <w:t>is</w:t>
      </w:r>
      <w:r>
        <w:t xml:space="preserve"> then </w:t>
      </w:r>
      <w:r w:rsidR="00832D4A">
        <w:t xml:space="preserve">inputted as a simulation </w:t>
      </w:r>
      <w:r>
        <w:t>the model. To represent a movement of 1,000 individuals from high school leavers into bachelor graduate, 700 individuals will be taken out of the labour supply for high school leavers, and 503 individuals will be added to the labour supply of bachelor engineering graduates.</w:t>
      </w:r>
    </w:p>
    <w:p w:rsidR="00977C78" w:rsidRDefault="00977C78" w:rsidP="00DA4CA5">
      <w:pPr>
        <w:pStyle w:val="BodyText"/>
      </w:pPr>
      <w:r>
        <w:t xml:space="preserve">The above adjustments represent the average </w:t>
      </w:r>
      <w:r w:rsidR="00832D4A">
        <w:t xml:space="preserve">simulation </w:t>
      </w:r>
      <w:r>
        <w:t xml:space="preserve">over the cohort’s working life. However, in addition to the qualification dimension, additional steps are taken to account for the time </w:t>
      </w:r>
      <w:r w:rsidR="00832D4A">
        <w:t>variability in labour market outcomes over the course of a career</w:t>
      </w:r>
      <w:r>
        <w:t xml:space="preserve">. </w:t>
      </w:r>
    </w:p>
    <w:p w:rsidR="00977C78" w:rsidRDefault="00977C78" w:rsidP="00977C78">
      <w:pPr>
        <w:pStyle w:val="AppendixFigureCaption"/>
        <w:rPr>
          <w:lang w:eastAsia="en-AU"/>
        </w:rPr>
      </w:pPr>
      <w:bookmarkStart w:id="346" w:name="_Toc465961119"/>
      <w:r>
        <w:rPr>
          <w:lang w:eastAsia="en-AU"/>
        </w:rPr>
        <w:t>: Premium adjustment framework for labour supply shock generation</w:t>
      </w:r>
      <w:bookmarkEnd w:id="346"/>
    </w:p>
    <w:p w:rsidR="00977C78" w:rsidRDefault="00977C78" w:rsidP="00977C78">
      <w:pPr>
        <w:pStyle w:val="BodyText"/>
        <w:jc w:val="left"/>
        <w:rPr>
          <w:lang w:eastAsia="en-AU"/>
        </w:rPr>
      </w:pPr>
      <w:r>
        <w:rPr>
          <w:noProof/>
          <w:lang w:eastAsia="en-AU"/>
        </w:rPr>
        <w:drawing>
          <wp:inline distT="0" distB="0" distL="0" distR="0" wp14:anchorId="32361133" wp14:editId="5F3EA7C5">
            <wp:extent cx="5387607" cy="2772000"/>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87607" cy="2772000"/>
                    </a:xfrm>
                    <a:prstGeom prst="rect">
                      <a:avLst/>
                    </a:prstGeom>
                    <a:noFill/>
                  </pic:spPr>
                </pic:pic>
              </a:graphicData>
            </a:graphic>
          </wp:inline>
        </w:drawing>
      </w:r>
    </w:p>
    <w:p w:rsidR="00977C78" w:rsidRDefault="00977C78" w:rsidP="00977C78">
      <w:pPr>
        <w:pStyle w:val="HeadingC"/>
        <w:rPr>
          <w:lang w:eastAsia="en-AU"/>
        </w:rPr>
      </w:pPr>
      <w:r>
        <w:rPr>
          <w:lang w:eastAsia="en-AU"/>
        </w:rPr>
        <w:t>During studies</w:t>
      </w:r>
    </w:p>
    <w:p w:rsidR="00977C78" w:rsidRDefault="00977C78" w:rsidP="00977C78">
      <w:pPr>
        <w:pStyle w:val="BodyText"/>
        <w:rPr>
          <w:lang w:eastAsia="en-AU"/>
        </w:rPr>
      </w:pPr>
      <w:r>
        <w:rPr>
          <w:lang w:eastAsia="en-AU"/>
        </w:rPr>
        <w:t xml:space="preserve">Taking graduates fully out of the labour supply during their studies would overstate the cost of higher education. Indeed, Universities Australia’s 2013 publication </w:t>
      </w:r>
      <w:r w:rsidRPr="00836B4D">
        <w:rPr>
          <w:i/>
          <w:lang w:eastAsia="en-AU"/>
        </w:rPr>
        <w:t>University student finances in 2012</w:t>
      </w:r>
      <w:r>
        <w:rPr>
          <w:lang w:eastAsia="en-AU"/>
        </w:rPr>
        <w:t xml:space="preserve"> finds that approximately 80% of bachelor and postgraduate domestic students work during full time study.</w:t>
      </w:r>
    </w:p>
    <w:p w:rsidR="00977C78" w:rsidRDefault="00977C78" w:rsidP="00977C78">
      <w:pPr>
        <w:pStyle w:val="BodyText"/>
        <w:rPr>
          <w:lang w:eastAsia="en-AU"/>
        </w:rPr>
      </w:pPr>
      <w:r>
        <w:rPr>
          <w:lang w:eastAsia="en-AU"/>
        </w:rPr>
        <w:t xml:space="preserve">Accounting for the fewer hours worked during the school term, it is calculated that a student during their studies is equivalent to 0.4 of an average full-time equivalent (FTE) worker. </w:t>
      </w:r>
    </w:p>
    <w:p w:rsidR="00977C78" w:rsidRPr="00436192" w:rsidRDefault="00977C78" w:rsidP="00977C78">
      <w:pPr>
        <w:pStyle w:val="BodyText"/>
        <w:rPr>
          <w:lang w:eastAsia="en-AU"/>
        </w:rPr>
      </w:pPr>
      <w:r>
        <w:rPr>
          <w:lang w:eastAsia="en-AU"/>
        </w:rPr>
        <w:t>Therefore, only approximately 600 of the studying cohort are taken out of the workforce during the study period. It is assumed that they earn the same per hour wage as their high school leaver counterparts.</w:t>
      </w:r>
    </w:p>
    <w:p w:rsidR="00977C78" w:rsidRDefault="00977C78" w:rsidP="00977C78">
      <w:pPr>
        <w:pStyle w:val="HeadingC"/>
        <w:rPr>
          <w:lang w:eastAsia="en-AU"/>
        </w:rPr>
      </w:pPr>
      <w:r>
        <w:rPr>
          <w:lang w:eastAsia="en-AU"/>
        </w:rPr>
        <w:t>Working life</w:t>
      </w:r>
    </w:p>
    <w:p w:rsidR="00977C78" w:rsidRDefault="00977C78" w:rsidP="00977C78">
      <w:pPr>
        <w:pStyle w:val="BodyText"/>
        <w:rPr>
          <w:lang w:eastAsia="en-AU"/>
        </w:rPr>
      </w:pPr>
      <w:r>
        <w:rPr>
          <w:lang w:eastAsia="en-AU"/>
        </w:rPr>
        <w:t xml:space="preserve">Chart C.5 shows the smoothed age-specific effective wage (relative to the average wage) for higher education engineering graduates and high school leavers during their working life. </w:t>
      </w:r>
      <w:r>
        <w:t xml:space="preserve">High school leavers have relatively flatter wage earnings over their working life, reaching a maximum of 110% around age 40. They also tend to have relatively higher wages during the beginning of their working life (starting out at approximately 80% of average wages for the skill category) compared to university graduates. </w:t>
      </w:r>
    </w:p>
    <w:p w:rsidR="00977C78" w:rsidRDefault="00977C78" w:rsidP="00977C78">
      <w:pPr>
        <w:pStyle w:val="BodyText"/>
        <w:rPr>
          <w:lang w:eastAsia="en-AU"/>
        </w:rPr>
      </w:pPr>
      <w:r>
        <w:t xml:space="preserve">In contrast, the earnings for postgraduate and bachelor engineering graduates tend to peak slightly latter (around age 50 for postgraduate and age 45 for bachelor), and wages remain relatively high at the end of their careers. </w:t>
      </w:r>
    </w:p>
    <w:p w:rsidR="00977C78" w:rsidRDefault="00977C78" w:rsidP="00977C78">
      <w:pPr>
        <w:pStyle w:val="AppendixChartCaption"/>
        <w:rPr>
          <w:lang w:eastAsia="en-AU"/>
        </w:rPr>
      </w:pPr>
      <w:bookmarkStart w:id="347" w:name="_Toc465961182"/>
      <w:r>
        <w:rPr>
          <w:lang w:eastAsia="en-AU"/>
        </w:rPr>
        <w:t>: Smoothed age-specific wage relative to average (Engineering)</w:t>
      </w:r>
      <w:bookmarkEnd w:id="347"/>
    </w:p>
    <w:p w:rsidR="00977C78" w:rsidRDefault="00EA47CF" w:rsidP="00977C78">
      <w:pPr>
        <w:pStyle w:val="BodyText"/>
        <w:jc w:val="center"/>
        <w:rPr>
          <w:lang w:eastAsia="en-AU"/>
        </w:rPr>
      </w:pPr>
      <w:r>
        <w:rPr>
          <w:noProof/>
          <w:lang w:eastAsia="en-AU"/>
        </w:rPr>
        <w:drawing>
          <wp:inline distT="0" distB="0" distL="0" distR="0" wp14:anchorId="01B70D08" wp14:editId="667BA4ED">
            <wp:extent cx="3975432" cy="2949934"/>
            <wp:effectExtent l="0" t="0" r="6350" b="3175"/>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72694" cy="2947902"/>
                    </a:xfrm>
                    <a:prstGeom prst="rect">
                      <a:avLst/>
                    </a:prstGeom>
                    <a:noFill/>
                  </pic:spPr>
                </pic:pic>
              </a:graphicData>
            </a:graphic>
          </wp:inline>
        </w:drawing>
      </w:r>
    </w:p>
    <w:p w:rsidR="00E74CEE" w:rsidRDefault="00E74CEE" w:rsidP="00E74CEE">
      <w:pPr>
        <w:pStyle w:val="Source"/>
      </w:pPr>
      <w:r>
        <w:t xml:space="preserve">Source: </w:t>
      </w:r>
      <w:r w:rsidRPr="00423C9C">
        <w:rPr>
          <w:rFonts w:asciiTheme="minorHAnsi" w:hAnsiTheme="minorHAnsi"/>
          <w:lang w:eastAsia="en-AU"/>
        </w:rPr>
        <w:t>ABS 2011 Census of Population and Housing</w:t>
      </w:r>
      <w:r>
        <w:t>, Deloitte Access Economics</w:t>
      </w:r>
    </w:p>
    <w:p w:rsidR="00977C78" w:rsidRDefault="00977C78" w:rsidP="00977C78">
      <w:pPr>
        <w:pStyle w:val="BodyText"/>
        <w:rPr>
          <w:lang w:eastAsia="en-AU"/>
        </w:rPr>
      </w:pPr>
      <w:r>
        <w:rPr>
          <w:lang w:eastAsia="en-AU"/>
        </w:rPr>
        <w:t xml:space="preserve">Chart C.6 shows the smoothed age-specific participation rate for graduates of engineering. The figures are given in absolute values (rather than relative to an average) as participation is not determined endogenously within the model. As the labour supply is shocked directly, and the adjustment from additional </w:t>
      </w:r>
      <w:r w:rsidRPr="00B53171">
        <w:rPr>
          <w:b/>
          <w:i/>
          <w:lang w:eastAsia="en-AU"/>
        </w:rPr>
        <w:t>individuals</w:t>
      </w:r>
      <w:r>
        <w:rPr>
          <w:lang w:eastAsia="en-AU"/>
        </w:rPr>
        <w:t xml:space="preserve"> with a particular skill to additional </w:t>
      </w:r>
      <w:r w:rsidRPr="00B53171">
        <w:rPr>
          <w:b/>
          <w:i/>
          <w:lang w:eastAsia="en-AU"/>
        </w:rPr>
        <w:t>labour supply</w:t>
      </w:r>
      <w:r>
        <w:rPr>
          <w:lang w:eastAsia="en-AU"/>
        </w:rPr>
        <w:t xml:space="preserve"> with a particular skill is made out of model.</w:t>
      </w:r>
    </w:p>
    <w:p w:rsidR="00977C78" w:rsidRDefault="00977C78" w:rsidP="00977C78">
      <w:pPr>
        <w:pStyle w:val="AppendixChartCaption"/>
        <w:rPr>
          <w:lang w:eastAsia="en-AU"/>
        </w:rPr>
      </w:pPr>
      <w:bookmarkStart w:id="348" w:name="_Toc465961183"/>
      <w:r>
        <w:rPr>
          <w:lang w:eastAsia="en-AU"/>
        </w:rPr>
        <w:t>: Smoothed age-specific participation rate (Engineering)</w:t>
      </w:r>
      <w:bookmarkEnd w:id="348"/>
    </w:p>
    <w:p w:rsidR="00977C78" w:rsidRDefault="00EA47CF" w:rsidP="00977C78">
      <w:pPr>
        <w:pStyle w:val="BodyText"/>
        <w:jc w:val="center"/>
        <w:rPr>
          <w:lang w:eastAsia="en-AU"/>
        </w:rPr>
      </w:pPr>
      <w:r>
        <w:rPr>
          <w:noProof/>
          <w:lang w:eastAsia="en-AU"/>
        </w:rPr>
        <w:drawing>
          <wp:inline distT="0" distB="0" distL="0" distR="0" wp14:anchorId="3072FAB5" wp14:editId="4608BDBB">
            <wp:extent cx="4542654" cy="2902226"/>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46427" cy="2904637"/>
                    </a:xfrm>
                    <a:prstGeom prst="rect">
                      <a:avLst/>
                    </a:prstGeom>
                    <a:noFill/>
                  </pic:spPr>
                </pic:pic>
              </a:graphicData>
            </a:graphic>
          </wp:inline>
        </w:drawing>
      </w:r>
    </w:p>
    <w:p w:rsidR="00E74CEE" w:rsidRDefault="00E74CEE" w:rsidP="00E74CEE">
      <w:pPr>
        <w:pStyle w:val="Source"/>
      </w:pPr>
      <w:r>
        <w:t xml:space="preserve">Source: </w:t>
      </w:r>
      <w:r w:rsidRPr="00423C9C">
        <w:rPr>
          <w:rFonts w:asciiTheme="minorHAnsi" w:hAnsiTheme="minorHAnsi"/>
          <w:lang w:eastAsia="en-AU"/>
        </w:rPr>
        <w:t>ABS 2011 Census of Population and Housing</w:t>
      </w:r>
      <w:r>
        <w:t>, Deloitte Access Economics</w:t>
      </w:r>
    </w:p>
    <w:p w:rsidR="00977C78" w:rsidRDefault="00977C78" w:rsidP="00977C78">
      <w:pPr>
        <w:pStyle w:val="BodyText"/>
        <w:rPr>
          <w:lang w:eastAsia="en-AU"/>
        </w:rPr>
      </w:pPr>
      <w:r>
        <w:rPr>
          <w:lang w:eastAsia="en-AU"/>
        </w:rPr>
        <w:t>Similarly, Chart C.7 shows the smoothed age-specific unemployment rate (relative to the average unemployment rate) for higher education engineering graduates and high school leavers. It finds that as an individual initially enters the labour market, they are more likely to be unemployed. This is particularly the case for high school leavers, with the average 19 year old high school leaver two times as likely to be unemployed than the average school leaver – at 16.4%.</w:t>
      </w:r>
    </w:p>
    <w:p w:rsidR="00977C78" w:rsidRDefault="00977C78" w:rsidP="00977C78">
      <w:pPr>
        <w:pStyle w:val="BodyText"/>
        <w:rPr>
          <w:lang w:eastAsia="en-AU"/>
        </w:rPr>
      </w:pPr>
      <w:r>
        <w:rPr>
          <w:lang w:eastAsia="en-AU"/>
        </w:rPr>
        <w:t>Adjusting for these factors relative to the average unit of labour supplied allows a dynamic shock that accounts for age-specific variations over an individual’s working life. The age-specific labour supplies are used as inputs into the DAE-RGEM model.</w:t>
      </w:r>
    </w:p>
    <w:p w:rsidR="00977C78" w:rsidRDefault="00977C78" w:rsidP="00977C78">
      <w:pPr>
        <w:pStyle w:val="AppendixChartCaption"/>
        <w:rPr>
          <w:lang w:eastAsia="en-AU"/>
        </w:rPr>
      </w:pPr>
      <w:bookmarkStart w:id="349" w:name="_Toc465961184"/>
      <w:r>
        <w:rPr>
          <w:lang w:eastAsia="en-AU"/>
        </w:rPr>
        <w:t>: Smoothed age-specific unemployment rate adjustment relative to average (Engineering)</w:t>
      </w:r>
      <w:bookmarkEnd w:id="349"/>
    </w:p>
    <w:p w:rsidR="00977C78" w:rsidRDefault="00EA47CF" w:rsidP="00977C78">
      <w:pPr>
        <w:pStyle w:val="BodyText"/>
        <w:jc w:val="center"/>
        <w:rPr>
          <w:lang w:eastAsia="en-AU"/>
        </w:rPr>
      </w:pPr>
      <w:r>
        <w:rPr>
          <w:noProof/>
          <w:lang w:eastAsia="en-AU"/>
        </w:rPr>
        <w:drawing>
          <wp:inline distT="0" distB="0" distL="0" distR="0" wp14:anchorId="58638FD1" wp14:editId="7E911971">
            <wp:extent cx="4561267" cy="2825998"/>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59173" cy="2824701"/>
                    </a:xfrm>
                    <a:prstGeom prst="rect">
                      <a:avLst/>
                    </a:prstGeom>
                    <a:noFill/>
                  </pic:spPr>
                </pic:pic>
              </a:graphicData>
            </a:graphic>
          </wp:inline>
        </w:drawing>
      </w:r>
    </w:p>
    <w:p w:rsidR="00E74CEE" w:rsidRDefault="00E74CEE" w:rsidP="00E74CEE">
      <w:pPr>
        <w:pStyle w:val="Source"/>
      </w:pPr>
      <w:r>
        <w:t xml:space="preserve">Source: </w:t>
      </w:r>
      <w:r w:rsidRPr="00423C9C">
        <w:rPr>
          <w:rFonts w:asciiTheme="minorHAnsi" w:hAnsiTheme="minorHAnsi"/>
          <w:lang w:eastAsia="en-AU"/>
        </w:rPr>
        <w:t>ABS 2011 Census of Population and Housing</w:t>
      </w:r>
      <w:r>
        <w:t>, Deloitte Access Economics</w:t>
      </w:r>
    </w:p>
    <w:p w:rsidR="00E74CEE" w:rsidRDefault="00E74CEE" w:rsidP="00977C78">
      <w:pPr>
        <w:pStyle w:val="BodyText"/>
        <w:jc w:val="center"/>
        <w:rPr>
          <w:lang w:eastAsia="en-AU"/>
        </w:rPr>
      </w:pPr>
    </w:p>
    <w:p w:rsidR="00977C78" w:rsidRDefault="00977C78" w:rsidP="00977C78">
      <w:pPr>
        <w:pStyle w:val="HeadingB"/>
        <w:rPr>
          <w:lang w:eastAsia="en-AU"/>
        </w:rPr>
      </w:pPr>
      <w:r>
        <w:rPr>
          <w:lang w:eastAsia="en-AU"/>
        </w:rPr>
        <w:t>Out-of-model adjustments</w:t>
      </w:r>
    </w:p>
    <w:p w:rsidR="00977C78" w:rsidRDefault="00977C78" w:rsidP="00977C78">
      <w:pPr>
        <w:pStyle w:val="BodyText"/>
        <w:rPr>
          <w:lang w:eastAsia="en-AU"/>
        </w:rPr>
      </w:pPr>
      <w:r>
        <w:rPr>
          <w:lang w:eastAsia="en-AU"/>
        </w:rPr>
        <w:t>Based on the time-dynamic shocks, the DAE-RGEM produces on a variety of outputs comparing a ‘baseline’ path of the economy where the skills mix of the economy does not change, with a ‘policy’ path of the economy where the skills mix has been shocked exogenously.</w:t>
      </w:r>
    </w:p>
    <w:p w:rsidR="00977C78" w:rsidRDefault="00977C78" w:rsidP="00977C78">
      <w:pPr>
        <w:pStyle w:val="BodyText"/>
        <w:rPr>
          <w:lang w:eastAsia="en-AU"/>
        </w:rPr>
      </w:pPr>
      <w:r>
        <w:rPr>
          <w:lang w:eastAsia="en-AU"/>
        </w:rPr>
        <w:t xml:space="preserve">The Gross National Product (GNP) deviation resultant from the change in the skills mix is defined as the </w:t>
      </w:r>
      <w:r w:rsidRPr="00F916FC">
        <w:rPr>
          <w:b/>
          <w:lang w:eastAsia="en-AU"/>
        </w:rPr>
        <w:t>total benefits</w:t>
      </w:r>
      <w:r>
        <w:rPr>
          <w:lang w:eastAsia="en-AU"/>
        </w:rPr>
        <w:t>. GNP is the most appropriate measure of benefits as it discounts for foreign ownership of capital, where the returns will flow out of the economy.</w:t>
      </w:r>
    </w:p>
    <w:p w:rsidR="00977C78" w:rsidRDefault="00977C78" w:rsidP="00977C78">
      <w:pPr>
        <w:pStyle w:val="BodyText"/>
        <w:rPr>
          <w:lang w:eastAsia="en-AU"/>
        </w:rPr>
      </w:pPr>
      <w:r>
        <w:rPr>
          <w:lang w:eastAsia="en-AU"/>
        </w:rPr>
        <w:t xml:space="preserve">The </w:t>
      </w:r>
      <w:r w:rsidRPr="00F916FC">
        <w:rPr>
          <w:b/>
          <w:lang w:eastAsia="en-AU"/>
        </w:rPr>
        <w:t>private benefit</w:t>
      </w:r>
      <w:r>
        <w:rPr>
          <w:lang w:eastAsia="en-AU"/>
        </w:rPr>
        <w:t xml:space="preserve"> is defined as the additional post-tax income received by the marginal individuals who are moved into a higher skill category:</w:t>
      </w:r>
    </w:p>
    <w:p w:rsidR="00977C78" w:rsidRPr="00FE796E" w:rsidRDefault="00977C78" w:rsidP="00977C78">
      <w:pPr>
        <w:pStyle w:val="BodyText"/>
        <w:rPr>
          <w:lang w:eastAsia="en-AU"/>
        </w:rPr>
      </w:pPr>
      <m:oMathPara>
        <m:oMath>
          <m:r>
            <w:rPr>
              <w:rFonts w:ascii="Cambria Math" w:hAnsi="Cambria Math"/>
              <w:lang w:eastAsia="en-AU"/>
            </w:rPr>
            <m:t>Private benefit =</m:t>
          </m:r>
          <m:r>
            <m:rPr>
              <m:sty m:val="bi"/>
            </m:rPr>
            <w:rPr>
              <w:rFonts w:ascii="Cambria Math" w:hAnsi="Cambria Math"/>
              <w:lang w:eastAsia="en-AU"/>
            </w:rPr>
            <m:t xml:space="preserve">policy </m:t>
          </m:r>
          <m:r>
            <w:rPr>
              <w:rFonts w:ascii="Cambria Math" w:hAnsi="Cambria Math"/>
              <w:lang w:eastAsia="en-AU"/>
            </w:rPr>
            <m:t>post tax wages for marginal graduates-</m:t>
          </m:r>
        </m:oMath>
      </m:oMathPara>
    </w:p>
    <w:p w:rsidR="00977C78" w:rsidRDefault="00977C78" w:rsidP="00977C78">
      <w:pPr>
        <w:pStyle w:val="BodyText"/>
        <w:ind w:left="1701" w:firstLine="567"/>
        <w:rPr>
          <w:lang w:eastAsia="en-AU"/>
        </w:rPr>
      </w:pPr>
      <m:oMath>
        <m:r>
          <m:rPr>
            <m:sty m:val="bi"/>
          </m:rPr>
          <w:rPr>
            <w:rFonts w:ascii="Cambria Math" w:hAnsi="Cambria Math"/>
            <w:lang w:eastAsia="en-AU"/>
          </w:rPr>
          <m:t>baseline</m:t>
        </m:r>
        <m:r>
          <w:rPr>
            <w:rFonts w:ascii="Cambria Math" w:hAnsi="Cambria Math"/>
            <w:lang w:eastAsia="en-AU"/>
          </w:rPr>
          <m:t xml:space="preserve"> post tax</m:t>
        </m:r>
        <m:r>
          <m:rPr>
            <m:sty m:val="bi"/>
          </m:rPr>
          <w:rPr>
            <w:rFonts w:ascii="Cambria Math" w:hAnsi="Cambria Math"/>
            <w:lang w:eastAsia="en-AU"/>
          </w:rPr>
          <m:t xml:space="preserve"> </m:t>
        </m:r>
        <m:r>
          <w:rPr>
            <w:rFonts w:ascii="Cambria Math" w:hAnsi="Cambria Math"/>
            <w:lang w:eastAsia="en-AU"/>
          </w:rPr>
          <m:t xml:space="preserve">wage for marginal school leavers </m:t>
        </m:r>
      </m:oMath>
      <w:r>
        <w:rPr>
          <w:lang w:eastAsia="en-AU"/>
        </w:rPr>
        <w:t xml:space="preserve">  </w:t>
      </w:r>
      <w:r w:rsidRPr="00FE796E">
        <w:rPr>
          <w:lang w:eastAsia="en-AU"/>
        </w:rPr>
        <w:t xml:space="preserve"> </w:t>
      </w:r>
    </w:p>
    <w:p w:rsidR="00977C78" w:rsidRDefault="00977C78" w:rsidP="00977C78">
      <w:pPr>
        <w:pStyle w:val="BodyText"/>
        <w:rPr>
          <w:lang w:eastAsia="en-AU"/>
        </w:rPr>
      </w:pPr>
      <w:r>
        <w:rPr>
          <w:lang w:eastAsia="en-AU"/>
        </w:rPr>
        <w:t xml:space="preserve">The </w:t>
      </w:r>
      <w:r w:rsidRPr="00454CFB">
        <w:rPr>
          <w:i/>
          <w:lang w:eastAsia="en-AU"/>
        </w:rPr>
        <w:t>policy</w:t>
      </w:r>
      <w:r>
        <w:rPr>
          <w:lang w:eastAsia="en-AU"/>
        </w:rPr>
        <w:t xml:space="preserve"> wage for the marginal higher education graduates is compared to the </w:t>
      </w:r>
      <w:r w:rsidRPr="00454CFB">
        <w:rPr>
          <w:i/>
          <w:lang w:eastAsia="en-AU"/>
        </w:rPr>
        <w:t>baseline</w:t>
      </w:r>
      <w:r>
        <w:rPr>
          <w:lang w:eastAsia="en-AU"/>
        </w:rPr>
        <w:t xml:space="preserve"> wage for the high school leavers to account for the price effect of wages lowering as additional workers join a particular skill category.</w:t>
      </w:r>
    </w:p>
    <w:p w:rsidR="00977C78" w:rsidRDefault="00977C78" w:rsidP="00977C78">
      <w:pPr>
        <w:pStyle w:val="BodyText"/>
        <w:rPr>
          <w:lang w:eastAsia="en-AU"/>
        </w:rPr>
      </w:pPr>
      <w:r>
        <w:rPr>
          <w:lang w:eastAsia="en-AU"/>
        </w:rPr>
        <w:t xml:space="preserve">Using the pre-tax income (model output), the post-tax income is calculated out of model. This is because income taxes in the CGE model are based on average tax rates, and cannot account for the higher marginal taxes paid as worker income increases. Without adjustment, this could potentially underestimate the share of public benefit. </w:t>
      </w:r>
    </w:p>
    <w:p w:rsidR="00977C78" w:rsidRDefault="00977C78" w:rsidP="00977C78">
      <w:pPr>
        <w:pStyle w:val="BodyText"/>
        <w:rPr>
          <w:lang w:eastAsia="en-AU"/>
        </w:rPr>
      </w:pPr>
      <w:r>
        <w:rPr>
          <w:lang w:eastAsia="en-AU"/>
        </w:rPr>
        <w:t>The broad methodology is as follows:</w:t>
      </w:r>
    </w:p>
    <w:p w:rsidR="00977C78" w:rsidRDefault="00977C78" w:rsidP="00977C78">
      <w:pPr>
        <w:pStyle w:val="Bullet1"/>
        <w:ind w:left="567" w:hanging="567"/>
      </w:pPr>
      <w:r>
        <w:t>Work out average tax rates from the 2015-16 tax rates, including income tax and the 2% Medicare rebate for the tax brackets</w:t>
      </w:r>
    </w:p>
    <w:p w:rsidR="00977C78" w:rsidRDefault="00977C78" w:rsidP="00977C78">
      <w:pPr>
        <w:pStyle w:val="Bullet1"/>
        <w:ind w:left="567" w:hanging="567"/>
      </w:pPr>
      <w:r>
        <w:t>Adjust the average baseline and policy pre-tax incomes received by high school  leavers and higher education graduates by the tax rates derived above</w:t>
      </w:r>
    </w:p>
    <w:p w:rsidR="00977C78" w:rsidRDefault="00977C78" w:rsidP="00977C78">
      <w:pPr>
        <w:pStyle w:val="Bullet1"/>
        <w:ind w:left="567" w:hanging="567"/>
      </w:pPr>
      <w:r>
        <w:t xml:space="preserve">Calculate the marginal tax rate paid on the additional income by the average worker. </w:t>
      </w:r>
    </w:p>
    <w:p w:rsidR="00977C78" w:rsidRDefault="00977C78" w:rsidP="00977C78">
      <w:pPr>
        <w:pStyle w:val="Bullet2"/>
        <w:ind w:left="1134" w:hanging="567"/>
      </w:pPr>
      <w:r>
        <w:t>For instance, the marginal tax rate on additional earnings by bachelor engineering graduates (relative to high school graduates) is 35%. This is significantly higher than the average 25% reported straight from the model.</w:t>
      </w:r>
    </w:p>
    <w:p w:rsidR="00977C78" w:rsidRDefault="00977C78" w:rsidP="00977C78">
      <w:pPr>
        <w:pStyle w:val="Bullet1"/>
        <w:ind w:left="567" w:hanging="567"/>
      </w:pPr>
      <w:r>
        <w:t>Apply the marginal tax rate to the total additional pre-tax income received by the marginal individuals who are moved into a higher skill category.</w:t>
      </w:r>
    </w:p>
    <w:p w:rsidR="00977C78" w:rsidRDefault="00977C78" w:rsidP="00977C78">
      <w:pPr>
        <w:pStyle w:val="BodyText"/>
      </w:pPr>
      <w:r>
        <w:t xml:space="preserve">The </w:t>
      </w:r>
      <w:r w:rsidRPr="00432F66">
        <w:rPr>
          <w:b/>
        </w:rPr>
        <w:t>public benefits</w:t>
      </w:r>
      <w:r>
        <w:t xml:space="preserve"> are then defined as the difference between the total and private benefits. In addition to the additional taxation paid by the marginal movers into the higher skill category, other public benefits and costs include:</w:t>
      </w:r>
    </w:p>
    <w:p w:rsidR="00977C78" w:rsidRDefault="00977C78" w:rsidP="00977C78">
      <w:pPr>
        <w:pStyle w:val="Bullet1"/>
        <w:ind w:left="567" w:hanging="567"/>
      </w:pPr>
      <w:r>
        <w:t>Net payment to other factors, including other workers, and to capital</w:t>
      </w:r>
    </w:p>
    <w:p w:rsidR="00977C78" w:rsidRDefault="00977C78" w:rsidP="00977C78">
      <w:pPr>
        <w:pStyle w:val="Bullet1"/>
        <w:ind w:left="567" w:hanging="567"/>
      </w:pPr>
      <w:r>
        <w:t>Direct taxes paid by other factors of production and indirect taxes paid on goods and services production.</w:t>
      </w:r>
    </w:p>
    <w:p w:rsidR="00977C78" w:rsidRDefault="00977C78" w:rsidP="00977C78">
      <w:pPr>
        <w:pStyle w:val="Bullet1"/>
        <w:ind w:left="567" w:hanging="567"/>
      </w:pPr>
      <w:r>
        <w:t>Net transfer income overseas from additional foreign investment in Australia.</w:t>
      </w:r>
    </w:p>
    <w:p w:rsidR="00977C78" w:rsidRDefault="00977C78" w:rsidP="00977C78">
      <w:pPr>
        <w:pStyle w:val="Bullet1"/>
        <w:numPr>
          <w:ilvl w:val="0"/>
          <w:numId w:val="0"/>
        </w:numPr>
      </w:pPr>
      <w:r>
        <w:t xml:space="preserve">A decomposition of the annual benefits resulting from engineering graduates as a share of total benefits across </w:t>
      </w:r>
      <w:r w:rsidRPr="00682795">
        <w:t>an individual’s working life</w:t>
      </w:r>
      <w:r>
        <w:t xml:space="preserve"> is shown in Chart C.8.</w:t>
      </w:r>
    </w:p>
    <w:p w:rsidR="00977C78" w:rsidRDefault="00977C78" w:rsidP="00977C78">
      <w:pPr>
        <w:pStyle w:val="AppendixChartCaption"/>
        <w:rPr>
          <w:lang w:eastAsia="en-AU"/>
        </w:rPr>
      </w:pPr>
      <w:bookmarkStart w:id="350" w:name="_Toc465961185"/>
      <w:r>
        <w:rPr>
          <w:lang w:eastAsia="en-AU"/>
        </w:rPr>
        <w:t>: Total benefit decomposition profile, Engineering bachelor level</w:t>
      </w:r>
      <w:bookmarkEnd w:id="350"/>
    </w:p>
    <w:p w:rsidR="00977C78" w:rsidRDefault="00EA47CF" w:rsidP="00977C78">
      <w:pPr>
        <w:pStyle w:val="Bullet1"/>
        <w:numPr>
          <w:ilvl w:val="0"/>
          <w:numId w:val="0"/>
        </w:numPr>
        <w:ind w:left="567" w:hanging="567"/>
        <w:jc w:val="left"/>
      </w:pPr>
      <w:r>
        <w:rPr>
          <w:noProof/>
        </w:rPr>
        <w:drawing>
          <wp:inline distT="0" distB="0" distL="0" distR="0" wp14:anchorId="1F8A000F" wp14:editId="0C310A9B">
            <wp:extent cx="4988860" cy="2235375"/>
            <wp:effectExtent l="0" t="0" r="254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93404" cy="2237411"/>
                    </a:xfrm>
                    <a:prstGeom prst="rect">
                      <a:avLst/>
                    </a:prstGeom>
                    <a:noFill/>
                  </pic:spPr>
                </pic:pic>
              </a:graphicData>
            </a:graphic>
          </wp:inline>
        </w:drawing>
      </w:r>
    </w:p>
    <w:p w:rsidR="00977C78" w:rsidRDefault="00E74CEE" w:rsidP="009C0EF1">
      <w:pPr>
        <w:pStyle w:val="Source"/>
      </w:pPr>
      <w:r>
        <w:t>Source: Deloitte Access Economics DAE-RGEM model</w:t>
      </w:r>
    </w:p>
    <w:p w:rsidR="00977C78" w:rsidRPr="00196CCA" w:rsidRDefault="00977C78" w:rsidP="00977C78">
      <w:pPr>
        <w:pStyle w:val="Appendix"/>
        <w:ind w:left="0"/>
        <w:rPr>
          <w:lang w:eastAsia="en-AU"/>
        </w:rPr>
      </w:pPr>
      <w:bookmarkStart w:id="351" w:name="_Ref461002154"/>
      <w:bookmarkStart w:id="352" w:name="_Toc465961221"/>
      <w:r>
        <w:rPr>
          <w:lang w:eastAsia="en-AU"/>
        </w:rPr>
        <w:t>: CGE Sensitivity analysis</w:t>
      </w:r>
      <w:bookmarkEnd w:id="351"/>
      <w:bookmarkEnd w:id="352"/>
    </w:p>
    <w:p w:rsidR="00977C78" w:rsidRDefault="00977C78" w:rsidP="00977C78">
      <w:pPr>
        <w:pStyle w:val="BodyText"/>
        <w:rPr>
          <w:lang w:eastAsia="en-AU"/>
        </w:rPr>
      </w:pPr>
      <w:r>
        <w:rPr>
          <w:lang w:eastAsia="en-AU"/>
        </w:rPr>
        <w:t>In addition to the main scenarios for the combination of postgraduate and bachelor level disciplines, modelling for a number of additional sensitivities were also undertaken to demonstrate how changes in the fundamental structure of the economy could affect the public-private benefit split. The results on bachelor level education, engineering, and business degrees has been considered.</w:t>
      </w:r>
    </w:p>
    <w:p w:rsidR="00502380" w:rsidRPr="00502380" w:rsidRDefault="00502380" w:rsidP="00977C78">
      <w:pPr>
        <w:pStyle w:val="BodyText"/>
        <w:rPr>
          <w:b/>
          <w:color w:val="002776" w:themeColor="accent1"/>
          <w:sz w:val="32"/>
          <w:szCs w:val="32"/>
          <w:lang w:eastAsia="en-AU"/>
        </w:rPr>
      </w:pPr>
      <w:r w:rsidRPr="00502380">
        <w:rPr>
          <w:b/>
          <w:color w:val="002776" w:themeColor="accent1"/>
          <w:sz w:val="32"/>
          <w:szCs w:val="32"/>
          <w:lang w:eastAsia="en-AU"/>
        </w:rPr>
        <w:t>Skill-specific unemployment rate</w:t>
      </w:r>
    </w:p>
    <w:p w:rsidR="00977C78" w:rsidRDefault="00977C78" w:rsidP="00977C78">
      <w:pPr>
        <w:pStyle w:val="BodyText"/>
        <w:rPr>
          <w:lang w:eastAsia="en-AU"/>
        </w:rPr>
      </w:pPr>
      <w:r>
        <w:rPr>
          <w:lang w:eastAsia="en-AU"/>
        </w:rPr>
        <w:t xml:space="preserve">Given that a share of private benefits from higher education results from lower unemployment rates relative to high school leavers, a </w:t>
      </w:r>
      <w:r w:rsidR="00E74CEE">
        <w:rPr>
          <w:lang w:eastAsia="en-AU"/>
        </w:rPr>
        <w:t>simulation</w:t>
      </w:r>
      <w:r>
        <w:rPr>
          <w:lang w:eastAsia="en-AU"/>
        </w:rPr>
        <w:t xml:space="preserve"> was developed to test how changes in the skill-specific unemployment rate could affect results. </w:t>
      </w:r>
    </w:p>
    <w:p w:rsidR="00977C78" w:rsidRDefault="00977C78" w:rsidP="00977C78">
      <w:pPr>
        <w:pStyle w:val="BodyText"/>
        <w:rPr>
          <w:lang w:eastAsia="en-AU"/>
        </w:rPr>
      </w:pPr>
      <w:r>
        <w:rPr>
          <w:lang w:eastAsia="en-AU"/>
        </w:rPr>
        <w:t xml:space="preserve">The baseline unemployment rate is </w:t>
      </w:r>
      <w:r w:rsidR="00E74CEE">
        <w:rPr>
          <w:lang w:eastAsia="en-AU"/>
        </w:rPr>
        <w:t>simulated</w:t>
      </w:r>
      <w:r>
        <w:rPr>
          <w:lang w:eastAsia="en-AU"/>
        </w:rPr>
        <w:t xml:space="preserve"> to increase by 50% coinciding with a graduate’s entry into the workforce. It is expected to remain elevated for five years, before returning to baseline unemployment rates over time.</w:t>
      </w:r>
    </w:p>
    <w:p w:rsidR="00977C78" w:rsidRDefault="00977C78" w:rsidP="00977C78">
      <w:pPr>
        <w:pStyle w:val="BodyText"/>
        <w:rPr>
          <w:lang w:eastAsia="en-AU"/>
        </w:rPr>
      </w:pPr>
      <w:r>
        <w:rPr>
          <w:lang w:eastAsia="en-AU"/>
        </w:rPr>
        <w:t xml:space="preserve">This represents situations where there could be an </w:t>
      </w:r>
      <w:r w:rsidR="00E74CEE">
        <w:rPr>
          <w:lang w:eastAsia="en-AU"/>
        </w:rPr>
        <w:t>oversupply</w:t>
      </w:r>
      <w:r>
        <w:rPr>
          <w:lang w:eastAsia="en-AU"/>
        </w:rPr>
        <w:t xml:space="preserve"> of graduates (of a particular discipline) at a point in time. The additional supply would lead to a higher unemployment rate for those graduates if </w:t>
      </w:r>
      <w:r w:rsidR="00E74CEE">
        <w:rPr>
          <w:lang w:eastAsia="en-AU"/>
        </w:rPr>
        <w:t>it is</w:t>
      </w:r>
      <w:r>
        <w:rPr>
          <w:lang w:eastAsia="en-AU"/>
        </w:rPr>
        <w:t xml:space="preserve"> not met by sufficient demand. In response to the higher unemployment rate, fewer students enter the course, and unemployment rate returns to its normal rate over time. For instance, this could describe business and finance students entering the job market at the beginning of the Global Financial Crisis, or alternatively engineering students entering the job market at the end of the mining boom.</w:t>
      </w:r>
    </w:p>
    <w:p w:rsidR="00977C78" w:rsidRDefault="00977C78" w:rsidP="00977C78">
      <w:pPr>
        <w:pStyle w:val="BodyText"/>
        <w:rPr>
          <w:lang w:eastAsia="en-AU"/>
        </w:rPr>
      </w:pPr>
      <w:r>
        <w:rPr>
          <w:lang w:eastAsia="en-AU"/>
        </w:rPr>
        <w:t xml:space="preserve">The shock to the unemployment rates for the three disciplines is given in </w:t>
      </w:r>
      <w:r>
        <w:rPr>
          <w:lang w:eastAsia="en-AU"/>
        </w:rPr>
        <w:fldChar w:fldCharType="begin"/>
      </w:r>
      <w:r>
        <w:rPr>
          <w:lang w:eastAsia="en-AU"/>
        </w:rPr>
        <w:instrText xml:space="preserve"> REF _Ref460916696 \r \h </w:instrText>
      </w:r>
      <w:r>
        <w:rPr>
          <w:lang w:eastAsia="en-AU"/>
        </w:rPr>
      </w:r>
      <w:r>
        <w:rPr>
          <w:lang w:eastAsia="en-AU"/>
        </w:rPr>
        <w:fldChar w:fldCharType="separate"/>
      </w:r>
      <w:r w:rsidR="00534F9F">
        <w:rPr>
          <w:lang w:eastAsia="en-AU"/>
        </w:rPr>
        <w:t>Chart D.1</w:t>
      </w:r>
      <w:r>
        <w:rPr>
          <w:lang w:eastAsia="en-AU"/>
        </w:rPr>
        <w:fldChar w:fldCharType="end"/>
      </w:r>
      <w:r>
        <w:rPr>
          <w:lang w:eastAsia="en-AU"/>
        </w:rPr>
        <w:t xml:space="preserve">. </w:t>
      </w:r>
    </w:p>
    <w:p w:rsidR="00977C78" w:rsidRDefault="00977C78" w:rsidP="00977C78">
      <w:pPr>
        <w:pStyle w:val="AppendixChartCaption"/>
        <w:rPr>
          <w:lang w:eastAsia="en-AU"/>
        </w:rPr>
      </w:pPr>
      <w:bookmarkStart w:id="353" w:name="_Ref460916696"/>
      <w:bookmarkStart w:id="354" w:name="_Toc465961186"/>
      <w:r>
        <w:rPr>
          <w:lang w:eastAsia="en-AU"/>
        </w:rPr>
        <w:t>: Skill-specific unemployment rate</w:t>
      </w:r>
      <w:bookmarkEnd w:id="353"/>
      <w:r>
        <w:rPr>
          <w:lang w:eastAsia="en-AU"/>
        </w:rPr>
        <w:t>s for sensitivity analysis</w:t>
      </w:r>
      <w:bookmarkEnd w:id="354"/>
    </w:p>
    <w:p w:rsidR="00977C78" w:rsidRDefault="00977C78" w:rsidP="00977C78">
      <w:pPr>
        <w:pStyle w:val="BodyText"/>
        <w:jc w:val="center"/>
        <w:rPr>
          <w:lang w:eastAsia="en-AU"/>
        </w:rPr>
      </w:pPr>
      <w:r>
        <w:rPr>
          <w:noProof/>
          <w:lang w:eastAsia="en-AU"/>
        </w:rPr>
        <w:drawing>
          <wp:inline distT="0" distB="0" distL="0" distR="0" wp14:anchorId="507096E7" wp14:editId="0A59F769">
            <wp:extent cx="3919993" cy="2350795"/>
            <wp:effectExtent l="0" t="0" r="4445"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23594" cy="2352955"/>
                    </a:xfrm>
                    <a:prstGeom prst="rect">
                      <a:avLst/>
                    </a:prstGeom>
                    <a:noFill/>
                  </pic:spPr>
                </pic:pic>
              </a:graphicData>
            </a:graphic>
          </wp:inline>
        </w:drawing>
      </w:r>
    </w:p>
    <w:p w:rsidR="00E74CEE" w:rsidRDefault="00E74CEE" w:rsidP="00DA4CA5">
      <w:pPr>
        <w:pStyle w:val="Source"/>
        <w:ind w:left="851" w:firstLine="851"/>
      </w:pPr>
      <w:r>
        <w:t>Source: Deloitte Access Economics</w:t>
      </w:r>
    </w:p>
    <w:p w:rsidR="00977C78" w:rsidRDefault="00977C78" w:rsidP="00977C78">
      <w:pPr>
        <w:pStyle w:val="BodyText"/>
        <w:rPr>
          <w:lang w:eastAsia="en-AU"/>
        </w:rPr>
      </w:pPr>
      <w:r>
        <w:rPr>
          <w:lang w:eastAsia="en-AU"/>
        </w:rPr>
        <w:t xml:space="preserve">As a result of temporary higher unemployment rate for the skills, average unemployment rate over the working life of graduates is higher by approximately 14%. Both private and public benefits are expected to decrease as a result of the higher unemployment rate. </w:t>
      </w:r>
      <w:r w:rsidRPr="004946FF">
        <w:rPr>
          <w:lang w:eastAsia="en-AU"/>
        </w:rPr>
        <w:t>However, the effect on the private-public benefit share depend</w:t>
      </w:r>
      <w:r w:rsidR="00764B19">
        <w:rPr>
          <w:lang w:eastAsia="en-AU"/>
        </w:rPr>
        <w:t>s</w:t>
      </w:r>
      <w:r w:rsidRPr="004946FF">
        <w:rPr>
          <w:lang w:eastAsia="en-AU"/>
        </w:rPr>
        <w:t xml:space="preserve"> on the discipline.</w:t>
      </w:r>
    </w:p>
    <w:p w:rsidR="00977C78" w:rsidRDefault="00977C78" w:rsidP="00977C78">
      <w:pPr>
        <w:pStyle w:val="BodyText"/>
        <w:rPr>
          <w:lang w:eastAsia="en-AU"/>
        </w:rPr>
      </w:pPr>
      <w:r>
        <w:rPr>
          <w:lang w:eastAsia="en-AU"/>
        </w:rPr>
        <w:t xml:space="preserve">For instance, a higher unemployment rate for education is expected to lead to a one </w:t>
      </w:r>
      <w:r w:rsidR="004210DC">
        <w:rPr>
          <w:lang w:eastAsia="en-AU"/>
        </w:rPr>
        <w:t>percent</w:t>
      </w:r>
      <w:r>
        <w:rPr>
          <w:lang w:eastAsia="en-AU"/>
        </w:rPr>
        <w:t xml:space="preserve">age point increase in the public share of </w:t>
      </w:r>
      <w:r w:rsidRPr="00CC0BF9">
        <w:rPr>
          <w:lang w:eastAsia="en-AU"/>
        </w:rPr>
        <w:t>benefits. This means that a relatively larger proportion of the loss is internalised by the individual. In contrast, a higher unemployment rate for engineering and business leads to an increase in the private share of benefits</w:t>
      </w:r>
      <w:r>
        <w:rPr>
          <w:lang w:eastAsia="en-AU"/>
        </w:rPr>
        <w:t xml:space="preserve"> (</w:t>
      </w:r>
      <w:r>
        <w:rPr>
          <w:lang w:eastAsia="en-AU"/>
        </w:rPr>
        <w:fldChar w:fldCharType="begin"/>
      </w:r>
      <w:r>
        <w:rPr>
          <w:lang w:eastAsia="en-AU"/>
        </w:rPr>
        <w:instrText xml:space="preserve"> REF _Ref461011616 \r \h </w:instrText>
      </w:r>
      <w:r>
        <w:rPr>
          <w:lang w:eastAsia="en-AU"/>
        </w:rPr>
      </w:r>
      <w:r>
        <w:rPr>
          <w:lang w:eastAsia="en-AU"/>
        </w:rPr>
        <w:fldChar w:fldCharType="separate"/>
      </w:r>
      <w:r w:rsidR="00534F9F">
        <w:rPr>
          <w:lang w:eastAsia="en-AU"/>
        </w:rPr>
        <w:t>Table D.1</w:t>
      </w:r>
      <w:r>
        <w:rPr>
          <w:lang w:eastAsia="en-AU"/>
        </w:rPr>
        <w:fldChar w:fldCharType="end"/>
      </w:r>
      <w:r>
        <w:rPr>
          <w:lang w:eastAsia="en-AU"/>
        </w:rPr>
        <w:t>)</w:t>
      </w:r>
      <w:r w:rsidRPr="00CC0BF9">
        <w:rPr>
          <w:lang w:eastAsia="en-AU"/>
        </w:rPr>
        <w:t>.</w:t>
      </w:r>
    </w:p>
    <w:p w:rsidR="00977C78" w:rsidRDefault="00977C78" w:rsidP="00977C78">
      <w:pPr>
        <w:pStyle w:val="BodyText"/>
        <w:rPr>
          <w:lang w:eastAsia="en-AU"/>
        </w:rPr>
      </w:pPr>
      <w:r>
        <w:rPr>
          <w:lang w:eastAsia="en-AU"/>
        </w:rPr>
        <w:t>The mechanism at wo</w:t>
      </w:r>
      <w:r w:rsidR="00084C6D">
        <w:rPr>
          <w:lang w:eastAsia="en-AU"/>
        </w:rPr>
        <w:t>r</w:t>
      </w:r>
      <w:r>
        <w:rPr>
          <w:lang w:eastAsia="en-AU"/>
        </w:rPr>
        <w:t>k is as follows:</w:t>
      </w:r>
    </w:p>
    <w:p w:rsidR="00977C78" w:rsidRDefault="00915A10" w:rsidP="00977C78">
      <w:pPr>
        <w:pStyle w:val="Bullet1"/>
      </w:pPr>
      <w:r>
        <w:t>i</w:t>
      </w:r>
      <w:r w:rsidR="00977C78">
        <w:t>ncreasing the unemployment rate decreases the number of skilled workers employed;</w:t>
      </w:r>
    </w:p>
    <w:p w:rsidR="00977C78" w:rsidRDefault="00915A10" w:rsidP="00977C78">
      <w:pPr>
        <w:pStyle w:val="Bullet1"/>
      </w:pPr>
      <w:r>
        <w:t>t</w:t>
      </w:r>
      <w:r w:rsidR="00977C78">
        <w:t xml:space="preserve">he lower employment moderates the negative impact on wages for the skill category (compared to the </w:t>
      </w:r>
      <w:r w:rsidR="00CA3F0D">
        <w:t>central</w:t>
      </w:r>
      <w:r w:rsidR="00977C78">
        <w:t xml:space="preserve"> case);</w:t>
      </w:r>
    </w:p>
    <w:p w:rsidR="00977C78" w:rsidRDefault="00915A10" w:rsidP="00977C78">
      <w:pPr>
        <w:pStyle w:val="Bullet1"/>
      </w:pPr>
      <w:r>
        <w:t>o</w:t>
      </w:r>
      <w:r w:rsidR="00977C78">
        <w:t>utput in industries where the graduates are likely to be employed increases by a smaller amount;</w:t>
      </w:r>
      <w:r>
        <w:t xml:space="preserve"> and</w:t>
      </w:r>
    </w:p>
    <w:p w:rsidR="00977C78" w:rsidRDefault="00915A10" w:rsidP="00977C78">
      <w:pPr>
        <w:pStyle w:val="Bullet1"/>
      </w:pPr>
      <w:proofErr w:type="gramStart"/>
      <w:r>
        <w:t>l</w:t>
      </w:r>
      <w:r w:rsidR="00977C78">
        <w:t>ess</w:t>
      </w:r>
      <w:proofErr w:type="gramEnd"/>
      <w:r w:rsidR="00977C78">
        <w:t xml:space="preserve"> redistribution elsewhere in the economy to support production.</w:t>
      </w:r>
    </w:p>
    <w:p w:rsidR="00977C78" w:rsidRDefault="00977C78" w:rsidP="00977C78">
      <w:pPr>
        <w:pStyle w:val="BodyText"/>
      </w:pPr>
      <w:r>
        <w:t>Consequently, as the industry where education graduates are typically employed (</w:t>
      </w:r>
      <w:r w:rsidR="00E74CEE">
        <w:t>i.e.</w:t>
      </w:r>
      <w:r>
        <w:t xml:space="preserve"> government services) is relatively less capital intensive compared to other sectors of the economy, there is less of a flow-on distribution to capital creation in other sectors of the economy. Consequently, public benefits fall at a slower rate compared to private benefits, and the share of public benefits increases.</w:t>
      </w:r>
    </w:p>
    <w:p w:rsidR="00977C78" w:rsidRDefault="00977C78" w:rsidP="00977C78">
      <w:pPr>
        <w:pStyle w:val="BodyText"/>
      </w:pPr>
      <w:r>
        <w:t xml:space="preserve">The opposite effect is at play for engineering (and to a lesser extent business). As unemployment in those </w:t>
      </w:r>
      <w:r w:rsidR="00E74CEE">
        <w:t>disciplines</w:t>
      </w:r>
      <w:r>
        <w:t xml:space="preserve"> increase, while there is a small negative effect on the individual (as their chance of finding employment decreases), there is a larger negative effect on other factors </w:t>
      </w:r>
      <w:r w:rsidR="004B363D">
        <w:t>that</w:t>
      </w:r>
      <w:r>
        <w:t xml:space="preserve"> aren’t required to support production in a higher value</w:t>
      </w:r>
      <w:r w:rsidR="00E74CEE">
        <w:t>-</w:t>
      </w:r>
      <w:r>
        <w:t>added</w:t>
      </w:r>
      <w:r w:rsidR="00E74CEE">
        <w:t xml:space="preserve"> per worker </w:t>
      </w:r>
      <w:r>
        <w:t>industry like mining or financial services.</w:t>
      </w:r>
    </w:p>
    <w:p w:rsidR="00977C78" w:rsidRDefault="00977C78" w:rsidP="00977C78">
      <w:pPr>
        <w:pStyle w:val="AppendixTableCaption"/>
        <w:numPr>
          <w:ilvl w:val="1"/>
          <w:numId w:val="43"/>
        </w:numPr>
        <w:rPr>
          <w:lang w:eastAsia="en-AU"/>
        </w:rPr>
      </w:pPr>
      <w:bookmarkStart w:id="355" w:name="_Ref461011616"/>
      <w:bookmarkStart w:id="356" w:name="_Toc465961146"/>
      <w:r>
        <w:rPr>
          <w:lang w:eastAsia="en-AU"/>
        </w:rPr>
        <w:t>: Select public-private shares for unemployment sensitivity analysis</w:t>
      </w:r>
      <w:bookmarkEnd w:id="355"/>
      <w:bookmarkEnd w:id="356"/>
    </w:p>
    <w:tbl>
      <w:tblPr>
        <w:tblW w:w="5000" w:type="pct"/>
        <w:tblBorders>
          <w:top w:val="single" w:sz="12" w:space="0" w:color="1F497D" w:themeColor="text2"/>
          <w:bottom w:val="single" w:sz="12" w:space="0" w:color="1F497D" w:themeColor="text2"/>
        </w:tblBorders>
        <w:tblLook w:val="04A0" w:firstRow="1" w:lastRow="0" w:firstColumn="1" w:lastColumn="0" w:noHBand="0" w:noVBand="1"/>
      </w:tblPr>
      <w:tblGrid>
        <w:gridCol w:w="3072"/>
        <w:gridCol w:w="1309"/>
        <w:gridCol w:w="1280"/>
        <w:gridCol w:w="1280"/>
        <w:gridCol w:w="1280"/>
      </w:tblGrid>
      <w:tr w:rsidR="00977C78" w:rsidRPr="006651B6" w:rsidTr="00261886">
        <w:trPr>
          <w:trHeight w:val="285"/>
        </w:trPr>
        <w:tc>
          <w:tcPr>
            <w:tcW w:w="1872" w:type="pct"/>
            <w:tcBorders>
              <w:top w:val="single" w:sz="12" w:space="0" w:color="1F497D" w:themeColor="text2"/>
              <w:bottom w:val="single" w:sz="8" w:space="0" w:color="1F497D" w:themeColor="text2"/>
            </w:tcBorders>
            <w:shd w:val="clear" w:color="auto" w:fill="auto"/>
            <w:noWrap/>
            <w:vAlign w:val="bottom"/>
            <w:hideMark/>
          </w:tcPr>
          <w:p w:rsidR="00977C78" w:rsidRPr="006651B6" w:rsidRDefault="00977C78" w:rsidP="00261886">
            <w:pPr>
              <w:jc w:val="center"/>
              <w:rPr>
                <w:rFonts w:asciiTheme="minorHAnsi" w:hAnsiTheme="minorHAnsi" w:cs="Arial"/>
                <w:b/>
                <w:color w:val="000000"/>
                <w:sz w:val="20"/>
                <w:lang w:eastAsia="en-AU"/>
              </w:rPr>
            </w:pPr>
          </w:p>
        </w:tc>
        <w:tc>
          <w:tcPr>
            <w:tcW w:w="782" w:type="pct"/>
            <w:tcBorders>
              <w:top w:val="single" w:sz="12" w:space="0" w:color="1F497D" w:themeColor="text2"/>
              <w:bottom w:val="single" w:sz="8" w:space="0" w:color="1F497D" w:themeColor="text2"/>
            </w:tcBorders>
            <w:shd w:val="clear" w:color="auto" w:fill="auto"/>
            <w:noWrap/>
            <w:vAlign w:val="center"/>
            <w:hideMark/>
          </w:tcPr>
          <w:p w:rsidR="00977C78" w:rsidRPr="00DA4CA5" w:rsidRDefault="00977C78" w:rsidP="00261886">
            <w:pPr>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Private share</w:t>
            </w:r>
          </w:p>
        </w:tc>
        <w:tc>
          <w:tcPr>
            <w:tcW w:w="782" w:type="pct"/>
            <w:tcBorders>
              <w:top w:val="single" w:sz="12" w:space="0" w:color="1F497D" w:themeColor="text2"/>
              <w:bottom w:val="single" w:sz="8" w:space="0" w:color="1F497D" w:themeColor="text2"/>
            </w:tcBorders>
            <w:shd w:val="clear" w:color="auto" w:fill="auto"/>
            <w:noWrap/>
            <w:vAlign w:val="center"/>
            <w:hideMark/>
          </w:tcPr>
          <w:p w:rsidR="00977C78" w:rsidRPr="00DA4CA5" w:rsidRDefault="00977C78" w:rsidP="00261886">
            <w:pPr>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Public share</w:t>
            </w:r>
          </w:p>
        </w:tc>
        <w:tc>
          <w:tcPr>
            <w:tcW w:w="782" w:type="pct"/>
            <w:tcBorders>
              <w:top w:val="single" w:sz="12" w:space="0" w:color="1F497D" w:themeColor="text2"/>
              <w:bottom w:val="single" w:sz="8" w:space="0" w:color="1F497D" w:themeColor="text2"/>
            </w:tcBorders>
            <w:vAlign w:val="center"/>
          </w:tcPr>
          <w:p w:rsidR="00977C78" w:rsidRPr="00DA4CA5" w:rsidRDefault="00977C78" w:rsidP="00261886">
            <w:pPr>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Change in private share</w:t>
            </w:r>
          </w:p>
        </w:tc>
        <w:tc>
          <w:tcPr>
            <w:tcW w:w="782" w:type="pct"/>
            <w:tcBorders>
              <w:top w:val="single" w:sz="12" w:space="0" w:color="1F497D" w:themeColor="text2"/>
              <w:bottom w:val="single" w:sz="8" w:space="0" w:color="1F497D" w:themeColor="text2"/>
            </w:tcBorders>
            <w:vAlign w:val="center"/>
          </w:tcPr>
          <w:p w:rsidR="00977C78" w:rsidRPr="00DA4CA5" w:rsidRDefault="00977C78" w:rsidP="00261886">
            <w:pPr>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Change in public share</w:t>
            </w:r>
          </w:p>
        </w:tc>
      </w:tr>
      <w:tr w:rsidR="00977C78" w:rsidRPr="006651B6" w:rsidTr="00261886">
        <w:trPr>
          <w:trHeight w:val="285"/>
        </w:trPr>
        <w:tc>
          <w:tcPr>
            <w:tcW w:w="1872" w:type="pct"/>
            <w:tcBorders>
              <w:top w:val="single" w:sz="8" w:space="0" w:color="1F497D" w:themeColor="text2"/>
            </w:tcBorders>
            <w:shd w:val="clear" w:color="auto" w:fill="F2F2F2" w:themeFill="background1" w:themeFillShade="F2"/>
            <w:noWrap/>
            <w:vAlign w:val="bottom"/>
          </w:tcPr>
          <w:p w:rsidR="00977C78" w:rsidRPr="006651B6" w:rsidRDefault="00977C78" w:rsidP="00261886">
            <w:pPr>
              <w:rPr>
                <w:rFonts w:asciiTheme="minorHAnsi" w:hAnsiTheme="minorHAnsi" w:cs="Arial"/>
                <w:color w:val="000000"/>
                <w:sz w:val="20"/>
                <w:lang w:eastAsia="en-AU"/>
              </w:rPr>
            </w:pPr>
            <w:r w:rsidRPr="006651B6">
              <w:rPr>
                <w:rFonts w:asciiTheme="minorHAnsi" w:hAnsiTheme="minorHAnsi" w:cs="Arial"/>
                <w:color w:val="000000"/>
                <w:sz w:val="20"/>
                <w:lang w:eastAsia="en-AU"/>
              </w:rPr>
              <w:t>Bach. Edu.</w:t>
            </w:r>
          </w:p>
        </w:tc>
        <w:tc>
          <w:tcPr>
            <w:tcW w:w="782" w:type="pct"/>
            <w:tcBorders>
              <w:top w:val="single" w:sz="8" w:space="0" w:color="1F497D" w:themeColor="text2"/>
            </w:tcBorders>
            <w:shd w:val="clear" w:color="auto" w:fill="F2F2F2" w:themeFill="background1" w:themeFillShade="F2"/>
            <w:noWrap/>
            <w:vAlign w:val="bottom"/>
          </w:tcPr>
          <w:p w:rsidR="00977C78" w:rsidRPr="006651B6" w:rsidRDefault="00977C78" w:rsidP="00261886">
            <w:pPr>
              <w:rPr>
                <w:rFonts w:asciiTheme="minorHAnsi" w:hAnsiTheme="minorHAnsi" w:cs="Arial"/>
                <w:color w:val="000000"/>
                <w:sz w:val="20"/>
                <w:lang w:eastAsia="en-AU"/>
              </w:rPr>
            </w:pPr>
          </w:p>
        </w:tc>
        <w:tc>
          <w:tcPr>
            <w:tcW w:w="782" w:type="pct"/>
            <w:tcBorders>
              <w:top w:val="single" w:sz="8" w:space="0" w:color="1F497D" w:themeColor="text2"/>
            </w:tcBorders>
            <w:shd w:val="clear" w:color="auto" w:fill="F2F2F2" w:themeFill="background1" w:themeFillShade="F2"/>
            <w:noWrap/>
            <w:vAlign w:val="bottom"/>
          </w:tcPr>
          <w:p w:rsidR="00977C78" w:rsidRPr="006651B6" w:rsidRDefault="00977C78" w:rsidP="00261886">
            <w:pPr>
              <w:rPr>
                <w:rFonts w:asciiTheme="minorHAnsi" w:hAnsiTheme="minorHAnsi" w:cs="Arial"/>
                <w:color w:val="000000"/>
                <w:sz w:val="20"/>
                <w:lang w:eastAsia="en-AU"/>
              </w:rPr>
            </w:pPr>
          </w:p>
        </w:tc>
        <w:tc>
          <w:tcPr>
            <w:tcW w:w="782" w:type="pct"/>
            <w:tcBorders>
              <w:top w:val="single" w:sz="8" w:space="0" w:color="1F497D" w:themeColor="text2"/>
            </w:tcBorders>
            <w:shd w:val="clear" w:color="auto" w:fill="F2F2F2" w:themeFill="background1" w:themeFillShade="F2"/>
          </w:tcPr>
          <w:p w:rsidR="00977C78" w:rsidRPr="006651B6" w:rsidRDefault="00977C78" w:rsidP="00261886">
            <w:pPr>
              <w:rPr>
                <w:rFonts w:asciiTheme="minorHAnsi" w:hAnsiTheme="minorHAnsi" w:cs="Arial"/>
                <w:color w:val="000000"/>
                <w:sz w:val="20"/>
                <w:lang w:eastAsia="en-AU"/>
              </w:rPr>
            </w:pPr>
          </w:p>
        </w:tc>
        <w:tc>
          <w:tcPr>
            <w:tcW w:w="782" w:type="pct"/>
            <w:tcBorders>
              <w:top w:val="single" w:sz="8" w:space="0" w:color="1F497D" w:themeColor="text2"/>
            </w:tcBorders>
            <w:shd w:val="clear" w:color="auto" w:fill="F2F2F2" w:themeFill="background1" w:themeFillShade="F2"/>
          </w:tcPr>
          <w:p w:rsidR="00977C78" w:rsidRPr="006651B6" w:rsidRDefault="00977C78" w:rsidP="00261886">
            <w:pPr>
              <w:rPr>
                <w:rFonts w:asciiTheme="minorHAnsi" w:hAnsiTheme="minorHAnsi" w:cs="Arial"/>
                <w:color w:val="000000"/>
                <w:sz w:val="20"/>
                <w:lang w:eastAsia="en-AU"/>
              </w:rPr>
            </w:pPr>
          </w:p>
        </w:tc>
      </w:tr>
      <w:tr w:rsidR="00977C78" w:rsidRPr="006651B6" w:rsidTr="00261886">
        <w:trPr>
          <w:trHeight w:val="285"/>
        </w:trPr>
        <w:tc>
          <w:tcPr>
            <w:tcW w:w="1872" w:type="pct"/>
            <w:shd w:val="clear" w:color="auto" w:fill="auto"/>
            <w:noWrap/>
            <w:vAlign w:val="bottom"/>
            <w:hideMark/>
          </w:tcPr>
          <w:p w:rsidR="00977C78" w:rsidRPr="00795617" w:rsidRDefault="00977C78" w:rsidP="00261886">
            <w:pPr>
              <w:rPr>
                <w:rFonts w:asciiTheme="minorHAnsi" w:hAnsiTheme="minorHAnsi" w:cs="Arial"/>
                <w:color w:val="000000"/>
                <w:sz w:val="20"/>
                <w:lang w:eastAsia="en-AU"/>
              </w:rPr>
            </w:pPr>
            <w:r w:rsidRPr="004946FF">
              <w:rPr>
                <w:rFonts w:asciiTheme="minorHAnsi" w:hAnsiTheme="minorHAnsi" w:cs="Arial"/>
                <w:color w:val="000000"/>
                <w:sz w:val="20"/>
                <w:lang w:eastAsia="en-AU"/>
              </w:rPr>
              <w:t>Base unemployment (</w:t>
            </w:r>
            <w:r>
              <w:rPr>
                <w:rFonts w:asciiTheme="minorHAnsi" w:hAnsiTheme="minorHAnsi" w:cs="Arial"/>
                <w:color w:val="000000"/>
                <w:sz w:val="20"/>
                <w:lang w:eastAsia="en-AU"/>
              </w:rPr>
              <w:t>1.5%</w:t>
            </w:r>
            <w:r w:rsidRPr="00795617">
              <w:rPr>
                <w:rFonts w:asciiTheme="minorHAnsi" w:hAnsiTheme="minorHAnsi" w:cs="Arial"/>
                <w:color w:val="000000"/>
                <w:sz w:val="20"/>
                <w:lang w:eastAsia="en-AU"/>
              </w:rPr>
              <w:t>)</w:t>
            </w:r>
          </w:p>
        </w:tc>
        <w:tc>
          <w:tcPr>
            <w:tcW w:w="782" w:type="pct"/>
            <w:shd w:val="clear" w:color="auto" w:fill="auto"/>
            <w:noWrap/>
            <w:vAlign w:val="center"/>
            <w:hideMark/>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51%</w:t>
            </w:r>
          </w:p>
        </w:tc>
        <w:tc>
          <w:tcPr>
            <w:tcW w:w="782" w:type="pct"/>
            <w:shd w:val="clear" w:color="auto" w:fill="auto"/>
            <w:noWrap/>
            <w:vAlign w:val="center"/>
            <w:hideMark/>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49%</w:t>
            </w:r>
          </w:p>
        </w:tc>
        <w:tc>
          <w:tcPr>
            <w:tcW w:w="782" w:type="pct"/>
            <w:vAlign w:val="center"/>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w:t>
            </w:r>
          </w:p>
        </w:tc>
        <w:tc>
          <w:tcPr>
            <w:tcW w:w="782" w:type="pct"/>
            <w:vAlign w:val="center"/>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w:t>
            </w:r>
          </w:p>
        </w:tc>
      </w:tr>
      <w:tr w:rsidR="00977C78" w:rsidRPr="006651B6" w:rsidTr="00261886">
        <w:trPr>
          <w:trHeight w:val="285"/>
        </w:trPr>
        <w:tc>
          <w:tcPr>
            <w:tcW w:w="1872" w:type="pct"/>
            <w:shd w:val="clear" w:color="auto" w:fill="auto"/>
            <w:noWrap/>
            <w:vAlign w:val="bottom"/>
            <w:hideMark/>
          </w:tcPr>
          <w:p w:rsidR="00977C78" w:rsidRPr="00795617" w:rsidRDefault="00977C78" w:rsidP="00261886">
            <w:pPr>
              <w:rPr>
                <w:rFonts w:asciiTheme="minorHAnsi" w:hAnsiTheme="minorHAnsi" w:cs="Arial"/>
                <w:color w:val="000000"/>
                <w:sz w:val="20"/>
                <w:lang w:eastAsia="en-AU"/>
              </w:rPr>
            </w:pPr>
            <w:r w:rsidRPr="00795617">
              <w:rPr>
                <w:rFonts w:asciiTheme="minorHAnsi" w:hAnsiTheme="minorHAnsi" w:cs="Arial"/>
                <w:color w:val="000000"/>
                <w:sz w:val="20"/>
                <w:lang w:eastAsia="en-AU"/>
              </w:rPr>
              <w:t>High unemployment (</w:t>
            </w:r>
            <w:r>
              <w:rPr>
                <w:rFonts w:asciiTheme="minorHAnsi" w:hAnsiTheme="minorHAnsi" w:cs="Arial"/>
                <w:color w:val="000000"/>
                <w:sz w:val="20"/>
                <w:lang w:eastAsia="en-AU"/>
              </w:rPr>
              <w:t>1.7%</w:t>
            </w:r>
            <w:r w:rsidRPr="00795617">
              <w:rPr>
                <w:rFonts w:asciiTheme="minorHAnsi" w:hAnsiTheme="minorHAnsi" w:cs="Arial"/>
                <w:color w:val="000000"/>
                <w:sz w:val="20"/>
                <w:lang w:eastAsia="en-AU"/>
              </w:rPr>
              <w:t>)</w:t>
            </w:r>
          </w:p>
        </w:tc>
        <w:tc>
          <w:tcPr>
            <w:tcW w:w="782" w:type="pct"/>
            <w:shd w:val="clear" w:color="auto" w:fill="auto"/>
            <w:noWrap/>
            <w:vAlign w:val="center"/>
            <w:hideMark/>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50%</w:t>
            </w:r>
          </w:p>
        </w:tc>
        <w:tc>
          <w:tcPr>
            <w:tcW w:w="782" w:type="pct"/>
            <w:shd w:val="clear" w:color="auto" w:fill="auto"/>
            <w:noWrap/>
            <w:vAlign w:val="center"/>
            <w:hideMark/>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50%</w:t>
            </w:r>
          </w:p>
        </w:tc>
        <w:tc>
          <w:tcPr>
            <w:tcW w:w="782" w:type="pct"/>
            <w:vAlign w:val="center"/>
          </w:tcPr>
          <w:p w:rsidR="00977C78" w:rsidRPr="004946FF" w:rsidRDefault="00977C78" w:rsidP="00261886">
            <w:pPr>
              <w:contextualSpacing/>
              <w:jc w:val="center"/>
              <w:rPr>
                <w:rFonts w:asciiTheme="minorHAnsi" w:hAnsiTheme="minorHAnsi"/>
                <w:sz w:val="20"/>
              </w:rPr>
            </w:pPr>
            <w:r w:rsidRPr="004946FF">
              <w:rPr>
                <w:rFonts w:asciiTheme="minorHAnsi" w:hAnsiTheme="minorHAnsi"/>
                <w:sz w:val="20"/>
              </w:rPr>
              <w:t>-1%</w:t>
            </w:r>
          </w:p>
        </w:tc>
        <w:tc>
          <w:tcPr>
            <w:tcW w:w="782" w:type="pct"/>
            <w:vAlign w:val="center"/>
          </w:tcPr>
          <w:p w:rsidR="00977C78" w:rsidRPr="004946FF" w:rsidRDefault="00977C78" w:rsidP="00261886">
            <w:pPr>
              <w:contextualSpacing/>
              <w:jc w:val="center"/>
              <w:rPr>
                <w:rFonts w:asciiTheme="minorHAnsi" w:hAnsiTheme="minorHAnsi"/>
                <w:sz w:val="20"/>
              </w:rPr>
            </w:pPr>
            <w:r w:rsidRPr="004946FF">
              <w:rPr>
                <w:rFonts w:asciiTheme="minorHAnsi" w:hAnsiTheme="minorHAnsi"/>
                <w:sz w:val="20"/>
              </w:rPr>
              <w:t>1%</w:t>
            </w:r>
          </w:p>
        </w:tc>
      </w:tr>
      <w:tr w:rsidR="00977C78" w:rsidRPr="006651B6" w:rsidTr="00261886">
        <w:trPr>
          <w:trHeight w:val="285"/>
        </w:trPr>
        <w:tc>
          <w:tcPr>
            <w:tcW w:w="1872" w:type="pct"/>
            <w:shd w:val="clear" w:color="auto" w:fill="F2F2F2" w:themeFill="background1" w:themeFillShade="F2"/>
            <w:noWrap/>
            <w:vAlign w:val="bottom"/>
            <w:hideMark/>
          </w:tcPr>
          <w:p w:rsidR="00977C78" w:rsidRPr="00795617" w:rsidRDefault="00977C78" w:rsidP="00261886">
            <w:pPr>
              <w:rPr>
                <w:rFonts w:asciiTheme="minorHAnsi" w:hAnsiTheme="minorHAnsi" w:cs="Arial"/>
                <w:color w:val="000000"/>
                <w:sz w:val="20"/>
                <w:lang w:eastAsia="en-AU"/>
              </w:rPr>
            </w:pPr>
            <w:r w:rsidRPr="00795617">
              <w:rPr>
                <w:rFonts w:asciiTheme="minorHAnsi" w:hAnsiTheme="minorHAnsi" w:cs="Arial"/>
                <w:color w:val="000000"/>
                <w:sz w:val="20"/>
                <w:lang w:eastAsia="en-AU"/>
              </w:rPr>
              <w:t>Bach. Eng.</w:t>
            </w:r>
          </w:p>
        </w:tc>
        <w:tc>
          <w:tcPr>
            <w:tcW w:w="782" w:type="pct"/>
            <w:shd w:val="clear" w:color="auto" w:fill="F2F2F2" w:themeFill="background1" w:themeFillShade="F2"/>
            <w:noWrap/>
            <w:vAlign w:val="center"/>
            <w:hideMark/>
          </w:tcPr>
          <w:p w:rsidR="00977C78" w:rsidRPr="004946FF" w:rsidRDefault="00977C78" w:rsidP="00261886">
            <w:pPr>
              <w:jc w:val="center"/>
              <w:rPr>
                <w:rFonts w:asciiTheme="minorHAnsi" w:hAnsiTheme="minorHAnsi" w:cs="Arial"/>
                <w:color w:val="000000"/>
                <w:sz w:val="20"/>
                <w:lang w:eastAsia="en-AU"/>
              </w:rPr>
            </w:pPr>
          </w:p>
        </w:tc>
        <w:tc>
          <w:tcPr>
            <w:tcW w:w="782" w:type="pct"/>
            <w:shd w:val="clear" w:color="auto" w:fill="F2F2F2" w:themeFill="background1" w:themeFillShade="F2"/>
            <w:noWrap/>
            <w:vAlign w:val="center"/>
            <w:hideMark/>
          </w:tcPr>
          <w:p w:rsidR="00977C78" w:rsidRPr="004946FF" w:rsidRDefault="00977C78" w:rsidP="00261886">
            <w:pPr>
              <w:jc w:val="center"/>
              <w:rPr>
                <w:rFonts w:asciiTheme="minorHAnsi" w:hAnsiTheme="minorHAnsi" w:cs="Arial"/>
                <w:color w:val="000000"/>
                <w:sz w:val="20"/>
                <w:lang w:eastAsia="en-AU"/>
              </w:rPr>
            </w:pPr>
          </w:p>
        </w:tc>
        <w:tc>
          <w:tcPr>
            <w:tcW w:w="782" w:type="pct"/>
            <w:shd w:val="clear" w:color="auto" w:fill="F2F2F2" w:themeFill="background1" w:themeFillShade="F2"/>
            <w:vAlign w:val="center"/>
          </w:tcPr>
          <w:p w:rsidR="00977C78" w:rsidRPr="004946FF" w:rsidRDefault="00977C78" w:rsidP="00261886">
            <w:pPr>
              <w:contextualSpacing/>
              <w:jc w:val="center"/>
              <w:rPr>
                <w:rFonts w:asciiTheme="minorHAnsi" w:hAnsiTheme="minorHAnsi"/>
                <w:sz w:val="20"/>
              </w:rPr>
            </w:pPr>
          </w:p>
        </w:tc>
        <w:tc>
          <w:tcPr>
            <w:tcW w:w="782" w:type="pct"/>
            <w:shd w:val="clear" w:color="auto" w:fill="F2F2F2" w:themeFill="background1" w:themeFillShade="F2"/>
            <w:vAlign w:val="center"/>
          </w:tcPr>
          <w:p w:rsidR="00977C78" w:rsidRPr="004946FF" w:rsidRDefault="00977C78" w:rsidP="00261886">
            <w:pPr>
              <w:contextualSpacing/>
              <w:jc w:val="center"/>
              <w:rPr>
                <w:rFonts w:asciiTheme="minorHAnsi" w:hAnsiTheme="minorHAnsi"/>
                <w:sz w:val="20"/>
              </w:rPr>
            </w:pPr>
          </w:p>
        </w:tc>
      </w:tr>
      <w:tr w:rsidR="00977C78" w:rsidRPr="006651B6" w:rsidTr="00261886">
        <w:trPr>
          <w:trHeight w:val="285"/>
        </w:trPr>
        <w:tc>
          <w:tcPr>
            <w:tcW w:w="1872" w:type="pct"/>
            <w:shd w:val="clear" w:color="auto" w:fill="auto"/>
            <w:noWrap/>
            <w:vAlign w:val="bottom"/>
            <w:hideMark/>
          </w:tcPr>
          <w:p w:rsidR="00977C78" w:rsidRPr="00795617" w:rsidRDefault="00977C78" w:rsidP="00261886">
            <w:pPr>
              <w:rPr>
                <w:rFonts w:asciiTheme="minorHAnsi" w:hAnsiTheme="minorHAnsi" w:cs="Arial"/>
                <w:color w:val="000000"/>
                <w:sz w:val="20"/>
                <w:lang w:eastAsia="en-AU"/>
              </w:rPr>
            </w:pPr>
            <w:r w:rsidRPr="00795617">
              <w:rPr>
                <w:rFonts w:asciiTheme="minorHAnsi" w:hAnsiTheme="minorHAnsi" w:cs="Arial"/>
                <w:color w:val="000000"/>
                <w:sz w:val="20"/>
                <w:lang w:eastAsia="en-AU"/>
              </w:rPr>
              <w:t>Base unemployment (</w:t>
            </w:r>
            <w:r>
              <w:rPr>
                <w:rFonts w:asciiTheme="minorHAnsi" w:hAnsiTheme="minorHAnsi" w:cs="Arial"/>
                <w:color w:val="000000"/>
                <w:sz w:val="20"/>
                <w:lang w:eastAsia="en-AU"/>
              </w:rPr>
              <w:t>3.2%</w:t>
            </w:r>
            <w:r w:rsidRPr="00795617">
              <w:rPr>
                <w:rFonts w:asciiTheme="minorHAnsi" w:hAnsiTheme="minorHAnsi" w:cs="Arial"/>
                <w:color w:val="000000"/>
                <w:sz w:val="20"/>
                <w:lang w:eastAsia="en-AU"/>
              </w:rPr>
              <w:t>)</w:t>
            </w:r>
          </w:p>
        </w:tc>
        <w:tc>
          <w:tcPr>
            <w:tcW w:w="782" w:type="pct"/>
            <w:shd w:val="clear" w:color="auto" w:fill="auto"/>
            <w:noWrap/>
            <w:vAlign w:val="center"/>
            <w:hideMark/>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39%</w:t>
            </w:r>
          </w:p>
        </w:tc>
        <w:tc>
          <w:tcPr>
            <w:tcW w:w="782" w:type="pct"/>
            <w:shd w:val="clear" w:color="auto" w:fill="auto"/>
            <w:noWrap/>
            <w:vAlign w:val="center"/>
            <w:hideMark/>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61%</w:t>
            </w:r>
          </w:p>
        </w:tc>
        <w:tc>
          <w:tcPr>
            <w:tcW w:w="782" w:type="pct"/>
            <w:vAlign w:val="center"/>
          </w:tcPr>
          <w:p w:rsidR="00977C78" w:rsidRPr="004946FF" w:rsidRDefault="00977C78" w:rsidP="00261886">
            <w:pPr>
              <w:contextualSpacing/>
              <w:jc w:val="center"/>
              <w:rPr>
                <w:rFonts w:asciiTheme="minorHAnsi" w:hAnsiTheme="minorHAnsi"/>
                <w:sz w:val="20"/>
              </w:rPr>
            </w:pPr>
            <w:r w:rsidRPr="004946FF">
              <w:rPr>
                <w:rFonts w:asciiTheme="minorHAnsi" w:hAnsiTheme="minorHAnsi"/>
                <w:sz w:val="20"/>
              </w:rPr>
              <w:t>-</w:t>
            </w:r>
          </w:p>
        </w:tc>
        <w:tc>
          <w:tcPr>
            <w:tcW w:w="782" w:type="pct"/>
            <w:vAlign w:val="center"/>
          </w:tcPr>
          <w:p w:rsidR="00977C78" w:rsidRPr="004946FF" w:rsidRDefault="00977C78" w:rsidP="00261886">
            <w:pPr>
              <w:contextualSpacing/>
              <w:jc w:val="center"/>
              <w:rPr>
                <w:rFonts w:asciiTheme="minorHAnsi" w:hAnsiTheme="minorHAnsi"/>
                <w:sz w:val="20"/>
              </w:rPr>
            </w:pPr>
            <w:r w:rsidRPr="004946FF">
              <w:rPr>
                <w:rFonts w:asciiTheme="minorHAnsi" w:hAnsiTheme="minorHAnsi"/>
                <w:sz w:val="20"/>
              </w:rPr>
              <w:t>-</w:t>
            </w:r>
          </w:p>
        </w:tc>
      </w:tr>
      <w:tr w:rsidR="00977C78" w:rsidRPr="006651B6" w:rsidTr="00261886">
        <w:trPr>
          <w:trHeight w:val="285"/>
        </w:trPr>
        <w:tc>
          <w:tcPr>
            <w:tcW w:w="1872" w:type="pct"/>
            <w:shd w:val="clear" w:color="auto" w:fill="auto"/>
            <w:noWrap/>
            <w:vAlign w:val="bottom"/>
            <w:hideMark/>
          </w:tcPr>
          <w:p w:rsidR="00977C78" w:rsidRPr="00795617" w:rsidRDefault="00977C78" w:rsidP="00261886">
            <w:pPr>
              <w:rPr>
                <w:rFonts w:asciiTheme="minorHAnsi" w:hAnsiTheme="minorHAnsi" w:cs="Arial"/>
                <w:color w:val="000000"/>
                <w:sz w:val="20"/>
                <w:lang w:eastAsia="en-AU"/>
              </w:rPr>
            </w:pPr>
            <w:r w:rsidRPr="00795617">
              <w:rPr>
                <w:rFonts w:asciiTheme="minorHAnsi" w:hAnsiTheme="minorHAnsi" w:cs="Arial"/>
                <w:color w:val="000000"/>
                <w:sz w:val="20"/>
                <w:lang w:eastAsia="en-AU"/>
              </w:rPr>
              <w:t>High unemployment (</w:t>
            </w:r>
            <w:r>
              <w:rPr>
                <w:rFonts w:asciiTheme="minorHAnsi" w:hAnsiTheme="minorHAnsi" w:cs="Arial"/>
                <w:color w:val="000000"/>
                <w:sz w:val="20"/>
                <w:lang w:eastAsia="en-AU"/>
              </w:rPr>
              <w:t>3.6%</w:t>
            </w:r>
            <w:r w:rsidRPr="00795617">
              <w:rPr>
                <w:rFonts w:asciiTheme="minorHAnsi" w:hAnsiTheme="minorHAnsi" w:cs="Arial"/>
                <w:color w:val="000000"/>
                <w:sz w:val="20"/>
                <w:lang w:eastAsia="en-AU"/>
              </w:rPr>
              <w:t>)</w:t>
            </w:r>
          </w:p>
        </w:tc>
        <w:tc>
          <w:tcPr>
            <w:tcW w:w="782" w:type="pct"/>
            <w:shd w:val="clear" w:color="auto" w:fill="auto"/>
            <w:noWrap/>
            <w:vAlign w:val="center"/>
            <w:hideMark/>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43%</w:t>
            </w:r>
          </w:p>
        </w:tc>
        <w:tc>
          <w:tcPr>
            <w:tcW w:w="782" w:type="pct"/>
            <w:shd w:val="clear" w:color="auto" w:fill="auto"/>
            <w:noWrap/>
            <w:vAlign w:val="center"/>
            <w:hideMark/>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57%</w:t>
            </w:r>
          </w:p>
        </w:tc>
        <w:tc>
          <w:tcPr>
            <w:tcW w:w="782" w:type="pct"/>
            <w:vAlign w:val="center"/>
          </w:tcPr>
          <w:p w:rsidR="00977C78" w:rsidRPr="004946FF" w:rsidRDefault="00977C78" w:rsidP="00261886">
            <w:pPr>
              <w:contextualSpacing/>
              <w:jc w:val="center"/>
              <w:rPr>
                <w:rFonts w:asciiTheme="minorHAnsi" w:hAnsiTheme="minorHAnsi"/>
                <w:sz w:val="20"/>
              </w:rPr>
            </w:pPr>
            <w:r w:rsidRPr="004946FF">
              <w:rPr>
                <w:rFonts w:asciiTheme="minorHAnsi" w:hAnsiTheme="minorHAnsi"/>
                <w:sz w:val="20"/>
              </w:rPr>
              <w:t>4%</w:t>
            </w:r>
          </w:p>
        </w:tc>
        <w:tc>
          <w:tcPr>
            <w:tcW w:w="782" w:type="pct"/>
            <w:vAlign w:val="center"/>
          </w:tcPr>
          <w:p w:rsidR="00977C78" w:rsidRPr="004946FF" w:rsidRDefault="00977C78" w:rsidP="00261886">
            <w:pPr>
              <w:contextualSpacing/>
              <w:jc w:val="center"/>
              <w:rPr>
                <w:rFonts w:asciiTheme="minorHAnsi" w:hAnsiTheme="minorHAnsi"/>
                <w:sz w:val="20"/>
              </w:rPr>
            </w:pPr>
            <w:r w:rsidRPr="004946FF">
              <w:rPr>
                <w:rFonts w:asciiTheme="minorHAnsi" w:hAnsiTheme="minorHAnsi"/>
                <w:sz w:val="20"/>
              </w:rPr>
              <w:t>-4%</w:t>
            </w:r>
          </w:p>
        </w:tc>
      </w:tr>
      <w:tr w:rsidR="00977C78" w:rsidRPr="006651B6" w:rsidTr="00261886">
        <w:trPr>
          <w:trHeight w:val="285"/>
        </w:trPr>
        <w:tc>
          <w:tcPr>
            <w:tcW w:w="1872" w:type="pct"/>
            <w:shd w:val="clear" w:color="auto" w:fill="F2F2F2" w:themeFill="background1" w:themeFillShade="F2"/>
            <w:noWrap/>
            <w:vAlign w:val="bottom"/>
            <w:hideMark/>
          </w:tcPr>
          <w:p w:rsidR="00977C78" w:rsidRPr="00795617" w:rsidRDefault="00977C78" w:rsidP="00261886">
            <w:pPr>
              <w:rPr>
                <w:rFonts w:asciiTheme="minorHAnsi" w:hAnsiTheme="minorHAnsi" w:cs="Arial"/>
                <w:color w:val="000000"/>
                <w:sz w:val="20"/>
                <w:lang w:eastAsia="en-AU"/>
              </w:rPr>
            </w:pPr>
            <w:r w:rsidRPr="00795617">
              <w:rPr>
                <w:rFonts w:asciiTheme="minorHAnsi" w:hAnsiTheme="minorHAnsi" w:cs="Arial"/>
                <w:color w:val="000000"/>
                <w:sz w:val="20"/>
                <w:lang w:eastAsia="en-AU"/>
              </w:rPr>
              <w:t>Bach. Bus.</w:t>
            </w:r>
          </w:p>
        </w:tc>
        <w:tc>
          <w:tcPr>
            <w:tcW w:w="782" w:type="pct"/>
            <w:shd w:val="clear" w:color="auto" w:fill="F2F2F2" w:themeFill="background1" w:themeFillShade="F2"/>
            <w:noWrap/>
            <w:vAlign w:val="center"/>
            <w:hideMark/>
          </w:tcPr>
          <w:p w:rsidR="00977C78" w:rsidRPr="004946FF" w:rsidRDefault="00977C78" w:rsidP="00261886">
            <w:pPr>
              <w:jc w:val="center"/>
              <w:rPr>
                <w:rFonts w:asciiTheme="minorHAnsi" w:hAnsiTheme="minorHAnsi" w:cs="Arial"/>
                <w:color w:val="000000"/>
                <w:sz w:val="20"/>
                <w:lang w:eastAsia="en-AU"/>
              </w:rPr>
            </w:pPr>
          </w:p>
        </w:tc>
        <w:tc>
          <w:tcPr>
            <w:tcW w:w="782" w:type="pct"/>
            <w:shd w:val="clear" w:color="auto" w:fill="F2F2F2" w:themeFill="background1" w:themeFillShade="F2"/>
            <w:noWrap/>
            <w:vAlign w:val="center"/>
            <w:hideMark/>
          </w:tcPr>
          <w:p w:rsidR="00977C78" w:rsidRPr="004946FF" w:rsidRDefault="00977C78" w:rsidP="00261886">
            <w:pPr>
              <w:jc w:val="center"/>
              <w:rPr>
                <w:rFonts w:asciiTheme="minorHAnsi" w:hAnsiTheme="minorHAnsi" w:cs="Arial"/>
                <w:color w:val="000000"/>
                <w:sz w:val="20"/>
                <w:lang w:eastAsia="en-AU"/>
              </w:rPr>
            </w:pPr>
          </w:p>
        </w:tc>
        <w:tc>
          <w:tcPr>
            <w:tcW w:w="782" w:type="pct"/>
            <w:shd w:val="clear" w:color="auto" w:fill="F2F2F2" w:themeFill="background1" w:themeFillShade="F2"/>
            <w:vAlign w:val="center"/>
          </w:tcPr>
          <w:p w:rsidR="00977C78" w:rsidRPr="004946FF" w:rsidRDefault="00977C78" w:rsidP="00261886">
            <w:pPr>
              <w:contextualSpacing/>
              <w:jc w:val="center"/>
              <w:rPr>
                <w:rFonts w:asciiTheme="minorHAnsi" w:hAnsiTheme="minorHAnsi"/>
                <w:sz w:val="20"/>
              </w:rPr>
            </w:pPr>
          </w:p>
        </w:tc>
        <w:tc>
          <w:tcPr>
            <w:tcW w:w="782" w:type="pct"/>
            <w:shd w:val="clear" w:color="auto" w:fill="F2F2F2" w:themeFill="background1" w:themeFillShade="F2"/>
            <w:vAlign w:val="center"/>
          </w:tcPr>
          <w:p w:rsidR="00977C78" w:rsidRPr="004946FF" w:rsidRDefault="00977C78" w:rsidP="00261886">
            <w:pPr>
              <w:contextualSpacing/>
              <w:jc w:val="center"/>
              <w:rPr>
                <w:rFonts w:asciiTheme="minorHAnsi" w:hAnsiTheme="minorHAnsi"/>
                <w:sz w:val="20"/>
              </w:rPr>
            </w:pPr>
          </w:p>
        </w:tc>
      </w:tr>
      <w:tr w:rsidR="00977C78" w:rsidRPr="006651B6" w:rsidTr="00261886">
        <w:trPr>
          <w:trHeight w:val="285"/>
        </w:trPr>
        <w:tc>
          <w:tcPr>
            <w:tcW w:w="1872" w:type="pct"/>
            <w:shd w:val="clear" w:color="auto" w:fill="auto"/>
            <w:noWrap/>
            <w:vAlign w:val="bottom"/>
            <w:hideMark/>
          </w:tcPr>
          <w:p w:rsidR="00977C78" w:rsidRPr="00795617" w:rsidRDefault="00977C78" w:rsidP="00261886">
            <w:pPr>
              <w:rPr>
                <w:rFonts w:asciiTheme="minorHAnsi" w:hAnsiTheme="minorHAnsi" w:cs="Arial"/>
                <w:color w:val="000000"/>
                <w:sz w:val="20"/>
                <w:lang w:eastAsia="en-AU"/>
              </w:rPr>
            </w:pPr>
            <w:r w:rsidRPr="00795617">
              <w:rPr>
                <w:rFonts w:asciiTheme="minorHAnsi" w:hAnsiTheme="minorHAnsi" w:cs="Arial"/>
                <w:color w:val="000000"/>
                <w:sz w:val="20"/>
                <w:lang w:eastAsia="en-AU"/>
              </w:rPr>
              <w:t>Base unemployment (</w:t>
            </w:r>
            <w:r>
              <w:rPr>
                <w:rFonts w:asciiTheme="minorHAnsi" w:hAnsiTheme="minorHAnsi" w:cs="Arial"/>
                <w:color w:val="000000"/>
                <w:sz w:val="20"/>
                <w:lang w:eastAsia="en-AU"/>
              </w:rPr>
              <w:t>3.4%</w:t>
            </w:r>
            <w:r w:rsidRPr="00795617">
              <w:rPr>
                <w:rFonts w:asciiTheme="minorHAnsi" w:hAnsiTheme="minorHAnsi" w:cs="Arial"/>
                <w:color w:val="000000"/>
                <w:sz w:val="20"/>
                <w:lang w:eastAsia="en-AU"/>
              </w:rPr>
              <w:t>)</w:t>
            </w:r>
          </w:p>
        </w:tc>
        <w:tc>
          <w:tcPr>
            <w:tcW w:w="782" w:type="pct"/>
            <w:shd w:val="clear" w:color="auto" w:fill="auto"/>
            <w:noWrap/>
            <w:vAlign w:val="center"/>
            <w:hideMark/>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43.5%</w:t>
            </w:r>
          </w:p>
        </w:tc>
        <w:tc>
          <w:tcPr>
            <w:tcW w:w="782" w:type="pct"/>
            <w:shd w:val="clear" w:color="auto" w:fill="auto"/>
            <w:noWrap/>
            <w:vAlign w:val="center"/>
            <w:hideMark/>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56.5%</w:t>
            </w:r>
          </w:p>
        </w:tc>
        <w:tc>
          <w:tcPr>
            <w:tcW w:w="782" w:type="pct"/>
            <w:vAlign w:val="center"/>
          </w:tcPr>
          <w:p w:rsidR="00977C78" w:rsidRPr="004946FF" w:rsidRDefault="00977C78" w:rsidP="00261886">
            <w:pPr>
              <w:contextualSpacing/>
              <w:jc w:val="center"/>
              <w:rPr>
                <w:rFonts w:asciiTheme="minorHAnsi" w:hAnsiTheme="minorHAnsi"/>
                <w:sz w:val="20"/>
              </w:rPr>
            </w:pPr>
            <w:r w:rsidRPr="004946FF">
              <w:rPr>
                <w:rFonts w:asciiTheme="minorHAnsi" w:hAnsiTheme="minorHAnsi"/>
                <w:sz w:val="20"/>
              </w:rPr>
              <w:t>-</w:t>
            </w:r>
          </w:p>
        </w:tc>
        <w:tc>
          <w:tcPr>
            <w:tcW w:w="782" w:type="pct"/>
            <w:vAlign w:val="center"/>
          </w:tcPr>
          <w:p w:rsidR="00977C78" w:rsidRPr="004946FF" w:rsidRDefault="00977C78" w:rsidP="00261886">
            <w:pPr>
              <w:contextualSpacing/>
              <w:jc w:val="center"/>
              <w:rPr>
                <w:rFonts w:asciiTheme="minorHAnsi" w:hAnsiTheme="minorHAnsi"/>
                <w:sz w:val="20"/>
              </w:rPr>
            </w:pPr>
            <w:r w:rsidRPr="004946FF">
              <w:rPr>
                <w:rFonts w:asciiTheme="minorHAnsi" w:hAnsiTheme="minorHAnsi"/>
                <w:sz w:val="20"/>
              </w:rPr>
              <w:t>-</w:t>
            </w:r>
          </w:p>
        </w:tc>
      </w:tr>
      <w:tr w:rsidR="00977C78" w:rsidRPr="006651B6" w:rsidTr="00261886">
        <w:trPr>
          <w:trHeight w:val="285"/>
        </w:trPr>
        <w:tc>
          <w:tcPr>
            <w:tcW w:w="1872" w:type="pct"/>
            <w:shd w:val="clear" w:color="auto" w:fill="auto"/>
            <w:noWrap/>
            <w:vAlign w:val="bottom"/>
            <w:hideMark/>
          </w:tcPr>
          <w:p w:rsidR="00977C78" w:rsidRPr="00795617" w:rsidRDefault="00977C78" w:rsidP="00261886">
            <w:pPr>
              <w:rPr>
                <w:rFonts w:asciiTheme="minorHAnsi" w:hAnsiTheme="minorHAnsi" w:cs="Arial"/>
                <w:color w:val="000000"/>
                <w:sz w:val="20"/>
                <w:lang w:eastAsia="en-AU"/>
              </w:rPr>
            </w:pPr>
            <w:r w:rsidRPr="00795617">
              <w:rPr>
                <w:rFonts w:asciiTheme="minorHAnsi" w:hAnsiTheme="minorHAnsi" w:cs="Arial"/>
                <w:color w:val="000000"/>
                <w:sz w:val="20"/>
                <w:lang w:eastAsia="en-AU"/>
              </w:rPr>
              <w:t>High unemployment (</w:t>
            </w:r>
            <w:r>
              <w:rPr>
                <w:rFonts w:asciiTheme="minorHAnsi" w:hAnsiTheme="minorHAnsi" w:cs="Arial"/>
                <w:color w:val="000000"/>
                <w:sz w:val="20"/>
                <w:lang w:eastAsia="en-AU"/>
              </w:rPr>
              <w:t>3.9%</w:t>
            </w:r>
            <w:r w:rsidRPr="00795617">
              <w:rPr>
                <w:rFonts w:asciiTheme="minorHAnsi" w:hAnsiTheme="minorHAnsi" w:cs="Arial"/>
                <w:color w:val="000000"/>
                <w:sz w:val="20"/>
                <w:lang w:eastAsia="en-AU"/>
              </w:rPr>
              <w:t>)</w:t>
            </w:r>
          </w:p>
        </w:tc>
        <w:tc>
          <w:tcPr>
            <w:tcW w:w="782" w:type="pct"/>
            <w:shd w:val="clear" w:color="auto" w:fill="auto"/>
            <w:noWrap/>
            <w:vAlign w:val="center"/>
            <w:hideMark/>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44.0%</w:t>
            </w:r>
          </w:p>
        </w:tc>
        <w:tc>
          <w:tcPr>
            <w:tcW w:w="782" w:type="pct"/>
            <w:shd w:val="clear" w:color="auto" w:fill="auto"/>
            <w:noWrap/>
            <w:vAlign w:val="center"/>
            <w:hideMark/>
          </w:tcPr>
          <w:p w:rsidR="00977C78" w:rsidRPr="004946FF" w:rsidRDefault="00977C78" w:rsidP="00261886">
            <w:pPr>
              <w:jc w:val="center"/>
              <w:rPr>
                <w:rFonts w:asciiTheme="minorHAnsi" w:hAnsiTheme="minorHAnsi" w:cs="Arial"/>
                <w:color w:val="000000"/>
                <w:sz w:val="20"/>
                <w:lang w:eastAsia="en-AU"/>
              </w:rPr>
            </w:pPr>
            <w:r w:rsidRPr="004946FF">
              <w:rPr>
                <w:rFonts w:asciiTheme="minorHAnsi" w:hAnsiTheme="minorHAnsi" w:cs="Arial"/>
                <w:color w:val="000000"/>
                <w:sz w:val="20"/>
                <w:lang w:eastAsia="en-AU"/>
              </w:rPr>
              <w:t>56.0%</w:t>
            </w:r>
          </w:p>
        </w:tc>
        <w:tc>
          <w:tcPr>
            <w:tcW w:w="782" w:type="pct"/>
            <w:vAlign w:val="center"/>
          </w:tcPr>
          <w:p w:rsidR="00977C78" w:rsidRPr="004946FF" w:rsidRDefault="00977C78" w:rsidP="00261886">
            <w:pPr>
              <w:contextualSpacing/>
              <w:jc w:val="center"/>
              <w:rPr>
                <w:rFonts w:asciiTheme="minorHAnsi" w:hAnsiTheme="minorHAnsi"/>
                <w:sz w:val="20"/>
              </w:rPr>
            </w:pPr>
            <w:r w:rsidRPr="004946FF">
              <w:rPr>
                <w:rFonts w:asciiTheme="minorHAnsi" w:hAnsiTheme="minorHAnsi"/>
                <w:sz w:val="20"/>
              </w:rPr>
              <w:t>0.4%</w:t>
            </w:r>
          </w:p>
        </w:tc>
        <w:tc>
          <w:tcPr>
            <w:tcW w:w="782" w:type="pct"/>
            <w:vAlign w:val="center"/>
          </w:tcPr>
          <w:p w:rsidR="00977C78" w:rsidRPr="004946FF" w:rsidRDefault="00977C78" w:rsidP="00261886">
            <w:pPr>
              <w:contextualSpacing/>
              <w:jc w:val="center"/>
              <w:rPr>
                <w:rFonts w:asciiTheme="minorHAnsi" w:hAnsiTheme="minorHAnsi"/>
                <w:sz w:val="20"/>
              </w:rPr>
            </w:pPr>
            <w:r w:rsidRPr="004946FF">
              <w:rPr>
                <w:rFonts w:asciiTheme="minorHAnsi" w:hAnsiTheme="minorHAnsi"/>
                <w:sz w:val="20"/>
              </w:rPr>
              <w:t>-0.4%</w:t>
            </w:r>
          </w:p>
        </w:tc>
      </w:tr>
    </w:tbl>
    <w:p w:rsidR="00977C78" w:rsidRDefault="00E74CEE" w:rsidP="00977C78">
      <w:pPr>
        <w:pStyle w:val="Source"/>
      </w:pPr>
      <w:r>
        <w:t xml:space="preserve">Source: Deloitte Access Economics DAE-RGEM model. </w:t>
      </w:r>
      <w:r w:rsidR="00977C78">
        <w:rPr>
          <w:lang w:eastAsia="en-AU"/>
        </w:rPr>
        <w:t>Note: unemployment rate in brackets give the average skill-specific unemployment rate averaged over the working life of the individuals.</w:t>
      </w:r>
    </w:p>
    <w:p w:rsidR="00502380" w:rsidRPr="00502380" w:rsidRDefault="00502380" w:rsidP="00977C78">
      <w:pPr>
        <w:pStyle w:val="BodyText"/>
        <w:tabs>
          <w:tab w:val="left" w:pos="2989"/>
        </w:tabs>
        <w:rPr>
          <w:b/>
          <w:color w:val="002776" w:themeColor="accent1"/>
          <w:sz w:val="32"/>
          <w:szCs w:val="32"/>
          <w:lang w:eastAsia="en-AU"/>
        </w:rPr>
      </w:pPr>
      <w:r w:rsidRPr="00502380">
        <w:rPr>
          <w:b/>
          <w:color w:val="002776" w:themeColor="accent1"/>
          <w:sz w:val="32"/>
          <w:szCs w:val="32"/>
          <w:lang w:eastAsia="en-AU"/>
        </w:rPr>
        <w:t>Skills substitution</w:t>
      </w:r>
    </w:p>
    <w:p w:rsidR="00977C78" w:rsidRDefault="00977C78" w:rsidP="00977C78">
      <w:pPr>
        <w:pStyle w:val="BodyText"/>
        <w:tabs>
          <w:tab w:val="left" w:pos="2989"/>
        </w:tabs>
        <w:rPr>
          <w:lang w:eastAsia="en-AU"/>
        </w:rPr>
      </w:pPr>
      <w:r>
        <w:rPr>
          <w:lang w:eastAsia="en-AU"/>
        </w:rPr>
        <w:t xml:space="preserve">The skills substitution parameter affects the degree to which skills can be substituted between industries. </w:t>
      </w:r>
    </w:p>
    <w:p w:rsidR="00977C78" w:rsidRDefault="00977C78" w:rsidP="00977C78">
      <w:pPr>
        <w:pStyle w:val="BodyText"/>
        <w:tabs>
          <w:tab w:val="left" w:pos="2989"/>
        </w:tabs>
        <w:rPr>
          <w:lang w:eastAsia="en-AU"/>
        </w:rPr>
      </w:pPr>
      <w:r>
        <w:rPr>
          <w:lang w:eastAsia="en-AU"/>
        </w:rPr>
        <w:t xml:space="preserve">As there is no direct parameter, it is proxied by an occupation-industry </w:t>
      </w:r>
      <w:r w:rsidR="00993BEA">
        <w:rPr>
          <w:lang w:eastAsia="en-AU"/>
        </w:rPr>
        <w:t>segment</w:t>
      </w:r>
      <w:r>
        <w:rPr>
          <w:lang w:eastAsia="en-AU"/>
        </w:rPr>
        <w:t xml:space="preserve"> where the highest proportion of graduates of a particular discipline is employed. For instance, for education graduates, this is the manager-government services category, </w:t>
      </w:r>
      <w:r w:rsidR="00993BEA">
        <w:rPr>
          <w:lang w:eastAsia="en-AU"/>
        </w:rPr>
        <w:t xml:space="preserve">which is the </w:t>
      </w:r>
      <w:r>
        <w:rPr>
          <w:lang w:eastAsia="en-AU"/>
        </w:rPr>
        <w:t xml:space="preserve">destination </w:t>
      </w:r>
      <w:r w:rsidR="00993BEA">
        <w:rPr>
          <w:lang w:eastAsia="en-AU"/>
        </w:rPr>
        <w:t xml:space="preserve">segment </w:t>
      </w:r>
      <w:r>
        <w:rPr>
          <w:lang w:eastAsia="en-AU"/>
        </w:rPr>
        <w:t xml:space="preserve">for 79% of graduates. For engineering, this is the manager-business services category, where approximately 30% of graduates are employed. Similarly, 22% of business graduates are employed in the same </w:t>
      </w:r>
      <w:r w:rsidR="00993BEA">
        <w:rPr>
          <w:lang w:eastAsia="en-AU"/>
        </w:rPr>
        <w:t>segment</w:t>
      </w:r>
      <w:r>
        <w:rPr>
          <w:lang w:eastAsia="en-AU"/>
        </w:rPr>
        <w:t>.</w:t>
      </w:r>
    </w:p>
    <w:p w:rsidR="00977C78" w:rsidRDefault="00977C78" w:rsidP="00977C78">
      <w:pPr>
        <w:pStyle w:val="BodyText"/>
        <w:tabs>
          <w:tab w:val="left" w:pos="2989"/>
        </w:tabs>
        <w:rPr>
          <w:lang w:eastAsia="en-AU"/>
        </w:rPr>
      </w:pPr>
      <w:r w:rsidRPr="00B430D5">
        <w:rPr>
          <w:lang w:eastAsia="en-AU"/>
        </w:rPr>
        <w:t xml:space="preserve">In the central scenario, the substitution parameter </w:t>
      </w:r>
      <w:r w:rsidR="00993BEA">
        <w:rPr>
          <w:lang w:eastAsia="en-AU"/>
        </w:rPr>
        <w:t>was based on literature values, then</w:t>
      </w:r>
      <w:r w:rsidRPr="00B430D5">
        <w:rPr>
          <w:lang w:eastAsia="en-AU"/>
        </w:rPr>
        <w:t xml:space="preserve"> </w:t>
      </w:r>
      <w:r w:rsidR="00993BEA">
        <w:rPr>
          <w:lang w:eastAsia="en-AU"/>
        </w:rPr>
        <w:t>tuned to provide consistent results, such that the R</w:t>
      </w:r>
      <w:r w:rsidR="00993BEA" w:rsidRPr="00993BEA">
        <w:rPr>
          <w:lang w:eastAsia="en-AU"/>
        </w:rPr>
        <w:t>ybczynski effect</w:t>
      </w:r>
      <w:r w:rsidR="00993BEA" w:rsidRPr="00993BEA" w:rsidDel="00993BEA">
        <w:rPr>
          <w:lang w:eastAsia="en-AU"/>
        </w:rPr>
        <w:t xml:space="preserve"> </w:t>
      </w:r>
      <w:r w:rsidR="00993BEA">
        <w:rPr>
          <w:lang w:eastAsia="en-AU"/>
        </w:rPr>
        <w:t>is contained</w:t>
      </w:r>
      <w:r w:rsidR="00993BEA">
        <w:rPr>
          <w:rStyle w:val="FootnoteReference"/>
          <w:lang w:eastAsia="en-AU"/>
        </w:rPr>
        <w:footnoteReference w:id="57"/>
      </w:r>
      <w:r>
        <w:rPr>
          <w:lang w:eastAsia="en-AU"/>
        </w:rPr>
        <w:t xml:space="preserve">. </w:t>
      </w:r>
      <w:r w:rsidR="00993BEA">
        <w:rPr>
          <w:lang w:eastAsia="en-AU"/>
        </w:rPr>
        <w:t xml:space="preserve">These parameters were subject to significant testing. </w:t>
      </w:r>
      <w:r>
        <w:rPr>
          <w:lang w:eastAsia="en-AU"/>
        </w:rPr>
        <w:t>However, given inherent uncertainty over the values, modelling has been undertaken to show how sensitive the results are to the baseline parameter assumptions.</w:t>
      </w:r>
    </w:p>
    <w:p w:rsidR="00977C78" w:rsidRDefault="00977C78" w:rsidP="00977C78">
      <w:pPr>
        <w:pStyle w:val="BodyText"/>
        <w:tabs>
          <w:tab w:val="left" w:pos="2989"/>
        </w:tabs>
        <w:rPr>
          <w:lang w:eastAsia="en-AU"/>
        </w:rPr>
      </w:pPr>
      <w:r>
        <w:rPr>
          <w:lang w:eastAsia="en-AU"/>
        </w:rPr>
        <w:fldChar w:fldCharType="begin"/>
      </w:r>
      <w:r>
        <w:rPr>
          <w:lang w:eastAsia="en-AU"/>
        </w:rPr>
        <w:instrText xml:space="preserve"> REF _Ref460962182 \r \h </w:instrText>
      </w:r>
      <w:r>
        <w:rPr>
          <w:lang w:eastAsia="en-AU"/>
        </w:rPr>
      </w:r>
      <w:r>
        <w:rPr>
          <w:lang w:eastAsia="en-AU"/>
        </w:rPr>
        <w:fldChar w:fldCharType="separate"/>
      </w:r>
      <w:r w:rsidR="00534F9F">
        <w:rPr>
          <w:lang w:eastAsia="en-AU"/>
        </w:rPr>
        <w:t>Table D.2</w:t>
      </w:r>
      <w:r>
        <w:rPr>
          <w:lang w:eastAsia="en-AU"/>
        </w:rPr>
        <w:fldChar w:fldCharType="end"/>
      </w:r>
      <w:r>
        <w:rPr>
          <w:lang w:eastAsia="en-AU"/>
        </w:rPr>
        <w:t xml:space="preserve"> shows that the direction and magnitude of the results depend on the discipline shocked. For instance, increasing the substitutability for </w:t>
      </w:r>
      <w:r w:rsidR="00CA3F0D">
        <w:rPr>
          <w:lang w:eastAsia="en-AU"/>
        </w:rPr>
        <w:t>the M</w:t>
      </w:r>
      <w:r>
        <w:rPr>
          <w:lang w:eastAsia="en-AU"/>
        </w:rPr>
        <w:t>anager-</w:t>
      </w:r>
      <w:r w:rsidR="00CA3F0D">
        <w:rPr>
          <w:lang w:eastAsia="en-AU"/>
        </w:rPr>
        <w:t>G</w:t>
      </w:r>
      <w:r>
        <w:rPr>
          <w:lang w:eastAsia="en-AU"/>
        </w:rPr>
        <w:t xml:space="preserve">overnment services </w:t>
      </w:r>
      <w:r w:rsidR="00CA3F0D">
        <w:rPr>
          <w:lang w:eastAsia="en-AU"/>
        </w:rPr>
        <w:t xml:space="preserve">segment for </w:t>
      </w:r>
      <w:r>
        <w:rPr>
          <w:lang w:eastAsia="en-AU"/>
        </w:rPr>
        <w:t>education,</w:t>
      </w:r>
      <w:r w:rsidR="00CA3F0D">
        <w:rPr>
          <w:lang w:eastAsia="en-AU"/>
        </w:rPr>
        <w:t xml:space="preserve"> has the effect of reducing private shares of benefits by two percentage points.</w:t>
      </w:r>
    </w:p>
    <w:p w:rsidR="00977C78" w:rsidRDefault="00977C78" w:rsidP="00977C78">
      <w:pPr>
        <w:pStyle w:val="AppendixTableCaption"/>
        <w:rPr>
          <w:lang w:eastAsia="en-AU"/>
        </w:rPr>
      </w:pPr>
      <w:bookmarkStart w:id="357" w:name="_Ref460962182"/>
      <w:bookmarkStart w:id="358" w:name="_Toc465961147"/>
      <w:r>
        <w:rPr>
          <w:lang w:eastAsia="en-AU"/>
        </w:rPr>
        <w:t>: Select public-private shares for skill substitutability sensitivity analysis</w:t>
      </w:r>
      <w:bookmarkEnd w:id="357"/>
      <w:bookmarkEnd w:id="358"/>
    </w:p>
    <w:tbl>
      <w:tblPr>
        <w:tblW w:w="5000" w:type="pct"/>
        <w:tblBorders>
          <w:top w:val="single" w:sz="12" w:space="0" w:color="1F497D" w:themeColor="text2"/>
          <w:bottom w:val="single" w:sz="12" w:space="0" w:color="1F497D" w:themeColor="text2"/>
        </w:tblBorders>
        <w:tblLook w:val="04A0" w:firstRow="1" w:lastRow="0" w:firstColumn="1" w:lastColumn="0" w:noHBand="0" w:noVBand="1"/>
      </w:tblPr>
      <w:tblGrid>
        <w:gridCol w:w="3072"/>
        <w:gridCol w:w="1309"/>
        <w:gridCol w:w="1280"/>
        <w:gridCol w:w="1280"/>
        <w:gridCol w:w="1280"/>
      </w:tblGrid>
      <w:tr w:rsidR="00977C78" w:rsidRPr="00B2506E" w:rsidTr="00261886">
        <w:trPr>
          <w:trHeight w:val="285"/>
        </w:trPr>
        <w:tc>
          <w:tcPr>
            <w:tcW w:w="1872" w:type="pct"/>
            <w:tcBorders>
              <w:top w:val="single" w:sz="12" w:space="0" w:color="1F497D" w:themeColor="text2"/>
              <w:bottom w:val="single" w:sz="8" w:space="0" w:color="1F497D" w:themeColor="text2"/>
            </w:tcBorders>
            <w:shd w:val="clear" w:color="auto" w:fill="auto"/>
            <w:noWrap/>
            <w:vAlign w:val="bottom"/>
            <w:hideMark/>
          </w:tcPr>
          <w:p w:rsidR="00977C78" w:rsidRPr="006651B6" w:rsidRDefault="00977C78" w:rsidP="00261886">
            <w:pPr>
              <w:keepNext/>
              <w:keepLines/>
              <w:jc w:val="center"/>
              <w:rPr>
                <w:rFonts w:asciiTheme="minorHAnsi" w:hAnsiTheme="minorHAnsi" w:cs="Arial"/>
                <w:b/>
                <w:color w:val="000000"/>
                <w:sz w:val="20"/>
                <w:lang w:eastAsia="en-AU"/>
              </w:rPr>
            </w:pPr>
          </w:p>
        </w:tc>
        <w:tc>
          <w:tcPr>
            <w:tcW w:w="782" w:type="pct"/>
            <w:tcBorders>
              <w:top w:val="single" w:sz="12" w:space="0" w:color="1F497D" w:themeColor="text2"/>
              <w:bottom w:val="single" w:sz="8" w:space="0" w:color="1F497D" w:themeColor="text2"/>
            </w:tcBorders>
            <w:shd w:val="clear" w:color="auto" w:fill="auto"/>
            <w:noWrap/>
            <w:vAlign w:val="center"/>
            <w:hideMark/>
          </w:tcPr>
          <w:p w:rsidR="00977C78" w:rsidRPr="00DA4CA5" w:rsidRDefault="00977C78" w:rsidP="00261886">
            <w:pPr>
              <w:keepNext/>
              <w:keepLines/>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Private share</w:t>
            </w:r>
          </w:p>
        </w:tc>
        <w:tc>
          <w:tcPr>
            <w:tcW w:w="782" w:type="pct"/>
            <w:tcBorders>
              <w:top w:val="single" w:sz="12" w:space="0" w:color="1F497D" w:themeColor="text2"/>
              <w:bottom w:val="single" w:sz="8" w:space="0" w:color="1F497D" w:themeColor="text2"/>
            </w:tcBorders>
            <w:shd w:val="clear" w:color="auto" w:fill="auto"/>
            <w:noWrap/>
            <w:vAlign w:val="center"/>
            <w:hideMark/>
          </w:tcPr>
          <w:p w:rsidR="00977C78" w:rsidRPr="00DA4CA5" w:rsidRDefault="00977C78" w:rsidP="00261886">
            <w:pPr>
              <w:keepNext/>
              <w:keepLines/>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Public share</w:t>
            </w:r>
          </w:p>
        </w:tc>
        <w:tc>
          <w:tcPr>
            <w:tcW w:w="782" w:type="pct"/>
            <w:tcBorders>
              <w:top w:val="single" w:sz="12" w:space="0" w:color="1F497D" w:themeColor="text2"/>
              <w:bottom w:val="single" w:sz="8" w:space="0" w:color="1F497D" w:themeColor="text2"/>
            </w:tcBorders>
            <w:vAlign w:val="center"/>
          </w:tcPr>
          <w:p w:rsidR="00977C78" w:rsidRPr="00DA4CA5" w:rsidRDefault="00977C78" w:rsidP="00261886">
            <w:pPr>
              <w:keepNext/>
              <w:keepLines/>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Change in private share</w:t>
            </w:r>
          </w:p>
        </w:tc>
        <w:tc>
          <w:tcPr>
            <w:tcW w:w="782" w:type="pct"/>
            <w:tcBorders>
              <w:top w:val="single" w:sz="12" w:space="0" w:color="1F497D" w:themeColor="text2"/>
              <w:bottom w:val="single" w:sz="8" w:space="0" w:color="1F497D" w:themeColor="text2"/>
            </w:tcBorders>
            <w:vAlign w:val="center"/>
          </w:tcPr>
          <w:p w:rsidR="00977C78" w:rsidRPr="00DA4CA5" w:rsidRDefault="00977C78" w:rsidP="00261886">
            <w:pPr>
              <w:keepNext/>
              <w:keepLines/>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Change in public share</w:t>
            </w:r>
          </w:p>
        </w:tc>
      </w:tr>
      <w:tr w:rsidR="00977C78" w:rsidRPr="00B2506E" w:rsidTr="00261886">
        <w:trPr>
          <w:trHeight w:val="285"/>
        </w:trPr>
        <w:tc>
          <w:tcPr>
            <w:tcW w:w="1872" w:type="pct"/>
            <w:tcBorders>
              <w:top w:val="single" w:sz="8" w:space="0" w:color="1F497D" w:themeColor="text2"/>
            </w:tcBorders>
            <w:shd w:val="clear" w:color="auto" w:fill="F2F2F2" w:themeFill="background1" w:themeFillShade="F2"/>
            <w:noWrap/>
            <w:vAlign w:val="bottom"/>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Bach. Edu.</w:t>
            </w:r>
          </w:p>
        </w:tc>
        <w:tc>
          <w:tcPr>
            <w:tcW w:w="782" w:type="pct"/>
            <w:tcBorders>
              <w:top w:val="single" w:sz="8" w:space="0" w:color="1F497D" w:themeColor="text2"/>
            </w:tcBorders>
            <w:shd w:val="clear" w:color="auto" w:fill="F2F2F2" w:themeFill="background1" w:themeFillShade="F2"/>
            <w:noWrap/>
            <w:vAlign w:val="bottom"/>
          </w:tcPr>
          <w:p w:rsidR="00977C78" w:rsidRPr="00B2506E" w:rsidRDefault="00977C78" w:rsidP="00261886">
            <w:pPr>
              <w:keepNext/>
              <w:keepLines/>
              <w:rPr>
                <w:rFonts w:asciiTheme="minorHAnsi" w:hAnsiTheme="minorHAnsi" w:cs="Arial"/>
                <w:color w:val="000000"/>
                <w:sz w:val="20"/>
                <w:lang w:eastAsia="en-AU"/>
              </w:rPr>
            </w:pPr>
          </w:p>
        </w:tc>
        <w:tc>
          <w:tcPr>
            <w:tcW w:w="782" w:type="pct"/>
            <w:tcBorders>
              <w:top w:val="single" w:sz="8" w:space="0" w:color="1F497D" w:themeColor="text2"/>
            </w:tcBorders>
            <w:shd w:val="clear" w:color="auto" w:fill="F2F2F2" w:themeFill="background1" w:themeFillShade="F2"/>
            <w:noWrap/>
            <w:vAlign w:val="bottom"/>
          </w:tcPr>
          <w:p w:rsidR="00977C78" w:rsidRPr="00B2506E" w:rsidRDefault="00977C78" w:rsidP="00261886">
            <w:pPr>
              <w:keepNext/>
              <w:keepLines/>
              <w:rPr>
                <w:rFonts w:asciiTheme="minorHAnsi" w:hAnsiTheme="minorHAnsi" w:cs="Arial"/>
                <w:color w:val="000000"/>
                <w:sz w:val="20"/>
                <w:lang w:eastAsia="en-AU"/>
              </w:rPr>
            </w:pPr>
          </w:p>
        </w:tc>
        <w:tc>
          <w:tcPr>
            <w:tcW w:w="782" w:type="pct"/>
            <w:tcBorders>
              <w:top w:val="single" w:sz="8" w:space="0" w:color="1F497D" w:themeColor="text2"/>
            </w:tcBorders>
            <w:shd w:val="clear" w:color="auto" w:fill="F2F2F2" w:themeFill="background1" w:themeFillShade="F2"/>
          </w:tcPr>
          <w:p w:rsidR="00977C78" w:rsidRPr="00B2506E" w:rsidRDefault="00977C78" w:rsidP="00261886">
            <w:pPr>
              <w:keepNext/>
              <w:keepLines/>
              <w:rPr>
                <w:rFonts w:asciiTheme="minorHAnsi" w:hAnsiTheme="minorHAnsi" w:cs="Arial"/>
                <w:color w:val="000000"/>
                <w:sz w:val="20"/>
                <w:lang w:eastAsia="en-AU"/>
              </w:rPr>
            </w:pPr>
          </w:p>
        </w:tc>
        <w:tc>
          <w:tcPr>
            <w:tcW w:w="782" w:type="pct"/>
            <w:tcBorders>
              <w:top w:val="single" w:sz="8" w:space="0" w:color="1F497D" w:themeColor="text2"/>
            </w:tcBorders>
            <w:shd w:val="clear" w:color="auto" w:fill="F2F2F2" w:themeFill="background1" w:themeFillShade="F2"/>
          </w:tcPr>
          <w:p w:rsidR="00977C78" w:rsidRPr="00B2506E" w:rsidRDefault="00977C78" w:rsidP="00261886">
            <w:pPr>
              <w:keepNext/>
              <w:keepLines/>
              <w:rPr>
                <w:rFonts w:asciiTheme="minorHAnsi" w:hAnsiTheme="minorHAnsi" w:cs="Arial"/>
                <w:color w:val="000000"/>
                <w:sz w:val="20"/>
                <w:lang w:eastAsia="en-AU"/>
              </w:rPr>
            </w:pPr>
          </w:p>
        </w:tc>
      </w:tr>
      <w:tr w:rsidR="00977C78" w:rsidRPr="00B2506E" w:rsidTr="00261886">
        <w:trPr>
          <w:trHeight w:val="285"/>
        </w:trPr>
        <w:tc>
          <w:tcPr>
            <w:tcW w:w="1872" w:type="pct"/>
            <w:shd w:val="clear" w:color="auto" w:fill="auto"/>
            <w:noWrap/>
            <w:vAlign w:val="bottom"/>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Low (50%)</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56%</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44%</w:t>
            </w:r>
          </w:p>
        </w:tc>
        <w:tc>
          <w:tcPr>
            <w:tcW w:w="782" w:type="pct"/>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5%</w:t>
            </w:r>
          </w:p>
        </w:tc>
        <w:tc>
          <w:tcPr>
            <w:tcW w:w="782" w:type="pct"/>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-5%</w:t>
            </w:r>
          </w:p>
        </w:tc>
      </w:tr>
      <w:tr w:rsidR="00977C78" w:rsidRPr="00B2506E" w:rsidTr="00261886">
        <w:trPr>
          <w:trHeight w:val="285"/>
        </w:trPr>
        <w:tc>
          <w:tcPr>
            <w:tcW w:w="1872" w:type="pct"/>
            <w:shd w:val="clear" w:color="auto" w:fill="auto"/>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Base (100%)</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51%</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49%</w:t>
            </w:r>
          </w:p>
        </w:tc>
        <w:tc>
          <w:tcPr>
            <w:tcW w:w="782" w:type="pct"/>
            <w:vAlign w:val="center"/>
          </w:tcPr>
          <w:p w:rsidR="00977C78" w:rsidRPr="00B2506E" w:rsidRDefault="00977C78" w:rsidP="00261886">
            <w:pPr>
              <w:keepNext/>
              <w:keepLines/>
              <w:contextualSpacing/>
              <w:jc w:val="center"/>
              <w:rPr>
                <w:rFonts w:asciiTheme="minorHAnsi" w:hAnsiTheme="minorHAnsi"/>
                <w:sz w:val="20"/>
              </w:rPr>
            </w:pPr>
            <w:r w:rsidRPr="00B2506E">
              <w:rPr>
                <w:rFonts w:asciiTheme="minorHAnsi" w:hAnsiTheme="minorHAnsi"/>
                <w:sz w:val="20"/>
              </w:rPr>
              <w:t>-</w:t>
            </w:r>
          </w:p>
        </w:tc>
        <w:tc>
          <w:tcPr>
            <w:tcW w:w="782" w:type="pct"/>
            <w:vAlign w:val="center"/>
          </w:tcPr>
          <w:p w:rsidR="00977C78" w:rsidRPr="00B2506E" w:rsidRDefault="00977C78" w:rsidP="00261886">
            <w:pPr>
              <w:keepNext/>
              <w:keepLines/>
              <w:contextualSpacing/>
              <w:jc w:val="center"/>
              <w:rPr>
                <w:rFonts w:asciiTheme="minorHAnsi" w:hAnsiTheme="minorHAnsi"/>
                <w:sz w:val="20"/>
              </w:rPr>
            </w:pPr>
            <w:r w:rsidRPr="00B2506E">
              <w:rPr>
                <w:rFonts w:asciiTheme="minorHAnsi" w:hAnsiTheme="minorHAnsi"/>
                <w:sz w:val="20"/>
              </w:rPr>
              <w:t>-</w:t>
            </w:r>
          </w:p>
        </w:tc>
      </w:tr>
      <w:tr w:rsidR="00977C78" w:rsidRPr="00B2506E" w:rsidTr="00261886">
        <w:trPr>
          <w:trHeight w:val="285"/>
        </w:trPr>
        <w:tc>
          <w:tcPr>
            <w:tcW w:w="1872" w:type="pct"/>
            <w:shd w:val="clear" w:color="auto" w:fill="auto"/>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High (200%)</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49%</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51%</w:t>
            </w:r>
          </w:p>
        </w:tc>
        <w:tc>
          <w:tcPr>
            <w:tcW w:w="782" w:type="pct"/>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-2%</w:t>
            </w:r>
          </w:p>
        </w:tc>
        <w:tc>
          <w:tcPr>
            <w:tcW w:w="782" w:type="pct"/>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2%</w:t>
            </w:r>
          </w:p>
        </w:tc>
      </w:tr>
      <w:tr w:rsidR="00977C78" w:rsidRPr="00B2506E" w:rsidTr="00261886">
        <w:trPr>
          <w:trHeight w:val="285"/>
        </w:trPr>
        <w:tc>
          <w:tcPr>
            <w:tcW w:w="1872" w:type="pct"/>
            <w:shd w:val="clear" w:color="auto" w:fill="F2F2F2" w:themeFill="background1" w:themeFillShade="F2"/>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Bach. Eng.</w:t>
            </w:r>
          </w:p>
        </w:tc>
        <w:tc>
          <w:tcPr>
            <w:tcW w:w="782" w:type="pct"/>
            <w:shd w:val="clear" w:color="auto" w:fill="F2F2F2" w:themeFill="background1" w:themeFillShade="F2"/>
            <w:noWrap/>
            <w:vAlign w:val="bottom"/>
          </w:tcPr>
          <w:p w:rsidR="00977C78" w:rsidRPr="00B2506E" w:rsidRDefault="00977C78" w:rsidP="00261886">
            <w:pPr>
              <w:keepNext/>
              <w:keepLines/>
              <w:contextualSpacing/>
              <w:jc w:val="center"/>
              <w:rPr>
                <w:rFonts w:asciiTheme="minorHAnsi" w:hAnsiTheme="minorHAnsi" w:cs="Arial"/>
                <w:color w:val="000000"/>
                <w:sz w:val="20"/>
              </w:rPr>
            </w:pPr>
          </w:p>
        </w:tc>
        <w:tc>
          <w:tcPr>
            <w:tcW w:w="782" w:type="pct"/>
            <w:shd w:val="clear" w:color="auto" w:fill="F2F2F2" w:themeFill="background1" w:themeFillShade="F2"/>
            <w:noWrap/>
            <w:vAlign w:val="bottom"/>
          </w:tcPr>
          <w:p w:rsidR="00977C78" w:rsidRPr="00B2506E" w:rsidRDefault="00977C78" w:rsidP="00261886">
            <w:pPr>
              <w:keepNext/>
              <w:keepLines/>
              <w:contextualSpacing/>
              <w:jc w:val="center"/>
              <w:rPr>
                <w:rFonts w:asciiTheme="minorHAnsi" w:hAnsiTheme="minorHAnsi" w:cs="Arial"/>
                <w:color w:val="000000"/>
                <w:sz w:val="20"/>
              </w:rPr>
            </w:pPr>
          </w:p>
        </w:tc>
        <w:tc>
          <w:tcPr>
            <w:tcW w:w="782" w:type="pct"/>
            <w:shd w:val="clear" w:color="auto" w:fill="F2F2F2" w:themeFill="background1" w:themeFillShade="F2"/>
            <w:vAlign w:val="bottom"/>
          </w:tcPr>
          <w:p w:rsidR="00977C78" w:rsidRPr="00B2506E" w:rsidRDefault="00977C78" w:rsidP="00261886">
            <w:pPr>
              <w:keepNext/>
              <w:keepLines/>
              <w:contextualSpacing/>
              <w:jc w:val="center"/>
              <w:rPr>
                <w:rFonts w:asciiTheme="minorHAnsi" w:hAnsiTheme="minorHAnsi" w:cs="Arial"/>
                <w:color w:val="000000"/>
                <w:sz w:val="20"/>
              </w:rPr>
            </w:pPr>
          </w:p>
        </w:tc>
        <w:tc>
          <w:tcPr>
            <w:tcW w:w="782" w:type="pct"/>
            <w:shd w:val="clear" w:color="auto" w:fill="F2F2F2" w:themeFill="background1" w:themeFillShade="F2"/>
            <w:vAlign w:val="bottom"/>
          </w:tcPr>
          <w:p w:rsidR="00977C78" w:rsidRPr="00B2506E" w:rsidRDefault="00977C78" w:rsidP="00261886">
            <w:pPr>
              <w:keepNext/>
              <w:keepLines/>
              <w:contextualSpacing/>
              <w:jc w:val="center"/>
              <w:rPr>
                <w:rFonts w:asciiTheme="minorHAnsi" w:hAnsiTheme="minorHAnsi" w:cs="Arial"/>
                <w:color w:val="000000"/>
                <w:sz w:val="20"/>
              </w:rPr>
            </w:pPr>
          </w:p>
        </w:tc>
      </w:tr>
      <w:tr w:rsidR="00977C78" w:rsidRPr="00B2506E" w:rsidTr="00261886">
        <w:trPr>
          <w:trHeight w:val="285"/>
        </w:trPr>
        <w:tc>
          <w:tcPr>
            <w:tcW w:w="1872" w:type="pct"/>
            <w:shd w:val="clear" w:color="auto" w:fill="auto"/>
            <w:noWrap/>
            <w:vAlign w:val="bottom"/>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Low (50%)</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37%</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63%</w:t>
            </w:r>
          </w:p>
        </w:tc>
        <w:tc>
          <w:tcPr>
            <w:tcW w:w="782" w:type="pct"/>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-2%</w:t>
            </w:r>
          </w:p>
        </w:tc>
        <w:tc>
          <w:tcPr>
            <w:tcW w:w="782" w:type="pct"/>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2%</w:t>
            </w:r>
          </w:p>
        </w:tc>
      </w:tr>
      <w:tr w:rsidR="00977C78" w:rsidRPr="00B2506E" w:rsidTr="00261886">
        <w:trPr>
          <w:trHeight w:val="285"/>
        </w:trPr>
        <w:tc>
          <w:tcPr>
            <w:tcW w:w="1872" w:type="pct"/>
            <w:shd w:val="clear" w:color="auto" w:fill="auto"/>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Base (100%)</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39%</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61%</w:t>
            </w:r>
          </w:p>
        </w:tc>
        <w:tc>
          <w:tcPr>
            <w:tcW w:w="782" w:type="pct"/>
            <w:vAlign w:val="center"/>
          </w:tcPr>
          <w:p w:rsidR="00977C78" w:rsidRPr="00B2506E" w:rsidRDefault="00977C78" w:rsidP="00261886">
            <w:pPr>
              <w:keepNext/>
              <w:keepLines/>
              <w:contextualSpacing/>
              <w:jc w:val="center"/>
              <w:rPr>
                <w:rFonts w:asciiTheme="minorHAnsi" w:hAnsiTheme="minorHAnsi"/>
                <w:sz w:val="20"/>
              </w:rPr>
            </w:pPr>
            <w:r w:rsidRPr="00B2506E">
              <w:rPr>
                <w:rFonts w:asciiTheme="minorHAnsi" w:hAnsiTheme="minorHAnsi"/>
                <w:sz w:val="20"/>
              </w:rPr>
              <w:t>-</w:t>
            </w:r>
          </w:p>
        </w:tc>
        <w:tc>
          <w:tcPr>
            <w:tcW w:w="782" w:type="pct"/>
            <w:vAlign w:val="center"/>
          </w:tcPr>
          <w:p w:rsidR="00977C78" w:rsidRPr="00B2506E" w:rsidRDefault="00977C78" w:rsidP="00261886">
            <w:pPr>
              <w:keepNext/>
              <w:keepLines/>
              <w:contextualSpacing/>
              <w:jc w:val="center"/>
              <w:rPr>
                <w:rFonts w:asciiTheme="minorHAnsi" w:hAnsiTheme="minorHAnsi"/>
                <w:sz w:val="20"/>
              </w:rPr>
            </w:pPr>
            <w:r w:rsidRPr="00B2506E">
              <w:rPr>
                <w:rFonts w:asciiTheme="minorHAnsi" w:hAnsiTheme="minorHAnsi"/>
                <w:sz w:val="20"/>
              </w:rPr>
              <w:t>-</w:t>
            </w:r>
          </w:p>
        </w:tc>
      </w:tr>
      <w:tr w:rsidR="00977C78" w:rsidRPr="00B2506E" w:rsidTr="00261886">
        <w:trPr>
          <w:trHeight w:val="285"/>
        </w:trPr>
        <w:tc>
          <w:tcPr>
            <w:tcW w:w="1872" w:type="pct"/>
            <w:shd w:val="clear" w:color="auto" w:fill="auto"/>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High (200%)</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40%</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60%</w:t>
            </w:r>
          </w:p>
        </w:tc>
        <w:tc>
          <w:tcPr>
            <w:tcW w:w="782" w:type="pct"/>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2%</w:t>
            </w:r>
          </w:p>
        </w:tc>
        <w:tc>
          <w:tcPr>
            <w:tcW w:w="782" w:type="pct"/>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-2%</w:t>
            </w:r>
          </w:p>
        </w:tc>
      </w:tr>
      <w:tr w:rsidR="00977C78" w:rsidRPr="00B2506E" w:rsidTr="00261886">
        <w:trPr>
          <w:trHeight w:val="285"/>
        </w:trPr>
        <w:tc>
          <w:tcPr>
            <w:tcW w:w="1872" w:type="pct"/>
            <w:shd w:val="clear" w:color="auto" w:fill="F2F2F2" w:themeFill="background1" w:themeFillShade="F2"/>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Bach. Bus.</w:t>
            </w:r>
          </w:p>
        </w:tc>
        <w:tc>
          <w:tcPr>
            <w:tcW w:w="782" w:type="pct"/>
            <w:shd w:val="clear" w:color="auto" w:fill="F2F2F2" w:themeFill="background1" w:themeFillShade="F2"/>
            <w:noWrap/>
            <w:vAlign w:val="bottom"/>
          </w:tcPr>
          <w:p w:rsidR="00977C78" w:rsidRPr="00B2506E" w:rsidRDefault="00977C78" w:rsidP="00261886">
            <w:pPr>
              <w:keepNext/>
              <w:keepLines/>
              <w:contextualSpacing/>
              <w:jc w:val="center"/>
              <w:rPr>
                <w:rFonts w:asciiTheme="minorHAnsi" w:hAnsiTheme="minorHAnsi" w:cs="Arial"/>
                <w:color w:val="000000"/>
                <w:sz w:val="20"/>
              </w:rPr>
            </w:pPr>
          </w:p>
        </w:tc>
        <w:tc>
          <w:tcPr>
            <w:tcW w:w="782" w:type="pct"/>
            <w:shd w:val="clear" w:color="auto" w:fill="F2F2F2" w:themeFill="background1" w:themeFillShade="F2"/>
            <w:noWrap/>
            <w:vAlign w:val="bottom"/>
          </w:tcPr>
          <w:p w:rsidR="00977C78" w:rsidRPr="00B2506E" w:rsidRDefault="00977C78" w:rsidP="00261886">
            <w:pPr>
              <w:keepNext/>
              <w:keepLines/>
              <w:contextualSpacing/>
              <w:jc w:val="center"/>
              <w:rPr>
                <w:rFonts w:asciiTheme="minorHAnsi" w:hAnsiTheme="minorHAnsi" w:cs="Arial"/>
                <w:color w:val="000000"/>
                <w:sz w:val="20"/>
              </w:rPr>
            </w:pPr>
          </w:p>
        </w:tc>
        <w:tc>
          <w:tcPr>
            <w:tcW w:w="782" w:type="pct"/>
            <w:shd w:val="clear" w:color="auto" w:fill="F2F2F2" w:themeFill="background1" w:themeFillShade="F2"/>
            <w:vAlign w:val="bottom"/>
          </w:tcPr>
          <w:p w:rsidR="00977C78" w:rsidRPr="00B2506E" w:rsidRDefault="00977C78" w:rsidP="00261886">
            <w:pPr>
              <w:keepNext/>
              <w:keepLines/>
              <w:contextualSpacing/>
              <w:jc w:val="center"/>
              <w:rPr>
                <w:rFonts w:asciiTheme="minorHAnsi" w:hAnsiTheme="minorHAnsi" w:cs="Arial"/>
                <w:color w:val="000000"/>
                <w:sz w:val="20"/>
              </w:rPr>
            </w:pPr>
          </w:p>
        </w:tc>
        <w:tc>
          <w:tcPr>
            <w:tcW w:w="782" w:type="pct"/>
            <w:shd w:val="clear" w:color="auto" w:fill="F2F2F2" w:themeFill="background1" w:themeFillShade="F2"/>
            <w:vAlign w:val="bottom"/>
          </w:tcPr>
          <w:p w:rsidR="00977C78" w:rsidRPr="00B2506E" w:rsidRDefault="00977C78" w:rsidP="00261886">
            <w:pPr>
              <w:keepNext/>
              <w:keepLines/>
              <w:contextualSpacing/>
              <w:jc w:val="center"/>
              <w:rPr>
                <w:rFonts w:asciiTheme="minorHAnsi" w:hAnsiTheme="minorHAnsi" w:cs="Arial"/>
                <w:color w:val="000000"/>
                <w:sz w:val="20"/>
              </w:rPr>
            </w:pPr>
          </w:p>
        </w:tc>
      </w:tr>
      <w:tr w:rsidR="00977C78" w:rsidRPr="00B2506E" w:rsidTr="00261886">
        <w:trPr>
          <w:trHeight w:val="285"/>
        </w:trPr>
        <w:tc>
          <w:tcPr>
            <w:tcW w:w="1872" w:type="pct"/>
            <w:shd w:val="clear" w:color="auto" w:fill="auto"/>
            <w:noWrap/>
            <w:vAlign w:val="bottom"/>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Low (50%)</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43%</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57%</w:t>
            </w:r>
          </w:p>
        </w:tc>
        <w:tc>
          <w:tcPr>
            <w:tcW w:w="782" w:type="pct"/>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-1%</w:t>
            </w:r>
          </w:p>
        </w:tc>
        <w:tc>
          <w:tcPr>
            <w:tcW w:w="782" w:type="pct"/>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1%</w:t>
            </w:r>
          </w:p>
        </w:tc>
      </w:tr>
      <w:tr w:rsidR="00977C78" w:rsidRPr="00B2506E" w:rsidTr="00261886">
        <w:trPr>
          <w:trHeight w:val="285"/>
        </w:trPr>
        <w:tc>
          <w:tcPr>
            <w:tcW w:w="1872" w:type="pct"/>
            <w:shd w:val="clear" w:color="auto" w:fill="auto"/>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Base (100%)</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44%</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56%</w:t>
            </w:r>
          </w:p>
        </w:tc>
        <w:tc>
          <w:tcPr>
            <w:tcW w:w="782" w:type="pct"/>
            <w:vAlign w:val="center"/>
          </w:tcPr>
          <w:p w:rsidR="00977C78" w:rsidRPr="00B2506E" w:rsidRDefault="00977C78" w:rsidP="00261886">
            <w:pPr>
              <w:keepNext/>
              <w:keepLines/>
              <w:contextualSpacing/>
              <w:jc w:val="center"/>
              <w:rPr>
                <w:rFonts w:asciiTheme="minorHAnsi" w:hAnsiTheme="minorHAnsi"/>
                <w:sz w:val="20"/>
              </w:rPr>
            </w:pPr>
            <w:r w:rsidRPr="00B2506E">
              <w:rPr>
                <w:rFonts w:asciiTheme="minorHAnsi" w:hAnsiTheme="minorHAnsi"/>
                <w:sz w:val="20"/>
              </w:rPr>
              <w:t>-</w:t>
            </w:r>
          </w:p>
        </w:tc>
        <w:tc>
          <w:tcPr>
            <w:tcW w:w="782" w:type="pct"/>
            <w:vAlign w:val="center"/>
          </w:tcPr>
          <w:p w:rsidR="00977C78" w:rsidRPr="00B2506E" w:rsidRDefault="00977C78" w:rsidP="00261886">
            <w:pPr>
              <w:keepNext/>
              <w:keepLines/>
              <w:contextualSpacing/>
              <w:jc w:val="center"/>
              <w:rPr>
                <w:rFonts w:asciiTheme="minorHAnsi" w:hAnsiTheme="minorHAnsi"/>
                <w:sz w:val="20"/>
              </w:rPr>
            </w:pPr>
            <w:r w:rsidRPr="00B2506E">
              <w:rPr>
                <w:rFonts w:asciiTheme="minorHAnsi" w:hAnsiTheme="minorHAnsi"/>
                <w:sz w:val="20"/>
              </w:rPr>
              <w:t>-</w:t>
            </w:r>
          </w:p>
        </w:tc>
      </w:tr>
      <w:tr w:rsidR="00977C78" w:rsidRPr="006651B6" w:rsidTr="00261886">
        <w:trPr>
          <w:trHeight w:val="285"/>
        </w:trPr>
        <w:tc>
          <w:tcPr>
            <w:tcW w:w="1872" w:type="pct"/>
            <w:shd w:val="clear" w:color="auto" w:fill="auto"/>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High (200%)</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46%</w:t>
            </w:r>
          </w:p>
        </w:tc>
        <w:tc>
          <w:tcPr>
            <w:tcW w:w="782" w:type="pct"/>
            <w:shd w:val="clear" w:color="auto" w:fill="auto"/>
            <w:noWrap/>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54%</w:t>
            </w:r>
          </w:p>
        </w:tc>
        <w:tc>
          <w:tcPr>
            <w:tcW w:w="782" w:type="pct"/>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2%</w:t>
            </w:r>
          </w:p>
        </w:tc>
        <w:tc>
          <w:tcPr>
            <w:tcW w:w="782" w:type="pct"/>
            <w:vAlign w:val="bottom"/>
          </w:tcPr>
          <w:p w:rsidR="00977C78" w:rsidRPr="00B2506E" w:rsidRDefault="00977C78" w:rsidP="00261886">
            <w:pPr>
              <w:keepNext/>
              <w:keepLines/>
              <w:contextualSpacing/>
              <w:jc w:val="center"/>
              <w:rPr>
                <w:rFonts w:asciiTheme="minorHAnsi" w:hAnsiTheme="minorHAnsi" w:cs="Arial"/>
                <w:color w:val="000000"/>
                <w:sz w:val="20"/>
              </w:rPr>
            </w:pPr>
            <w:r w:rsidRPr="00B2506E">
              <w:rPr>
                <w:rFonts w:asciiTheme="minorHAnsi" w:hAnsiTheme="minorHAnsi" w:cs="Arial"/>
                <w:color w:val="000000"/>
                <w:sz w:val="20"/>
              </w:rPr>
              <w:t>-2%</w:t>
            </w:r>
          </w:p>
        </w:tc>
      </w:tr>
    </w:tbl>
    <w:p w:rsidR="00E74CEE" w:rsidRDefault="00E74CEE" w:rsidP="00E74CEE">
      <w:pPr>
        <w:pStyle w:val="Source"/>
      </w:pPr>
      <w:r>
        <w:t>Source: Deloitte Access Economics DAE-RGEM model</w:t>
      </w:r>
    </w:p>
    <w:p w:rsidR="00977C78" w:rsidRDefault="00977C78" w:rsidP="00977C78">
      <w:pPr>
        <w:pStyle w:val="BodyText"/>
        <w:tabs>
          <w:tab w:val="left" w:pos="2989"/>
        </w:tabs>
        <w:rPr>
          <w:lang w:eastAsia="en-AU"/>
        </w:rPr>
      </w:pPr>
      <w:r>
        <w:rPr>
          <w:lang w:eastAsia="en-AU"/>
        </w:rPr>
        <w:t>Increasing the substitution rate in combination with an increase in the labour supply for a skill category leads to the following effects:</w:t>
      </w:r>
    </w:p>
    <w:p w:rsidR="00977C78" w:rsidRDefault="00977C78" w:rsidP="00977C78">
      <w:pPr>
        <w:pStyle w:val="Bullet1"/>
        <w:ind w:left="567" w:hanging="567"/>
      </w:pPr>
      <w:r>
        <w:t xml:space="preserve">Given an increase in the labour supply, the wage for the particular skill category falls; </w:t>
      </w:r>
    </w:p>
    <w:p w:rsidR="00977C78" w:rsidRDefault="00977C78" w:rsidP="00977C78">
      <w:pPr>
        <w:pStyle w:val="Bullet1"/>
        <w:ind w:left="567" w:hanging="567"/>
      </w:pPr>
      <w:r>
        <w:t>With a higher substitution rate, more individuals of the skill category will be employed within the</w:t>
      </w:r>
      <w:r w:rsidR="00CA3F0D">
        <w:t xml:space="preserve">ir typical sector </w:t>
      </w:r>
      <w:r>
        <w:t xml:space="preserve">compared to the </w:t>
      </w:r>
      <w:r w:rsidR="00CA3F0D">
        <w:t>central</w:t>
      </w:r>
      <w:r>
        <w:t xml:space="preserve"> case;</w:t>
      </w:r>
    </w:p>
    <w:p w:rsidR="00977C78" w:rsidRDefault="00977C78" w:rsidP="00977C78">
      <w:pPr>
        <w:pStyle w:val="Bullet1"/>
        <w:ind w:left="567" w:hanging="567"/>
      </w:pPr>
      <w:r>
        <w:t>The industry expands with less need to draw resources from other sectors; and</w:t>
      </w:r>
    </w:p>
    <w:p w:rsidR="00977C78" w:rsidRDefault="00977C78" w:rsidP="00977C78">
      <w:pPr>
        <w:pStyle w:val="Bullet1"/>
        <w:ind w:left="567" w:hanging="567"/>
      </w:pPr>
      <w:r>
        <w:t>There is a smaller redistributive shift in the economy.</w:t>
      </w:r>
    </w:p>
    <w:p w:rsidR="00977C78" w:rsidRDefault="00977C78" w:rsidP="00977C78">
      <w:pPr>
        <w:pStyle w:val="BodyText"/>
        <w:rPr>
          <w:lang w:eastAsia="en-AU"/>
        </w:rPr>
      </w:pPr>
      <w:r>
        <w:rPr>
          <w:lang w:eastAsia="en-AU"/>
        </w:rPr>
        <w:t xml:space="preserve">The magnitude and direction of the effect depends on the degree to which skills are concentrated within a particular occupation-industry </w:t>
      </w:r>
      <w:r w:rsidR="00CA3F0D">
        <w:rPr>
          <w:lang w:eastAsia="en-AU"/>
        </w:rPr>
        <w:t>segment</w:t>
      </w:r>
      <w:r>
        <w:rPr>
          <w:lang w:eastAsia="en-AU"/>
        </w:rPr>
        <w:t xml:space="preserve">. For skills concentrated in relatively more labour intensive industries like </w:t>
      </w:r>
      <w:r w:rsidR="00CA3F0D">
        <w:rPr>
          <w:lang w:eastAsia="en-AU"/>
        </w:rPr>
        <w:t>government services</w:t>
      </w:r>
      <w:r>
        <w:rPr>
          <w:lang w:eastAsia="en-AU"/>
        </w:rPr>
        <w:t>, increasing the substitution will lead to a large positive effect. In contrast, for skills not as concentrated in a particular class and within more capital intensive industries more generally, there will be a smaller negative effect.</w:t>
      </w:r>
    </w:p>
    <w:p w:rsidR="00502380" w:rsidRPr="00502380" w:rsidRDefault="00502380" w:rsidP="00977C78">
      <w:pPr>
        <w:pStyle w:val="BodyText"/>
        <w:rPr>
          <w:b/>
          <w:color w:val="002776" w:themeColor="accent1"/>
          <w:sz w:val="32"/>
          <w:szCs w:val="32"/>
          <w:lang w:eastAsia="en-AU"/>
        </w:rPr>
      </w:pPr>
      <w:r w:rsidRPr="00502380">
        <w:rPr>
          <w:b/>
          <w:color w:val="002776" w:themeColor="accent1"/>
          <w:sz w:val="32"/>
          <w:szCs w:val="32"/>
          <w:lang w:eastAsia="en-AU"/>
        </w:rPr>
        <w:t>Factor substitution</w:t>
      </w:r>
    </w:p>
    <w:p w:rsidR="00977C78" w:rsidRDefault="00977C78" w:rsidP="00977C78">
      <w:pPr>
        <w:pStyle w:val="BodyText"/>
        <w:rPr>
          <w:lang w:eastAsia="en-AU"/>
        </w:rPr>
      </w:pPr>
      <w:r>
        <w:rPr>
          <w:lang w:eastAsia="en-AU"/>
        </w:rPr>
        <w:t>In addition to the skills specific factor that determines the substitutability between particular graduate types, there are also model parameters governing the responsiveness of demand for the primary factors of production (the five occupations of labour, capital, land and natural resources) to a change in the relative prices of the factors.</w:t>
      </w:r>
    </w:p>
    <w:p w:rsidR="00977C78" w:rsidRDefault="00977C78" w:rsidP="00977C78">
      <w:pPr>
        <w:pStyle w:val="BodyText"/>
        <w:rPr>
          <w:lang w:eastAsia="en-AU"/>
        </w:rPr>
      </w:pPr>
      <w:r>
        <w:rPr>
          <w:lang w:eastAsia="en-AU"/>
        </w:rPr>
        <w:t>Default values from the GTAP database were used in the baseline. Two sensitivities have been considered:</w:t>
      </w:r>
    </w:p>
    <w:p w:rsidR="00977C78" w:rsidRDefault="00977C78" w:rsidP="00977C78">
      <w:pPr>
        <w:pStyle w:val="Bullet1"/>
        <w:ind w:left="567" w:hanging="567"/>
      </w:pPr>
      <w:r>
        <w:t xml:space="preserve">A 50% </w:t>
      </w:r>
      <w:r w:rsidRPr="00EE3B52">
        <w:rPr>
          <w:b/>
        </w:rPr>
        <w:t>reduction</w:t>
      </w:r>
      <w:r>
        <w:t xml:space="preserve"> in the substitutability between all primary factors for all industries relative to the default parameters; and</w:t>
      </w:r>
    </w:p>
    <w:p w:rsidR="00977C78" w:rsidRDefault="00977C78" w:rsidP="00977C78">
      <w:pPr>
        <w:pStyle w:val="Bullet1"/>
        <w:ind w:left="567" w:hanging="567"/>
      </w:pPr>
      <w:r>
        <w:t xml:space="preserve">A 50% </w:t>
      </w:r>
      <w:r>
        <w:rPr>
          <w:b/>
        </w:rPr>
        <w:t>increase</w:t>
      </w:r>
      <w:r>
        <w:t xml:space="preserve"> in the substitutability between all primary factors for all industries relative to the default parameters.</w:t>
      </w:r>
    </w:p>
    <w:p w:rsidR="00977C78" w:rsidRDefault="00977C78" w:rsidP="00977C78">
      <w:pPr>
        <w:pStyle w:val="BodyText"/>
      </w:pPr>
      <w:r>
        <w:t xml:space="preserve">The results are summarised in </w:t>
      </w:r>
      <w:r>
        <w:fldChar w:fldCharType="begin"/>
      </w:r>
      <w:r>
        <w:instrText xml:space="preserve"> REF _Ref460965069 \r \h </w:instrText>
      </w:r>
      <w:r>
        <w:fldChar w:fldCharType="separate"/>
      </w:r>
      <w:r w:rsidR="00534F9F">
        <w:t>Table D.3</w:t>
      </w:r>
      <w:r>
        <w:fldChar w:fldCharType="end"/>
      </w:r>
      <w:r>
        <w:t>. It finds an increase in the substitutability between factors leads to an increase in the share of private benefits. The transmission mechanism is as follows:</w:t>
      </w:r>
    </w:p>
    <w:p w:rsidR="00977C78" w:rsidRDefault="00977C78" w:rsidP="00977C78">
      <w:pPr>
        <w:pStyle w:val="Bullet1"/>
        <w:ind w:left="567" w:hanging="567"/>
      </w:pPr>
      <w:r>
        <w:t xml:space="preserve">A positive labour supply </w:t>
      </w:r>
      <w:r w:rsidR="00CA3F0D">
        <w:t>simulation</w:t>
      </w:r>
      <w:r>
        <w:t xml:space="preserve"> for a particular skill category will decrease the price of that particular factor; </w:t>
      </w:r>
    </w:p>
    <w:p w:rsidR="00977C78" w:rsidRDefault="00977C78" w:rsidP="00977C78">
      <w:pPr>
        <w:pStyle w:val="Bullet1"/>
        <w:ind w:left="567" w:hanging="567"/>
      </w:pPr>
      <w:r>
        <w:t>A higher substitution parameter means that industries will respond and employ more of the skilled labour;</w:t>
      </w:r>
    </w:p>
    <w:p w:rsidR="00977C78" w:rsidRDefault="00977C78" w:rsidP="00977C78">
      <w:pPr>
        <w:pStyle w:val="Bullet1"/>
        <w:ind w:left="567" w:hanging="567"/>
      </w:pPr>
      <w:r>
        <w:t xml:space="preserve">The industry requires fewer resources from other sectors, and the redistribution effect is lessened. </w:t>
      </w:r>
    </w:p>
    <w:p w:rsidR="00977C78" w:rsidRDefault="00977C78" w:rsidP="00977C78">
      <w:pPr>
        <w:pStyle w:val="Bullet1"/>
        <w:ind w:left="567" w:hanging="567"/>
      </w:pPr>
      <w:r>
        <w:t>Consequently, more of the total benefits are captured by the skilled labour</w:t>
      </w:r>
      <w:r w:rsidR="00CA3F0D">
        <w:t xml:space="preserve"> rather than other factors of production</w:t>
      </w:r>
      <w:r>
        <w:t>, and the private share of benefits increases.</w:t>
      </w:r>
    </w:p>
    <w:p w:rsidR="00977C78" w:rsidRDefault="00977C78" w:rsidP="00977C78">
      <w:pPr>
        <w:pStyle w:val="AppendixTableCaption"/>
        <w:rPr>
          <w:lang w:eastAsia="en-AU"/>
        </w:rPr>
      </w:pPr>
      <w:bookmarkStart w:id="359" w:name="_Ref460965069"/>
      <w:bookmarkStart w:id="360" w:name="_Toc465961148"/>
      <w:r>
        <w:rPr>
          <w:lang w:eastAsia="en-AU"/>
        </w:rPr>
        <w:t>: Select public-private shares for factor substitutability sensitivity analysis</w:t>
      </w:r>
      <w:bookmarkEnd w:id="359"/>
      <w:bookmarkEnd w:id="360"/>
    </w:p>
    <w:tbl>
      <w:tblPr>
        <w:tblW w:w="5000" w:type="pct"/>
        <w:tblBorders>
          <w:top w:val="single" w:sz="12" w:space="0" w:color="1F497D" w:themeColor="text2"/>
          <w:bottom w:val="single" w:sz="12" w:space="0" w:color="1F497D" w:themeColor="text2"/>
        </w:tblBorders>
        <w:tblLook w:val="04A0" w:firstRow="1" w:lastRow="0" w:firstColumn="1" w:lastColumn="0" w:noHBand="0" w:noVBand="1"/>
      </w:tblPr>
      <w:tblGrid>
        <w:gridCol w:w="3072"/>
        <w:gridCol w:w="1309"/>
        <w:gridCol w:w="1280"/>
        <w:gridCol w:w="1280"/>
        <w:gridCol w:w="1280"/>
      </w:tblGrid>
      <w:tr w:rsidR="00977C78" w:rsidRPr="00B2506E" w:rsidTr="00261886">
        <w:trPr>
          <w:trHeight w:val="285"/>
        </w:trPr>
        <w:tc>
          <w:tcPr>
            <w:tcW w:w="1872" w:type="pct"/>
            <w:tcBorders>
              <w:top w:val="single" w:sz="12" w:space="0" w:color="1F497D" w:themeColor="text2"/>
              <w:bottom w:val="single" w:sz="8" w:space="0" w:color="1F497D" w:themeColor="text2"/>
            </w:tcBorders>
            <w:shd w:val="clear" w:color="auto" w:fill="auto"/>
            <w:noWrap/>
            <w:vAlign w:val="bottom"/>
            <w:hideMark/>
          </w:tcPr>
          <w:p w:rsidR="00977C78" w:rsidRPr="006651B6" w:rsidRDefault="00977C78" w:rsidP="00261886">
            <w:pPr>
              <w:keepNext/>
              <w:keepLines/>
              <w:jc w:val="center"/>
              <w:rPr>
                <w:rFonts w:asciiTheme="minorHAnsi" w:hAnsiTheme="minorHAnsi" w:cs="Arial"/>
                <w:b/>
                <w:color w:val="000000"/>
                <w:sz w:val="20"/>
                <w:lang w:eastAsia="en-AU"/>
              </w:rPr>
            </w:pPr>
          </w:p>
        </w:tc>
        <w:tc>
          <w:tcPr>
            <w:tcW w:w="782" w:type="pct"/>
            <w:tcBorders>
              <w:top w:val="single" w:sz="12" w:space="0" w:color="1F497D" w:themeColor="text2"/>
              <w:bottom w:val="single" w:sz="8" w:space="0" w:color="1F497D" w:themeColor="text2"/>
            </w:tcBorders>
            <w:shd w:val="clear" w:color="auto" w:fill="auto"/>
            <w:noWrap/>
            <w:vAlign w:val="center"/>
            <w:hideMark/>
          </w:tcPr>
          <w:p w:rsidR="00977C78" w:rsidRPr="00DA4CA5" w:rsidRDefault="00977C78" w:rsidP="00261886">
            <w:pPr>
              <w:keepNext/>
              <w:keepLines/>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Private share</w:t>
            </w:r>
          </w:p>
        </w:tc>
        <w:tc>
          <w:tcPr>
            <w:tcW w:w="782" w:type="pct"/>
            <w:tcBorders>
              <w:top w:val="single" w:sz="12" w:space="0" w:color="1F497D" w:themeColor="text2"/>
              <w:bottom w:val="single" w:sz="8" w:space="0" w:color="1F497D" w:themeColor="text2"/>
            </w:tcBorders>
            <w:shd w:val="clear" w:color="auto" w:fill="auto"/>
            <w:noWrap/>
            <w:vAlign w:val="center"/>
            <w:hideMark/>
          </w:tcPr>
          <w:p w:rsidR="00977C78" w:rsidRPr="00DA4CA5" w:rsidRDefault="00977C78" w:rsidP="00261886">
            <w:pPr>
              <w:keepNext/>
              <w:keepLines/>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Public share</w:t>
            </w:r>
          </w:p>
        </w:tc>
        <w:tc>
          <w:tcPr>
            <w:tcW w:w="782" w:type="pct"/>
            <w:tcBorders>
              <w:top w:val="single" w:sz="12" w:space="0" w:color="1F497D" w:themeColor="text2"/>
              <w:bottom w:val="single" w:sz="8" w:space="0" w:color="1F497D" w:themeColor="text2"/>
            </w:tcBorders>
            <w:vAlign w:val="center"/>
          </w:tcPr>
          <w:p w:rsidR="00977C78" w:rsidRPr="00DA4CA5" w:rsidRDefault="00977C78" w:rsidP="00261886">
            <w:pPr>
              <w:keepNext/>
              <w:keepLines/>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Change in private share</w:t>
            </w:r>
          </w:p>
        </w:tc>
        <w:tc>
          <w:tcPr>
            <w:tcW w:w="782" w:type="pct"/>
            <w:tcBorders>
              <w:top w:val="single" w:sz="12" w:space="0" w:color="1F497D" w:themeColor="text2"/>
              <w:bottom w:val="single" w:sz="8" w:space="0" w:color="1F497D" w:themeColor="text2"/>
            </w:tcBorders>
            <w:vAlign w:val="center"/>
          </w:tcPr>
          <w:p w:rsidR="00977C78" w:rsidRPr="00DA4CA5" w:rsidRDefault="00977C78" w:rsidP="00261886">
            <w:pPr>
              <w:keepNext/>
              <w:keepLines/>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Change in public share</w:t>
            </w:r>
          </w:p>
        </w:tc>
      </w:tr>
      <w:tr w:rsidR="00977C78" w:rsidRPr="00B2506E" w:rsidTr="00261886">
        <w:trPr>
          <w:trHeight w:val="285"/>
        </w:trPr>
        <w:tc>
          <w:tcPr>
            <w:tcW w:w="1872" w:type="pct"/>
            <w:tcBorders>
              <w:top w:val="single" w:sz="8" w:space="0" w:color="1F497D" w:themeColor="text2"/>
            </w:tcBorders>
            <w:shd w:val="clear" w:color="auto" w:fill="F2F2F2" w:themeFill="background1" w:themeFillShade="F2"/>
            <w:noWrap/>
            <w:vAlign w:val="bottom"/>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Bach. Edu.</w:t>
            </w:r>
          </w:p>
        </w:tc>
        <w:tc>
          <w:tcPr>
            <w:tcW w:w="782" w:type="pct"/>
            <w:tcBorders>
              <w:top w:val="single" w:sz="8" w:space="0" w:color="1F497D" w:themeColor="text2"/>
            </w:tcBorders>
            <w:shd w:val="clear" w:color="auto" w:fill="F2F2F2" w:themeFill="background1" w:themeFillShade="F2"/>
            <w:noWrap/>
            <w:vAlign w:val="bottom"/>
          </w:tcPr>
          <w:p w:rsidR="00977C78" w:rsidRPr="00B2506E" w:rsidRDefault="00977C78" w:rsidP="00261886">
            <w:pPr>
              <w:keepNext/>
              <w:keepLines/>
              <w:rPr>
                <w:rFonts w:asciiTheme="minorHAnsi" w:hAnsiTheme="minorHAnsi" w:cs="Arial"/>
                <w:color w:val="000000"/>
                <w:sz w:val="20"/>
                <w:lang w:eastAsia="en-AU"/>
              </w:rPr>
            </w:pPr>
          </w:p>
        </w:tc>
        <w:tc>
          <w:tcPr>
            <w:tcW w:w="782" w:type="pct"/>
            <w:tcBorders>
              <w:top w:val="single" w:sz="8" w:space="0" w:color="1F497D" w:themeColor="text2"/>
            </w:tcBorders>
            <w:shd w:val="clear" w:color="auto" w:fill="F2F2F2" w:themeFill="background1" w:themeFillShade="F2"/>
            <w:noWrap/>
            <w:vAlign w:val="bottom"/>
          </w:tcPr>
          <w:p w:rsidR="00977C78" w:rsidRPr="00B2506E" w:rsidRDefault="00977C78" w:rsidP="00261886">
            <w:pPr>
              <w:keepNext/>
              <w:keepLines/>
              <w:rPr>
                <w:rFonts w:asciiTheme="minorHAnsi" w:hAnsiTheme="minorHAnsi" w:cs="Arial"/>
                <w:color w:val="000000"/>
                <w:sz w:val="20"/>
                <w:lang w:eastAsia="en-AU"/>
              </w:rPr>
            </w:pPr>
          </w:p>
        </w:tc>
        <w:tc>
          <w:tcPr>
            <w:tcW w:w="782" w:type="pct"/>
            <w:tcBorders>
              <w:top w:val="single" w:sz="8" w:space="0" w:color="1F497D" w:themeColor="text2"/>
            </w:tcBorders>
            <w:shd w:val="clear" w:color="auto" w:fill="F2F2F2" w:themeFill="background1" w:themeFillShade="F2"/>
          </w:tcPr>
          <w:p w:rsidR="00977C78" w:rsidRPr="00B2506E" w:rsidRDefault="00977C78" w:rsidP="00261886">
            <w:pPr>
              <w:keepNext/>
              <w:keepLines/>
              <w:rPr>
                <w:rFonts w:asciiTheme="minorHAnsi" w:hAnsiTheme="minorHAnsi" w:cs="Arial"/>
                <w:color w:val="000000"/>
                <w:sz w:val="20"/>
                <w:lang w:eastAsia="en-AU"/>
              </w:rPr>
            </w:pPr>
          </w:p>
        </w:tc>
        <w:tc>
          <w:tcPr>
            <w:tcW w:w="782" w:type="pct"/>
            <w:tcBorders>
              <w:top w:val="single" w:sz="8" w:space="0" w:color="1F497D" w:themeColor="text2"/>
            </w:tcBorders>
            <w:shd w:val="clear" w:color="auto" w:fill="F2F2F2" w:themeFill="background1" w:themeFillShade="F2"/>
          </w:tcPr>
          <w:p w:rsidR="00977C78" w:rsidRPr="00B2506E" w:rsidRDefault="00977C78" w:rsidP="00261886">
            <w:pPr>
              <w:keepNext/>
              <w:keepLines/>
              <w:rPr>
                <w:rFonts w:asciiTheme="minorHAnsi" w:hAnsiTheme="minorHAnsi" w:cs="Arial"/>
                <w:color w:val="000000"/>
                <w:sz w:val="20"/>
                <w:lang w:eastAsia="en-AU"/>
              </w:rPr>
            </w:pPr>
          </w:p>
        </w:tc>
      </w:tr>
      <w:tr w:rsidR="00977C78" w:rsidRPr="00B2506E" w:rsidTr="00261886">
        <w:trPr>
          <w:trHeight w:val="285"/>
        </w:trPr>
        <w:tc>
          <w:tcPr>
            <w:tcW w:w="1872" w:type="pct"/>
            <w:shd w:val="clear" w:color="auto" w:fill="auto"/>
            <w:noWrap/>
            <w:vAlign w:val="bottom"/>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Low (50%)</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45%</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55%</w:t>
            </w:r>
          </w:p>
        </w:tc>
        <w:tc>
          <w:tcPr>
            <w:tcW w:w="782" w:type="pct"/>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-6%</w:t>
            </w:r>
          </w:p>
        </w:tc>
        <w:tc>
          <w:tcPr>
            <w:tcW w:w="782" w:type="pct"/>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6%</w:t>
            </w:r>
          </w:p>
        </w:tc>
      </w:tr>
      <w:tr w:rsidR="00977C78" w:rsidRPr="00B2506E" w:rsidTr="00261886">
        <w:trPr>
          <w:trHeight w:val="285"/>
        </w:trPr>
        <w:tc>
          <w:tcPr>
            <w:tcW w:w="1872" w:type="pct"/>
            <w:shd w:val="clear" w:color="auto" w:fill="auto"/>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Base (100%)</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51%</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49%</w:t>
            </w:r>
          </w:p>
        </w:tc>
        <w:tc>
          <w:tcPr>
            <w:tcW w:w="782" w:type="pct"/>
            <w:vAlign w:val="bottom"/>
          </w:tcPr>
          <w:p w:rsidR="00977C78" w:rsidRPr="00EE3B52" w:rsidRDefault="00977C78" w:rsidP="00261886">
            <w:pPr>
              <w:contextualSpacing/>
              <w:rPr>
                <w:rFonts w:asciiTheme="minorHAnsi" w:hAnsiTheme="minorHAnsi" w:cs="Arial"/>
                <w:color w:val="000000"/>
                <w:sz w:val="20"/>
              </w:rPr>
            </w:pPr>
          </w:p>
        </w:tc>
        <w:tc>
          <w:tcPr>
            <w:tcW w:w="782" w:type="pct"/>
            <w:vAlign w:val="bottom"/>
          </w:tcPr>
          <w:p w:rsidR="00977C78" w:rsidRPr="00EE3B52" w:rsidRDefault="00977C78" w:rsidP="00261886">
            <w:pPr>
              <w:contextualSpacing/>
              <w:rPr>
                <w:rFonts w:asciiTheme="minorHAnsi" w:hAnsiTheme="minorHAnsi" w:cs="Arial"/>
                <w:color w:val="000000"/>
                <w:sz w:val="20"/>
              </w:rPr>
            </w:pPr>
          </w:p>
        </w:tc>
      </w:tr>
      <w:tr w:rsidR="00977C78" w:rsidRPr="00B2506E" w:rsidTr="00261886">
        <w:trPr>
          <w:trHeight w:val="285"/>
        </w:trPr>
        <w:tc>
          <w:tcPr>
            <w:tcW w:w="1872" w:type="pct"/>
            <w:shd w:val="clear" w:color="auto" w:fill="auto"/>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High (</w:t>
            </w:r>
            <w:r>
              <w:rPr>
                <w:rFonts w:asciiTheme="minorHAnsi" w:hAnsiTheme="minorHAnsi" w:cs="Arial"/>
                <w:color w:val="000000"/>
                <w:sz w:val="20"/>
                <w:lang w:eastAsia="en-AU"/>
              </w:rPr>
              <w:t>15</w:t>
            </w:r>
            <w:r w:rsidRPr="00B2506E">
              <w:rPr>
                <w:rFonts w:asciiTheme="minorHAnsi" w:hAnsiTheme="minorHAnsi" w:cs="Arial"/>
                <w:color w:val="000000"/>
                <w:sz w:val="20"/>
                <w:lang w:eastAsia="en-AU"/>
              </w:rPr>
              <w:t>0%)</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53%</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47%</w:t>
            </w:r>
          </w:p>
        </w:tc>
        <w:tc>
          <w:tcPr>
            <w:tcW w:w="782" w:type="pct"/>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2%</w:t>
            </w:r>
          </w:p>
        </w:tc>
        <w:tc>
          <w:tcPr>
            <w:tcW w:w="782" w:type="pct"/>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-2%</w:t>
            </w:r>
          </w:p>
        </w:tc>
      </w:tr>
      <w:tr w:rsidR="00977C78" w:rsidRPr="00B2506E" w:rsidTr="00261886">
        <w:trPr>
          <w:trHeight w:val="285"/>
        </w:trPr>
        <w:tc>
          <w:tcPr>
            <w:tcW w:w="1872" w:type="pct"/>
            <w:shd w:val="clear" w:color="auto" w:fill="F2F2F2" w:themeFill="background1" w:themeFillShade="F2"/>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Bach. Eng.</w:t>
            </w:r>
          </w:p>
        </w:tc>
        <w:tc>
          <w:tcPr>
            <w:tcW w:w="782" w:type="pct"/>
            <w:shd w:val="clear" w:color="auto" w:fill="F2F2F2" w:themeFill="background1" w:themeFillShade="F2"/>
            <w:noWrap/>
            <w:vAlign w:val="bottom"/>
          </w:tcPr>
          <w:p w:rsidR="00977C78" w:rsidRPr="00EE3B52" w:rsidRDefault="00977C78" w:rsidP="00261886">
            <w:pPr>
              <w:contextualSpacing/>
              <w:rPr>
                <w:rFonts w:asciiTheme="minorHAnsi" w:hAnsiTheme="minorHAnsi" w:cs="Arial"/>
                <w:color w:val="000000"/>
                <w:sz w:val="20"/>
              </w:rPr>
            </w:pPr>
          </w:p>
        </w:tc>
        <w:tc>
          <w:tcPr>
            <w:tcW w:w="782" w:type="pct"/>
            <w:shd w:val="clear" w:color="auto" w:fill="F2F2F2" w:themeFill="background1" w:themeFillShade="F2"/>
            <w:noWrap/>
            <w:vAlign w:val="bottom"/>
          </w:tcPr>
          <w:p w:rsidR="00977C78" w:rsidRPr="00EE3B52" w:rsidRDefault="00977C78" w:rsidP="00261886">
            <w:pPr>
              <w:contextualSpacing/>
              <w:rPr>
                <w:rFonts w:asciiTheme="minorHAnsi" w:hAnsiTheme="minorHAnsi" w:cs="Arial"/>
                <w:color w:val="000000"/>
                <w:sz w:val="20"/>
              </w:rPr>
            </w:pPr>
          </w:p>
        </w:tc>
        <w:tc>
          <w:tcPr>
            <w:tcW w:w="782" w:type="pct"/>
            <w:shd w:val="clear" w:color="auto" w:fill="F2F2F2" w:themeFill="background1" w:themeFillShade="F2"/>
            <w:vAlign w:val="bottom"/>
          </w:tcPr>
          <w:p w:rsidR="00977C78" w:rsidRPr="00EE3B52" w:rsidRDefault="00977C78" w:rsidP="00261886">
            <w:pPr>
              <w:contextualSpacing/>
              <w:rPr>
                <w:rFonts w:asciiTheme="minorHAnsi" w:hAnsiTheme="minorHAnsi" w:cs="Arial"/>
                <w:color w:val="000000"/>
                <w:sz w:val="20"/>
              </w:rPr>
            </w:pPr>
          </w:p>
        </w:tc>
        <w:tc>
          <w:tcPr>
            <w:tcW w:w="782" w:type="pct"/>
            <w:shd w:val="clear" w:color="auto" w:fill="F2F2F2" w:themeFill="background1" w:themeFillShade="F2"/>
            <w:vAlign w:val="bottom"/>
          </w:tcPr>
          <w:p w:rsidR="00977C78" w:rsidRPr="00EE3B52" w:rsidRDefault="00977C78" w:rsidP="00261886">
            <w:pPr>
              <w:contextualSpacing/>
              <w:rPr>
                <w:rFonts w:asciiTheme="minorHAnsi" w:hAnsiTheme="minorHAnsi" w:cs="Arial"/>
                <w:color w:val="000000"/>
                <w:sz w:val="20"/>
              </w:rPr>
            </w:pPr>
          </w:p>
        </w:tc>
      </w:tr>
      <w:tr w:rsidR="00977C78" w:rsidRPr="00B2506E" w:rsidTr="00261886">
        <w:trPr>
          <w:trHeight w:val="285"/>
        </w:trPr>
        <w:tc>
          <w:tcPr>
            <w:tcW w:w="1872" w:type="pct"/>
            <w:shd w:val="clear" w:color="auto" w:fill="auto"/>
            <w:noWrap/>
            <w:vAlign w:val="bottom"/>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Low (50%)</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34%</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66%</w:t>
            </w:r>
          </w:p>
        </w:tc>
        <w:tc>
          <w:tcPr>
            <w:tcW w:w="782" w:type="pct"/>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-4%</w:t>
            </w:r>
          </w:p>
        </w:tc>
        <w:tc>
          <w:tcPr>
            <w:tcW w:w="782" w:type="pct"/>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4%</w:t>
            </w:r>
          </w:p>
        </w:tc>
      </w:tr>
      <w:tr w:rsidR="00977C78" w:rsidRPr="00B2506E" w:rsidTr="00261886">
        <w:trPr>
          <w:trHeight w:val="285"/>
        </w:trPr>
        <w:tc>
          <w:tcPr>
            <w:tcW w:w="1872" w:type="pct"/>
            <w:shd w:val="clear" w:color="auto" w:fill="auto"/>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Base (100%)</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39%</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61%</w:t>
            </w:r>
          </w:p>
        </w:tc>
        <w:tc>
          <w:tcPr>
            <w:tcW w:w="782" w:type="pct"/>
            <w:vAlign w:val="bottom"/>
          </w:tcPr>
          <w:p w:rsidR="00977C78" w:rsidRPr="00EE3B52" w:rsidRDefault="00977C78" w:rsidP="00261886">
            <w:pPr>
              <w:contextualSpacing/>
              <w:rPr>
                <w:rFonts w:asciiTheme="minorHAnsi" w:hAnsiTheme="minorHAnsi" w:cs="Arial"/>
                <w:color w:val="000000"/>
                <w:sz w:val="20"/>
              </w:rPr>
            </w:pPr>
          </w:p>
        </w:tc>
        <w:tc>
          <w:tcPr>
            <w:tcW w:w="782" w:type="pct"/>
            <w:vAlign w:val="bottom"/>
          </w:tcPr>
          <w:p w:rsidR="00977C78" w:rsidRPr="00EE3B52" w:rsidRDefault="00977C78" w:rsidP="00261886">
            <w:pPr>
              <w:contextualSpacing/>
              <w:rPr>
                <w:rFonts w:asciiTheme="minorHAnsi" w:hAnsiTheme="minorHAnsi" w:cs="Arial"/>
                <w:color w:val="000000"/>
                <w:sz w:val="20"/>
              </w:rPr>
            </w:pPr>
          </w:p>
        </w:tc>
      </w:tr>
      <w:tr w:rsidR="00977C78" w:rsidRPr="00B2506E" w:rsidTr="00261886">
        <w:trPr>
          <w:trHeight w:val="285"/>
        </w:trPr>
        <w:tc>
          <w:tcPr>
            <w:tcW w:w="1872" w:type="pct"/>
            <w:shd w:val="clear" w:color="auto" w:fill="auto"/>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High (</w:t>
            </w:r>
            <w:r>
              <w:rPr>
                <w:rFonts w:asciiTheme="minorHAnsi" w:hAnsiTheme="minorHAnsi" w:cs="Arial"/>
                <w:color w:val="000000"/>
                <w:sz w:val="20"/>
                <w:lang w:eastAsia="en-AU"/>
              </w:rPr>
              <w:t>15</w:t>
            </w:r>
            <w:r w:rsidRPr="00B2506E">
              <w:rPr>
                <w:rFonts w:asciiTheme="minorHAnsi" w:hAnsiTheme="minorHAnsi" w:cs="Arial"/>
                <w:color w:val="000000"/>
                <w:sz w:val="20"/>
                <w:lang w:eastAsia="en-AU"/>
              </w:rPr>
              <w:t>0%)</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39%</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61%</w:t>
            </w:r>
          </w:p>
        </w:tc>
        <w:tc>
          <w:tcPr>
            <w:tcW w:w="782" w:type="pct"/>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0%</w:t>
            </w:r>
          </w:p>
        </w:tc>
        <w:tc>
          <w:tcPr>
            <w:tcW w:w="782" w:type="pct"/>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0%</w:t>
            </w:r>
          </w:p>
        </w:tc>
      </w:tr>
      <w:tr w:rsidR="00977C78" w:rsidRPr="00B2506E" w:rsidTr="00261886">
        <w:trPr>
          <w:trHeight w:val="285"/>
        </w:trPr>
        <w:tc>
          <w:tcPr>
            <w:tcW w:w="1872" w:type="pct"/>
            <w:shd w:val="clear" w:color="auto" w:fill="F2F2F2" w:themeFill="background1" w:themeFillShade="F2"/>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Bach. Bus.</w:t>
            </w:r>
          </w:p>
        </w:tc>
        <w:tc>
          <w:tcPr>
            <w:tcW w:w="782" w:type="pct"/>
            <w:shd w:val="clear" w:color="auto" w:fill="F2F2F2" w:themeFill="background1" w:themeFillShade="F2"/>
            <w:noWrap/>
            <w:vAlign w:val="bottom"/>
          </w:tcPr>
          <w:p w:rsidR="00977C78" w:rsidRPr="00EE3B52" w:rsidRDefault="00977C78" w:rsidP="00261886">
            <w:pPr>
              <w:contextualSpacing/>
              <w:rPr>
                <w:rFonts w:asciiTheme="minorHAnsi" w:hAnsiTheme="minorHAnsi" w:cs="Arial"/>
                <w:color w:val="000000"/>
                <w:sz w:val="20"/>
              </w:rPr>
            </w:pPr>
          </w:p>
        </w:tc>
        <w:tc>
          <w:tcPr>
            <w:tcW w:w="782" w:type="pct"/>
            <w:shd w:val="clear" w:color="auto" w:fill="F2F2F2" w:themeFill="background1" w:themeFillShade="F2"/>
            <w:noWrap/>
            <w:vAlign w:val="bottom"/>
          </w:tcPr>
          <w:p w:rsidR="00977C78" w:rsidRPr="00EE3B52" w:rsidRDefault="00977C78" w:rsidP="00261886">
            <w:pPr>
              <w:contextualSpacing/>
              <w:rPr>
                <w:rFonts w:asciiTheme="minorHAnsi" w:hAnsiTheme="minorHAnsi" w:cs="Arial"/>
                <w:color w:val="000000"/>
                <w:sz w:val="20"/>
              </w:rPr>
            </w:pPr>
          </w:p>
        </w:tc>
        <w:tc>
          <w:tcPr>
            <w:tcW w:w="782" w:type="pct"/>
            <w:shd w:val="clear" w:color="auto" w:fill="F2F2F2" w:themeFill="background1" w:themeFillShade="F2"/>
            <w:vAlign w:val="bottom"/>
          </w:tcPr>
          <w:p w:rsidR="00977C78" w:rsidRPr="00EE3B52" w:rsidRDefault="00977C78" w:rsidP="00261886">
            <w:pPr>
              <w:contextualSpacing/>
              <w:rPr>
                <w:rFonts w:asciiTheme="minorHAnsi" w:hAnsiTheme="minorHAnsi" w:cs="Arial"/>
                <w:color w:val="000000"/>
                <w:sz w:val="20"/>
              </w:rPr>
            </w:pPr>
          </w:p>
        </w:tc>
        <w:tc>
          <w:tcPr>
            <w:tcW w:w="782" w:type="pct"/>
            <w:shd w:val="clear" w:color="auto" w:fill="F2F2F2" w:themeFill="background1" w:themeFillShade="F2"/>
            <w:vAlign w:val="bottom"/>
          </w:tcPr>
          <w:p w:rsidR="00977C78" w:rsidRPr="00EE3B52" w:rsidRDefault="00977C78" w:rsidP="00261886">
            <w:pPr>
              <w:contextualSpacing/>
              <w:rPr>
                <w:rFonts w:asciiTheme="minorHAnsi" w:hAnsiTheme="minorHAnsi" w:cs="Arial"/>
                <w:color w:val="000000"/>
                <w:sz w:val="20"/>
              </w:rPr>
            </w:pPr>
          </w:p>
        </w:tc>
      </w:tr>
      <w:tr w:rsidR="00977C78" w:rsidRPr="00B2506E" w:rsidTr="00261886">
        <w:trPr>
          <w:trHeight w:val="285"/>
        </w:trPr>
        <w:tc>
          <w:tcPr>
            <w:tcW w:w="1872" w:type="pct"/>
            <w:shd w:val="clear" w:color="auto" w:fill="auto"/>
            <w:noWrap/>
            <w:vAlign w:val="bottom"/>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Low (50%)</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36%</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64%</w:t>
            </w:r>
          </w:p>
        </w:tc>
        <w:tc>
          <w:tcPr>
            <w:tcW w:w="782" w:type="pct"/>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-7%</w:t>
            </w:r>
          </w:p>
        </w:tc>
        <w:tc>
          <w:tcPr>
            <w:tcW w:w="782" w:type="pct"/>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7%</w:t>
            </w:r>
          </w:p>
        </w:tc>
      </w:tr>
      <w:tr w:rsidR="00977C78" w:rsidRPr="00B2506E" w:rsidTr="00261886">
        <w:trPr>
          <w:trHeight w:val="285"/>
        </w:trPr>
        <w:tc>
          <w:tcPr>
            <w:tcW w:w="1872" w:type="pct"/>
            <w:shd w:val="clear" w:color="auto" w:fill="auto"/>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Base (100%)</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44%</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56%</w:t>
            </w:r>
          </w:p>
        </w:tc>
        <w:tc>
          <w:tcPr>
            <w:tcW w:w="782" w:type="pct"/>
            <w:vAlign w:val="bottom"/>
          </w:tcPr>
          <w:p w:rsidR="00977C78" w:rsidRPr="00EE3B52" w:rsidRDefault="00977C78" w:rsidP="00261886">
            <w:pPr>
              <w:contextualSpacing/>
              <w:rPr>
                <w:rFonts w:asciiTheme="minorHAnsi" w:hAnsiTheme="minorHAnsi" w:cs="Arial"/>
                <w:color w:val="000000"/>
                <w:sz w:val="20"/>
              </w:rPr>
            </w:pPr>
          </w:p>
        </w:tc>
        <w:tc>
          <w:tcPr>
            <w:tcW w:w="782" w:type="pct"/>
            <w:vAlign w:val="bottom"/>
          </w:tcPr>
          <w:p w:rsidR="00977C78" w:rsidRPr="00EE3B52" w:rsidRDefault="00977C78" w:rsidP="00261886">
            <w:pPr>
              <w:contextualSpacing/>
              <w:rPr>
                <w:rFonts w:asciiTheme="minorHAnsi" w:hAnsiTheme="minorHAnsi" w:cs="Arial"/>
                <w:color w:val="000000"/>
                <w:sz w:val="20"/>
              </w:rPr>
            </w:pPr>
          </w:p>
        </w:tc>
      </w:tr>
      <w:tr w:rsidR="00977C78" w:rsidRPr="006651B6" w:rsidTr="00261886">
        <w:trPr>
          <w:trHeight w:val="285"/>
        </w:trPr>
        <w:tc>
          <w:tcPr>
            <w:tcW w:w="1872" w:type="pct"/>
            <w:shd w:val="clear" w:color="auto" w:fill="auto"/>
            <w:noWrap/>
            <w:vAlign w:val="bottom"/>
            <w:hideMark/>
          </w:tcPr>
          <w:p w:rsidR="00977C78" w:rsidRPr="00B2506E" w:rsidRDefault="00977C78" w:rsidP="00261886">
            <w:pPr>
              <w:keepNext/>
              <w:keepLines/>
              <w:rPr>
                <w:rFonts w:asciiTheme="minorHAnsi" w:hAnsiTheme="minorHAnsi" w:cs="Arial"/>
                <w:color w:val="000000"/>
                <w:sz w:val="20"/>
                <w:lang w:eastAsia="en-AU"/>
              </w:rPr>
            </w:pPr>
            <w:r w:rsidRPr="00B2506E">
              <w:rPr>
                <w:rFonts w:asciiTheme="minorHAnsi" w:hAnsiTheme="minorHAnsi" w:cs="Arial"/>
                <w:color w:val="000000"/>
                <w:sz w:val="20"/>
                <w:lang w:eastAsia="en-AU"/>
              </w:rPr>
              <w:t>High (</w:t>
            </w:r>
            <w:r>
              <w:rPr>
                <w:rFonts w:asciiTheme="minorHAnsi" w:hAnsiTheme="minorHAnsi" w:cs="Arial"/>
                <w:color w:val="000000"/>
                <w:sz w:val="20"/>
                <w:lang w:eastAsia="en-AU"/>
              </w:rPr>
              <w:t>15</w:t>
            </w:r>
            <w:r w:rsidRPr="00B2506E">
              <w:rPr>
                <w:rFonts w:asciiTheme="minorHAnsi" w:hAnsiTheme="minorHAnsi" w:cs="Arial"/>
                <w:color w:val="000000"/>
                <w:sz w:val="20"/>
                <w:lang w:eastAsia="en-AU"/>
              </w:rPr>
              <w:t>0%)</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42%</w:t>
            </w:r>
          </w:p>
        </w:tc>
        <w:tc>
          <w:tcPr>
            <w:tcW w:w="782" w:type="pct"/>
            <w:shd w:val="clear" w:color="auto" w:fill="auto"/>
            <w:noWrap/>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58%</w:t>
            </w:r>
          </w:p>
        </w:tc>
        <w:tc>
          <w:tcPr>
            <w:tcW w:w="782" w:type="pct"/>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-2%</w:t>
            </w:r>
          </w:p>
        </w:tc>
        <w:tc>
          <w:tcPr>
            <w:tcW w:w="782" w:type="pct"/>
            <w:vAlign w:val="bottom"/>
          </w:tcPr>
          <w:p w:rsidR="00977C78" w:rsidRPr="00EE3B52" w:rsidRDefault="00977C78" w:rsidP="00261886">
            <w:pPr>
              <w:contextualSpacing/>
              <w:jc w:val="right"/>
              <w:rPr>
                <w:rFonts w:asciiTheme="minorHAnsi" w:hAnsiTheme="minorHAnsi" w:cs="Arial"/>
                <w:color w:val="000000"/>
                <w:sz w:val="20"/>
              </w:rPr>
            </w:pPr>
            <w:r w:rsidRPr="00EE3B52">
              <w:rPr>
                <w:rFonts w:asciiTheme="minorHAnsi" w:hAnsiTheme="minorHAnsi" w:cs="Arial"/>
                <w:color w:val="000000"/>
                <w:sz w:val="20"/>
              </w:rPr>
              <w:t>2%</w:t>
            </w:r>
          </w:p>
        </w:tc>
      </w:tr>
    </w:tbl>
    <w:p w:rsidR="00E74CEE" w:rsidRDefault="00E74CEE" w:rsidP="00E74CEE">
      <w:pPr>
        <w:pStyle w:val="Source"/>
      </w:pPr>
      <w:r>
        <w:t>Source: Deloitte Access Economics DAE-RGEM model</w:t>
      </w:r>
    </w:p>
    <w:p w:rsidR="00502380" w:rsidRPr="00502380" w:rsidRDefault="00502380" w:rsidP="00977C78">
      <w:pPr>
        <w:pStyle w:val="BodyText"/>
        <w:rPr>
          <w:b/>
          <w:color w:val="002776" w:themeColor="accent1"/>
          <w:sz w:val="32"/>
          <w:szCs w:val="32"/>
          <w:lang w:eastAsia="en-AU"/>
        </w:rPr>
      </w:pPr>
      <w:r w:rsidRPr="00502380">
        <w:rPr>
          <w:b/>
          <w:color w:val="002776" w:themeColor="accent1"/>
          <w:sz w:val="32"/>
          <w:szCs w:val="32"/>
          <w:lang w:eastAsia="en-AU"/>
        </w:rPr>
        <w:t>Industry composition</w:t>
      </w:r>
    </w:p>
    <w:p w:rsidR="00977C78" w:rsidRDefault="00977C78" w:rsidP="00977C78">
      <w:pPr>
        <w:pStyle w:val="BodyText"/>
        <w:rPr>
          <w:lang w:eastAsia="en-AU"/>
        </w:rPr>
      </w:pPr>
      <w:r>
        <w:rPr>
          <w:lang w:eastAsia="en-AU"/>
        </w:rPr>
        <w:t>Within the standard model, the industrial structure of the model is largely constant over time, with the industries growing proportionally larger with the broad economy. For instance, in the baseline for 2011, the mining sector made up 10% of value added. Given that the mining sector is likely to make up a smaller part of the Australian economy in the future, s</w:t>
      </w:r>
      <w:r w:rsidR="00BC7211">
        <w:rPr>
          <w:lang w:eastAsia="en-AU"/>
        </w:rPr>
        <w:t>ensitivity analysis</w:t>
      </w:r>
      <w:r>
        <w:rPr>
          <w:lang w:eastAsia="en-AU"/>
        </w:rPr>
        <w:t xml:space="preserve"> tests the effect of </w:t>
      </w:r>
      <w:r w:rsidR="00BC7211">
        <w:rPr>
          <w:lang w:eastAsia="en-AU"/>
        </w:rPr>
        <w:t>a reduction in mining value added for engineering graduates</w:t>
      </w:r>
      <w:r>
        <w:rPr>
          <w:lang w:eastAsia="en-AU"/>
        </w:rPr>
        <w:t xml:space="preserve">. Indeed, nearly 40% of workers in the mining industry </w:t>
      </w:r>
      <w:r w:rsidR="00BC7211">
        <w:rPr>
          <w:lang w:eastAsia="en-AU"/>
        </w:rPr>
        <w:t xml:space="preserve">hold engineering </w:t>
      </w:r>
      <w:r>
        <w:rPr>
          <w:lang w:eastAsia="en-AU"/>
        </w:rPr>
        <w:t>qualifications.</w:t>
      </w:r>
    </w:p>
    <w:p w:rsidR="00977C78" w:rsidRDefault="00977C78" w:rsidP="00977C78">
      <w:pPr>
        <w:pStyle w:val="BodyText"/>
        <w:rPr>
          <w:lang w:eastAsia="en-AU"/>
        </w:rPr>
      </w:pPr>
      <w:r>
        <w:rPr>
          <w:lang w:eastAsia="en-AU"/>
        </w:rPr>
        <w:t xml:space="preserve">In a stylised example, we </w:t>
      </w:r>
      <w:r w:rsidR="00E86B9C">
        <w:rPr>
          <w:lang w:eastAsia="en-AU"/>
        </w:rPr>
        <w:t>i</w:t>
      </w:r>
      <w:r w:rsidRPr="00563C89">
        <w:rPr>
          <w:lang w:eastAsia="en-AU"/>
        </w:rPr>
        <w:t xml:space="preserve">mpose constraints on </w:t>
      </w:r>
      <w:r>
        <w:rPr>
          <w:lang w:eastAsia="en-AU"/>
        </w:rPr>
        <w:t xml:space="preserve">mining industry </w:t>
      </w:r>
      <w:r w:rsidRPr="00563C89">
        <w:rPr>
          <w:lang w:eastAsia="en-AU"/>
        </w:rPr>
        <w:t>output in the base</w:t>
      </w:r>
      <w:r>
        <w:rPr>
          <w:lang w:eastAsia="en-AU"/>
        </w:rPr>
        <w:t xml:space="preserve">line such that it accounts for </w:t>
      </w:r>
      <w:r w:rsidR="004210DC">
        <w:rPr>
          <w:lang w:eastAsia="en-AU"/>
        </w:rPr>
        <w:t>5</w:t>
      </w:r>
      <w:r w:rsidR="00F94F7F">
        <w:rPr>
          <w:lang w:eastAsia="en-AU"/>
        </w:rPr>
        <w:t>%</w:t>
      </w:r>
      <w:r w:rsidRPr="00563C89">
        <w:rPr>
          <w:lang w:eastAsia="en-AU"/>
        </w:rPr>
        <w:t xml:space="preserve"> of value added by 2030.</w:t>
      </w:r>
      <w:r>
        <w:rPr>
          <w:rStyle w:val="FootnoteReference"/>
          <w:lang w:eastAsia="en-AU"/>
        </w:rPr>
        <w:footnoteReference w:id="58"/>
      </w:r>
      <w:r>
        <w:rPr>
          <w:lang w:eastAsia="en-AU"/>
        </w:rPr>
        <w:t xml:space="preserve"> Then bachelor engineering graduates are added to the skill pool. </w:t>
      </w:r>
    </w:p>
    <w:p w:rsidR="00977C78" w:rsidRDefault="00977C78" w:rsidP="00977C78">
      <w:pPr>
        <w:pStyle w:val="BodyText"/>
        <w:rPr>
          <w:lang w:eastAsia="en-AU"/>
        </w:rPr>
      </w:pPr>
      <w:r>
        <w:rPr>
          <w:lang w:eastAsia="en-AU"/>
        </w:rPr>
        <w:fldChar w:fldCharType="begin"/>
      </w:r>
      <w:r>
        <w:rPr>
          <w:lang w:eastAsia="en-AU"/>
        </w:rPr>
        <w:instrText xml:space="preserve"> REF _Ref460957928 \r \h </w:instrText>
      </w:r>
      <w:r>
        <w:rPr>
          <w:lang w:eastAsia="en-AU"/>
        </w:rPr>
      </w:r>
      <w:r>
        <w:rPr>
          <w:lang w:eastAsia="en-AU"/>
        </w:rPr>
        <w:fldChar w:fldCharType="separate"/>
      </w:r>
      <w:r w:rsidR="00534F9F">
        <w:rPr>
          <w:lang w:eastAsia="en-AU"/>
        </w:rPr>
        <w:t>Table D.4</w:t>
      </w:r>
      <w:r>
        <w:rPr>
          <w:lang w:eastAsia="en-AU"/>
        </w:rPr>
        <w:fldChar w:fldCharType="end"/>
      </w:r>
      <w:r>
        <w:rPr>
          <w:lang w:eastAsia="en-AU"/>
        </w:rPr>
        <w:t xml:space="preserve"> shows that a decrease in the share of the mining sector is associated with a three </w:t>
      </w:r>
      <w:r w:rsidR="004210DC">
        <w:rPr>
          <w:lang w:eastAsia="en-AU"/>
        </w:rPr>
        <w:t>percent</w:t>
      </w:r>
      <w:r>
        <w:rPr>
          <w:lang w:eastAsia="en-AU"/>
        </w:rPr>
        <w:t>age point increase in the share of private benefits. This is because as the mining sector decreases, other sectors including other business services and government services expand to take its place. Consequently, a higher proportion of mining graduates will be employed in these industries. As other industries in the economy tend to be less capital intensive compared to mining, there is likely to be less allocative gains associated with induced capital investment.</w:t>
      </w:r>
    </w:p>
    <w:p w:rsidR="00977C78" w:rsidRDefault="00977C78" w:rsidP="00977C78">
      <w:pPr>
        <w:pStyle w:val="BodyText"/>
        <w:rPr>
          <w:lang w:eastAsia="en-AU"/>
        </w:rPr>
      </w:pPr>
    </w:p>
    <w:p w:rsidR="00977C78" w:rsidRDefault="00977C78" w:rsidP="00977C78">
      <w:pPr>
        <w:pStyle w:val="BodyText"/>
        <w:rPr>
          <w:lang w:eastAsia="en-AU"/>
        </w:rPr>
      </w:pPr>
    </w:p>
    <w:p w:rsidR="00977C78" w:rsidRDefault="00977C78" w:rsidP="00977C78">
      <w:pPr>
        <w:pStyle w:val="AppendixTableCaption"/>
        <w:rPr>
          <w:lang w:eastAsia="en-AU"/>
        </w:rPr>
      </w:pPr>
      <w:bookmarkStart w:id="361" w:name="_Ref460957928"/>
      <w:bookmarkStart w:id="362" w:name="_Toc465961149"/>
      <w:r>
        <w:rPr>
          <w:lang w:eastAsia="en-AU"/>
        </w:rPr>
        <w:t>: Select public-private shares for industry composition sensitivity analysis</w:t>
      </w:r>
      <w:bookmarkEnd w:id="361"/>
      <w:bookmarkEnd w:id="362"/>
    </w:p>
    <w:tbl>
      <w:tblPr>
        <w:tblW w:w="5000" w:type="pct"/>
        <w:tblBorders>
          <w:top w:val="single" w:sz="12" w:space="0" w:color="1F497D" w:themeColor="text2"/>
          <w:bottom w:val="single" w:sz="12" w:space="0" w:color="1F497D" w:themeColor="text2"/>
        </w:tblBorders>
        <w:tblLook w:val="04A0" w:firstRow="1" w:lastRow="0" w:firstColumn="1" w:lastColumn="0" w:noHBand="0" w:noVBand="1"/>
      </w:tblPr>
      <w:tblGrid>
        <w:gridCol w:w="3072"/>
        <w:gridCol w:w="1309"/>
        <w:gridCol w:w="1280"/>
        <w:gridCol w:w="1280"/>
        <w:gridCol w:w="1280"/>
      </w:tblGrid>
      <w:tr w:rsidR="00977C78" w:rsidRPr="006651B6" w:rsidTr="00261886">
        <w:trPr>
          <w:trHeight w:val="285"/>
        </w:trPr>
        <w:tc>
          <w:tcPr>
            <w:tcW w:w="1872" w:type="pct"/>
            <w:tcBorders>
              <w:top w:val="single" w:sz="12" w:space="0" w:color="1F497D" w:themeColor="text2"/>
              <w:bottom w:val="single" w:sz="8" w:space="0" w:color="1F497D" w:themeColor="text2"/>
            </w:tcBorders>
            <w:shd w:val="clear" w:color="auto" w:fill="auto"/>
            <w:noWrap/>
            <w:vAlign w:val="bottom"/>
            <w:hideMark/>
          </w:tcPr>
          <w:p w:rsidR="00977C78" w:rsidRPr="00DA4CA5" w:rsidRDefault="00977C78" w:rsidP="00261886">
            <w:pPr>
              <w:jc w:val="center"/>
              <w:rPr>
                <w:rFonts w:asciiTheme="minorHAnsi" w:hAnsiTheme="minorHAnsi" w:cs="Arial"/>
                <w:color w:val="002776" w:themeColor="accent1"/>
                <w:sz w:val="20"/>
                <w:lang w:eastAsia="en-AU"/>
              </w:rPr>
            </w:pPr>
          </w:p>
        </w:tc>
        <w:tc>
          <w:tcPr>
            <w:tcW w:w="782" w:type="pct"/>
            <w:tcBorders>
              <w:top w:val="single" w:sz="12" w:space="0" w:color="1F497D" w:themeColor="text2"/>
              <w:bottom w:val="single" w:sz="8" w:space="0" w:color="1F497D" w:themeColor="text2"/>
            </w:tcBorders>
            <w:shd w:val="clear" w:color="auto" w:fill="auto"/>
            <w:noWrap/>
            <w:vAlign w:val="center"/>
            <w:hideMark/>
          </w:tcPr>
          <w:p w:rsidR="00977C78" w:rsidRPr="00DA4CA5" w:rsidRDefault="00977C78" w:rsidP="00261886">
            <w:pPr>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Private share</w:t>
            </w:r>
          </w:p>
        </w:tc>
        <w:tc>
          <w:tcPr>
            <w:tcW w:w="782" w:type="pct"/>
            <w:tcBorders>
              <w:top w:val="single" w:sz="12" w:space="0" w:color="1F497D" w:themeColor="text2"/>
              <w:bottom w:val="single" w:sz="8" w:space="0" w:color="1F497D" w:themeColor="text2"/>
            </w:tcBorders>
            <w:shd w:val="clear" w:color="auto" w:fill="auto"/>
            <w:noWrap/>
            <w:vAlign w:val="center"/>
            <w:hideMark/>
          </w:tcPr>
          <w:p w:rsidR="00977C78" w:rsidRPr="00DA4CA5" w:rsidRDefault="00977C78" w:rsidP="00261886">
            <w:pPr>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Public share</w:t>
            </w:r>
          </w:p>
        </w:tc>
        <w:tc>
          <w:tcPr>
            <w:tcW w:w="782" w:type="pct"/>
            <w:tcBorders>
              <w:top w:val="single" w:sz="12" w:space="0" w:color="1F497D" w:themeColor="text2"/>
              <w:bottom w:val="single" w:sz="8" w:space="0" w:color="1F497D" w:themeColor="text2"/>
            </w:tcBorders>
            <w:vAlign w:val="center"/>
          </w:tcPr>
          <w:p w:rsidR="00977C78" w:rsidRPr="00DA4CA5" w:rsidRDefault="00977C78" w:rsidP="00261886">
            <w:pPr>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Change in private share</w:t>
            </w:r>
          </w:p>
        </w:tc>
        <w:tc>
          <w:tcPr>
            <w:tcW w:w="782" w:type="pct"/>
            <w:tcBorders>
              <w:top w:val="single" w:sz="12" w:space="0" w:color="1F497D" w:themeColor="text2"/>
              <w:bottom w:val="single" w:sz="8" w:space="0" w:color="1F497D" w:themeColor="text2"/>
            </w:tcBorders>
            <w:vAlign w:val="center"/>
          </w:tcPr>
          <w:p w:rsidR="00977C78" w:rsidRPr="00DA4CA5" w:rsidRDefault="00977C78" w:rsidP="00261886">
            <w:pPr>
              <w:jc w:val="center"/>
              <w:rPr>
                <w:rFonts w:asciiTheme="minorHAnsi" w:hAnsiTheme="minorHAnsi" w:cs="Arial"/>
                <w:b/>
                <w:color w:val="002776" w:themeColor="accent1"/>
                <w:sz w:val="20"/>
                <w:lang w:eastAsia="en-AU"/>
              </w:rPr>
            </w:pPr>
            <w:r w:rsidRPr="00DA4CA5">
              <w:rPr>
                <w:rFonts w:asciiTheme="minorHAnsi" w:hAnsiTheme="minorHAnsi" w:cs="Arial"/>
                <w:b/>
                <w:color w:val="002776" w:themeColor="accent1"/>
                <w:sz w:val="20"/>
                <w:lang w:eastAsia="en-AU"/>
              </w:rPr>
              <w:t>Change in public share</w:t>
            </w:r>
          </w:p>
        </w:tc>
      </w:tr>
      <w:tr w:rsidR="00977C78" w:rsidRPr="006651B6" w:rsidTr="00261886">
        <w:trPr>
          <w:trHeight w:val="285"/>
        </w:trPr>
        <w:tc>
          <w:tcPr>
            <w:tcW w:w="1872" w:type="pct"/>
            <w:tcBorders>
              <w:top w:val="single" w:sz="8" w:space="0" w:color="1F497D" w:themeColor="text2"/>
            </w:tcBorders>
            <w:shd w:val="clear" w:color="auto" w:fill="F2F2F2" w:themeFill="background1" w:themeFillShade="F2"/>
            <w:noWrap/>
            <w:vAlign w:val="bottom"/>
          </w:tcPr>
          <w:p w:rsidR="00977C78" w:rsidRPr="006736A4" w:rsidRDefault="00977C78" w:rsidP="00261886">
            <w:pPr>
              <w:rPr>
                <w:rFonts w:asciiTheme="minorHAnsi" w:hAnsiTheme="minorHAnsi" w:cs="Arial"/>
                <w:color w:val="000000"/>
                <w:sz w:val="20"/>
                <w:lang w:eastAsia="en-AU"/>
              </w:rPr>
            </w:pPr>
            <w:r>
              <w:rPr>
                <w:rFonts w:asciiTheme="minorHAnsi" w:hAnsiTheme="minorHAnsi" w:cs="Arial"/>
                <w:color w:val="000000"/>
                <w:sz w:val="20"/>
                <w:lang w:eastAsia="en-AU"/>
              </w:rPr>
              <w:t>Bach. Eng</w:t>
            </w:r>
            <w:r w:rsidRPr="006736A4">
              <w:rPr>
                <w:rFonts w:asciiTheme="minorHAnsi" w:hAnsiTheme="minorHAnsi" w:cs="Arial"/>
                <w:color w:val="000000"/>
                <w:sz w:val="20"/>
                <w:lang w:eastAsia="en-AU"/>
              </w:rPr>
              <w:t>.</w:t>
            </w:r>
          </w:p>
        </w:tc>
        <w:tc>
          <w:tcPr>
            <w:tcW w:w="782" w:type="pct"/>
            <w:tcBorders>
              <w:top w:val="single" w:sz="8" w:space="0" w:color="1F497D" w:themeColor="text2"/>
            </w:tcBorders>
            <w:shd w:val="clear" w:color="auto" w:fill="F2F2F2" w:themeFill="background1" w:themeFillShade="F2"/>
            <w:noWrap/>
            <w:vAlign w:val="bottom"/>
          </w:tcPr>
          <w:p w:rsidR="00977C78" w:rsidRPr="006651B6" w:rsidRDefault="00977C78" w:rsidP="00261886">
            <w:pPr>
              <w:rPr>
                <w:rFonts w:asciiTheme="minorHAnsi" w:hAnsiTheme="minorHAnsi" w:cs="Arial"/>
                <w:color w:val="000000"/>
                <w:sz w:val="20"/>
                <w:lang w:eastAsia="en-AU"/>
              </w:rPr>
            </w:pPr>
          </w:p>
        </w:tc>
        <w:tc>
          <w:tcPr>
            <w:tcW w:w="782" w:type="pct"/>
            <w:tcBorders>
              <w:top w:val="single" w:sz="8" w:space="0" w:color="1F497D" w:themeColor="text2"/>
            </w:tcBorders>
            <w:shd w:val="clear" w:color="auto" w:fill="F2F2F2" w:themeFill="background1" w:themeFillShade="F2"/>
            <w:noWrap/>
            <w:vAlign w:val="bottom"/>
          </w:tcPr>
          <w:p w:rsidR="00977C78" w:rsidRPr="006651B6" w:rsidRDefault="00977C78" w:rsidP="00261886">
            <w:pPr>
              <w:rPr>
                <w:rFonts w:asciiTheme="minorHAnsi" w:hAnsiTheme="minorHAnsi" w:cs="Arial"/>
                <w:color w:val="000000"/>
                <w:sz w:val="20"/>
                <w:lang w:eastAsia="en-AU"/>
              </w:rPr>
            </w:pPr>
          </w:p>
        </w:tc>
        <w:tc>
          <w:tcPr>
            <w:tcW w:w="782" w:type="pct"/>
            <w:tcBorders>
              <w:top w:val="single" w:sz="8" w:space="0" w:color="1F497D" w:themeColor="text2"/>
            </w:tcBorders>
            <w:shd w:val="clear" w:color="auto" w:fill="F2F2F2" w:themeFill="background1" w:themeFillShade="F2"/>
          </w:tcPr>
          <w:p w:rsidR="00977C78" w:rsidRPr="006651B6" w:rsidRDefault="00977C78" w:rsidP="00261886">
            <w:pPr>
              <w:rPr>
                <w:rFonts w:asciiTheme="minorHAnsi" w:hAnsiTheme="minorHAnsi" w:cs="Arial"/>
                <w:color w:val="000000"/>
                <w:sz w:val="20"/>
                <w:lang w:eastAsia="en-AU"/>
              </w:rPr>
            </w:pPr>
          </w:p>
        </w:tc>
        <w:tc>
          <w:tcPr>
            <w:tcW w:w="782" w:type="pct"/>
            <w:tcBorders>
              <w:top w:val="single" w:sz="8" w:space="0" w:color="1F497D" w:themeColor="text2"/>
            </w:tcBorders>
            <w:shd w:val="clear" w:color="auto" w:fill="F2F2F2" w:themeFill="background1" w:themeFillShade="F2"/>
          </w:tcPr>
          <w:p w:rsidR="00977C78" w:rsidRPr="006651B6" w:rsidRDefault="00977C78" w:rsidP="00261886">
            <w:pPr>
              <w:rPr>
                <w:rFonts w:asciiTheme="minorHAnsi" w:hAnsiTheme="minorHAnsi" w:cs="Arial"/>
                <w:color w:val="000000"/>
                <w:sz w:val="20"/>
                <w:lang w:eastAsia="en-AU"/>
              </w:rPr>
            </w:pPr>
          </w:p>
        </w:tc>
      </w:tr>
      <w:tr w:rsidR="00977C78" w:rsidRPr="006651B6" w:rsidTr="00261886">
        <w:trPr>
          <w:trHeight w:val="285"/>
        </w:trPr>
        <w:tc>
          <w:tcPr>
            <w:tcW w:w="1872" w:type="pct"/>
            <w:shd w:val="clear" w:color="auto" w:fill="auto"/>
            <w:noWrap/>
            <w:vAlign w:val="bottom"/>
            <w:hideMark/>
          </w:tcPr>
          <w:p w:rsidR="00977C78" w:rsidRPr="006736A4" w:rsidRDefault="00977C78" w:rsidP="00961D72">
            <w:pPr>
              <w:rPr>
                <w:rFonts w:asciiTheme="minorHAnsi" w:hAnsiTheme="minorHAnsi" w:cs="Arial"/>
                <w:color w:val="000000"/>
                <w:sz w:val="20"/>
                <w:lang w:eastAsia="en-AU"/>
              </w:rPr>
            </w:pPr>
            <w:r>
              <w:rPr>
                <w:rFonts w:asciiTheme="minorHAnsi" w:hAnsiTheme="minorHAnsi" w:cs="Arial"/>
                <w:color w:val="000000"/>
                <w:sz w:val="20"/>
                <w:lang w:eastAsia="en-AU"/>
              </w:rPr>
              <w:t>Base mining (10%</w:t>
            </w:r>
            <w:r w:rsidR="00E74CEE">
              <w:rPr>
                <w:rFonts w:asciiTheme="minorHAnsi" w:hAnsiTheme="minorHAnsi" w:cs="Arial"/>
                <w:color w:val="000000"/>
                <w:sz w:val="20"/>
                <w:lang w:eastAsia="en-AU"/>
              </w:rPr>
              <w:t xml:space="preserve"> of GVA</w:t>
            </w:r>
            <w:r>
              <w:rPr>
                <w:rFonts w:asciiTheme="minorHAnsi" w:hAnsiTheme="minorHAnsi" w:cs="Arial"/>
                <w:color w:val="000000"/>
                <w:sz w:val="20"/>
                <w:lang w:eastAsia="en-AU"/>
              </w:rPr>
              <w:t>)</w:t>
            </w:r>
          </w:p>
        </w:tc>
        <w:tc>
          <w:tcPr>
            <w:tcW w:w="782" w:type="pct"/>
            <w:shd w:val="clear" w:color="auto" w:fill="auto"/>
            <w:noWrap/>
            <w:vAlign w:val="center"/>
            <w:hideMark/>
          </w:tcPr>
          <w:p w:rsidR="00977C78" w:rsidRPr="002936EF" w:rsidRDefault="00977C78" w:rsidP="00261886">
            <w:pPr>
              <w:jc w:val="center"/>
              <w:rPr>
                <w:rFonts w:asciiTheme="minorHAnsi" w:hAnsiTheme="minorHAnsi" w:cs="Arial"/>
                <w:color w:val="000000"/>
                <w:sz w:val="20"/>
                <w:lang w:eastAsia="en-AU"/>
              </w:rPr>
            </w:pPr>
            <w:r w:rsidRPr="002936EF">
              <w:rPr>
                <w:rFonts w:asciiTheme="minorHAnsi" w:hAnsiTheme="minorHAnsi" w:cs="Arial"/>
                <w:color w:val="000000"/>
                <w:sz w:val="20"/>
                <w:lang w:eastAsia="en-AU"/>
              </w:rPr>
              <w:t>39%</w:t>
            </w:r>
          </w:p>
        </w:tc>
        <w:tc>
          <w:tcPr>
            <w:tcW w:w="782" w:type="pct"/>
            <w:shd w:val="clear" w:color="auto" w:fill="auto"/>
            <w:noWrap/>
            <w:vAlign w:val="center"/>
            <w:hideMark/>
          </w:tcPr>
          <w:p w:rsidR="00977C78" w:rsidRPr="002936EF" w:rsidRDefault="00977C78" w:rsidP="00261886">
            <w:pPr>
              <w:jc w:val="center"/>
              <w:rPr>
                <w:rFonts w:asciiTheme="minorHAnsi" w:hAnsiTheme="minorHAnsi" w:cs="Arial"/>
                <w:color w:val="000000"/>
                <w:sz w:val="20"/>
                <w:lang w:eastAsia="en-AU"/>
              </w:rPr>
            </w:pPr>
            <w:r w:rsidRPr="002936EF">
              <w:rPr>
                <w:rFonts w:asciiTheme="minorHAnsi" w:hAnsiTheme="minorHAnsi" w:cs="Arial"/>
                <w:color w:val="000000"/>
                <w:sz w:val="20"/>
                <w:lang w:eastAsia="en-AU"/>
              </w:rPr>
              <w:t>61%</w:t>
            </w:r>
          </w:p>
        </w:tc>
        <w:tc>
          <w:tcPr>
            <w:tcW w:w="782" w:type="pct"/>
            <w:vAlign w:val="center"/>
          </w:tcPr>
          <w:p w:rsidR="00977C78" w:rsidRPr="002936EF" w:rsidRDefault="00977C78" w:rsidP="00261886">
            <w:pPr>
              <w:contextualSpacing/>
              <w:jc w:val="center"/>
              <w:rPr>
                <w:rFonts w:asciiTheme="minorHAnsi" w:hAnsiTheme="minorHAnsi"/>
                <w:sz w:val="20"/>
              </w:rPr>
            </w:pPr>
            <w:r w:rsidRPr="002936EF">
              <w:rPr>
                <w:rFonts w:asciiTheme="minorHAnsi" w:hAnsiTheme="minorHAnsi"/>
                <w:sz w:val="20"/>
              </w:rPr>
              <w:t>-</w:t>
            </w:r>
          </w:p>
        </w:tc>
        <w:tc>
          <w:tcPr>
            <w:tcW w:w="782" w:type="pct"/>
            <w:vAlign w:val="center"/>
          </w:tcPr>
          <w:p w:rsidR="00977C78" w:rsidRPr="002936EF" w:rsidRDefault="00977C78" w:rsidP="00261886">
            <w:pPr>
              <w:contextualSpacing/>
              <w:jc w:val="center"/>
              <w:rPr>
                <w:rFonts w:asciiTheme="minorHAnsi" w:hAnsiTheme="minorHAnsi"/>
                <w:sz w:val="20"/>
              </w:rPr>
            </w:pPr>
            <w:r w:rsidRPr="002936EF">
              <w:rPr>
                <w:rFonts w:asciiTheme="minorHAnsi" w:hAnsiTheme="minorHAnsi"/>
                <w:sz w:val="20"/>
              </w:rPr>
              <w:t>-</w:t>
            </w:r>
          </w:p>
        </w:tc>
      </w:tr>
      <w:tr w:rsidR="00977C78" w:rsidRPr="006651B6" w:rsidTr="00261886">
        <w:trPr>
          <w:trHeight w:val="285"/>
        </w:trPr>
        <w:tc>
          <w:tcPr>
            <w:tcW w:w="1872" w:type="pct"/>
            <w:shd w:val="clear" w:color="auto" w:fill="auto"/>
            <w:noWrap/>
            <w:vAlign w:val="bottom"/>
            <w:hideMark/>
          </w:tcPr>
          <w:p w:rsidR="00977C78" w:rsidRPr="006736A4" w:rsidRDefault="00977C78" w:rsidP="00261886">
            <w:pPr>
              <w:rPr>
                <w:rFonts w:asciiTheme="minorHAnsi" w:hAnsiTheme="minorHAnsi" w:cs="Arial"/>
                <w:color w:val="000000"/>
                <w:sz w:val="20"/>
                <w:lang w:eastAsia="en-AU"/>
              </w:rPr>
            </w:pPr>
            <w:r>
              <w:rPr>
                <w:rFonts w:asciiTheme="minorHAnsi" w:hAnsiTheme="minorHAnsi" w:cs="Arial"/>
                <w:color w:val="000000"/>
                <w:sz w:val="20"/>
                <w:lang w:eastAsia="en-AU"/>
              </w:rPr>
              <w:t>Low mining (5%</w:t>
            </w:r>
            <w:r w:rsidR="00E74CEE">
              <w:rPr>
                <w:rFonts w:asciiTheme="minorHAnsi" w:hAnsiTheme="minorHAnsi" w:cs="Arial"/>
                <w:color w:val="000000"/>
                <w:sz w:val="20"/>
                <w:lang w:eastAsia="en-AU"/>
              </w:rPr>
              <w:t xml:space="preserve"> of GVA</w:t>
            </w:r>
            <w:r>
              <w:rPr>
                <w:rFonts w:asciiTheme="minorHAnsi" w:hAnsiTheme="minorHAnsi" w:cs="Arial"/>
                <w:color w:val="000000"/>
                <w:sz w:val="20"/>
                <w:lang w:eastAsia="en-AU"/>
              </w:rPr>
              <w:t>)</w:t>
            </w:r>
          </w:p>
        </w:tc>
        <w:tc>
          <w:tcPr>
            <w:tcW w:w="782" w:type="pct"/>
            <w:shd w:val="clear" w:color="auto" w:fill="auto"/>
            <w:noWrap/>
            <w:vAlign w:val="center"/>
            <w:hideMark/>
          </w:tcPr>
          <w:p w:rsidR="00977C78" w:rsidRPr="002936EF" w:rsidRDefault="00977C78" w:rsidP="00261886">
            <w:pPr>
              <w:jc w:val="center"/>
              <w:rPr>
                <w:rFonts w:asciiTheme="minorHAnsi" w:hAnsiTheme="minorHAnsi" w:cs="Arial"/>
                <w:color w:val="000000"/>
                <w:sz w:val="20"/>
                <w:lang w:eastAsia="en-AU"/>
              </w:rPr>
            </w:pPr>
            <w:r w:rsidRPr="002936EF">
              <w:rPr>
                <w:rFonts w:asciiTheme="minorHAnsi" w:hAnsiTheme="minorHAnsi" w:cs="Arial"/>
                <w:color w:val="000000"/>
                <w:sz w:val="20"/>
                <w:lang w:eastAsia="en-AU"/>
              </w:rPr>
              <w:t>43%</w:t>
            </w:r>
          </w:p>
        </w:tc>
        <w:tc>
          <w:tcPr>
            <w:tcW w:w="782" w:type="pct"/>
            <w:shd w:val="clear" w:color="auto" w:fill="auto"/>
            <w:noWrap/>
            <w:vAlign w:val="center"/>
            <w:hideMark/>
          </w:tcPr>
          <w:p w:rsidR="00977C78" w:rsidRPr="002936EF" w:rsidRDefault="00977C78" w:rsidP="00261886">
            <w:pPr>
              <w:jc w:val="center"/>
              <w:rPr>
                <w:rFonts w:asciiTheme="minorHAnsi" w:hAnsiTheme="minorHAnsi" w:cs="Arial"/>
                <w:color w:val="000000"/>
                <w:sz w:val="20"/>
                <w:lang w:eastAsia="en-AU"/>
              </w:rPr>
            </w:pPr>
            <w:r w:rsidRPr="002936EF">
              <w:rPr>
                <w:rFonts w:asciiTheme="minorHAnsi" w:hAnsiTheme="minorHAnsi" w:cs="Arial"/>
                <w:color w:val="000000"/>
                <w:sz w:val="20"/>
                <w:lang w:eastAsia="en-AU"/>
              </w:rPr>
              <w:t>58%</w:t>
            </w:r>
          </w:p>
        </w:tc>
        <w:tc>
          <w:tcPr>
            <w:tcW w:w="782" w:type="pct"/>
            <w:vAlign w:val="center"/>
          </w:tcPr>
          <w:p w:rsidR="00977C78" w:rsidRPr="002936EF" w:rsidRDefault="00977C78" w:rsidP="00261886">
            <w:pPr>
              <w:contextualSpacing/>
              <w:jc w:val="center"/>
              <w:rPr>
                <w:rFonts w:asciiTheme="minorHAnsi" w:hAnsiTheme="minorHAnsi"/>
                <w:sz w:val="20"/>
              </w:rPr>
            </w:pPr>
            <w:r w:rsidRPr="002936EF">
              <w:rPr>
                <w:rFonts w:asciiTheme="minorHAnsi" w:hAnsiTheme="minorHAnsi"/>
                <w:sz w:val="20"/>
              </w:rPr>
              <w:t>3%</w:t>
            </w:r>
          </w:p>
        </w:tc>
        <w:tc>
          <w:tcPr>
            <w:tcW w:w="782" w:type="pct"/>
            <w:vAlign w:val="center"/>
          </w:tcPr>
          <w:p w:rsidR="00977C78" w:rsidRPr="002936EF" w:rsidRDefault="00977C78" w:rsidP="00261886">
            <w:pPr>
              <w:contextualSpacing/>
              <w:jc w:val="center"/>
              <w:rPr>
                <w:rFonts w:asciiTheme="minorHAnsi" w:hAnsiTheme="minorHAnsi"/>
                <w:sz w:val="20"/>
              </w:rPr>
            </w:pPr>
            <w:r w:rsidRPr="002936EF">
              <w:rPr>
                <w:rFonts w:asciiTheme="minorHAnsi" w:hAnsiTheme="minorHAnsi"/>
                <w:sz w:val="20"/>
              </w:rPr>
              <w:t>-3%</w:t>
            </w:r>
          </w:p>
        </w:tc>
      </w:tr>
    </w:tbl>
    <w:p w:rsidR="00E74CEE" w:rsidRDefault="00E74CEE" w:rsidP="00E74CEE">
      <w:pPr>
        <w:pStyle w:val="Source"/>
      </w:pPr>
      <w:r>
        <w:t>Source: Deloitte Access Economics DAE-RGEM model</w:t>
      </w:r>
    </w:p>
    <w:p w:rsidR="002B4F73" w:rsidRDefault="002B4F73" w:rsidP="00E74CEE">
      <w:pPr>
        <w:pStyle w:val="Source"/>
      </w:pPr>
    </w:p>
    <w:p w:rsidR="002B4F73" w:rsidRDefault="002B4F73" w:rsidP="00E74CEE">
      <w:pPr>
        <w:pStyle w:val="Source"/>
      </w:pPr>
    </w:p>
    <w:p w:rsidR="002B4F73" w:rsidRPr="004D09A3" w:rsidRDefault="002B4F73" w:rsidP="002B4F73">
      <w:pPr>
        <w:pStyle w:val="Appendix"/>
        <w:ind w:left="0"/>
        <w:rPr>
          <w:lang w:eastAsia="en-AU"/>
        </w:rPr>
      </w:pPr>
      <w:bookmarkStart w:id="363" w:name="_Toc465961222"/>
      <w:r w:rsidRPr="004D09A3">
        <w:rPr>
          <w:lang w:eastAsia="en-AU"/>
        </w:rPr>
        <w:t xml:space="preserve">: </w:t>
      </w:r>
      <w:r w:rsidR="009C0EF1">
        <w:rPr>
          <w:lang w:eastAsia="en-AU"/>
        </w:rPr>
        <w:t>Other considerations</w:t>
      </w:r>
      <w:bookmarkEnd w:id="363"/>
      <w:r w:rsidR="00741F7E" w:rsidRPr="004D09A3">
        <w:rPr>
          <w:lang w:eastAsia="en-AU"/>
        </w:rPr>
        <w:t xml:space="preserve"> </w:t>
      </w:r>
    </w:p>
    <w:p w:rsidR="007A4C45" w:rsidRDefault="00741F7E" w:rsidP="00741F7E">
      <w:pPr>
        <w:jc w:val="both"/>
        <w:rPr>
          <w:lang w:eastAsia="en-AU"/>
        </w:rPr>
      </w:pPr>
      <w:r w:rsidRPr="004D09A3">
        <w:rPr>
          <w:lang w:eastAsia="en-AU"/>
        </w:rPr>
        <w:t xml:space="preserve">The bulk of the work in this study was conducted </w:t>
      </w:r>
      <w:r w:rsidR="00875D2D" w:rsidRPr="004D09A3">
        <w:rPr>
          <w:lang w:eastAsia="en-AU"/>
        </w:rPr>
        <w:t xml:space="preserve">to understand the public and private benefits of higher education </w:t>
      </w:r>
      <w:r w:rsidRPr="004D09A3">
        <w:rPr>
          <w:lang w:eastAsia="en-AU"/>
        </w:rPr>
        <w:t>qualifications.</w:t>
      </w:r>
      <w:r w:rsidR="00875D2D" w:rsidRPr="004D09A3">
        <w:rPr>
          <w:lang w:eastAsia="en-AU"/>
        </w:rPr>
        <w:t xml:space="preserve"> </w:t>
      </w:r>
      <w:r w:rsidRPr="004D09A3">
        <w:rPr>
          <w:lang w:eastAsia="en-AU"/>
        </w:rPr>
        <w:t>In addition</w:t>
      </w:r>
      <w:r>
        <w:rPr>
          <w:lang w:eastAsia="en-AU"/>
        </w:rPr>
        <w:t xml:space="preserve"> to this work, </w:t>
      </w:r>
      <w:r w:rsidR="00875D2D">
        <w:rPr>
          <w:lang w:eastAsia="en-AU"/>
        </w:rPr>
        <w:t xml:space="preserve">modelling has been undertaken to quantify the relative public and private benefits of </w:t>
      </w:r>
      <w:r>
        <w:rPr>
          <w:lang w:eastAsia="en-AU"/>
        </w:rPr>
        <w:t xml:space="preserve">labour market outcomes for </w:t>
      </w:r>
      <w:r w:rsidR="007A4C45">
        <w:rPr>
          <w:lang w:eastAsia="en-AU"/>
        </w:rPr>
        <w:t xml:space="preserve">individuals </w:t>
      </w:r>
      <w:r>
        <w:rPr>
          <w:lang w:eastAsia="en-AU"/>
        </w:rPr>
        <w:t>with higher education qualifications. Importantly, these benefits do not isolate the effect of the qualification itself, rather they combine the demographic and cognitive ability effects along with the qualification effect.</w:t>
      </w:r>
      <w:r w:rsidR="00E42747">
        <w:rPr>
          <w:lang w:eastAsia="en-AU"/>
        </w:rPr>
        <w:t xml:space="preserve"> </w:t>
      </w:r>
    </w:p>
    <w:p w:rsidR="007A4C45" w:rsidRDefault="007A4C45" w:rsidP="00741F7E">
      <w:pPr>
        <w:jc w:val="both"/>
        <w:rPr>
          <w:lang w:eastAsia="en-AU"/>
        </w:rPr>
      </w:pPr>
    </w:p>
    <w:p w:rsidR="00875D2D" w:rsidRDefault="00E42747" w:rsidP="00741F7E">
      <w:pPr>
        <w:jc w:val="both"/>
        <w:rPr>
          <w:lang w:eastAsia="en-AU"/>
        </w:rPr>
      </w:pPr>
      <w:r>
        <w:rPr>
          <w:lang w:eastAsia="en-AU"/>
        </w:rPr>
        <w:t>As such, these results cannot be interpreted as the private and public benefits that accrue from a representative individual choosing to gain a higher education qualification</w:t>
      </w:r>
      <w:r w:rsidR="007A4C45">
        <w:rPr>
          <w:lang w:eastAsia="en-AU"/>
        </w:rPr>
        <w:t xml:space="preserve"> (and therefore</w:t>
      </w:r>
      <w:r w:rsidR="00092A1E">
        <w:rPr>
          <w:lang w:eastAsia="en-AU"/>
        </w:rPr>
        <w:t xml:space="preserve"> are not applicable to associated funding </w:t>
      </w:r>
      <w:r w:rsidR="007A4C45">
        <w:rPr>
          <w:lang w:eastAsia="en-AU"/>
        </w:rPr>
        <w:t>policy)</w:t>
      </w:r>
      <w:r>
        <w:rPr>
          <w:lang w:eastAsia="en-AU"/>
        </w:rPr>
        <w:t xml:space="preserve">. </w:t>
      </w:r>
      <w:r w:rsidRPr="009C0EF1">
        <w:rPr>
          <w:b/>
          <w:lang w:eastAsia="en-AU"/>
        </w:rPr>
        <w:t xml:space="preserve">Rather, they are the benefits associated with a hypothetical scenario where a representative individual with a higher education qualification </w:t>
      </w:r>
      <w:r w:rsidR="007A4C45" w:rsidRPr="009C0EF1">
        <w:rPr>
          <w:b/>
          <w:lang w:eastAsia="en-AU"/>
        </w:rPr>
        <w:t xml:space="preserve">and associated demographic characteristics </w:t>
      </w:r>
      <w:r w:rsidRPr="009C0EF1">
        <w:rPr>
          <w:b/>
          <w:lang w:eastAsia="en-AU"/>
        </w:rPr>
        <w:t>is endowed to the Australian economy</w:t>
      </w:r>
      <w:r>
        <w:rPr>
          <w:lang w:eastAsia="en-AU"/>
        </w:rPr>
        <w:t xml:space="preserve"> (e.g. through skilled migration).</w:t>
      </w:r>
    </w:p>
    <w:p w:rsidR="00741F7E" w:rsidRDefault="00741F7E" w:rsidP="00741F7E">
      <w:pPr>
        <w:jc w:val="both"/>
        <w:rPr>
          <w:lang w:eastAsia="en-AU"/>
        </w:rPr>
      </w:pPr>
    </w:p>
    <w:p w:rsidR="00541B64" w:rsidRDefault="00741F7E" w:rsidP="00541B64">
      <w:pPr>
        <w:jc w:val="both"/>
      </w:pPr>
      <w:r>
        <w:rPr>
          <w:lang w:eastAsia="en-AU"/>
        </w:rPr>
        <w:t xml:space="preserve">This </w:t>
      </w:r>
      <w:r w:rsidR="00B402FB">
        <w:rPr>
          <w:lang w:eastAsia="en-AU"/>
        </w:rPr>
        <w:t xml:space="preserve">modelling uses the same approach described in </w:t>
      </w:r>
      <w:r w:rsidR="00356108">
        <w:rPr>
          <w:lang w:eastAsia="en-AU"/>
        </w:rPr>
        <w:t>Section</w:t>
      </w:r>
      <w:r w:rsidR="00B402FB">
        <w:rPr>
          <w:lang w:eastAsia="en-AU"/>
        </w:rPr>
        <w:t xml:space="preserve"> </w:t>
      </w:r>
      <w:r w:rsidR="00B402FB">
        <w:rPr>
          <w:lang w:eastAsia="en-AU"/>
        </w:rPr>
        <w:fldChar w:fldCharType="begin"/>
      </w:r>
      <w:r w:rsidR="00B402FB">
        <w:rPr>
          <w:lang w:eastAsia="en-AU"/>
        </w:rPr>
        <w:instrText xml:space="preserve"> REF _Ref458438595 \r \h </w:instrText>
      </w:r>
      <w:r w:rsidR="00B402FB">
        <w:rPr>
          <w:lang w:eastAsia="en-AU"/>
        </w:rPr>
      </w:r>
      <w:r w:rsidR="00B402FB">
        <w:rPr>
          <w:lang w:eastAsia="en-AU"/>
        </w:rPr>
        <w:fldChar w:fldCharType="separate"/>
      </w:r>
      <w:r w:rsidR="00534F9F">
        <w:rPr>
          <w:lang w:eastAsia="en-AU"/>
        </w:rPr>
        <w:t>5</w:t>
      </w:r>
      <w:r w:rsidR="00B402FB">
        <w:rPr>
          <w:lang w:eastAsia="en-AU"/>
        </w:rPr>
        <w:fldChar w:fldCharType="end"/>
      </w:r>
      <w:r w:rsidR="00B402FB">
        <w:rPr>
          <w:lang w:eastAsia="en-AU"/>
        </w:rPr>
        <w:t xml:space="preserve"> and further in </w:t>
      </w:r>
      <w:r w:rsidR="00B402FB">
        <w:rPr>
          <w:lang w:eastAsia="en-AU"/>
        </w:rPr>
        <w:fldChar w:fldCharType="begin"/>
      </w:r>
      <w:r w:rsidR="00B402FB">
        <w:rPr>
          <w:lang w:eastAsia="en-AU"/>
        </w:rPr>
        <w:instrText xml:space="preserve"> REF _Ref465059047 \r \h </w:instrText>
      </w:r>
      <w:r w:rsidR="00B402FB">
        <w:rPr>
          <w:lang w:eastAsia="en-AU"/>
        </w:rPr>
      </w:r>
      <w:r w:rsidR="00B402FB">
        <w:rPr>
          <w:lang w:eastAsia="en-AU"/>
        </w:rPr>
        <w:fldChar w:fldCharType="separate"/>
      </w:r>
      <w:r w:rsidR="00534F9F">
        <w:rPr>
          <w:lang w:eastAsia="en-AU"/>
        </w:rPr>
        <w:t>Appendix C</w:t>
      </w:r>
      <w:r w:rsidR="00B402FB">
        <w:rPr>
          <w:lang w:eastAsia="en-AU"/>
        </w:rPr>
        <w:fldChar w:fldCharType="end"/>
      </w:r>
      <w:r w:rsidR="00B402FB">
        <w:rPr>
          <w:lang w:eastAsia="en-AU"/>
        </w:rPr>
        <w:t xml:space="preserve">, but instead models the full </w:t>
      </w:r>
      <w:r w:rsidR="00946720">
        <w:rPr>
          <w:lang w:eastAsia="en-AU"/>
        </w:rPr>
        <w:t xml:space="preserve">labour market </w:t>
      </w:r>
      <w:r w:rsidR="00B402FB">
        <w:rPr>
          <w:lang w:eastAsia="en-AU"/>
        </w:rPr>
        <w:t>differential between school-leavers and</w:t>
      </w:r>
      <w:r w:rsidR="00541B64">
        <w:rPr>
          <w:lang w:eastAsia="en-AU"/>
        </w:rPr>
        <w:t xml:space="preserve"> qualification holders. </w:t>
      </w:r>
      <w:r w:rsidR="00541B64">
        <w:t xml:space="preserve">To understand the effects of a higher education qualification holders on the broader economy, two simulations are run in the CGE model. The only distinction between the two of these simulations is a small change in the skill endowment in the labour force. One </w:t>
      </w:r>
      <w:r w:rsidR="00946720">
        <w:t>has</w:t>
      </w:r>
      <w:r w:rsidR="00541B64">
        <w:t xml:space="preserve"> slightly more graduates, and slightly fewer high-school finishers, in the labour force. </w:t>
      </w:r>
    </w:p>
    <w:p w:rsidR="00541B64" w:rsidRDefault="00541B64" w:rsidP="00541B64">
      <w:pPr>
        <w:pStyle w:val="Bullet1"/>
        <w:numPr>
          <w:ilvl w:val="0"/>
          <w:numId w:val="0"/>
        </w:numPr>
        <w:spacing w:before="240"/>
      </w:pPr>
      <w:r>
        <w:t>As a more specific example, one simulation may have 1,000 more Bachelor of Education graduates and 1,000 fewer individuals with no-post school qualification, than the other simulation. At a conceptual level, the magnitude of this number is not important</w:t>
      </w:r>
      <w:r w:rsidRPr="000D6036">
        <w:rPr>
          <w:vertAlign w:val="superscript"/>
        </w:rPr>
        <w:footnoteReference w:id="59"/>
      </w:r>
      <w:r>
        <w:t>.  In the CGE modelling framework, individuals in different skill sets can differ in three important ways:</w:t>
      </w:r>
    </w:p>
    <w:p w:rsidR="00541B64" w:rsidRDefault="00541B64" w:rsidP="00541B64">
      <w:pPr>
        <w:pStyle w:val="Bullet1"/>
      </w:pPr>
      <w:r>
        <w:t xml:space="preserve">they earn different wages, meaning they have different levels of productivity (see Assumption 1 in Section </w:t>
      </w:r>
      <w:r>
        <w:fldChar w:fldCharType="begin"/>
      </w:r>
      <w:r>
        <w:instrText xml:space="preserve"> REF _Ref457570009 \r \h </w:instrText>
      </w:r>
      <w:r>
        <w:fldChar w:fldCharType="separate"/>
      </w:r>
      <w:r w:rsidR="00534F9F">
        <w:t>5.2.1</w:t>
      </w:r>
      <w:r>
        <w:fldChar w:fldCharType="end"/>
      </w:r>
      <w:r>
        <w:t>);</w:t>
      </w:r>
    </w:p>
    <w:p w:rsidR="00541B64" w:rsidRDefault="00541B64" w:rsidP="00541B64">
      <w:pPr>
        <w:pStyle w:val="Bullet1"/>
      </w:pPr>
      <w:r>
        <w:t>they have different industry of employment patterns; and</w:t>
      </w:r>
    </w:p>
    <w:p w:rsidR="00541B64" w:rsidRDefault="00541B64" w:rsidP="00541B64">
      <w:pPr>
        <w:pStyle w:val="Bullet1"/>
      </w:pPr>
      <w:proofErr w:type="gramStart"/>
      <w:r>
        <w:t>they</w:t>
      </w:r>
      <w:proofErr w:type="gramEnd"/>
      <w:r>
        <w:t xml:space="preserve"> have different rates of unemployment within their skillset.</w:t>
      </w:r>
    </w:p>
    <w:p w:rsidR="00840161" w:rsidRPr="004D09A3" w:rsidRDefault="00840161" w:rsidP="00541B64">
      <w:pPr>
        <w:pStyle w:val="Bullet1"/>
        <w:numPr>
          <w:ilvl w:val="0"/>
          <w:numId w:val="0"/>
        </w:numPr>
        <w:spacing w:before="240"/>
      </w:pPr>
      <w:r w:rsidRPr="004D09A3">
        <w:t xml:space="preserve">The observed differences in labour market outcomes are included in the modelling process. Unlike the bulk of the analysis in this report, there is no </w:t>
      </w:r>
      <w:r w:rsidR="00CD4D51" w:rsidRPr="004D09A3">
        <w:t xml:space="preserve">prior </w:t>
      </w:r>
      <w:r w:rsidRPr="004D09A3">
        <w:t xml:space="preserve">econometric exercise undertaken to split the effect of the qualification itself from the demographic and cognitive ability attributes that may affect labour market outcomes. </w:t>
      </w:r>
    </w:p>
    <w:p w:rsidR="00541B64" w:rsidRPr="004D09A3" w:rsidRDefault="00541B64" w:rsidP="00541B64">
      <w:pPr>
        <w:pStyle w:val="Bullet1"/>
        <w:numPr>
          <w:ilvl w:val="0"/>
          <w:numId w:val="0"/>
        </w:numPr>
        <w:spacing w:before="240"/>
      </w:pPr>
      <w:r w:rsidRPr="004D09A3">
        <w:t xml:space="preserve">To summarise the overall process, the effects of a particular set of higher education qualification holders are estimated by conducting two simulations of the Australian economy in the CGE model.  </w:t>
      </w:r>
    </w:p>
    <w:p w:rsidR="00541B64" w:rsidRPr="004D09A3" w:rsidRDefault="00541B64" w:rsidP="00541B64">
      <w:pPr>
        <w:pStyle w:val="Bullet1"/>
      </w:pPr>
      <w:r w:rsidRPr="004D09A3">
        <w:t xml:space="preserve">the only difference between the two simulations is a small increase in amount of labour services available in the qualification of interest, and a corresponding reduction of labour services available at the high-school level; </w:t>
      </w:r>
      <w:r w:rsidR="006614AD" w:rsidRPr="009C0EF1">
        <w:t xml:space="preserve"> </w:t>
      </w:r>
    </w:p>
    <w:p w:rsidR="00541B64" w:rsidRDefault="00541B64" w:rsidP="00541B64">
      <w:pPr>
        <w:pStyle w:val="Bullet1"/>
      </w:pPr>
      <w:r>
        <w:t xml:space="preserve">these labour services estimates account for both demographic effects and qualification effects, which influence observed wage premiums and employment probabilities; </w:t>
      </w:r>
    </w:p>
    <w:p w:rsidR="00541B64" w:rsidRDefault="00541B64" w:rsidP="00541B64">
      <w:pPr>
        <w:pStyle w:val="Bullet1"/>
      </w:pPr>
      <w:r>
        <w:t>the CGE model reports annual estimates of GNP impact over the 46 years of a typical working lifetime (aged 19-65) - these also account for variation in wages and likelihood of employment over a typical career;</w:t>
      </w:r>
    </w:p>
    <w:p w:rsidR="00541B64" w:rsidRDefault="00541B64" w:rsidP="00541B64">
      <w:pPr>
        <w:pStyle w:val="Bullet1"/>
      </w:pPr>
      <w:proofErr w:type="gramStart"/>
      <w:r>
        <w:t>the</w:t>
      </w:r>
      <w:proofErr w:type="gramEnd"/>
      <w:r>
        <w:t xml:space="preserve"> stream of annual GNP estimates are expressed as a single figure using a NPV formula, from which the private benefits (an NPV post-tax wage increments) are deducted, to leave public benefits and the private benefits.</w:t>
      </w:r>
    </w:p>
    <w:p w:rsidR="0086375A" w:rsidRDefault="00741F7E" w:rsidP="00875D2D">
      <w:pPr>
        <w:pStyle w:val="BodyText"/>
      </w:pPr>
      <w:r>
        <w:fldChar w:fldCharType="begin"/>
      </w:r>
      <w:r>
        <w:instrText xml:space="preserve"> REF _Ref465017549 \r \h </w:instrText>
      </w:r>
      <w:r>
        <w:fldChar w:fldCharType="separate"/>
      </w:r>
      <w:r w:rsidR="00534F9F">
        <w:t>Table E.1</w:t>
      </w:r>
      <w:r>
        <w:fldChar w:fldCharType="end"/>
      </w:r>
      <w:r w:rsidR="00875D2D">
        <w:t xml:space="preserve"> below provides the </w:t>
      </w:r>
      <w:r w:rsidR="00541B64">
        <w:t xml:space="preserve">relative public and private benefits </w:t>
      </w:r>
      <w:r w:rsidR="00840161">
        <w:t>o</w:t>
      </w:r>
      <w:r w:rsidR="00541B64">
        <w:t xml:space="preserve">f higher education holders </w:t>
      </w:r>
      <w:r w:rsidR="00875D2D">
        <w:t xml:space="preserve">for each discipline at the bachelor level. The average </w:t>
      </w:r>
      <w:r w:rsidR="00840161">
        <w:t xml:space="preserve">split of total market benefits </w:t>
      </w:r>
      <w:r w:rsidR="00875D2D">
        <w:t>for bachelor level qualificatio</w:t>
      </w:r>
      <w:r w:rsidR="00840161">
        <w:t xml:space="preserve">n holders are 47% private, and </w:t>
      </w:r>
      <w:r w:rsidR="00875D2D">
        <w:t>53%</w:t>
      </w:r>
      <w:r w:rsidR="00840161">
        <w:t xml:space="preserve"> public. These results are similar to the relative benefits </w:t>
      </w:r>
      <w:r w:rsidR="0086375A">
        <w:t>o</w:t>
      </w:r>
      <w:r w:rsidR="00840161">
        <w:t xml:space="preserve">f the qualification </w:t>
      </w:r>
      <w:r w:rsidR="0086375A">
        <w:t>effect only: the private benefits share is two percentage points higher than the qualification only result, and conversely the public share is two percentage points lower.</w:t>
      </w:r>
    </w:p>
    <w:p w:rsidR="004D09A3" w:rsidRDefault="004D09A3" w:rsidP="004D09A3">
      <w:pPr>
        <w:pStyle w:val="BodyText"/>
        <w:tabs>
          <w:tab w:val="left" w:pos="2989"/>
        </w:tabs>
        <w:rPr>
          <w:lang w:eastAsia="en-AU"/>
        </w:rPr>
      </w:pPr>
      <w:r>
        <w:rPr>
          <w:lang w:eastAsia="en-AU"/>
        </w:rPr>
        <w:t>On a discipline-specific level, the magnitude of the effect is dependent on the current premium associated with a particular degree. The transmission mechanism at work is as follows:</w:t>
      </w:r>
    </w:p>
    <w:p w:rsidR="004D09A3" w:rsidRDefault="004D09A3" w:rsidP="004D09A3">
      <w:pPr>
        <w:pStyle w:val="Bullet1"/>
        <w:ind w:left="567" w:hanging="567"/>
      </w:pPr>
      <w:r>
        <w:t>shocking the model by the total effect increases the labour supply of the shocked qualification by a greater amount (in average effective units);</w:t>
      </w:r>
    </w:p>
    <w:p w:rsidR="004D09A3" w:rsidRDefault="004D09A3" w:rsidP="004D09A3">
      <w:pPr>
        <w:pStyle w:val="Bullet1"/>
        <w:ind w:left="567" w:hanging="567"/>
      </w:pPr>
      <w:r>
        <w:t>a supply increase of graduates of a particular discipline increases production in sectors that relies the most on those graduates; and</w:t>
      </w:r>
    </w:p>
    <w:p w:rsidR="004D09A3" w:rsidRDefault="004D09A3" w:rsidP="004D09A3">
      <w:pPr>
        <w:pStyle w:val="Bullet1"/>
        <w:ind w:left="567" w:hanging="567"/>
      </w:pPr>
      <w:proofErr w:type="gramStart"/>
      <w:r>
        <w:t>to</w:t>
      </w:r>
      <w:proofErr w:type="gramEnd"/>
      <w:r>
        <w:t xml:space="preserve"> support additional production in the sector, resources must be drawn from elsewhere in the economy by offering a higher rate of return.</w:t>
      </w:r>
    </w:p>
    <w:p w:rsidR="004D09A3" w:rsidRPr="00915A10" w:rsidRDefault="004D09A3" w:rsidP="004D09A3">
      <w:pPr>
        <w:pStyle w:val="BodyText"/>
      </w:pPr>
      <w:r>
        <w:t>As the increase in average effective units is larger for engineering graduates (and to a lesser extent business graduates), this requires a greater redistribution within the economy. There are diminishing returns as free resources in the economy get used and resources must be drawn from competing sectors. As the productivity of the marginal unit of labour or capital drawn decreases, the public benefits increase at a slower rate compared to private benefits</w:t>
      </w:r>
    </w:p>
    <w:p w:rsidR="00875D2D" w:rsidRDefault="00875D2D" w:rsidP="00875D2D">
      <w:pPr>
        <w:pStyle w:val="AppendixTableCaption"/>
        <w:rPr>
          <w:lang w:eastAsia="en-AU"/>
        </w:rPr>
      </w:pPr>
      <w:bookmarkStart w:id="364" w:name="_Ref465017549"/>
      <w:bookmarkStart w:id="365" w:name="_Toc465961150"/>
      <w:r w:rsidRPr="0002381C">
        <w:rPr>
          <w:lang w:eastAsia="en-AU"/>
        </w:rPr>
        <w:t xml:space="preserve">: </w:t>
      </w:r>
      <w:bookmarkEnd w:id="364"/>
      <w:r w:rsidR="009C0EF1">
        <w:rPr>
          <w:lang w:eastAsia="en-AU"/>
        </w:rPr>
        <w:t>Relative benefits (labour endowment – hypothetical scenario)</w:t>
      </w:r>
      <w:bookmarkEnd w:id="365"/>
      <w:r w:rsidR="00541B64">
        <w:rPr>
          <w:lang w:eastAsia="en-AU"/>
        </w:rPr>
        <w:t xml:space="preserve"> </w:t>
      </w:r>
    </w:p>
    <w:tbl>
      <w:tblPr>
        <w:tblW w:w="5000" w:type="pct"/>
        <w:tblCellMar>
          <w:left w:w="0" w:type="dxa"/>
          <w:right w:w="0" w:type="dxa"/>
        </w:tblCellMar>
        <w:tblLook w:val="04A0" w:firstRow="1" w:lastRow="0" w:firstColumn="1" w:lastColumn="0" w:noHBand="0" w:noVBand="1"/>
      </w:tblPr>
      <w:tblGrid>
        <w:gridCol w:w="1906"/>
        <w:gridCol w:w="990"/>
        <w:gridCol w:w="768"/>
        <w:gridCol w:w="666"/>
        <w:gridCol w:w="571"/>
        <w:gridCol w:w="569"/>
        <w:gridCol w:w="633"/>
        <w:gridCol w:w="836"/>
        <w:gridCol w:w="641"/>
        <w:gridCol w:w="641"/>
      </w:tblGrid>
      <w:tr w:rsidR="00875D2D" w:rsidTr="00741F7E">
        <w:trPr>
          <w:trHeight w:val="540"/>
        </w:trPr>
        <w:tc>
          <w:tcPr>
            <w:tcW w:w="1159" w:type="pct"/>
            <w:tcBorders>
              <w:top w:val="single" w:sz="12" w:space="0" w:color="002776"/>
              <w:left w:val="nil"/>
              <w:bottom w:val="single" w:sz="8" w:space="0" w:color="002776"/>
              <w:right w:val="nil"/>
            </w:tcBorders>
            <w:tcMar>
              <w:top w:w="0" w:type="dxa"/>
              <w:left w:w="108" w:type="dxa"/>
              <w:bottom w:w="0" w:type="dxa"/>
              <w:right w:w="108" w:type="dxa"/>
            </w:tcMar>
            <w:vAlign w:val="center"/>
            <w:hideMark/>
          </w:tcPr>
          <w:p w:rsidR="00875D2D" w:rsidRDefault="00875D2D" w:rsidP="00C13EAE">
            <w:pPr>
              <w:rPr>
                <w:rFonts w:eastAsiaTheme="minorHAnsi" w:cs="Arial"/>
                <w:color w:val="000000"/>
                <w:sz w:val="20"/>
                <w:lang w:eastAsia="en-AU"/>
              </w:rPr>
            </w:pPr>
            <w:r>
              <w:rPr>
                <w:color w:val="000000"/>
                <w:sz w:val="20"/>
                <w:lang w:eastAsia="en-AU"/>
              </w:rPr>
              <w:t> </w:t>
            </w:r>
          </w:p>
        </w:tc>
        <w:tc>
          <w:tcPr>
            <w:tcW w:w="602" w:type="pct"/>
            <w:tcBorders>
              <w:top w:val="single" w:sz="12" w:space="0" w:color="002776"/>
              <w:left w:val="nil"/>
              <w:bottom w:val="single" w:sz="8" w:space="0" w:color="002776"/>
              <w:right w:val="nil"/>
            </w:tcBorders>
            <w:tcMar>
              <w:top w:w="0" w:type="dxa"/>
              <w:left w:w="108" w:type="dxa"/>
              <w:bottom w:w="0" w:type="dxa"/>
              <w:right w:w="108" w:type="dxa"/>
            </w:tcMar>
            <w:vAlign w:val="center"/>
            <w:hideMark/>
          </w:tcPr>
          <w:p w:rsidR="00875D2D" w:rsidRDefault="00875D2D" w:rsidP="00C13EAE">
            <w:pPr>
              <w:jc w:val="center"/>
              <w:rPr>
                <w:rFonts w:eastAsiaTheme="minorHAnsi" w:cs="Arial"/>
                <w:b/>
                <w:bCs/>
                <w:color w:val="002776"/>
                <w:sz w:val="20"/>
                <w:lang w:eastAsia="en-AU"/>
              </w:rPr>
            </w:pPr>
            <w:r>
              <w:rPr>
                <w:b/>
                <w:bCs/>
                <w:color w:val="002776"/>
                <w:sz w:val="20"/>
                <w:lang w:eastAsia="en-AU"/>
              </w:rPr>
              <w:t>Medicine</w:t>
            </w:r>
          </w:p>
        </w:tc>
        <w:tc>
          <w:tcPr>
            <w:tcW w:w="467" w:type="pct"/>
            <w:tcBorders>
              <w:top w:val="single" w:sz="12" w:space="0" w:color="002776"/>
              <w:left w:val="nil"/>
              <w:bottom w:val="single" w:sz="8" w:space="0" w:color="002776"/>
              <w:right w:val="nil"/>
            </w:tcBorders>
            <w:tcMar>
              <w:top w:w="0" w:type="dxa"/>
              <w:left w:w="108" w:type="dxa"/>
              <w:bottom w:w="0" w:type="dxa"/>
              <w:right w:w="108" w:type="dxa"/>
            </w:tcMar>
            <w:vAlign w:val="center"/>
            <w:hideMark/>
          </w:tcPr>
          <w:p w:rsidR="00875D2D" w:rsidRDefault="00875D2D" w:rsidP="00C13EAE">
            <w:pPr>
              <w:jc w:val="center"/>
              <w:rPr>
                <w:rFonts w:eastAsiaTheme="minorHAnsi" w:cs="Arial"/>
                <w:b/>
                <w:bCs/>
                <w:color w:val="002776"/>
                <w:sz w:val="20"/>
                <w:lang w:eastAsia="en-AU"/>
              </w:rPr>
            </w:pPr>
            <w:r>
              <w:rPr>
                <w:b/>
                <w:bCs/>
                <w:color w:val="002776"/>
                <w:sz w:val="20"/>
                <w:lang w:eastAsia="en-AU"/>
              </w:rPr>
              <w:t>Other Health</w:t>
            </w:r>
          </w:p>
        </w:tc>
        <w:tc>
          <w:tcPr>
            <w:tcW w:w="405" w:type="pct"/>
            <w:tcBorders>
              <w:top w:val="single" w:sz="12" w:space="0" w:color="002776"/>
              <w:left w:val="nil"/>
              <w:bottom w:val="single" w:sz="8" w:space="0" w:color="002776"/>
              <w:right w:val="nil"/>
            </w:tcBorders>
            <w:tcMar>
              <w:top w:w="0" w:type="dxa"/>
              <w:left w:w="108" w:type="dxa"/>
              <w:bottom w:w="0" w:type="dxa"/>
              <w:right w:w="108" w:type="dxa"/>
            </w:tcMar>
            <w:vAlign w:val="center"/>
            <w:hideMark/>
          </w:tcPr>
          <w:p w:rsidR="00875D2D" w:rsidRDefault="00875D2D" w:rsidP="00C13EAE">
            <w:pPr>
              <w:jc w:val="center"/>
              <w:rPr>
                <w:rFonts w:eastAsiaTheme="minorHAnsi" w:cs="Arial"/>
                <w:b/>
                <w:bCs/>
                <w:color w:val="002776"/>
                <w:sz w:val="20"/>
                <w:lang w:eastAsia="en-AU"/>
              </w:rPr>
            </w:pPr>
            <w:r>
              <w:rPr>
                <w:b/>
                <w:bCs/>
                <w:color w:val="002776"/>
                <w:sz w:val="20"/>
                <w:lang w:eastAsia="en-AU"/>
              </w:rPr>
              <w:t>Educ.</w:t>
            </w:r>
          </w:p>
        </w:tc>
        <w:tc>
          <w:tcPr>
            <w:tcW w:w="347" w:type="pct"/>
            <w:tcBorders>
              <w:top w:val="single" w:sz="12" w:space="0" w:color="002776"/>
              <w:left w:val="nil"/>
              <w:bottom w:val="single" w:sz="8" w:space="0" w:color="002776"/>
              <w:right w:val="nil"/>
            </w:tcBorders>
            <w:tcMar>
              <w:top w:w="0" w:type="dxa"/>
              <w:left w:w="108" w:type="dxa"/>
              <w:bottom w:w="0" w:type="dxa"/>
              <w:right w:w="108" w:type="dxa"/>
            </w:tcMar>
            <w:vAlign w:val="center"/>
            <w:hideMark/>
          </w:tcPr>
          <w:p w:rsidR="00875D2D" w:rsidRDefault="00875D2D" w:rsidP="00C13EAE">
            <w:pPr>
              <w:jc w:val="center"/>
              <w:rPr>
                <w:rFonts w:eastAsiaTheme="minorHAnsi" w:cs="Arial"/>
                <w:b/>
                <w:bCs/>
                <w:color w:val="002776"/>
                <w:sz w:val="20"/>
                <w:lang w:eastAsia="en-AU"/>
              </w:rPr>
            </w:pPr>
            <w:r>
              <w:rPr>
                <w:b/>
                <w:bCs/>
                <w:color w:val="002776"/>
                <w:sz w:val="20"/>
                <w:lang w:eastAsia="en-AU"/>
              </w:rPr>
              <w:t>Eng.</w:t>
            </w:r>
          </w:p>
        </w:tc>
        <w:tc>
          <w:tcPr>
            <w:tcW w:w="346" w:type="pct"/>
            <w:tcBorders>
              <w:top w:val="single" w:sz="12" w:space="0" w:color="002776"/>
              <w:left w:val="nil"/>
              <w:bottom w:val="single" w:sz="8" w:space="0" w:color="002776"/>
              <w:right w:val="nil"/>
            </w:tcBorders>
            <w:tcMar>
              <w:top w:w="0" w:type="dxa"/>
              <w:left w:w="108" w:type="dxa"/>
              <w:bottom w:w="0" w:type="dxa"/>
              <w:right w:w="108" w:type="dxa"/>
            </w:tcMar>
            <w:vAlign w:val="center"/>
            <w:hideMark/>
          </w:tcPr>
          <w:p w:rsidR="00875D2D" w:rsidRDefault="00875D2D" w:rsidP="00C13EAE">
            <w:pPr>
              <w:jc w:val="center"/>
              <w:rPr>
                <w:rFonts w:eastAsiaTheme="minorHAnsi" w:cs="Arial"/>
                <w:b/>
                <w:bCs/>
                <w:color w:val="002776"/>
                <w:sz w:val="20"/>
                <w:lang w:eastAsia="en-AU"/>
              </w:rPr>
            </w:pPr>
            <w:r>
              <w:rPr>
                <w:b/>
                <w:bCs/>
                <w:color w:val="002776"/>
                <w:sz w:val="20"/>
                <w:lang w:eastAsia="en-AU"/>
              </w:rPr>
              <w:t>Bus.</w:t>
            </w:r>
          </w:p>
        </w:tc>
        <w:tc>
          <w:tcPr>
            <w:tcW w:w="385" w:type="pct"/>
            <w:tcBorders>
              <w:top w:val="single" w:sz="12" w:space="0" w:color="002776"/>
              <w:left w:val="nil"/>
              <w:bottom w:val="single" w:sz="8" w:space="0" w:color="002776"/>
              <w:right w:val="nil"/>
            </w:tcBorders>
            <w:tcMar>
              <w:top w:w="0" w:type="dxa"/>
              <w:left w:w="108" w:type="dxa"/>
              <w:bottom w:w="0" w:type="dxa"/>
              <w:right w:w="108" w:type="dxa"/>
            </w:tcMar>
            <w:vAlign w:val="center"/>
            <w:hideMark/>
          </w:tcPr>
          <w:p w:rsidR="00875D2D" w:rsidRDefault="00875D2D" w:rsidP="00C13EAE">
            <w:pPr>
              <w:jc w:val="center"/>
              <w:rPr>
                <w:rFonts w:eastAsiaTheme="minorHAnsi" w:cs="Arial"/>
                <w:b/>
                <w:bCs/>
                <w:color w:val="002776"/>
                <w:sz w:val="20"/>
                <w:lang w:eastAsia="en-AU"/>
              </w:rPr>
            </w:pPr>
            <w:r>
              <w:rPr>
                <w:b/>
                <w:bCs/>
                <w:color w:val="002776"/>
                <w:sz w:val="20"/>
                <w:lang w:eastAsia="en-AU"/>
              </w:rPr>
              <w:t>Arts</w:t>
            </w:r>
          </w:p>
        </w:tc>
        <w:tc>
          <w:tcPr>
            <w:tcW w:w="508" w:type="pct"/>
            <w:tcBorders>
              <w:top w:val="single" w:sz="12" w:space="0" w:color="002776"/>
              <w:left w:val="nil"/>
              <w:bottom w:val="single" w:sz="8" w:space="0" w:color="002776"/>
              <w:right w:val="nil"/>
            </w:tcBorders>
            <w:tcMar>
              <w:top w:w="0" w:type="dxa"/>
              <w:left w:w="108" w:type="dxa"/>
              <w:bottom w:w="0" w:type="dxa"/>
              <w:right w:w="108" w:type="dxa"/>
            </w:tcMar>
            <w:vAlign w:val="center"/>
            <w:hideMark/>
          </w:tcPr>
          <w:p w:rsidR="00875D2D" w:rsidRDefault="00875D2D" w:rsidP="00C13EAE">
            <w:pPr>
              <w:jc w:val="center"/>
              <w:rPr>
                <w:rFonts w:eastAsiaTheme="minorHAnsi" w:cs="Arial"/>
                <w:b/>
                <w:bCs/>
                <w:color w:val="002776"/>
                <w:sz w:val="20"/>
                <w:lang w:eastAsia="en-AU"/>
              </w:rPr>
            </w:pPr>
            <w:r>
              <w:rPr>
                <w:b/>
                <w:bCs/>
                <w:color w:val="002776"/>
                <w:sz w:val="20"/>
                <w:lang w:eastAsia="en-AU"/>
              </w:rPr>
              <w:t>Science</w:t>
            </w:r>
          </w:p>
        </w:tc>
        <w:tc>
          <w:tcPr>
            <w:tcW w:w="390" w:type="pct"/>
            <w:tcBorders>
              <w:top w:val="single" w:sz="12" w:space="0" w:color="002776"/>
              <w:left w:val="nil"/>
              <w:bottom w:val="single" w:sz="8" w:space="0" w:color="002776"/>
              <w:right w:val="nil"/>
            </w:tcBorders>
            <w:tcMar>
              <w:top w:w="0" w:type="dxa"/>
              <w:left w:w="108" w:type="dxa"/>
              <w:bottom w:w="0" w:type="dxa"/>
              <w:right w:w="108" w:type="dxa"/>
            </w:tcMar>
            <w:vAlign w:val="center"/>
            <w:hideMark/>
          </w:tcPr>
          <w:p w:rsidR="00875D2D" w:rsidRDefault="00875D2D" w:rsidP="00C13EAE">
            <w:pPr>
              <w:jc w:val="center"/>
              <w:rPr>
                <w:rFonts w:eastAsiaTheme="minorHAnsi" w:cs="Arial"/>
                <w:b/>
                <w:bCs/>
                <w:color w:val="002776"/>
                <w:sz w:val="20"/>
                <w:lang w:eastAsia="en-AU"/>
              </w:rPr>
            </w:pPr>
            <w:r>
              <w:rPr>
                <w:b/>
                <w:bCs/>
                <w:color w:val="002776"/>
                <w:sz w:val="20"/>
                <w:lang w:eastAsia="en-AU"/>
              </w:rPr>
              <w:t>IT</w:t>
            </w:r>
          </w:p>
        </w:tc>
        <w:tc>
          <w:tcPr>
            <w:tcW w:w="390" w:type="pct"/>
            <w:tcBorders>
              <w:top w:val="single" w:sz="12" w:space="0" w:color="002776"/>
              <w:left w:val="nil"/>
              <w:bottom w:val="single" w:sz="8" w:space="0" w:color="002776"/>
              <w:right w:val="nil"/>
            </w:tcBorders>
            <w:tcMar>
              <w:top w:w="0" w:type="dxa"/>
              <w:left w:w="108" w:type="dxa"/>
              <w:bottom w:w="0" w:type="dxa"/>
              <w:right w:w="108" w:type="dxa"/>
            </w:tcMar>
            <w:vAlign w:val="center"/>
            <w:hideMark/>
          </w:tcPr>
          <w:p w:rsidR="00875D2D" w:rsidRDefault="00875D2D" w:rsidP="00C13EAE">
            <w:pPr>
              <w:jc w:val="center"/>
              <w:rPr>
                <w:rFonts w:eastAsiaTheme="minorHAnsi" w:cs="Arial"/>
                <w:b/>
                <w:bCs/>
                <w:color w:val="002776"/>
                <w:sz w:val="20"/>
                <w:lang w:eastAsia="en-AU"/>
              </w:rPr>
            </w:pPr>
            <w:r>
              <w:rPr>
                <w:b/>
                <w:bCs/>
                <w:color w:val="002776"/>
                <w:sz w:val="20"/>
                <w:lang w:eastAsia="en-AU"/>
              </w:rPr>
              <w:t>Ave.</w:t>
            </w:r>
          </w:p>
        </w:tc>
      </w:tr>
      <w:tr w:rsidR="00741F7E" w:rsidTr="00C13EAE">
        <w:trPr>
          <w:trHeight w:val="510"/>
        </w:trPr>
        <w:tc>
          <w:tcPr>
            <w:tcW w:w="1159" w:type="pct"/>
            <w:tcMar>
              <w:top w:w="0" w:type="dxa"/>
              <w:left w:w="108" w:type="dxa"/>
              <w:bottom w:w="0" w:type="dxa"/>
              <w:right w:w="108" w:type="dxa"/>
            </w:tcMar>
            <w:vAlign w:val="center"/>
            <w:hideMark/>
          </w:tcPr>
          <w:p w:rsidR="00741F7E" w:rsidRPr="00915A10" w:rsidRDefault="00741F7E" w:rsidP="00741F7E">
            <w:pPr>
              <w:rPr>
                <w:rFonts w:eastAsiaTheme="minorHAnsi" w:cs="Arial"/>
                <w:iCs/>
                <w:color w:val="000000"/>
                <w:sz w:val="20"/>
                <w:lang w:eastAsia="en-AU"/>
              </w:rPr>
            </w:pPr>
            <w:r w:rsidRPr="00915A10">
              <w:rPr>
                <w:iCs/>
                <w:color w:val="000000"/>
                <w:sz w:val="20"/>
                <w:lang w:eastAsia="en-AU"/>
              </w:rPr>
              <w:t xml:space="preserve">Private benefits share </w:t>
            </w:r>
          </w:p>
        </w:tc>
        <w:tc>
          <w:tcPr>
            <w:tcW w:w="602" w:type="pct"/>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lang w:eastAsia="en-AU"/>
              </w:rPr>
            </w:pPr>
            <w:r w:rsidRPr="00741F7E">
              <w:rPr>
                <w:sz w:val="20"/>
              </w:rPr>
              <w:t>51%</w:t>
            </w:r>
          </w:p>
        </w:tc>
        <w:tc>
          <w:tcPr>
            <w:tcW w:w="467" w:type="pct"/>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50%</w:t>
            </w:r>
          </w:p>
        </w:tc>
        <w:tc>
          <w:tcPr>
            <w:tcW w:w="405" w:type="pct"/>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51%</w:t>
            </w:r>
          </w:p>
        </w:tc>
        <w:tc>
          <w:tcPr>
            <w:tcW w:w="347" w:type="pct"/>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43%</w:t>
            </w:r>
          </w:p>
        </w:tc>
        <w:tc>
          <w:tcPr>
            <w:tcW w:w="346" w:type="pct"/>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46%</w:t>
            </w:r>
          </w:p>
        </w:tc>
        <w:tc>
          <w:tcPr>
            <w:tcW w:w="385" w:type="pct"/>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50%</w:t>
            </w:r>
          </w:p>
        </w:tc>
        <w:tc>
          <w:tcPr>
            <w:tcW w:w="508" w:type="pct"/>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45%</w:t>
            </w:r>
          </w:p>
        </w:tc>
        <w:tc>
          <w:tcPr>
            <w:tcW w:w="390" w:type="pct"/>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46%</w:t>
            </w:r>
          </w:p>
        </w:tc>
        <w:tc>
          <w:tcPr>
            <w:tcW w:w="390" w:type="pct"/>
            <w:tcMar>
              <w:top w:w="0" w:type="dxa"/>
              <w:left w:w="108" w:type="dxa"/>
              <w:bottom w:w="0" w:type="dxa"/>
              <w:right w:w="108" w:type="dxa"/>
            </w:tcMar>
            <w:hideMark/>
          </w:tcPr>
          <w:p w:rsidR="00741F7E" w:rsidRPr="00741F7E" w:rsidRDefault="00741F7E" w:rsidP="00741F7E">
            <w:pPr>
              <w:jc w:val="center"/>
              <w:rPr>
                <w:rFonts w:eastAsiaTheme="minorHAnsi" w:cs="Arial"/>
                <w:b/>
                <w:bCs/>
                <w:color w:val="002776" w:themeColor="accent1"/>
                <w:sz w:val="20"/>
                <w:szCs w:val="18"/>
                <w:lang w:eastAsia="en-AU"/>
              </w:rPr>
            </w:pPr>
            <w:r w:rsidRPr="00741F7E">
              <w:rPr>
                <w:b/>
                <w:color w:val="002776" w:themeColor="accent1"/>
                <w:sz w:val="20"/>
              </w:rPr>
              <w:t>47%</w:t>
            </w:r>
          </w:p>
        </w:tc>
      </w:tr>
      <w:tr w:rsidR="00741F7E" w:rsidTr="00C13EAE">
        <w:trPr>
          <w:trHeight w:val="270"/>
        </w:trPr>
        <w:tc>
          <w:tcPr>
            <w:tcW w:w="1159" w:type="pct"/>
            <w:tcBorders>
              <w:top w:val="nil"/>
              <w:left w:val="nil"/>
              <w:bottom w:val="single" w:sz="8" w:space="0" w:color="002776"/>
              <w:right w:val="nil"/>
            </w:tcBorders>
            <w:noWrap/>
            <w:tcMar>
              <w:top w:w="0" w:type="dxa"/>
              <w:left w:w="108" w:type="dxa"/>
              <w:bottom w:w="0" w:type="dxa"/>
              <w:right w:w="108" w:type="dxa"/>
            </w:tcMar>
            <w:vAlign w:val="center"/>
            <w:hideMark/>
          </w:tcPr>
          <w:p w:rsidR="00741F7E" w:rsidRPr="00915A10" w:rsidRDefault="00741F7E" w:rsidP="00741F7E">
            <w:pPr>
              <w:rPr>
                <w:rFonts w:eastAsiaTheme="minorHAnsi" w:cs="Arial"/>
                <w:iCs/>
                <w:color w:val="000000"/>
                <w:sz w:val="20"/>
                <w:lang w:eastAsia="en-AU"/>
              </w:rPr>
            </w:pPr>
            <w:r w:rsidRPr="00915A10">
              <w:rPr>
                <w:iCs/>
                <w:color w:val="000000"/>
                <w:sz w:val="20"/>
                <w:lang w:eastAsia="en-AU"/>
              </w:rPr>
              <w:t xml:space="preserve">Public benefits share </w:t>
            </w:r>
          </w:p>
        </w:tc>
        <w:tc>
          <w:tcPr>
            <w:tcW w:w="602" w:type="pct"/>
            <w:tcBorders>
              <w:top w:val="nil"/>
              <w:left w:val="nil"/>
              <w:bottom w:val="single" w:sz="8" w:space="0" w:color="002776"/>
              <w:right w:val="nil"/>
            </w:tcBorders>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49%</w:t>
            </w:r>
          </w:p>
        </w:tc>
        <w:tc>
          <w:tcPr>
            <w:tcW w:w="467" w:type="pct"/>
            <w:tcBorders>
              <w:top w:val="nil"/>
              <w:left w:val="nil"/>
              <w:bottom w:val="single" w:sz="8" w:space="0" w:color="002776"/>
              <w:right w:val="nil"/>
            </w:tcBorders>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50%</w:t>
            </w:r>
          </w:p>
        </w:tc>
        <w:tc>
          <w:tcPr>
            <w:tcW w:w="405" w:type="pct"/>
            <w:tcBorders>
              <w:top w:val="nil"/>
              <w:left w:val="nil"/>
              <w:bottom w:val="single" w:sz="8" w:space="0" w:color="002776"/>
              <w:right w:val="nil"/>
            </w:tcBorders>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49%</w:t>
            </w:r>
          </w:p>
        </w:tc>
        <w:tc>
          <w:tcPr>
            <w:tcW w:w="347" w:type="pct"/>
            <w:tcBorders>
              <w:top w:val="nil"/>
              <w:left w:val="nil"/>
              <w:bottom w:val="single" w:sz="8" w:space="0" w:color="002776"/>
              <w:right w:val="nil"/>
            </w:tcBorders>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57%</w:t>
            </w:r>
          </w:p>
        </w:tc>
        <w:tc>
          <w:tcPr>
            <w:tcW w:w="346" w:type="pct"/>
            <w:tcBorders>
              <w:top w:val="nil"/>
              <w:left w:val="nil"/>
              <w:bottom w:val="single" w:sz="8" w:space="0" w:color="002776"/>
              <w:right w:val="nil"/>
            </w:tcBorders>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54%</w:t>
            </w:r>
          </w:p>
        </w:tc>
        <w:tc>
          <w:tcPr>
            <w:tcW w:w="385" w:type="pct"/>
            <w:tcBorders>
              <w:top w:val="nil"/>
              <w:left w:val="nil"/>
              <w:bottom w:val="single" w:sz="8" w:space="0" w:color="002776"/>
              <w:right w:val="nil"/>
            </w:tcBorders>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50%</w:t>
            </w:r>
          </w:p>
        </w:tc>
        <w:tc>
          <w:tcPr>
            <w:tcW w:w="508" w:type="pct"/>
            <w:tcBorders>
              <w:top w:val="nil"/>
              <w:left w:val="nil"/>
              <w:bottom w:val="single" w:sz="8" w:space="0" w:color="002776"/>
              <w:right w:val="nil"/>
            </w:tcBorders>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55%</w:t>
            </w:r>
          </w:p>
        </w:tc>
        <w:tc>
          <w:tcPr>
            <w:tcW w:w="390" w:type="pct"/>
            <w:tcBorders>
              <w:top w:val="nil"/>
              <w:left w:val="nil"/>
              <w:bottom w:val="single" w:sz="8" w:space="0" w:color="002776"/>
              <w:right w:val="nil"/>
            </w:tcBorders>
            <w:tcMar>
              <w:top w:w="0" w:type="dxa"/>
              <w:left w:w="108" w:type="dxa"/>
              <w:bottom w:w="0" w:type="dxa"/>
              <w:right w:w="108" w:type="dxa"/>
            </w:tcMar>
            <w:hideMark/>
          </w:tcPr>
          <w:p w:rsidR="00741F7E" w:rsidRPr="00741F7E" w:rsidRDefault="00741F7E" w:rsidP="00741F7E">
            <w:pPr>
              <w:jc w:val="center"/>
              <w:rPr>
                <w:rFonts w:eastAsiaTheme="minorHAnsi" w:cs="Arial"/>
                <w:color w:val="000000"/>
                <w:sz w:val="20"/>
                <w:szCs w:val="18"/>
                <w:lang w:eastAsia="en-AU"/>
              </w:rPr>
            </w:pPr>
            <w:r w:rsidRPr="00741F7E">
              <w:rPr>
                <w:sz w:val="20"/>
              </w:rPr>
              <w:t>54%</w:t>
            </w:r>
          </w:p>
        </w:tc>
        <w:tc>
          <w:tcPr>
            <w:tcW w:w="390" w:type="pct"/>
            <w:tcBorders>
              <w:top w:val="nil"/>
              <w:left w:val="nil"/>
              <w:bottom w:val="single" w:sz="8" w:space="0" w:color="002776"/>
              <w:right w:val="nil"/>
            </w:tcBorders>
            <w:tcMar>
              <w:top w:w="0" w:type="dxa"/>
              <w:left w:w="108" w:type="dxa"/>
              <w:bottom w:w="0" w:type="dxa"/>
              <w:right w:w="108" w:type="dxa"/>
            </w:tcMar>
            <w:hideMark/>
          </w:tcPr>
          <w:p w:rsidR="00741F7E" w:rsidRPr="00741F7E" w:rsidRDefault="00741F7E" w:rsidP="00741F7E">
            <w:pPr>
              <w:jc w:val="center"/>
              <w:rPr>
                <w:rFonts w:eastAsiaTheme="minorHAnsi" w:cs="Arial"/>
                <w:b/>
                <w:bCs/>
                <w:color w:val="002776" w:themeColor="accent1"/>
                <w:sz w:val="20"/>
                <w:szCs w:val="18"/>
                <w:lang w:eastAsia="en-AU"/>
              </w:rPr>
            </w:pPr>
            <w:r w:rsidRPr="00741F7E">
              <w:rPr>
                <w:b/>
                <w:color w:val="002776" w:themeColor="accent1"/>
                <w:sz w:val="20"/>
              </w:rPr>
              <w:t>53%</w:t>
            </w:r>
          </w:p>
        </w:tc>
      </w:tr>
    </w:tbl>
    <w:p w:rsidR="00875D2D" w:rsidRDefault="00875D2D" w:rsidP="00875D2D">
      <w:pPr>
        <w:pStyle w:val="Source"/>
      </w:pPr>
      <w:r>
        <w:t>Source: Deloitte Access Economics DAE-RGEM model</w:t>
      </w:r>
    </w:p>
    <w:p w:rsidR="00904671" w:rsidRPr="00904671" w:rsidRDefault="0086375A" w:rsidP="009C0EF1">
      <w:pPr>
        <w:jc w:val="both"/>
      </w:pPr>
      <w:r>
        <w:rPr>
          <w:lang w:eastAsia="en-AU"/>
        </w:rPr>
        <w:t xml:space="preserve">It is not surprising that the gross measure of qualification effects plus demographic and cognitive ability effects is close to the qualification-only result. Indeed the main reason for the differential is that the </w:t>
      </w:r>
      <w:r w:rsidR="00CD4D51">
        <w:rPr>
          <w:lang w:eastAsia="en-AU"/>
        </w:rPr>
        <w:t xml:space="preserve">gross shocks involve greater degrees of redistribution of labour across all sectors. </w:t>
      </w:r>
    </w:p>
    <w:p w:rsidR="00904671" w:rsidRPr="00904671" w:rsidRDefault="00904671" w:rsidP="00904671"/>
    <w:p w:rsidR="009F06EE" w:rsidRDefault="009F06EE">
      <w:pPr>
        <w:rPr>
          <w:rFonts w:eastAsia="Times"/>
          <w:b/>
          <w:noProof/>
          <w:color w:val="002776"/>
          <w:sz w:val="44"/>
          <w:szCs w:val="24"/>
          <w:lang w:val="en-US"/>
        </w:rPr>
      </w:pPr>
      <w:bookmarkStart w:id="366" w:name="_Toc465961223"/>
      <w:r>
        <w:rPr>
          <w:sz w:val="44"/>
        </w:rPr>
        <w:br w:type="page"/>
      </w:r>
    </w:p>
    <w:p w:rsidR="006B29A4" w:rsidRPr="006345F9" w:rsidRDefault="006B29A4" w:rsidP="002320EB">
      <w:pPr>
        <w:pStyle w:val="BSubheading-Bluedk"/>
        <w:jc w:val="both"/>
        <w:rPr>
          <w:rFonts w:ascii="Calibri" w:hAnsi="Calibri"/>
          <w:sz w:val="44"/>
        </w:rPr>
      </w:pPr>
      <w:r w:rsidRPr="006345F9">
        <w:rPr>
          <w:rFonts w:ascii="Calibri" w:hAnsi="Calibri"/>
          <w:sz w:val="44"/>
        </w:rPr>
        <w:t>Limitation of our work</w:t>
      </w:r>
      <w:bookmarkEnd w:id="334"/>
      <w:bookmarkEnd w:id="335"/>
      <w:bookmarkEnd w:id="366"/>
    </w:p>
    <w:p w:rsidR="006B29A4" w:rsidRPr="006345F9" w:rsidRDefault="006B29A4" w:rsidP="002320EB">
      <w:pPr>
        <w:pStyle w:val="HeadingB"/>
        <w:spacing w:after="240"/>
        <w:jc w:val="both"/>
      </w:pPr>
      <w:r w:rsidRPr="006345F9">
        <w:t>General use restriction</w:t>
      </w:r>
    </w:p>
    <w:p w:rsidR="00F41CBD" w:rsidRPr="00A97B01" w:rsidRDefault="00F41CBD" w:rsidP="002320EB">
      <w:pPr>
        <w:pStyle w:val="Bodycopy"/>
        <w:rPr>
          <w:rFonts w:asciiTheme="minorHAnsi" w:hAnsiTheme="minorHAnsi"/>
          <w:sz w:val="22"/>
          <w:szCs w:val="22"/>
        </w:rPr>
      </w:pPr>
      <w:r w:rsidRPr="00A97B01">
        <w:rPr>
          <w:rFonts w:asciiTheme="minorHAnsi" w:hAnsiTheme="minorHAnsi"/>
          <w:sz w:val="22"/>
          <w:szCs w:val="22"/>
        </w:rPr>
        <w:t xml:space="preserve">This report is prepared solely for the use of </w:t>
      </w:r>
      <w:r w:rsidR="00A97B01">
        <w:rPr>
          <w:rFonts w:asciiTheme="minorHAnsi" w:hAnsiTheme="minorHAnsi"/>
          <w:sz w:val="22"/>
          <w:szCs w:val="22"/>
        </w:rPr>
        <w:t>Australian Government Department of Education and Training.</w:t>
      </w:r>
      <w:r w:rsidRPr="00A97B01">
        <w:rPr>
          <w:rFonts w:asciiTheme="minorHAnsi" w:hAnsiTheme="minorHAnsi"/>
          <w:sz w:val="22"/>
          <w:szCs w:val="22"/>
        </w:rPr>
        <w:t xml:space="preserve"> This report is not intended to and should not be used or relied upon by anyone else and we accept no duty of care to any other person or entity. The report has been prepared for the purpose of </w:t>
      </w:r>
      <w:r w:rsidR="001C6208">
        <w:rPr>
          <w:rFonts w:asciiTheme="minorHAnsi" w:hAnsiTheme="minorHAnsi"/>
          <w:sz w:val="22"/>
          <w:szCs w:val="22"/>
        </w:rPr>
        <w:t xml:space="preserve">informing the Department of </w:t>
      </w:r>
      <w:r w:rsidR="00BD3DAB">
        <w:rPr>
          <w:rFonts w:asciiTheme="minorHAnsi" w:hAnsiTheme="minorHAnsi"/>
          <w:sz w:val="22"/>
          <w:szCs w:val="22"/>
        </w:rPr>
        <w:t>relative public and private benefits of higher education</w:t>
      </w:r>
      <w:r w:rsidR="00A97B01">
        <w:rPr>
          <w:rFonts w:asciiTheme="minorHAnsi" w:hAnsiTheme="minorHAnsi"/>
          <w:sz w:val="22"/>
          <w:szCs w:val="22"/>
        </w:rPr>
        <w:t>.</w:t>
      </w:r>
      <w:r w:rsidRPr="00A97B01">
        <w:rPr>
          <w:rFonts w:asciiTheme="minorHAnsi" w:hAnsiTheme="minorHAnsi"/>
          <w:sz w:val="22"/>
          <w:szCs w:val="22"/>
        </w:rPr>
        <w:t xml:space="preserve"> You should not refer to or use our name or the advice for any other purpose.</w:t>
      </w:r>
    </w:p>
    <w:p w:rsidR="00ED79CD" w:rsidRPr="006345F9" w:rsidRDefault="00ED79CD" w:rsidP="002320EB">
      <w:pPr>
        <w:pStyle w:val="Bodycopy"/>
      </w:pPr>
    </w:p>
    <w:p w:rsidR="006B29A4" w:rsidRPr="006345F9" w:rsidRDefault="006B29A4" w:rsidP="002320EB">
      <w:pPr>
        <w:jc w:val="both"/>
        <w:rPr>
          <w:b/>
          <w:bCs/>
          <w:iCs/>
          <w:color w:val="00A1DE"/>
          <w:sz w:val="40"/>
          <w:szCs w:val="40"/>
        </w:rPr>
        <w:sectPr w:rsidR="006B29A4" w:rsidRPr="006345F9" w:rsidSect="00B72383">
          <w:type w:val="continuous"/>
          <w:pgSz w:w="11907" w:h="16840" w:code="9"/>
          <w:pgMar w:top="2268" w:right="1134" w:bottom="1134" w:left="2552" w:header="567" w:footer="567" w:gutter="0"/>
          <w:cols w:space="708"/>
          <w:titlePg/>
          <w:docGrid w:linePitch="360"/>
        </w:sectPr>
      </w:pPr>
    </w:p>
    <w:p w:rsidR="006B29A4" w:rsidRPr="00C34D8E" w:rsidRDefault="006B29A4" w:rsidP="002320EB">
      <w:pPr>
        <w:pStyle w:val="DBody"/>
        <w:jc w:val="both"/>
        <w:rPr>
          <w:rFonts w:ascii="Calibri" w:hAnsi="Calibri"/>
          <w:b/>
          <w:color w:val="92D400"/>
          <w:lang w:val="en-AU"/>
        </w:rPr>
      </w:pPr>
      <w:r w:rsidRPr="00C34D8E">
        <w:rPr>
          <w:rFonts w:ascii="Calibri" w:hAnsi="Calibri"/>
          <w:b/>
          <w:color w:val="92D400"/>
          <w:sz w:val="24"/>
          <w:lang w:val="en-AU"/>
        </w:rPr>
        <w:t>Contact us</w:t>
      </w:r>
    </w:p>
    <w:p w:rsidR="00123109" w:rsidRPr="00123109" w:rsidRDefault="006B29A4" w:rsidP="00846A16">
      <w:pPr>
        <w:pStyle w:val="DBody"/>
        <w:spacing w:after="0"/>
        <w:rPr>
          <w:rFonts w:ascii="Calibri" w:hAnsi="Calibri"/>
          <w:lang w:val="en-AU"/>
        </w:rPr>
      </w:pPr>
      <w:r w:rsidRPr="00C34D8E">
        <w:rPr>
          <w:rFonts w:ascii="Calibri" w:hAnsi="Calibri"/>
          <w:lang w:val="en-AU"/>
        </w:rPr>
        <w:t>Deloitte Access Economics</w:t>
      </w:r>
      <w:r w:rsidR="00805D5E">
        <w:rPr>
          <w:rFonts w:ascii="Calibri" w:hAnsi="Calibri"/>
          <w:lang w:val="en-AU"/>
        </w:rPr>
        <w:br/>
        <w:t xml:space="preserve">ACN: </w:t>
      </w:r>
      <w:r w:rsidR="00FA3628">
        <w:rPr>
          <w:rFonts w:ascii="Calibri" w:hAnsi="Calibri"/>
          <w:lang w:val="en-AU"/>
        </w:rPr>
        <w:t>1</w:t>
      </w:r>
      <w:r w:rsidR="00805D5E">
        <w:rPr>
          <w:rFonts w:ascii="Calibri" w:hAnsi="Calibri"/>
          <w:lang w:val="en-AU"/>
        </w:rPr>
        <w:t>49 633 116</w:t>
      </w:r>
      <w:r w:rsidRPr="00C34D8E">
        <w:rPr>
          <w:rFonts w:ascii="Calibri" w:hAnsi="Calibri"/>
          <w:lang w:val="en-AU"/>
        </w:rPr>
        <w:br/>
      </w:r>
      <w:r w:rsidRPr="00C34D8E">
        <w:rPr>
          <w:rFonts w:ascii="Calibri" w:hAnsi="Calibri"/>
          <w:lang w:val="en-AU"/>
        </w:rPr>
        <w:br/>
      </w:r>
      <w:r w:rsidR="00123109" w:rsidRPr="00123109">
        <w:rPr>
          <w:rFonts w:ascii="Calibri" w:hAnsi="Calibri"/>
          <w:lang w:val="en-AU"/>
        </w:rPr>
        <w:t>Level 2</w:t>
      </w:r>
      <w:r w:rsidR="00123109" w:rsidRPr="00123109">
        <w:rPr>
          <w:rFonts w:ascii="Calibri" w:hAnsi="Calibri"/>
          <w:lang w:val="en-AU"/>
        </w:rPr>
        <w:br/>
        <w:t>8</w:t>
      </w:r>
      <w:r w:rsidRPr="00123109">
        <w:rPr>
          <w:rFonts w:ascii="Calibri" w:hAnsi="Calibri"/>
          <w:lang w:val="en-AU"/>
        </w:rPr>
        <w:t xml:space="preserve"> </w:t>
      </w:r>
      <w:r w:rsidR="00123109" w:rsidRPr="00123109">
        <w:rPr>
          <w:rFonts w:ascii="Calibri" w:hAnsi="Calibri"/>
          <w:lang w:val="en-AU"/>
        </w:rPr>
        <w:t>Brindabella Circuit</w:t>
      </w:r>
    </w:p>
    <w:p w:rsidR="006B29A4" w:rsidRDefault="00123109" w:rsidP="00846A16">
      <w:pPr>
        <w:pStyle w:val="DBody"/>
        <w:spacing w:before="0"/>
      </w:pPr>
      <w:r w:rsidRPr="00123109">
        <w:rPr>
          <w:rFonts w:ascii="Calibri" w:hAnsi="Calibri"/>
          <w:lang w:val="en-AU"/>
        </w:rPr>
        <w:t>Brindabella Business Park</w:t>
      </w:r>
      <w:r w:rsidR="006B29A4" w:rsidRPr="00123109">
        <w:rPr>
          <w:rFonts w:ascii="Calibri" w:hAnsi="Calibri"/>
          <w:lang w:val="en-AU"/>
        </w:rPr>
        <w:br/>
      </w:r>
      <w:r w:rsidRPr="00123109">
        <w:rPr>
          <w:rFonts w:ascii="Calibri" w:hAnsi="Calibri"/>
          <w:lang w:val="en-AU"/>
        </w:rPr>
        <w:t>Canberra Airport   ACT   2609</w:t>
      </w:r>
      <w:r w:rsidR="006B29A4" w:rsidRPr="00123109">
        <w:rPr>
          <w:rFonts w:ascii="Calibri" w:hAnsi="Calibri"/>
          <w:lang w:val="en-AU"/>
        </w:rPr>
        <w:br/>
      </w:r>
      <w:r w:rsidRPr="00123109">
        <w:rPr>
          <w:rFonts w:ascii="Calibri" w:hAnsi="Calibri"/>
          <w:lang w:val="en-AU"/>
        </w:rPr>
        <w:br/>
        <w:t>Tel: +61 2 6263 7000</w:t>
      </w:r>
      <w:r w:rsidR="006B29A4" w:rsidRPr="009C2BE6">
        <w:rPr>
          <w:rFonts w:ascii="Calibri" w:hAnsi="Calibri"/>
          <w:highlight w:val="yellow"/>
          <w:lang w:val="en-AU"/>
        </w:rPr>
        <w:br/>
      </w:r>
      <w:r w:rsidR="006B29A4" w:rsidRPr="00C34D8E">
        <w:rPr>
          <w:rFonts w:ascii="Calibri" w:hAnsi="Calibri"/>
          <w:lang w:val="en-AU"/>
        </w:rPr>
        <w:br/>
      </w:r>
      <w:hyperlink r:id="rId65" w:history="1">
        <w:r w:rsidR="006546AD" w:rsidRPr="00E56665">
          <w:rPr>
            <w:rStyle w:val="Hyperlink"/>
            <w:rFonts w:ascii="Calibri" w:hAnsi="Calibri"/>
          </w:rPr>
          <w:t>www.deloitteaccesseconomics</w:t>
        </w:r>
      </w:hyperlink>
      <w:r w:rsidR="00D319B7">
        <w:rPr>
          <w:rStyle w:val="Hyperlink"/>
          <w:rFonts w:ascii="Calibri" w:hAnsi="Calibri"/>
        </w:rPr>
        <w:t>.com.au</w:t>
      </w:r>
    </w:p>
    <w:p w:rsidR="00ED79CD" w:rsidRDefault="00ED79CD" w:rsidP="00846A16">
      <w:pPr>
        <w:pStyle w:val="BoldPara"/>
        <w:jc w:val="left"/>
      </w:pPr>
    </w:p>
    <w:p w:rsidR="00471F42" w:rsidRPr="00C34D8E" w:rsidRDefault="00471F42" w:rsidP="002320EB">
      <w:pPr>
        <w:pStyle w:val="DBody"/>
        <w:jc w:val="both"/>
        <w:rPr>
          <w:rFonts w:ascii="Calibri" w:hAnsi="Calibri"/>
          <w:lang w:val="en-AU"/>
        </w:rPr>
      </w:pPr>
    </w:p>
    <w:p w:rsidR="00471F42" w:rsidRPr="00471F42" w:rsidRDefault="006B29A4" w:rsidP="002320EB">
      <w:pPr>
        <w:pStyle w:val="BodyText"/>
        <w:rPr>
          <w:sz w:val="18"/>
          <w:szCs w:val="18"/>
        </w:rPr>
      </w:pPr>
      <w:r w:rsidRPr="00C877C1">
        <w:br w:type="column"/>
      </w:r>
      <w:r w:rsidR="00471F42" w:rsidRPr="00471F42">
        <w:rPr>
          <w:rStyle w:val="BoldParaChar"/>
          <w:sz w:val="18"/>
          <w:szCs w:val="18"/>
        </w:rPr>
        <w:t>Deloitte Access Economics</w:t>
      </w:r>
      <w:r w:rsidR="00471F42" w:rsidRPr="00471F42">
        <w:rPr>
          <w:sz w:val="18"/>
          <w:szCs w:val="18"/>
        </w:rPr>
        <w:t xml:space="preserve"> is Australia’s pre-eminent economics advisory practice and a member of Delo</w:t>
      </w:r>
      <w:r w:rsidR="004A5FDA">
        <w:rPr>
          <w:sz w:val="18"/>
          <w:szCs w:val="18"/>
        </w:rPr>
        <w:t>itte's global economics group.  For more information, please visit our website www.deloitteaccesseconomics.com.au</w:t>
      </w:r>
    </w:p>
    <w:p w:rsidR="00471F42" w:rsidRPr="00471F42" w:rsidRDefault="00471F42" w:rsidP="002320EB">
      <w:pPr>
        <w:pStyle w:val="BoldPara"/>
        <w:spacing w:before="120"/>
        <w:rPr>
          <w:sz w:val="18"/>
          <w:szCs w:val="18"/>
        </w:rPr>
      </w:pPr>
      <w:r w:rsidRPr="00471F42">
        <w:rPr>
          <w:sz w:val="18"/>
          <w:szCs w:val="18"/>
        </w:rPr>
        <w:t>About Deloitte</w:t>
      </w:r>
    </w:p>
    <w:p w:rsidR="00DD29CE" w:rsidRPr="00471F42" w:rsidRDefault="00DD29CE" w:rsidP="002320EB">
      <w:pPr>
        <w:pStyle w:val="BodyText"/>
        <w:spacing w:before="120"/>
        <w:rPr>
          <w:sz w:val="18"/>
          <w:szCs w:val="18"/>
        </w:rPr>
      </w:pPr>
      <w:r w:rsidRPr="00471F42">
        <w:rPr>
          <w:sz w:val="18"/>
          <w:szCs w:val="18"/>
        </w:rPr>
        <w:t xml:space="preserve">Deloitte refers to one or more of Deloitte Touche Tohmatsu Limited, a UK private company limited by guarantee, and its network of member firms, each of which is a legally separate and independent entity. Please see </w:t>
      </w:r>
      <w:hyperlink r:id="rId66" w:history="1">
        <w:r w:rsidRPr="00471F42">
          <w:rPr>
            <w:sz w:val="18"/>
            <w:szCs w:val="18"/>
          </w:rPr>
          <w:t>www.deloitte.com/au/about</w:t>
        </w:r>
      </w:hyperlink>
      <w:r w:rsidRPr="00471F42">
        <w:rPr>
          <w:sz w:val="18"/>
          <w:szCs w:val="18"/>
        </w:rPr>
        <w:t xml:space="preserve"> for a detailed description of the legal structure of Deloitte Touche Tohmatsu Limited and its member firms.</w:t>
      </w:r>
    </w:p>
    <w:p w:rsidR="00471F42" w:rsidRPr="00471F42" w:rsidRDefault="00471F42" w:rsidP="002320EB">
      <w:pPr>
        <w:pStyle w:val="BodyText"/>
        <w:spacing w:before="120"/>
        <w:rPr>
          <w:sz w:val="18"/>
          <w:szCs w:val="18"/>
        </w:rPr>
      </w:pPr>
      <w:r w:rsidRPr="00471F42">
        <w:rPr>
          <w:sz w:val="18"/>
          <w:szCs w:val="18"/>
        </w:rPr>
        <w:t>Deloitte provides audit, tax, consulting, and financial advisory services to public and private clients spanning multiple industries. With a globally connected network of member firms in more than 150 countries, Deloitte brings world-class capabilities and deep local expertise to help clients succeed wherever they ope</w:t>
      </w:r>
      <w:r w:rsidR="00DD29CE">
        <w:rPr>
          <w:sz w:val="18"/>
          <w:szCs w:val="18"/>
        </w:rPr>
        <w:t>rate. Deloitte's approximately 200</w:t>
      </w:r>
      <w:r w:rsidRPr="00471F42">
        <w:rPr>
          <w:sz w:val="18"/>
          <w:szCs w:val="18"/>
        </w:rPr>
        <w:t>,000 professionals are committed to becoming the standard of excellence.</w:t>
      </w:r>
    </w:p>
    <w:p w:rsidR="00471F42" w:rsidRPr="00471F42" w:rsidRDefault="00471F42" w:rsidP="002320EB">
      <w:pPr>
        <w:pStyle w:val="BoldPara"/>
        <w:spacing w:before="120"/>
        <w:rPr>
          <w:sz w:val="18"/>
          <w:szCs w:val="18"/>
        </w:rPr>
      </w:pPr>
      <w:r w:rsidRPr="00471F42">
        <w:rPr>
          <w:sz w:val="18"/>
          <w:szCs w:val="18"/>
        </w:rPr>
        <w:t>About Deloitte Australia</w:t>
      </w:r>
    </w:p>
    <w:p w:rsidR="00471F42" w:rsidRPr="00471F42" w:rsidRDefault="00471F42" w:rsidP="002320EB">
      <w:pPr>
        <w:pStyle w:val="BodyText"/>
        <w:spacing w:before="120"/>
        <w:rPr>
          <w:sz w:val="18"/>
          <w:szCs w:val="18"/>
        </w:rPr>
      </w:pPr>
      <w:r w:rsidRPr="00471F42">
        <w:rPr>
          <w:sz w:val="18"/>
          <w:szCs w:val="18"/>
        </w:rPr>
        <w:t xml:space="preserve">In Australia, the member firm is the Australian partnership of Deloitte Touche Tohmatsu. As one of Australia’s leading professional services firms. Deloitte Touche Tohmatsu and its affiliates provide audit, tax, consulting, and financial advisory services through approximately </w:t>
      </w:r>
      <w:r w:rsidR="00DD29CE">
        <w:rPr>
          <w:sz w:val="18"/>
          <w:szCs w:val="18"/>
        </w:rPr>
        <w:t>6</w:t>
      </w:r>
      <w:r w:rsidRPr="00471F42">
        <w:rPr>
          <w:sz w:val="18"/>
          <w:szCs w:val="18"/>
        </w:rPr>
        <w:t>,</w:t>
      </w:r>
      <w:r w:rsidR="00DD29CE">
        <w:rPr>
          <w:sz w:val="18"/>
          <w:szCs w:val="18"/>
        </w:rPr>
        <w:t>0</w:t>
      </w:r>
      <w:r w:rsidRPr="00471F42">
        <w:rPr>
          <w:sz w:val="18"/>
          <w:szCs w:val="18"/>
        </w:rPr>
        <w:t xml:space="preserve">00 people across the country. Focused on the creation of value and growth, and known as an employer of choice for innovative human resources programs, we are dedicated to helping our clients and our people excel. For more information, please visit our web site at </w:t>
      </w:r>
      <w:hyperlink r:id="rId67" w:tooltip="outbind://134-00000000D9F0381E780C36468130C157C6E02F0F070089EF0B7E64D67E4497677FBE48F7C85200000026A9650000C02BFF51A79832439D10343FF5D9363C000001F3CF140000/Local%20Settings/Temporary%20Internet%20Files/OLK19/www.deloitte.com.au" w:history="1">
        <w:r w:rsidRPr="00471F42">
          <w:rPr>
            <w:sz w:val="18"/>
            <w:szCs w:val="18"/>
          </w:rPr>
          <w:t>www.deloitte.com.au</w:t>
        </w:r>
      </w:hyperlink>
      <w:hyperlink r:id="rId68" w:tooltip="outbind://134-00000000D9F0381E780C36468130C157C6E02F0F070089EF0B7E64D67E4497677FBE48F7C85200000026A9650000C02BFF51A79832439D10343FF5D9363C000001F3CF140000/Local%20Settings/Temporary%20Internet%20Files/OLK19/www.deloitte.com.au" w:history="1">
        <w:r w:rsidRPr="00471F42">
          <w:rPr>
            <w:sz w:val="18"/>
            <w:szCs w:val="18"/>
          </w:rPr>
          <w:t>www.deloitte.com.au</w:t>
        </w:r>
      </w:hyperlink>
      <w:r w:rsidRPr="00471F42">
        <w:rPr>
          <w:sz w:val="18"/>
          <w:szCs w:val="18"/>
        </w:rPr>
        <w:t>.</w:t>
      </w:r>
    </w:p>
    <w:p w:rsidR="00471F42" w:rsidRPr="00471F42" w:rsidRDefault="00471F42" w:rsidP="002320EB">
      <w:pPr>
        <w:spacing w:before="120" w:line="180" w:lineRule="exact"/>
        <w:jc w:val="both"/>
        <w:rPr>
          <w:sz w:val="18"/>
          <w:szCs w:val="18"/>
        </w:rPr>
      </w:pPr>
      <w:r w:rsidRPr="00471F42">
        <w:rPr>
          <w:sz w:val="18"/>
          <w:szCs w:val="18"/>
        </w:rPr>
        <w:t>Liability limited by a scheme approved under Professional Standards Legislation.</w:t>
      </w:r>
    </w:p>
    <w:p w:rsidR="00471F42" w:rsidRPr="00471F42" w:rsidRDefault="00471F42" w:rsidP="002320EB">
      <w:pPr>
        <w:spacing w:before="120" w:line="180" w:lineRule="exact"/>
        <w:jc w:val="both"/>
        <w:rPr>
          <w:sz w:val="18"/>
          <w:szCs w:val="18"/>
        </w:rPr>
      </w:pPr>
      <w:r w:rsidRPr="00471F42">
        <w:rPr>
          <w:sz w:val="18"/>
          <w:szCs w:val="18"/>
        </w:rPr>
        <w:t>Member of Deloitte Touche Tohmatsu Limited</w:t>
      </w:r>
    </w:p>
    <w:p w:rsidR="00471F42" w:rsidRPr="00471F42" w:rsidRDefault="00471F42" w:rsidP="002320EB">
      <w:pPr>
        <w:spacing w:before="120" w:line="180" w:lineRule="exact"/>
        <w:jc w:val="both"/>
        <w:rPr>
          <w:sz w:val="18"/>
          <w:szCs w:val="18"/>
        </w:rPr>
      </w:pPr>
      <w:r w:rsidRPr="00471F42">
        <w:rPr>
          <w:sz w:val="18"/>
          <w:szCs w:val="18"/>
        </w:rPr>
        <w:t xml:space="preserve">© </w:t>
      </w:r>
      <w:r w:rsidR="009F06EE">
        <w:rPr>
          <w:sz w:val="18"/>
          <w:szCs w:val="18"/>
        </w:rPr>
        <w:t>2016</w:t>
      </w:r>
      <w:r w:rsidRPr="00471F42">
        <w:rPr>
          <w:sz w:val="18"/>
          <w:szCs w:val="18"/>
        </w:rPr>
        <w:t xml:space="preserve"> Deloitte Access Economics Pty Ltd</w:t>
      </w:r>
    </w:p>
    <w:p w:rsidR="006B29A4" w:rsidRPr="00471F42" w:rsidRDefault="006B29A4" w:rsidP="002320EB">
      <w:pPr>
        <w:jc w:val="both"/>
        <w:rPr>
          <w:sz w:val="18"/>
          <w:szCs w:val="18"/>
        </w:rPr>
      </w:pPr>
    </w:p>
    <w:sectPr w:rsidR="006B29A4" w:rsidRPr="00471F42" w:rsidSect="006B29A4">
      <w:footerReference w:type="default" r:id="rId69"/>
      <w:pgSz w:w="11906" w:h="16838" w:code="9"/>
      <w:pgMar w:top="2268" w:right="1134" w:bottom="1134" w:left="2552"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6EE" w:rsidRDefault="009F06EE" w:rsidP="00680968">
      <w:pPr>
        <w:pStyle w:val="Tabletotals"/>
      </w:pPr>
      <w:r>
        <w:separator/>
      </w:r>
    </w:p>
  </w:endnote>
  <w:endnote w:type="continuationSeparator" w:id="0">
    <w:p w:rsidR="009F06EE" w:rsidRDefault="009F06EE" w:rsidP="00680968">
      <w:pPr>
        <w:pStyle w:val="Tabletotals"/>
      </w:pPr>
      <w:r>
        <w:continuationSeparator/>
      </w:r>
    </w:p>
  </w:endnote>
  <w:endnote w:type="continuationNotice" w:id="1">
    <w:p w:rsidR="009F06EE" w:rsidRDefault="009F06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7A7B51C6-A30F-440C-9D7D-CDE636E3B13B}"/>
    <w:embedBold r:id="rId2" w:fontKey="{2BDC5DBC-9C47-48EE-8E93-7EAADEF5BA6E}"/>
    <w:embedItalic r:id="rId3" w:fontKey="{5655B093-BEC3-4111-923C-E43C417D0EF8}"/>
    <w:embedBoldItalic r:id="rId4" w:fontKey="{A07A51A5-E9F1-48D6-A5C0-3A090F75B6F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Swis721 Md BT">
    <w:altName w:val="Arial"/>
    <w:charset w:val="00"/>
    <w:family w:val="swiss"/>
    <w:pitch w:val="variable"/>
    <w:sig w:usb0="00000087" w:usb1="00000000" w:usb2="00000000" w:usb3="00000000" w:csb0="0000001B" w:csb1="00000000"/>
  </w:font>
  <w:font w:name="Swis721 LtCn BT">
    <w:altName w:val="Arial Narrow"/>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ingLiU">
    <w:altName w:val="細明體"/>
    <w:panose1 w:val="02020509000000000000"/>
    <w:charset w:val="88"/>
    <w:family w:val="modern"/>
    <w:notTrueType/>
    <w:pitch w:val="fixed"/>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embedRegular r:id="rId5" w:fontKey="{25E9CF12-AC39-4899-83B1-B1DC0095FFEE}"/>
    <w:embedItalic r:id="rId6" w:fontKey="{52E2634A-97FC-4093-9C42-E35CE0418B28}"/>
    <w:embedBoldItalic r:id="rId7" w:fontKey="{45FA1664-C7B1-44E5-ACA7-B06E33E36986}"/>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6EE" w:rsidRDefault="009F06EE">
    <w:pPr>
      <w:pStyle w:val="Footer"/>
    </w:pPr>
    <w:r w:rsidRPr="00042200">
      <w:rPr>
        <w:noProof/>
        <w:lang w:eastAsia="en-AU"/>
      </w:rPr>
      <w:drawing>
        <wp:anchor distT="0" distB="0" distL="114300" distR="114300" simplePos="0" relativeHeight="251657728" behindDoc="0" locked="0" layoutInCell="1" allowOverlap="1" wp14:anchorId="2F3F13A9" wp14:editId="21E20A7F">
          <wp:simplePos x="0" y="0"/>
          <wp:positionH relativeFrom="page">
            <wp:posOffset>5305425</wp:posOffset>
          </wp:positionH>
          <wp:positionV relativeFrom="page">
            <wp:posOffset>9991725</wp:posOffset>
          </wp:positionV>
          <wp:extent cx="1652270" cy="314325"/>
          <wp:effectExtent l="19050" t="0" r="5080" b="0"/>
          <wp:wrapNone/>
          <wp:docPr id="5" name="HDR_LOGO" descr="Deloitte_blue_RGB_1.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eloitte_blue_RGB_1.tif"/>
                  <pic:cNvPicPr/>
                </pic:nvPicPr>
                <pic:blipFill>
                  <a:blip r:embed="rId1"/>
                  <a:stretch>
                    <a:fillRect/>
                  </a:stretch>
                </pic:blipFill>
                <pic:spPr>
                  <a:xfrm>
                    <a:off x="0" y="0"/>
                    <a:ext cx="1652270" cy="31432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6EE" w:rsidRPr="00644AF6" w:rsidRDefault="009F06EE" w:rsidP="000066F0">
    <w:pPr>
      <w:pStyle w:val="Footer"/>
      <w:tabs>
        <w:tab w:val="clear" w:pos="4513"/>
        <w:tab w:val="left" w:pos="6237"/>
      </w:tabs>
    </w:pPr>
    <w:r w:rsidRPr="00EA30B4">
      <w:rPr>
        <w:rFonts w:asciiTheme="minorHAnsi" w:hAnsiTheme="minorHAnsi" w:cstheme="minorHAnsi"/>
        <w:color w:val="002776"/>
      </w:rPr>
      <w:t>Deloitte</w:t>
    </w:r>
    <w:r w:rsidRPr="00CB3984">
      <w:rPr>
        <w:rFonts w:asciiTheme="minorHAnsi" w:hAnsiTheme="minorHAnsi" w:cstheme="minorHAnsi"/>
      </w:rPr>
      <w:t xml:space="preserve"> </w:t>
    </w:r>
    <w:r w:rsidRPr="0029312B">
      <w:rPr>
        <w:rFonts w:asciiTheme="minorHAnsi" w:hAnsiTheme="minorHAnsi" w:cstheme="minorHAnsi"/>
        <w:color w:val="827F77"/>
      </w:rPr>
      <w:t>Access Economics</w:t>
    </w:r>
    <w:r>
      <w:rPr>
        <w:rFonts w:asciiTheme="minorHAnsi" w:hAnsiTheme="minorHAnsi" w:cstheme="minorHAnsi"/>
        <w:color w:val="827F77"/>
      </w:rPr>
      <w:tab/>
    </w:r>
  </w:p>
  <w:p w:rsidR="009F06EE" w:rsidRPr="009C2BE6" w:rsidRDefault="009F06EE" w:rsidP="009C2B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6EE" w:rsidRDefault="009F06EE" w:rsidP="00FC0FA3">
    <w:pPr>
      <w:pStyle w:val="Footer"/>
      <w:jc w:val="right"/>
      <w:rPr>
        <w:noProof/>
      </w:rPr>
    </w:pPr>
    <w:r>
      <w:rPr>
        <w:noProof/>
        <w:lang w:eastAsia="en-AU"/>
      </w:rPr>
      <mc:AlternateContent>
        <mc:Choice Requires="wps">
          <w:drawing>
            <wp:anchor distT="0" distB="0" distL="114300" distR="114300" simplePos="0" relativeHeight="251656704" behindDoc="0" locked="0" layoutInCell="1" allowOverlap="1" wp14:anchorId="627B6198" wp14:editId="325C028D">
              <wp:simplePos x="0" y="0"/>
              <wp:positionH relativeFrom="column">
                <wp:posOffset>-472440</wp:posOffset>
              </wp:positionH>
              <wp:positionV relativeFrom="paragraph">
                <wp:posOffset>0</wp:posOffset>
              </wp:positionV>
              <wp:extent cx="2084070" cy="231140"/>
              <wp:effectExtent l="0" t="0" r="7620" b="0"/>
              <wp:wrapNone/>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6EE" w:rsidRPr="00270B23" w:rsidRDefault="009F06EE" w:rsidP="00FC0FA3">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27B6198" id="_x0000_t202" coordsize="21600,21600" o:spt="202" path="m,l,21600r21600,l21600,xe">
              <v:stroke joinstyle="miter"/>
              <v:path gradientshapeok="t" o:connecttype="rect"/>
            </v:shapetype>
            <v:shape id="Text Box 25" o:spid="_x0000_s1026" type="#_x0000_t202" style="position:absolute;left:0;text-align:left;margin-left:-37.2pt;margin-top:0;width:164.1pt;height:18.2pt;z-index:2516567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" stroked="f">
              <v:textbox style="mso-fit-shape-to-text:t">
                <w:txbxContent>
                  <w:p w:rsidR="009F06EE" w:rsidRPr="00270B23" w:rsidRDefault="009F06EE" w:rsidP="00FC0FA3">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v:textbox>
            </v:shape>
          </w:pict>
        </mc:Fallback>
      </mc:AlternateContent>
    </w:r>
    <w:r>
      <w:fldChar w:fldCharType="begin"/>
    </w:r>
    <w:r>
      <w:instrText xml:space="preserve"> PAGE   \* MERGEFORMAT </w:instrText>
    </w:r>
    <w:r>
      <w:fldChar w:fldCharType="separate"/>
    </w:r>
    <w:r w:rsidR="00630101">
      <w:rPr>
        <w:noProof/>
      </w:rPr>
      <w:t>3</w:t>
    </w:r>
    <w:r>
      <w:rPr>
        <w:noProof/>
      </w:rPr>
      <w:fldChar w:fldCharType="end"/>
    </w:r>
  </w:p>
  <w:p w:rsidR="009F06EE" w:rsidRPr="009C2BE6" w:rsidRDefault="009F06EE" w:rsidP="009C2BE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6EE" w:rsidRDefault="009F06EE" w:rsidP="009E2AF8">
    <w:pPr>
      <w:pStyle w:val="Footer"/>
      <w:jc w:val="right"/>
      <w:rPr>
        <w:noProof/>
      </w:rPr>
    </w:pPr>
    <w:r>
      <w:rPr>
        <w:noProof/>
        <w:lang w:eastAsia="en-AU"/>
      </w:rPr>
      <mc:AlternateContent>
        <mc:Choice Requires="wps">
          <w:drawing>
            <wp:anchor distT="0" distB="0" distL="114300" distR="114300" simplePos="0" relativeHeight="251659776" behindDoc="0" locked="0" layoutInCell="1" allowOverlap="1" wp14:anchorId="7019C67C" wp14:editId="27E07996">
              <wp:simplePos x="0" y="0"/>
              <wp:positionH relativeFrom="column">
                <wp:posOffset>-472440</wp:posOffset>
              </wp:positionH>
              <wp:positionV relativeFrom="paragraph">
                <wp:posOffset>0</wp:posOffset>
              </wp:positionV>
              <wp:extent cx="2084070" cy="231140"/>
              <wp:effectExtent l="0" t="0" r="7620" b="0"/>
              <wp:wrapNone/>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6EE" w:rsidRPr="00270B23" w:rsidRDefault="009F06EE" w:rsidP="009E2AF8">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019C67C" id="_x0000_t202" coordsize="21600,21600" o:spt="202" path="m,l,21600r21600,l21600,xe">
              <v:stroke joinstyle="miter"/>
              <v:path gradientshapeok="t" o:connecttype="rect"/>
            </v:shapetype>
            <v:shape id="_x0000_s1027" type="#_x0000_t202" style="position:absolute;left:0;text-align:left;margin-left:-37.2pt;margin-top:0;width:164.1pt;height:18.2pt;z-index:2516597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" stroked="f">
              <v:textbox style="mso-fit-shape-to-text:t">
                <w:txbxContent>
                  <w:p w:rsidR="009F06EE" w:rsidRPr="00270B23" w:rsidRDefault="009F06EE" w:rsidP="009E2AF8">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v:textbox>
            </v:shape>
          </w:pict>
        </mc:Fallback>
      </mc:AlternateContent>
    </w:r>
    <w:r>
      <w:fldChar w:fldCharType="begin"/>
    </w:r>
    <w:r>
      <w:instrText xml:space="preserve"> PAGE   \* MERGEFORMAT </w:instrText>
    </w:r>
    <w:r>
      <w:fldChar w:fldCharType="separate"/>
    </w:r>
    <w:r w:rsidR="00630101">
      <w:rPr>
        <w:noProof/>
      </w:rPr>
      <w:t>1</w:t>
    </w:r>
    <w:r>
      <w:rPr>
        <w:noProof/>
      </w:rPr>
      <w:fldChar w:fldCharType="end"/>
    </w:r>
  </w:p>
  <w:p w:rsidR="009F06EE" w:rsidRPr="006345F9" w:rsidRDefault="009F06EE" w:rsidP="009E2AF8">
    <w:pPr>
      <w:pStyle w:val="Footer"/>
    </w:pPr>
    <w:r>
      <w:tab/>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6EE" w:rsidRPr="006B29A4" w:rsidRDefault="009F06EE" w:rsidP="006B2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6EE" w:rsidRDefault="009F06EE" w:rsidP="00680968">
      <w:pPr>
        <w:pStyle w:val="Tabletotals"/>
      </w:pPr>
      <w:r>
        <w:separator/>
      </w:r>
    </w:p>
  </w:footnote>
  <w:footnote w:type="continuationSeparator" w:id="0">
    <w:p w:rsidR="009F06EE" w:rsidRDefault="009F06EE" w:rsidP="00680968">
      <w:pPr>
        <w:pStyle w:val="Tabletotals"/>
      </w:pPr>
      <w:r>
        <w:continuationSeparator/>
      </w:r>
    </w:p>
  </w:footnote>
  <w:footnote w:type="continuationNotice" w:id="1">
    <w:p w:rsidR="009F06EE" w:rsidRDefault="009F06EE"/>
  </w:footnote>
  <w:footnote w:id="2">
    <w:p w:rsidR="009F06EE" w:rsidRPr="009F190A" w:rsidRDefault="009F06EE" w:rsidP="0055318E">
      <w:pPr>
        <w:pStyle w:val="FootnoteText"/>
        <w:rPr>
          <w:szCs w:val="18"/>
        </w:rPr>
      </w:pPr>
      <w:r w:rsidRPr="009F190A">
        <w:rPr>
          <w:rStyle w:val="FootnoteReference"/>
          <w:szCs w:val="18"/>
        </w:rPr>
        <w:footnoteRef/>
      </w:r>
      <w:r w:rsidRPr="009F190A">
        <w:rPr>
          <w:szCs w:val="18"/>
        </w:rPr>
        <w:t xml:space="preserve"> An evidence base of efficient costs is also required, though that is not the focus of this work. </w:t>
      </w:r>
    </w:p>
  </w:footnote>
  <w:footnote w:id="3">
    <w:p w:rsidR="009F06EE" w:rsidRPr="009F190A" w:rsidRDefault="009F06EE" w:rsidP="0055318E">
      <w:pPr>
        <w:pStyle w:val="FootnoteText"/>
        <w:rPr>
          <w:szCs w:val="18"/>
        </w:rPr>
      </w:pPr>
      <w:r>
        <w:rPr>
          <w:rStyle w:val="FootnoteReference"/>
        </w:rPr>
        <w:footnoteRef/>
      </w:r>
      <w:r>
        <w:t xml:space="preserve"> </w:t>
      </w:r>
      <w:r w:rsidRPr="009F190A">
        <w:rPr>
          <w:szCs w:val="18"/>
        </w:rPr>
        <w:t>The empirical interpretation of the McMahon (2004) findings in subsequent literature, including Chapman and Lounkaew (2011, 2015), may not have been accurate.</w:t>
      </w:r>
    </w:p>
  </w:footnote>
  <w:footnote w:id="4">
    <w:p w:rsidR="009F06EE" w:rsidRPr="009F190A" w:rsidRDefault="009F06EE" w:rsidP="0055318E">
      <w:pPr>
        <w:pStyle w:val="FootnoteText"/>
        <w:rPr>
          <w:szCs w:val="18"/>
        </w:rPr>
      </w:pPr>
      <w:r w:rsidRPr="009F190A">
        <w:rPr>
          <w:rStyle w:val="FootnoteReference"/>
          <w:rFonts w:asciiTheme="minorHAnsi" w:hAnsiTheme="minorHAnsi"/>
          <w:szCs w:val="18"/>
        </w:rPr>
        <w:footnoteRef/>
      </w:r>
      <w:r w:rsidRPr="009F190A">
        <w:rPr>
          <w:szCs w:val="18"/>
        </w:rPr>
        <w:t xml:space="preserve"> This study does not effectively capture market-based productivity spillovers, but rather seeks to capture non-market public returns in pecuniary terms.</w:t>
      </w:r>
    </w:p>
  </w:footnote>
  <w:footnote w:id="5">
    <w:p w:rsidR="009F06EE" w:rsidRPr="009F190A" w:rsidRDefault="009F06EE" w:rsidP="0055318E">
      <w:pPr>
        <w:pStyle w:val="FootnoteText"/>
        <w:rPr>
          <w:szCs w:val="18"/>
        </w:rPr>
      </w:pPr>
      <w:r w:rsidRPr="009F190A">
        <w:rPr>
          <w:rStyle w:val="FootnoteReference"/>
          <w:rFonts w:asciiTheme="minorHAnsi" w:hAnsiTheme="minorHAnsi"/>
          <w:szCs w:val="18"/>
        </w:rPr>
        <w:footnoteRef/>
      </w:r>
      <w:r w:rsidRPr="009F190A">
        <w:rPr>
          <w:szCs w:val="18"/>
        </w:rPr>
        <w:t xml:space="preserve"> </w:t>
      </w:r>
      <w:r w:rsidRPr="009F190A">
        <w:rPr>
          <w:rStyle w:val="Boldword"/>
          <w:rFonts w:asciiTheme="minorHAnsi" w:hAnsiTheme="minorHAnsi"/>
          <w:b w:val="0"/>
          <w:color w:val="auto"/>
          <w:sz w:val="18"/>
          <w:szCs w:val="18"/>
        </w:rPr>
        <w:t>A further consideration that affects these relativities is the nature of Australia’s taxation system, with larger productivity benefits generating proportionally larger public returns due to the progressive nature of marginal income taxes.</w:t>
      </w:r>
    </w:p>
  </w:footnote>
  <w:footnote w:id="6">
    <w:p w:rsidR="009F06EE" w:rsidRPr="0031604B" w:rsidRDefault="009F06EE" w:rsidP="001A3292">
      <w:pPr>
        <w:pStyle w:val="FootnoteText"/>
        <w:rPr>
          <w:szCs w:val="18"/>
        </w:rPr>
      </w:pPr>
      <w:r w:rsidRPr="009F190A">
        <w:rPr>
          <w:rStyle w:val="FootnoteReference"/>
          <w:rFonts w:asciiTheme="minorHAnsi" w:hAnsiTheme="minorHAnsi"/>
          <w:szCs w:val="18"/>
        </w:rPr>
        <w:footnoteRef/>
      </w:r>
      <w:r w:rsidRPr="009F190A">
        <w:rPr>
          <w:szCs w:val="18"/>
        </w:rPr>
        <w:t xml:space="preserve"> It should be noted that some of McMahon’s comparable estimates do not relate specifically to higher education attainment (rather he considers years of educational atta</w:t>
      </w:r>
      <w:r w:rsidRPr="0031604B">
        <w:rPr>
          <w:szCs w:val="18"/>
        </w:rPr>
        <w:t>inment in general), and that these estimates are not specific to Australia.</w:t>
      </w:r>
    </w:p>
  </w:footnote>
  <w:footnote w:id="7">
    <w:p w:rsidR="009F06EE" w:rsidRPr="00C16F98" w:rsidRDefault="009F06EE" w:rsidP="001A3292">
      <w:pPr>
        <w:pStyle w:val="FootnoteText"/>
        <w:rPr>
          <w:szCs w:val="18"/>
        </w:rPr>
      </w:pPr>
      <w:r w:rsidRPr="0031604B">
        <w:rPr>
          <w:rStyle w:val="FootnoteReference"/>
          <w:rFonts w:asciiTheme="minorHAnsi" w:hAnsiTheme="minorHAnsi"/>
          <w:szCs w:val="18"/>
        </w:rPr>
        <w:footnoteRef/>
      </w:r>
      <w:r w:rsidRPr="00460EF9">
        <w:rPr>
          <w:szCs w:val="18"/>
        </w:rPr>
        <w:t xml:space="preserve"> As part of these changes, from </w:t>
      </w:r>
      <w:r w:rsidRPr="00D33244">
        <w:rPr>
          <w:szCs w:val="18"/>
        </w:rPr>
        <w:t>2005</w:t>
      </w:r>
      <w:r w:rsidRPr="002C4CD8">
        <w:rPr>
          <w:szCs w:val="18"/>
        </w:rPr>
        <w:t>, HECS places became known as Commonwealth Supported Places (CSP) and the total program of student loans from the Australian government became known as the Higher Education Loan Program (HELP).</w:t>
      </w:r>
    </w:p>
  </w:footnote>
  <w:footnote w:id="8">
    <w:p w:rsidR="009F06EE" w:rsidRPr="009F190A" w:rsidRDefault="009F06EE" w:rsidP="008F16F2">
      <w:pPr>
        <w:pStyle w:val="FootnoteText"/>
        <w:rPr>
          <w:szCs w:val="18"/>
        </w:rPr>
      </w:pPr>
      <w:r w:rsidRPr="009F190A">
        <w:rPr>
          <w:rStyle w:val="FootnoteReference"/>
          <w:rFonts w:asciiTheme="minorHAnsi" w:hAnsiTheme="minorHAnsi"/>
          <w:szCs w:val="18"/>
        </w:rPr>
        <w:footnoteRef/>
      </w:r>
      <w:r w:rsidRPr="009F190A">
        <w:rPr>
          <w:szCs w:val="18"/>
        </w:rPr>
        <w:t xml:space="preserve"> This research was undertaken by Deloitte Access Economics in support of the Base Funding Review.</w:t>
      </w:r>
    </w:p>
  </w:footnote>
  <w:footnote w:id="9">
    <w:p w:rsidR="009F06EE" w:rsidRPr="00C16F98" w:rsidRDefault="009F06EE" w:rsidP="004C51B0">
      <w:pPr>
        <w:pStyle w:val="FootnoteText"/>
        <w:rPr>
          <w:szCs w:val="18"/>
        </w:rPr>
      </w:pPr>
      <w:r w:rsidRPr="0031604B">
        <w:rPr>
          <w:rStyle w:val="FootnoteReference"/>
          <w:rFonts w:asciiTheme="minorHAnsi" w:hAnsiTheme="minorHAnsi"/>
          <w:szCs w:val="18"/>
        </w:rPr>
        <w:footnoteRef/>
      </w:r>
      <w:r w:rsidRPr="00460EF9">
        <w:rPr>
          <w:szCs w:val="18"/>
        </w:rPr>
        <w:t xml:space="preserve"> The review also recommended that base funding for non-university provision of higher education courses be </w:t>
      </w:r>
      <w:r w:rsidRPr="00D33244">
        <w:rPr>
          <w:szCs w:val="18"/>
        </w:rPr>
        <w:t>adjusted down by up to 10</w:t>
      </w:r>
      <w:r w:rsidRPr="002C4CD8">
        <w:rPr>
          <w:szCs w:val="18"/>
        </w:rPr>
        <w:t>% in recognition that these providers are not required to undertake research.</w:t>
      </w:r>
    </w:p>
  </w:footnote>
  <w:footnote w:id="10">
    <w:p w:rsidR="009F06EE" w:rsidRPr="00C16F98" w:rsidRDefault="009F06EE">
      <w:pPr>
        <w:pStyle w:val="FootnoteText"/>
        <w:rPr>
          <w:szCs w:val="18"/>
        </w:rPr>
      </w:pPr>
      <w:r w:rsidRPr="00C16F98">
        <w:rPr>
          <w:rStyle w:val="FootnoteReference"/>
          <w:szCs w:val="18"/>
        </w:rPr>
        <w:footnoteRef/>
      </w:r>
      <w:r w:rsidRPr="00C16F98">
        <w:rPr>
          <w:szCs w:val="18"/>
        </w:rPr>
        <w:t xml:space="preserve"> This had previously been accompanied by a plan to deregulate student contribution amounts, which is no longer supported by the Government.</w:t>
      </w:r>
    </w:p>
  </w:footnote>
  <w:footnote w:id="11">
    <w:p w:rsidR="009F06EE" w:rsidRPr="00C222B8" w:rsidRDefault="009F06EE">
      <w:pPr>
        <w:pStyle w:val="FootnoteText"/>
        <w:rPr>
          <w:szCs w:val="18"/>
        </w:rPr>
      </w:pPr>
      <w:r w:rsidRPr="00C222B8">
        <w:rPr>
          <w:rStyle w:val="FootnoteReference"/>
          <w:rFonts w:asciiTheme="minorHAnsi" w:hAnsiTheme="minorHAnsi"/>
          <w:szCs w:val="18"/>
        </w:rPr>
        <w:footnoteRef/>
      </w:r>
      <w:r w:rsidRPr="00C222B8">
        <w:rPr>
          <w:szCs w:val="18"/>
        </w:rPr>
        <w:t xml:space="preserve"> It should be noted that the current Australian Government policy does not include arrangements for student fees to increase to cover the reduction in government subsidies, though this is a </w:t>
      </w:r>
      <w:r>
        <w:rPr>
          <w:szCs w:val="18"/>
        </w:rPr>
        <w:t xml:space="preserve">potential </w:t>
      </w:r>
      <w:r w:rsidRPr="00C222B8">
        <w:rPr>
          <w:szCs w:val="18"/>
        </w:rPr>
        <w:t>outcome.</w:t>
      </w:r>
    </w:p>
  </w:footnote>
  <w:footnote w:id="12">
    <w:p w:rsidR="009F06EE" w:rsidRPr="00C222B8" w:rsidRDefault="009F06EE" w:rsidP="002C7054">
      <w:pPr>
        <w:pStyle w:val="FootnoteText"/>
        <w:rPr>
          <w:szCs w:val="18"/>
        </w:rPr>
      </w:pPr>
      <w:r w:rsidRPr="00C222B8">
        <w:rPr>
          <w:rStyle w:val="FootnoteReference"/>
          <w:szCs w:val="18"/>
        </w:rPr>
        <w:footnoteRef/>
      </w:r>
      <w:r w:rsidRPr="00C222B8">
        <w:rPr>
          <w:szCs w:val="18"/>
        </w:rPr>
        <w:t xml:space="preserve"> See for example, http://www.who.int/ionizing_radiation/research/gbd/en/</w:t>
      </w:r>
    </w:p>
  </w:footnote>
  <w:footnote w:id="13">
    <w:p w:rsidR="009F06EE" w:rsidRPr="00C222B8" w:rsidRDefault="009F06EE" w:rsidP="004C51B0">
      <w:pPr>
        <w:pStyle w:val="FootnoteText"/>
        <w:rPr>
          <w:szCs w:val="18"/>
        </w:rPr>
      </w:pPr>
      <w:r w:rsidRPr="00C222B8">
        <w:rPr>
          <w:rStyle w:val="FootnoteReference"/>
          <w:szCs w:val="18"/>
        </w:rPr>
        <w:footnoteRef/>
      </w:r>
      <w:r w:rsidRPr="00C222B8">
        <w:rPr>
          <w:szCs w:val="18"/>
        </w:rPr>
        <w:t xml:space="preserve"> Humanities, science, allied health, mathematics and statistics, information technology, engineering, architecture, medicine, nursing, dentistry, education, visual and performing arts, commerce, law and economics. </w:t>
      </w:r>
    </w:p>
  </w:footnote>
  <w:footnote w:id="14">
    <w:p w:rsidR="009F06EE" w:rsidRPr="00C222B8" w:rsidRDefault="009F06EE">
      <w:pPr>
        <w:pStyle w:val="FootnoteText"/>
        <w:rPr>
          <w:szCs w:val="18"/>
        </w:rPr>
      </w:pPr>
      <w:r w:rsidRPr="00C222B8">
        <w:rPr>
          <w:rStyle w:val="FootnoteReference"/>
          <w:rFonts w:asciiTheme="minorHAnsi" w:hAnsiTheme="minorHAnsi"/>
          <w:szCs w:val="18"/>
        </w:rPr>
        <w:footnoteRef/>
      </w:r>
      <w:r w:rsidRPr="00C222B8">
        <w:rPr>
          <w:szCs w:val="18"/>
        </w:rPr>
        <w:t xml:space="preserve"> Norton (2012) includes a 10% ability bias measure (based on Leigh, 2008) to discount the returns from higher education relative to high school levers. However, this measure ignores other demographic characteristics (beyond gender) which drive differences in wage earnings (noting that the only additional measure Leigh includes is years of experience). It also ignores the fact that heterogeneity in ability bias occurs between fields of education, as well as between those with and without higher education. As such, discipline specific benefits cannot be considered to be casual.</w:t>
      </w:r>
    </w:p>
  </w:footnote>
  <w:footnote w:id="15">
    <w:p w:rsidR="009F06EE" w:rsidRPr="00C222B8" w:rsidRDefault="009F06EE">
      <w:pPr>
        <w:pStyle w:val="FootnoteText"/>
        <w:rPr>
          <w:szCs w:val="18"/>
        </w:rPr>
      </w:pPr>
      <w:r w:rsidRPr="00C222B8">
        <w:rPr>
          <w:rStyle w:val="FootnoteReference"/>
          <w:szCs w:val="18"/>
        </w:rPr>
        <w:footnoteRef/>
      </w:r>
      <w:r w:rsidRPr="00C222B8">
        <w:rPr>
          <w:szCs w:val="18"/>
        </w:rPr>
        <w:t xml:space="preserve"> See </w:t>
      </w:r>
      <w:r w:rsidRPr="00C222B8">
        <w:rPr>
          <w:szCs w:val="18"/>
        </w:rPr>
        <w:fldChar w:fldCharType="begin"/>
      </w:r>
      <w:r w:rsidRPr="00C222B8">
        <w:rPr>
          <w:szCs w:val="18"/>
        </w:rPr>
        <w:instrText xml:space="preserve"> REF _Ref459117292 \r \h  \* MERGEFORMAT </w:instrText>
      </w:r>
      <w:r w:rsidRPr="00C222B8">
        <w:rPr>
          <w:szCs w:val="18"/>
        </w:rPr>
      </w:r>
      <w:r w:rsidRPr="00C222B8">
        <w:rPr>
          <w:szCs w:val="18"/>
        </w:rPr>
        <w:fldChar w:fldCharType="separate"/>
      </w:r>
      <w:r>
        <w:rPr>
          <w:szCs w:val="18"/>
        </w:rPr>
        <w:t>Appendix A</w:t>
      </w:r>
      <w:r w:rsidRPr="00C222B8">
        <w:rPr>
          <w:szCs w:val="18"/>
        </w:rPr>
        <w:fldChar w:fldCharType="end"/>
      </w:r>
      <w:r w:rsidRPr="00C222B8">
        <w:rPr>
          <w:szCs w:val="18"/>
        </w:rPr>
        <w:t xml:space="preserve"> for a discussion of econometric approaches that utilise structural features to account for ability bias. </w:t>
      </w:r>
    </w:p>
  </w:footnote>
  <w:footnote w:id="16">
    <w:p w:rsidR="009F06EE" w:rsidRPr="00C222B8" w:rsidRDefault="009F06EE">
      <w:pPr>
        <w:pStyle w:val="FootnoteText"/>
        <w:rPr>
          <w:szCs w:val="18"/>
        </w:rPr>
      </w:pPr>
      <w:r w:rsidRPr="00C222B8">
        <w:rPr>
          <w:rStyle w:val="FootnoteReference"/>
          <w:rFonts w:asciiTheme="minorHAnsi" w:hAnsiTheme="minorHAnsi"/>
          <w:szCs w:val="18"/>
        </w:rPr>
        <w:footnoteRef/>
      </w:r>
      <w:r w:rsidRPr="00C222B8">
        <w:rPr>
          <w:szCs w:val="18"/>
        </w:rPr>
        <w:t xml:space="preserve"> Wage model characteristics include: age, place of birth, Indigenous status, </w:t>
      </w:r>
      <w:proofErr w:type="gramStart"/>
      <w:r w:rsidRPr="00C222B8">
        <w:rPr>
          <w:szCs w:val="18"/>
        </w:rPr>
        <w:t>state</w:t>
      </w:r>
      <w:proofErr w:type="gramEnd"/>
      <w:r w:rsidRPr="00C222B8">
        <w:rPr>
          <w:szCs w:val="18"/>
        </w:rPr>
        <w:t xml:space="preserve"> of residence, population density of region of residence, disability and English language proficiency. Propensity into employment model additionally includes: family type and age of youngest child. Cognitive controls include: Backward digits span, Symbol digits modalities and Shortened version of the National Adult Reading Test (NART-25).</w:t>
      </w:r>
    </w:p>
  </w:footnote>
  <w:footnote w:id="17">
    <w:p w:rsidR="009F06EE" w:rsidRDefault="009F06EE">
      <w:pPr>
        <w:pStyle w:val="FootnoteText"/>
      </w:pPr>
      <w:r>
        <w:rPr>
          <w:rStyle w:val="FootnoteReference"/>
        </w:rPr>
        <w:footnoteRef/>
      </w:r>
      <w:r>
        <w:t xml:space="preserve"> Based on observations from the ABS 2011 Census—see Deloitte Access Economics (2015)</w:t>
      </w:r>
    </w:p>
  </w:footnote>
  <w:footnote w:id="18">
    <w:p w:rsidR="009F06EE" w:rsidRPr="00DA4CA5" w:rsidRDefault="009F06EE" w:rsidP="00FD5F6E">
      <w:pPr>
        <w:pStyle w:val="FootnoteText"/>
        <w:rPr>
          <w:rFonts w:ascii="Calibri" w:hAnsi="Calibri"/>
          <w:szCs w:val="18"/>
        </w:rPr>
      </w:pPr>
      <w:r w:rsidRPr="00DA4CA5">
        <w:rPr>
          <w:rStyle w:val="FootnoteReference"/>
          <w:rFonts w:ascii="Calibri" w:hAnsi="Calibri"/>
          <w:szCs w:val="18"/>
        </w:rPr>
        <w:footnoteRef/>
      </w:r>
      <w:r w:rsidRPr="00DA4CA5">
        <w:rPr>
          <w:rFonts w:ascii="Calibri" w:hAnsi="Calibri"/>
          <w:szCs w:val="18"/>
        </w:rPr>
        <w:t xml:space="preserve"> For example, in lieu of strong evidence for educational externalities within the Australian context, Leigh (2008) assumes that the social return is simply equal to the mean increase in pre-tax earnings</w:t>
      </w:r>
      <w:r w:rsidRPr="00E735FF">
        <w:rPr>
          <w:rFonts w:ascii="Calibri" w:hAnsi="Calibri"/>
          <w:szCs w:val="18"/>
        </w:rPr>
        <w:t xml:space="preserve"> </w:t>
      </w:r>
      <w:r w:rsidRPr="00DA4CA5">
        <w:rPr>
          <w:rFonts w:ascii="Calibri" w:hAnsi="Calibri"/>
          <w:szCs w:val="18"/>
        </w:rPr>
        <w:t xml:space="preserve">See </w:t>
      </w:r>
      <w:r w:rsidRPr="00DA4CA5">
        <w:rPr>
          <w:rFonts w:ascii="Calibri" w:hAnsi="Calibri"/>
          <w:szCs w:val="18"/>
        </w:rPr>
        <w:fldChar w:fldCharType="begin"/>
      </w:r>
      <w:r w:rsidRPr="00DA4CA5">
        <w:rPr>
          <w:rFonts w:ascii="Calibri" w:hAnsi="Calibri"/>
          <w:szCs w:val="18"/>
        </w:rPr>
        <w:instrText xml:space="preserve"> REF _Ref459117292 \r \h </w:instrText>
      </w:r>
      <w:r w:rsidRPr="00C222B8">
        <w:rPr>
          <w:rFonts w:ascii="Calibri" w:hAnsi="Calibri"/>
          <w:szCs w:val="18"/>
        </w:rPr>
        <w:instrText xml:space="preserve"> \* MERGEFORMAT </w:instrText>
      </w:r>
      <w:r w:rsidRPr="00DA4CA5">
        <w:rPr>
          <w:rFonts w:ascii="Calibri" w:hAnsi="Calibri"/>
          <w:szCs w:val="18"/>
        </w:rPr>
      </w:r>
      <w:r w:rsidRPr="00DA4CA5">
        <w:rPr>
          <w:rFonts w:ascii="Calibri" w:hAnsi="Calibri"/>
          <w:szCs w:val="18"/>
        </w:rPr>
        <w:fldChar w:fldCharType="separate"/>
      </w:r>
      <w:r>
        <w:rPr>
          <w:rFonts w:ascii="Calibri" w:hAnsi="Calibri"/>
          <w:szCs w:val="18"/>
        </w:rPr>
        <w:t>Appendix A</w:t>
      </w:r>
      <w:r w:rsidRPr="00DA4CA5">
        <w:rPr>
          <w:rFonts w:ascii="Calibri" w:hAnsi="Calibri"/>
          <w:szCs w:val="18"/>
        </w:rPr>
        <w:fldChar w:fldCharType="end"/>
      </w:r>
      <w:r w:rsidRPr="00DA4CA5">
        <w:rPr>
          <w:rFonts w:ascii="Calibri" w:hAnsi="Calibri"/>
          <w:szCs w:val="18"/>
        </w:rPr>
        <w:t xml:space="preserve"> for an extended discussion of McMahon (2004) and Chapman and Lounkaew (2011; and 2015).</w:t>
      </w:r>
    </w:p>
  </w:footnote>
  <w:footnote w:id="19">
    <w:p w:rsidR="009F06EE" w:rsidRPr="00DA4CA5" w:rsidRDefault="009F06EE" w:rsidP="00B5584C">
      <w:pPr>
        <w:pStyle w:val="FootnoteText"/>
        <w:rPr>
          <w:rFonts w:ascii="Calibri" w:hAnsi="Calibri"/>
          <w:szCs w:val="18"/>
        </w:rPr>
      </w:pPr>
      <w:r w:rsidRPr="00DA4CA5">
        <w:rPr>
          <w:rStyle w:val="FootnoteReference"/>
          <w:rFonts w:ascii="Calibri" w:hAnsi="Calibri"/>
          <w:szCs w:val="18"/>
        </w:rPr>
        <w:footnoteRef/>
      </w:r>
      <w:r w:rsidRPr="00DA4CA5">
        <w:rPr>
          <w:rFonts w:ascii="Calibri" w:hAnsi="Calibri"/>
          <w:szCs w:val="18"/>
        </w:rPr>
        <w:t xml:space="preserve"> Dentistry, medicine, law, commerce, engineering, information technology, mathematics, architecture, science (excluding mathematics), education, nursing, agriculture, humanities, and performing arts. </w:t>
      </w:r>
    </w:p>
  </w:footnote>
  <w:footnote w:id="20">
    <w:p w:rsidR="009F06EE" w:rsidRDefault="009F06EE" w:rsidP="00171E24">
      <w:pPr>
        <w:pStyle w:val="FootnoteText"/>
      </w:pPr>
      <w:r w:rsidRPr="00DA4CA5">
        <w:rPr>
          <w:rStyle w:val="FootnoteReference"/>
          <w:rFonts w:ascii="Calibri" w:hAnsi="Calibri"/>
          <w:szCs w:val="18"/>
        </w:rPr>
        <w:footnoteRef/>
      </w:r>
      <w:r w:rsidRPr="00DA4CA5">
        <w:rPr>
          <w:rFonts w:ascii="Calibri" w:hAnsi="Calibri"/>
          <w:szCs w:val="18"/>
        </w:rPr>
        <w:t xml:space="preserve"> It should be noted that private and public IRR estimates cannot be used to determine relative private and public benefits. For example, government (or students) could make no contributions towards the cost of higher education, implying that their ‘rate of return’ is infinitely large—however, this does not affect the measure of relative benefit.</w:t>
      </w:r>
    </w:p>
  </w:footnote>
  <w:footnote w:id="21">
    <w:p w:rsidR="009F06EE" w:rsidRPr="00DA4CA5" w:rsidRDefault="009F06EE" w:rsidP="00301912">
      <w:pPr>
        <w:pStyle w:val="FootnoteText"/>
        <w:rPr>
          <w:rFonts w:ascii="Calibri" w:hAnsi="Calibri"/>
          <w:szCs w:val="18"/>
        </w:rPr>
      </w:pPr>
      <w:r w:rsidRPr="00DA4CA5">
        <w:rPr>
          <w:rStyle w:val="FootnoteReference"/>
          <w:rFonts w:ascii="Calibri" w:hAnsi="Calibri"/>
          <w:szCs w:val="18"/>
        </w:rPr>
        <w:footnoteRef/>
      </w:r>
      <w:r w:rsidRPr="00DA4CA5">
        <w:rPr>
          <w:rFonts w:ascii="Calibri" w:hAnsi="Calibri"/>
          <w:szCs w:val="18"/>
        </w:rPr>
        <w:t xml:space="preserve"> It should be noted that some of McMahon’s comparable estimates do not relate specifically to higher education attainment (rather he considers years of educational attainment in general), and that these estimates are not specific to Australia.</w:t>
      </w:r>
    </w:p>
  </w:footnote>
  <w:footnote w:id="22">
    <w:p w:rsidR="009F06EE" w:rsidRPr="009F190A" w:rsidRDefault="009F06EE" w:rsidP="00B5584C">
      <w:pPr>
        <w:pStyle w:val="FootnoteText"/>
        <w:rPr>
          <w:szCs w:val="18"/>
        </w:rPr>
      </w:pPr>
      <w:r w:rsidRPr="009F190A">
        <w:rPr>
          <w:rStyle w:val="FootnoteReference"/>
          <w:rFonts w:asciiTheme="minorHAnsi" w:hAnsiTheme="minorHAnsi"/>
          <w:szCs w:val="18"/>
        </w:rPr>
        <w:footnoteRef/>
      </w:r>
      <w:r w:rsidRPr="009F190A">
        <w:rPr>
          <w:szCs w:val="18"/>
        </w:rPr>
        <w:t xml:space="preserve"> See Chevalier et al. (2004), Ferrer and Riddell (2001), Jaeger and Page (1996), and Park (1999) for international studies. </w:t>
      </w:r>
    </w:p>
  </w:footnote>
  <w:footnote w:id="23">
    <w:p w:rsidR="009F06EE" w:rsidRPr="00C16F98" w:rsidRDefault="009F06EE">
      <w:pPr>
        <w:pStyle w:val="FootnoteText"/>
        <w:rPr>
          <w:szCs w:val="18"/>
        </w:rPr>
      </w:pPr>
      <w:r w:rsidRPr="009F190A">
        <w:rPr>
          <w:rStyle w:val="FootnoteReference"/>
          <w:szCs w:val="18"/>
        </w:rPr>
        <w:footnoteRef/>
      </w:r>
      <w:r w:rsidRPr="009F190A">
        <w:rPr>
          <w:szCs w:val="18"/>
        </w:rPr>
        <w:t xml:space="preserve"> </w:t>
      </w:r>
      <w:r w:rsidRPr="0031604B">
        <w:rPr>
          <w:szCs w:val="18"/>
        </w:rPr>
        <w:t xml:space="preserve">See footnote </w:t>
      </w:r>
      <w:r w:rsidRPr="00460EF9">
        <w:rPr>
          <w:szCs w:val="18"/>
        </w:rPr>
        <w:t>20</w:t>
      </w:r>
      <w:r w:rsidRPr="00D33244">
        <w:rPr>
          <w:szCs w:val="18"/>
        </w:rPr>
        <w:t xml:space="preserve"> regarding the OECD figures above.</w:t>
      </w:r>
    </w:p>
  </w:footnote>
  <w:footnote w:id="24">
    <w:p w:rsidR="009F06EE" w:rsidRPr="00C222B8" w:rsidRDefault="009F06EE" w:rsidP="004C51B0">
      <w:pPr>
        <w:pStyle w:val="FootnoteText"/>
        <w:rPr>
          <w:szCs w:val="18"/>
        </w:rPr>
      </w:pPr>
      <w:r w:rsidRPr="00C16F98">
        <w:rPr>
          <w:rStyle w:val="FootnoteReference"/>
          <w:rFonts w:asciiTheme="minorHAnsi" w:hAnsiTheme="minorHAnsi"/>
          <w:szCs w:val="18"/>
        </w:rPr>
        <w:footnoteRef/>
      </w:r>
      <w:r w:rsidRPr="00C16F98">
        <w:rPr>
          <w:szCs w:val="18"/>
        </w:rPr>
        <w:t xml:space="preserve"> Clarke and Skuterud (2011) attempt to identify whether superior labour market outcomes for Australian immigrants (compared to Canadian immigrants) is a function of the distribution of home countries – and thus, a reflection of differe</w:t>
      </w:r>
      <w:r w:rsidRPr="00C222B8">
        <w:rPr>
          <w:szCs w:val="18"/>
        </w:rPr>
        <w:t xml:space="preserve">nces by country-of-origin – or whether broader labour market conditions at the regional level are more responsible for these differences. Clearly, parallels can be made. </w:t>
      </w:r>
    </w:p>
  </w:footnote>
  <w:footnote w:id="25">
    <w:p w:rsidR="009F06EE" w:rsidRPr="00C222B8" w:rsidRDefault="009F06EE" w:rsidP="004C51B0">
      <w:pPr>
        <w:pStyle w:val="FootnoteText"/>
        <w:rPr>
          <w:szCs w:val="18"/>
        </w:rPr>
      </w:pPr>
      <w:r w:rsidRPr="00C222B8">
        <w:rPr>
          <w:rStyle w:val="FootnoteReference"/>
          <w:rFonts w:asciiTheme="minorHAnsi" w:hAnsiTheme="minorHAnsi"/>
          <w:szCs w:val="18"/>
        </w:rPr>
        <w:footnoteRef/>
      </w:r>
      <w:r w:rsidRPr="00C222B8">
        <w:rPr>
          <w:szCs w:val="18"/>
        </w:rPr>
        <w:t xml:space="preserve"> Arbitrarily, they also use 5% samples for the 2006 Census only. </w:t>
      </w:r>
    </w:p>
  </w:footnote>
  <w:footnote w:id="26">
    <w:p w:rsidR="009F06EE" w:rsidRPr="00C222B8" w:rsidRDefault="009F06EE" w:rsidP="004C51B0">
      <w:pPr>
        <w:pStyle w:val="FootnoteText"/>
        <w:rPr>
          <w:szCs w:val="18"/>
        </w:rPr>
      </w:pPr>
      <w:r w:rsidRPr="00C222B8">
        <w:rPr>
          <w:rStyle w:val="FootnoteReference"/>
          <w:rFonts w:asciiTheme="minorHAnsi" w:hAnsiTheme="minorHAnsi"/>
          <w:szCs w:val="18"/>
        </w:rPr>
        <w:footnoteRef/>
      </w:r>
      <w:r w:rsidRPr="00C222B8">
        <w:rPr>
          <w:szCs w:val="18"/>
        </w:rPr>
        <w:t xml:space="preserve"> Two obvious examples of latent differences are females who exit the labour force for motherhood and older adults who exit to retirement.  </w:t>
      </w:r>
    </w:p>
  </w:footnote>
  <w:footnote w:id="27">
    <w:p w:rsidR="009F06EE" w:rsidRPr="00C222B8" w:rsidRDefault="009F06EE" w:rsidP="00CD4D65">
      <w:pPr>
        <w:pStyle w:val="FootnoteText"/>
        <w:rPr>
          <w:szCs w:val="18"/>
        </w:rPr>
      </w:pPr>
      <w:r w:rsidRPr="00C222B8">
        <w:rPr>
          <w:rStyle w:val="FootnoteReference"/>
          <w:rFonts w:asciiTheme="minorHAnsi" w:hAnsiTheme="minorHAnsi"/>
          <w:szCs w:val="18"/>
        </w:rPr>
        <w:footnoteRef/>
      </w:r>
      <w:r w:rsidRPr="00C222B8">
        <w:rPr>
          <w:szCs w:val="18"/>
        </w:rPr>
        <w:t xml:space="preserve"> A popular tool in health economics, propensity matching involves comparing two groups with similar characteristics, bar their treatment (i.e. tertiary graduation status). The identification strategy assumes that by matching and controlling for observable characteristics (e.g. age, gender, wealth), the researcher can also control for unobservable characteristics (e.g. innate ability, motivation) – thus, more accurately identify the causal effects of treatment.  </w:t>
      </w:r>
    </w:p>
  </w:footnote>
  <w:footnote w:id="28">
    <w:p w:rsidR="009F06EE" w:rsidRPr="00C222B8" w:rsidRDefault="009F06EE">
      <w:pPr>
        <w:pStyle w:val="FootnoteText"/>
        <w:rPr>
          <w:szCs w:val="18"/>
        </w:rPr>
      </w:pPr>
      <w:r w:rsidRPr="00C222B8">
        <w:rPr>
          <w:rStyle w:val="FootnoteReference"/>
          <w:rFonts w:asciiTheme="minorHAnsi" w:hAnsiTheme="minorHAnsi"/>
          <w:szCs w:val="18"/>
        </w:rPr>
        <w:footnoteRef/>
      </w:r>
      <w:r w:rsidRPr="00C222B8">
        <w:rPr>
          <w:szCs w:val="18"/>
        </w:rPr>
        <w:t xml:space="preserve"> A range of other relevant studies have been identified and find similar results, a further review of these studies is included in </w:t>
      </w:r>
      <w:r w:rsidRPr="00C222B8">
        <w:rPr>
          <w:szCs w:val="18"/>
        </w:rPr>
        <w:fldChar w:fldCharType="begin"/>
      </w:r>
      <w:r w:rsidRPr="00C222B8">
        <w:rPr>
          <w:szCs w:val="18"/>
        </w:rPr>
        <w:instrText xml:space="preserve"> REF _Ref457422182 \r \h  \* MERGEFORMAT </w:instrText>
      </w:r>
      <w:r w:rsidRPr="00C222B8">
        <w:rPr>
          <w:szCs w:val="18"/>
        </w:rPr>
      </w:r>
      <w:r w:rsidRPr="00C222B8">
        <w:rPr>
          <w:szCs w:val="18"/>
        </w:rPr>
        <w:fldChar w:fldCharType="separate"/>
      </w:r>
      <w:r>
        <w:rPr>
          <w:szCs w:val="18"/>
        </w:rPr>
        <w:t>Appendix A</w:t>
      </w:r>
      <w:r w:rsidRPr="00C222B8">
        <w:rPr>
          <w:szCs w:val="18"/>
        </w:rPr>
        <w:fldChar w:fldCharType="end"/>
      </w:r>
      <w:r w:rsidRPr="00C222B8">
        <w:rPr>
          <w:szCs w:val="18"/>
        </w:rPr>
        <w:t xml:space="preserve"> of this report.</w:t>
      </w:r>
    </w:p>
  </w:footnote>
  <w:footnote w:id="29">
    <w:p w:rsidR="009F06EE" w:rsidRPr="00C222B8" w:rsidRDefault="009F06EE" w:rsidP="00E55305">
      <w:pPr>
        <w:pStyle w:val="FootnoteText"/>
        <w:rPr>
          <w:szCs w:val="18"/>
        </w:rPr>
      </w:pPr>
      <w:r w:rsidRPr="00C222B8">
        <w:rPr>
          <w:rStyle w:val="FootnoteReference"/>
          <w:rFonts w:asciiTheme="minorHAnsi" w:hAnsiTheme="minorHAnsi"/>
          <w:szCs w:val="18"/>
        </w:rPr>
        <w:footnoteRef/>
      </w:r>
      <w:r w:rsidRPr="00C222B8">
        <w:rPr>
          <w:szCs w:val="18"/>
        </w:rPr>
        <w:t xml:space="preserve"> The clusters include the Group of 8 (Go8); the Australian Technology Network (ATN); the Innovative Research Universities (IRU); the Regional Universities Network (RUN); and other universities (including overseas universities). </w:t>
      </w:r>
    </w:p>
  </w:footnote>
  <w:footnote w:id="30">
    <w:p w:rsidR="009F06EE" w:rsidRPr="00C222B8" w:rsidRDefault="009F06EE">
      <w:pPr>
        <w:pStyle w:val="FootnoteText"/>
        <w:rPr>
          <w:szCs w:val="18"/>
        </w:rPr>
      </w:pPr>
      <w:r w:rsidRPr="00C222B8">
        <w:rPr>
          <w:rStyle w:val="FootnoteReference"/>
          <w:szCs w:val="18"/>
        </w:rPr>
        <w:footnoteRef/>
      </w:r>
      <w:r w:rsidRPr="00C222B8">
        <w:rPr>
          <w:szCs w:val="18"/>
        </w:rPr>
        <w:t xml:space="preserve"> The validity of the selection tool employed in this study is questionable. In particular, there is likely to exist considerable variation within these groups of student characteristics. </w:t>
      </w:r>
    </w:p>
  </w:footnote>
  <w:footnote w:id="31">
    <w:p w:rsidR="009F06EE" w:rsidRPr="00C222B8" w:rsidRDefault="009F06EE">
      <w:pPr>
        <w:pStyle w:val="FootnoteText"/>
        <w:rPr>
          <w:szCs w:val="18"/>
        </w:rPr>
      </w:pPr>
      <w:r w:rsidRPr="00C222B8">
        <w:rPr>
          <w:rStyle w:val="FootnoteReference"/>
          <w:szCs w:val="18"/>
        </w:rPr>
        <w:footnoteRef/>
      </w:r>
      <w:r w:rsidRPr="00C222B8">
        <w:rPr>
          <w:szCs w:val="18"/>
        </w:rPr>
        <w:t xml:space="preserve"> Noting the significant limitations of McMahon’s research, and subsequently, the estimates of Chapman and Lounkaew.</w:t>
      </w:r>
    </w:p>
  </w:footnote>
  <w:footnote w:id="32">
    <w:p w:rsidR="009F06EE" w:rsidRPr="00C222B8" w:rsidRDefault="009F06EE" w:rsidP="00657B68">
      <w:pPr>
        <w:pStyle w:val="FootnoteText"/>
        <w:rPr>
          <w:szCs w:val="18"/>
        </w:rPr>
      </w:pPr>
      <w:r w:rsidRPr="00C222B8">
        <w:rPr>
          <w:rStyle w:val="FootnoteReference"/>
          <w:rFonts w:asciiTheme="minorHAnsi" w:hAnsiTheme="minorHAnsi"/>
          <w:szCs w:val="18"/>
        </w:rPr>
        <w:footnoteRef/>
      </w:r>
      <w:r w:rsidRPr="00C222B8">
        <w:rPr>
          <w:szCs w:val="18"/>
        </w:rPr>
        <w:t xml:space="preserve"> The spillover benefits estimated by McMahon are considered to be ‘uncomfortably accurate’ and not applicable to the Australian context.</w:t>
      </w:r>
    </w:p>
  </w:footnote>
  <w:footnote w:id="33">
    <w:p w:rsidR="009F06EE" w:rsidRPr="00C222B8" w:rsidRDefault="009F06EE" w:rsidP="00657B68">
      <w:pPr>
        <w:pStyle w:val="FootnoteText"/>
        <w:rPr>
          <w:szCs w:val="18"/>
        </w:rPr>
      </w:pPr>
      <w:r w:rsidRPr="00C222B8">
        <w:rPr>
          <w:rStyle w:val="FootnoteReference"/>
          <w:rFonts w:asciiTheme="minorHAnsi" w:hAnsiTheme="minorHAnsi"/>
          <w:szCs w:val="18"/>
        </w:rPr>
        <w:footnoteRef/>
      </w:r>
      <w:r w:rsidRPr="00C222B8">
        <w:rPr>
          <w:szCs w:val="18"/>
        </w:rPr>
        <w:t xml:space="preserve"> This study does not effectively capture market-based productivity spillovers, but rather captures seeks to capture non-market public returns in pecuniary terms.</w:t>
      </w:r>
    </w:p>
  </w:footnote>
  <w:footnote w:id="34">
    <w:p w:rsidR="009F06EE" w:rsidRPr="00C222B8" w:rsidRDefault="009F06EE">
      <w:pPr>
        <w:pStyle w:val="FootnoteText"/>
        <w:rPr>
          <w:szCs w:val="18"/>
        </w:rPr>
      </w:pPr>
      <w:r w:rsidRPr="00C222B8">
        <w:rPr>
          <w:rStyle w:val="FootnoteReference"/>
          <w:szCs w:val="18"/>
        </w:rPr>
        <w:footnoteRef/>
      </w:r>
      <w:r w:rsidRPr="00C222B8">
        <w:rPr>
          <w:szCs w:val="18"/>
        </w:rPr>
        <w:t xml:space="preserve"> The term market-based productivity is used here as productivity is used conventionally in economics. Higher education may increase the quality of a worker’s output, which in some fields is a public benefit, not captured in the market mechanism. This concept is introduced further in discussed in Section </w:t>
      </w:r>
      <w:r w:rsidRPr="00C222B8">
        <w:rPr>
          <w:szCs w:val="18"/>
        </w:rPr>
        <w:fldChar w:fldCharType="begin"/>
      </w:r>
      <w:r w:rsidRPr="00C222B8">
        <w:rPr>
          <w:szCs w:val="18"/>
        </w:rPr>
        <w:instrText xml:space="preserve"> REF _Ref457334298 \r \h  \* MERGEFORMAT </w:instrText>
      </w:r>
      <w:r w:rsidRPr="00C222B8">
        <w:rPr>
          <w:szCs w:val="18"/>
        </w:rPr>
      </w:r>
      <w:r w:rsidRPr="00C222B8">
        <w:rPr>
          <w:szCs w:val="18"/>
        </w:rPr>
        <w:fldChar w:fldCharType="separate"/>
      </w:r>
      <w:r>
        <w:rPr>
          <w:szCs w:val="18"/>
        </w:rPr>
        <w:t>3.1.5</w:t>
      </w:r>
      <w:r w:rsidRPr="00C222B8">
        <w:rPr>
          <w:szCs w:val="18"/>
        </w:rPr>
        <w:fldChar w:fldCharType="end"/>
      </w:r>
      <w:r w:rsidRPr="00C222B8">
        <w:rPr>
          <w:szCs w:val="18"/>
        </w:rPr>
        <w:t>, then discussed in more detail in Section 7.1.</w:t>
      </w:r>
    </w:p>
  </w:footnote>
  <w:footnote w:id="35">
    <w:p w:rsidR="009F06EE" w:rsidRPr="00C16F98" w:rsidRDefault="009F06EE">
      <w:pPr>
        <w:pStyle w:val="FootnoteText"/>
        <w:rPr>
          <w:szCs w:val="18"/>
        </w:rPr>
      </w:pPr>
      <w:r w:rsidRPr="00C222B8">
        <w:rPr>
          <w:rStyle w:val="FootnoteReference"/>
          <w:szCs w:val="18"/>
        </w:rPr>
        <w:footnoteRef/>
      </w:r>
      <w:r w:rsidRPr="00C222B8">
        <w:rPr>
          <w:szCs w:val="18"/>
        </w:rPr>
        <w:t xml:space="preserve"> Because the models are estimated on the natural logarithm of real weekly wages, the coefficient on the qualification dummy variables are approximately equal to the </w:t>
      </w:r>
      <w:r w:rsidRPr="00DA4CA5">
        <w:rPr>
          <w:szCs w:val="18"/>
        </w:rPr>
        <w:t>percent</w:t>
      </w:r>
      <w:r w:rsidRPr="00460EF9">
        <w:rPr>
          <w:szCs w:val="18"/>
        </w:rPr>
        <w:t>age differentials</w:t>
      </w:r>
      <w:r w:rsidRPr="00D33244">
        <w:rPr>
          <w:szCs w:val="18"/>
        </w:rPr>
        <w:t xml:space="preserve"> in </w:t>
      </w:r>
      <w:r w:rsidRPr="002C4CD8">
        <w:rPr>
          <w:szCs w:val="18"/>
        </w:rPr>
        <w:t>real weekly wages.</w:t>
      </w:r>
    </w:p>
  </w:footnote>
  <w:footnote w:id="36">
    <w:p w:rsidR="009F06EE" w:rsidRPr="00C222B8" w:rsidRDefault="009F06EE" w:rsidP="0021071D">
      <w:pPr>
        <w:pStyle w:val="FootnoteText"/>
        <w:rPr>
          <w:szCs w:val="18"/>
        </w:rPr>
      </w:pPr>
      <w:r w:rsidRPr="00C16F98">
        <w:rPr>
          <w:rStyle w:val="FootnoteReference"/>
          <w:szCs w:val="18"/>
        </w:rPr>
        <w:footnoteRef/>
      </w:r>
      <w:r w:rsidRPr="00C16F98">
        <w:rPr>
          <w:szCs w:val="18"/>
        </w:rPr>
        <w:t xml:space="preserve"> Sub-bachelor degrees in this report are defined as Advanced Diploma/Diploma qualifications obtained at a VET or higher education provider. Whilst sub-bachelor is normally restricted to qualifications obtained at a higher education provider, the sample size of these individual</w:t>
      </w:r>
      <w:r w:rsidRPr="00C222B8">
        <w:rPr>
          <w:szCs w:val="18"/>
        </w:rPr>
        <w:t xml:space="preserve">s in HILDA is too small for the estimated results to be reliable. </w:t>
      </w:r>
    </w:p>
  </w:footnote>
  <w:footnote w:id="37">
    <w:p w:rsidR="009F06EE" w:rsidRPr="00C16F98" w:rsidRDefault="009F06EE" w:rsidP="009C6C96">
      <w:pPr>
        <w:pStyle w:val="FootnoteText"/>
        <w:rPr>
          <w:szCs w:val="18"/>
        </w:rPr>
      </w:pPr>
      <w:r w:rsidRPr="00460EF9">
        <w:rPr>
          <w:rStyle w:val="FootnoteReference"/>
          <w:szCs w:val="18"/>
        </w:rPr>
        <w:footnoteRef/>
      </w:r>
      <w:r w:rsidRPr="00460EF9">
        <w:rPr>
          <w:szCs w:val="18"/>
        </w:rPr>
        <w:t xml:space="preserve"> The size of this number is important only for numeric accuracy purposes. Too small, and the </w:t>
      </w:r>
      <w:r w:rsidRPr="00D33244">
        <w:rPr>
          <w:szCs w:val="18"/>
        </w:rPr>
        <w:t>two results will not bear any significant difference; too large, and movem</w:t>
      </w:r>
      <w:r w:rsidRPr="00C16F98">
        <w:rPr>
          <w:szCs w:val="18"/>
        </w:rPr>
        <w:t xml:space="preserve">ent will distort the economy unnecessarily (e.g. average wages for high schoolers exceeding bachelor graduates, etc.). </w:t>
      </w:r>
    </w:p>
  </w:footnote>
  <w:footnote w:id="38">
    <w:p w:rsidR="009F06EE" w:rsidRPr="00C222B8" w:rsidRDefault="009F06EE" w:rsidP="009C6C96">
      <w:pPr>
        <w:pStyle w:val="FootnoteText"/>
        <w:rPr>
          <w:szCs w:val="18"/>
        </w:rPr>
      </w:pPr>
      <w:r w:rsidRPr="00C16F98">
        <w:rPr>
          <w:rStyle w:val="FootnoteReference"/>
          <w:szCs w:val="18"/>
        </w:rPr>
        <w:footnoteRef/>
      </w:r>
      <w:r w:rsidRPr="00C16F98">
        <w:rPr>
          <w:szCs w:val="18"/>
        </w:rPr>
        <w:t xml:space="preserve"> The industry of employment mix could also be a result of the quali</w:t>
      </w:r>
      <w:r w:rsidRPr="00C222B8">
        <w:rPr>
          <w:szCs w:val="18"/>
        </w:rPr>
        <w:t xml:space="preserve">fication and demographic effects. For simplicity in this analysis, we assume that the destination industry of employment after study is a result only of the qualification itself. </w:t>
      </w:r>
    </w:p>
  </w:footnote>
  <w:footnote w:id="39">
    <w:p w:rsidR="009F06EE" w:rsidRPr="00C222B8" w:rsidRDefault="009F06EE" w:rsidP="009C6C96">
      <w:pPr>
        <w:pStyle w:val="FootnoteText"/>
        <w:rPr>
          <w:szCs w:val="18"/>
        </w:rPr>
      </w:pPr>
      <w:r w:rsidRPr="00C222B8">
        <w:rPr>
          <w:rStyle w:val="FootnoteReference"/>
          <w:szCs w:val="18"/>
        </w:rPr>
        <w:footnoteRef/>
      </w:r>
      <w:r w:rsidRPr="00C222B8">
        <w:rPr>
          <w:szCs w:val="18"/>
        </w:rPr>
        <w:t xml:space="preserve"> By defining the wage at the weekly level, this includes the part-time/full-time </w:t>
      </w:r>
      <w:proofErr w:type="gramStart"/>
      <w:r w:rsidRPr="00C222B8">
        <w:rPr>
          <w:szCs w:val="18"/>
        </w:rPr>
        <w:t>hours</w:t>
      </w:r>
      <w:proofErr w:type="gramEnd"/>
      <w:r w:rsidRPr="00C222B8">
        <w:rPr>
          <w:szCs w:val="18"/>
        </w:rPr>
        <w:t xml:space="preserve"> variation.</w:t>
      </w:r>
    </w:p>
  </w:footnote>
  <w:footnote w:id="40">
    <w:p w:rsidR="009F06EE" w:rsidRPr="00C222B8" w:rsidRDefault="009F06EE" w:rsidP="009C6C96">
      <w:pPr>
        <w:pStyle w:val="FootnoteText"/>
        <w:rPr>
          <w:szCs w:val="18"/>
        </w:rPr>
      </w:pPr>
      <w:r w:rsidRPr="00C222B8">
        <w:rPr>
          <w:rStyle w:val="FootnoteReference"/>
          <w:szCs w:val="18"/>
        </w:rPr>
        <w:footnoteRef/>
      </w:r>
      <w:r w:rsidRPr="00C222B8">
        <w:rPr>
          <w:szCs w:val="18"/>
        </w:rPr>
        <w:t xml:space="preserve"> This study assumes that the bulk of the market benefits from higher education relate to wages and employment outcomes after the completion of the qualification. This sets aside any uplift in wages during the qualification, as well as option value of further study.</w:t>
      </w:r>
    </w:p>
  </w:footnote>
  <w:footnote w:id="41">
    <w:p w:rsidR="009F06EE" w:rsidRPr="00C16F98" w:rsidRDefault="009F06EE">
      <w:pPr>
        <w:pStyle w:val="FootnoteText"/>
        <w:rPr>
          <w:szCs w:val="18"/>
        </w:rPr>
      </w:pPr>
      <w:r w:rsidRPr="00C222B8">
        <w:rPr>
          <w:rStyle w:val="FootnoteReference"/>
          <w:szCs w:val="18"/>
        </w:rPr>
        <w:footnoteRef/>
      </w:r>
      <w:r w:rsidRPr="00C222B8">
        <w:rPr>
          <w:szCs w:val="18"/>
        </w:rPr>
        <w:t xml:space="preserve"> Australian Government, Department of Prime Minister and Cabinet: </w:t>
      </w:r>
      <w:r w:rsidRPr="00DA4CA5">
        <w:rPr>
          <w:i/>
          <w:szCs w:val="18"/>
        </w:rPr>
        <w:t>Cost Benefit Analysis</w:t>
      </w:r>
      <w:r w:rsidRPr="00460EF9">
        <w:rPr>
          <w:szCs w:val="18"/>
        </w:rPr>
        <w:t xml:space="preserve"> </w:t>
      </w:r>
      <w:r w:rsidRPr="00D33244">
        <w:rPr>
          <w:i/>
          <w:szCs w:val="18"/>
        </w:rPr>
        <w:t>Guidance note, p.6.</w:t>
      </w:r>
      <w:r w:rsidRPr="00C16F98">
        <w:rPr>
          <w:szCs w:val="18"/>
        </w:rPr>
        <w:t xml:space="preserve"> </w:t>
      </w:r>
    </w:p>
  </w:footnote>
  <w:footnote w:id="42">
    <w:p w:rsidR="009F06EE" w:rsidRDefault="009F06EE">
      <w:pPr>
        <w:pStyle w:val="FootnoteText"/>
      </w:pPr>
      <w:r>
        <w:rPr>
          <w:rStyle w:val="FootnoteReference"/>
        </w:rPr>
        <w:footnoteRef/>
      </w:r>
      <w:r>
        <w:t xml:space="preserve"> Skills substitutability is proxied by the substitutability of a particular occupation-industry class. The class with the highest concentration of graduates from a particular discipline has been shocked in the analysis. This is manager-government services for education, and manager-other business services for engineering and business. Primary factors of production are: land, capital, natural resources, and the five occupation categories of labour. </w:t>
      </w:r>
    </w:p>
  </w:footnote>
  <w:footnote w:id="43">
    <w:p w:rsidR="009F06EE" w:rsidRDefault="009F06EE" w:rsidP="004D5625">
      <w:pPr>
        <w:pStyle w:val="FootnoteText"/>
      </w:pPr>
      <w:r>
        <w:rPr>
          <w:rStyle w:val="FootnoteReference"/>
        </w:rPr>
        <w:footnoteRef/>
      </w:r>
      <w:r>
        <w:t xml:space="preserve"> </w:t>
      </w:r>
      <w:r w:rsidRPr="00910073">
        <w:t>To the extent that the current rate of higher education attainment is below its dynamic equilibrium level—the flow-on dynamic effects which induce further rates of higher education attainment (and therefore labour p</w:t>
      </w:r>
      <w:r>
        <w:t>roductivity) may be more pronounced</w:t>
      </w:r>
      <w:r w:rsidRPr="00910073">
        <w:t xml:space="preserve"> in industries which use higher education skilled workers most intensively.</w:t>
      </w:r>
    </w:p>
  </w:footnote>
  <w:footnote w:id="44">
    <w:p w:rsidR="009F06EE" w:rsidRDefault="009F06EE" w:rsidP="009C6C96">
      <w:pPr>
        <w:pStyle w:val="FootnoteText"/>
      </w:pPr>
      <w:r>
        <w:rPr>
          <w:rStyle w:val="FootnoteReference"/>
        </w:rPr>
        <w:footnoteRef/>
      </w:r>
      <w:r>
        <w:t xml:space="preserve"> Curriculum and education studies</w:t>
      </w:r>
      <w:r w:rsidRPr="0054651E">
        <w:t xml:space="preserve"> </w:t>
      </w:r>
      <w:r>
        <w:t>i</w:t>
      </w:r>
      <w:r w:rsidRPr="0054651E">
        <w:t>s the study of developing and evaluating appropriate curricula and teaching strategies and practices</w:t>
      </w:r>
      <w:r>
        <w:t xml:space="preserve"> (ABS ASCED, 2001)</w:t>
      </w:r>
      <w:r w:rsidRPr="0054651E">
        <w:t>.</w:t>
      </w:r>
    </w:p>
  </w:footnote>
  <w:footnote w:id="45">
    <w:p w:rsidR="009F06EE" w:rsidRDefault="009F06EE" w:rsidP="001740CE">
      <w:pPr>
        <w:pStyle w:val="FootnoteText"/>
      </w:pPr>
      <w:r>
        <w:rPr>
          <w:rStyle w:val="FootnoteReference"/>
        </w:rPr>
        <w:footnoteRef/>
      </w:r>
      <w:r>
        <w:t xml:space="preserve"> </w:t>
      </w:r>
      <w:r>
        <w:rPr>
          <w:szCs w:val="18"/>
        </w:rPr>
        <w:t xml:space="preserve">It should be noted that these are forecasts of the economy’s demand for total university qualifications, not total </w:t>
      </w:r>
      <w:r>
        <w:rPr>
          <w:i/>
          <w:iCs/>
          <w:szCs w:val="18"/>
        </w:rPr>
        <w:t xml:space="preserve">persons </w:t>
      </w:r>
      <w:r>
        <w:rPr>
          <w:szCs w:val="18"/>
        </w:rPr>
        <w:t xml:space="preserve">with a university qualification. That is, one person may be able to supply multiple university qualifications to the economy (for example, a PhD graduate who also has a bachelor’s degree). </w:t>
      </w:r>
      <w:r>
        <w:t xml:space="preserve"> </w:t>
      </w:r>
    </w:p>
  </w:footnote>
  <w:footnote w:id="46">
    <w:p w:rsidR="009F06EE" w:rsidRDefault="009F06EE" w:rsidP="00D63C0D">
      <w:pPr>
        <w:pStyle w:val="FootnoteText"/>
      </w:pPr>
      <w:r>
        <w:rPr>
          <w:rStyle w:val="FootnoteReference"/>
        </w:rPr>
        <w:footnoteRef/>
      </w:r>
      <w:r>
        <w:t xml:space="preserve"> Weighted in terms of total earnings under each discipline recorded in ABS Census data.</w:t>
      </w:r>
    </w:p>
  </w:footnote>
  <w:footnote w:id="47">
    <w:p w:rsidR="009F06EE" w:rsidRDefault="009F06EE" w:rsidP="00A75857">
      <w:pPr>
        <w:pStyle w:val="FootnoteText"/>
      </w:pPr>
      <w:r>
        <w:rPr>
          <w:rStyle w:val="FootnoteReference"/>
        </w:rPr>
        <w:footnoteRef/>
      </w:r>
      <w:r>
        <w:t>For relevant international literature, see Aakvick, Salvanes and Vaage (2003); Angrist and Krueger (1991)</w:t>
      </w:r>
      <w:proofErr w:type="gramStart"/>
      <w:r>
        <w:t>;  Becker</w:t>
      </w:r>
      <w:proofErr w:type="gramEnd"/>
      <w:r>
        <w:t xml:space="preserve"> and Siebern-Thomas (2001); Card (1995); Oreopoulos (2003); and Webbink and van Wassenburg (2004).</w:t>
      </w:r>
    </w:p>
  </w:footnote>
  <w:footnote w:id="48">
    <w:p w:rsidR="009F06EE" w:rsidRDefault="009F06EE" w:rsidP="00A75857">
      <w:pPr>
        <w:pStyle w:val="FootnoteText"/>
      </w:pPr>
      <w:r>
        <w:rPr>
          <w:rStyle w:val="FootnoteReference"/>
        </w:rPr>
        <w:footnoteRef/>
      </w:r>
      <w:r>
        <w:t xml:space="preserve"> The authors make a number of different comparison groups, based on whether a student is born one, two or three months either side of a cut-off date. </w:t>
      </w:r>
    </w:p>
  </w:footnote>
  <w:footnote w:id="49">
    <w:p w:rsidR="009F06EE" w:rsidRDefault="009F06EE" w:rsidP="00A75857">
      <w:pPr>
        <w:pStyle w:val="FootnoteText"/>
      </w:pPr>
      <w:r>
        <w:rPr>
          <w:rStyle w:val="FootnoteReference"/>
        </w:rPr>
        <w:footnoteRef/>
      </w:r>
      <w:r>
        <w:t xml:space="preserve"> </w:t>
      </w:r>
      <w:r w:rsidRPr="003C72E3">
        <w:t>For example, in lieu of strong evidence for educational externalities within the Australian context, Leigh (2008) assumes that the social return is simply equal to the mean increase in pre-tax earnings.</w:t>
      </w:r>
    </w:p>
  </w:footnote>
  <w:footnote w:id="50">
    <w:p w:rsidR="009F06EE" w:rsidRDefault="009F06EE" w:rsidP="00A75857">
      <w:pPr>
        <w:pStyle w:val="FootnoteText"/>
      </w:pPr>
      <w:r>
        <w:rPr>
          <w:rStyle w:val="FootnoteReference"/>
        </w:rPr>
        <w:footnoteRef/>
      </w:r>
      <w:r>
        <w:t xml:space="preserve"> Haveman and Wolfe (1984), Wolfe and Haveman (2001)</w:t>
      </w:r>
    </w:p>
  </w:footnote>
  <w:footnote w:id="51">
    <w:p w:rsidR="009F06EE" w:rsidRDefault="009F06EE" w:rsidP="00A75857">
      <w:pPr>
        <w:pStyle w:val="FootnoteText"/>
      </w:pPr>
      <w:r>
        <w:rPr>
          <w:rStyle w:val="FootnoteReference"/>
        </w:rPr>
        <w:footnoteRef/>
      </w:r>
      <w:r>
        <w:t xml:space="preserve"> For international studies, see Chevalier et al. (2004), Ferrer and Riddell (2001), Jaeger and Page (1996), and Park (1999). </w:t>
      </w:r>
    </w:p>
  </w:footnote>
  <w:footnote w:id="52">
    <w:p w:rsidR="009F06EE" w:rsidRDefault="009F06EE" w:rsidP="00A75857">
      <w:pPr>
        <w:pStyle w:val="FootnoteText"/>
      </w:pPr>
      <w:r>
        <w:rPr>
          <w:rStyle w:val="FootnoteReference"/>
        </w:rPr>
        <w:footnoteRef/>
      </w:r>
      <w:r>
        <w:t xml:space="preserve"> It should be noted that this study is focused only on the relative private and public benefits from higher education attainment, and not the measure of average cost across which private and public contributions should be apportioned. These costs are being evaluated through a separate research exercise.</w:t>
      </w:r>
    </w:p>
  </w:footnote>
  <w:footnote w:id="53">
    <w:p w:rsidR="009F06EE" w:rsidRDefault="009F06EE">
      <w:pPr>
        <w:pStyle w:val="FootnoteText"/>
      </w:pPr>
      <w:r>
        <w:rPr>
          <w:rStyle w:val="FootnoteReference"/>
        </w:rPr>
        <w:footnoteRef/>
      </w:r>
      <w:r>
        <w:t xml:space="preserve"> These are calculated by adding the qualification level coefficient to the individual age bracket coefficients, e.g. for bachelor holders aged 55-59: (-0.08</w:t>
      </w:r>
      <w:proofErr w:type="gramStart"/>
      <w:r>
        <w:t>)+</w:t>
      </w:r>
      <w:proofErr w:type="gramEnd"/>
      <w:r>
        <w:t xml:space="preserve">0.084=0.004, or 0.4%. </w:t>
      </w:r>
    </w:p>
  </w:footnote>
  <w:footnote w:id="54">
    <w:p w:rsidR="009F06EE" w:rsidRDefault="009F06EE">
      <w:pPr>
        <w:pStyle w:val="FootnoteText"/>
      </w:pPr>
      <w:r>
        <w:rPr>
          <w:rStyle w:val="FootnoteReference"/>
        </w:rPr>
        <w:footnoteRef/>
      </w:r>
      <w:r>
        <w:t xml:space="preserve"> GTAP is a research program based at the </w:t>
      </w:r>
      <w:r w:rsidRPr="00B91C00">
        <w:t>Center for Global Trade Analysis in Purdue University's Department of Agricultural Economics.</w:t>
      </w:r>
    </w:p>
  </w:footnote>
  <w:footnote w:id="55">
    <w:p w:rsidR="009F06EE" w:rsidRDefault="009F06EE" w:rsidP="00977C78">
      <w:pPr>
        <w:pStyle w:val="FootnoteText"/>
      </w:pPr>
      <w:r>
        <w:rPr>
          <w:rStyle w:val="FootnoteReference"/>
        </w:rPr>
        <w:footnoteRef/>
      </w:r>
      <w:r>
        <w:t xml:space="preserve"> Occupation categories are: officials and managers, technicians, clerks, service/shop workers, and agricultural and unskilled labour.</w:t>
      </w:r>
    </w:p>
  </w:footnote>
  <w:footnote w:id="56">
    <w:p w:rsidR="009F06EE" w:rsidRDefault="009F06EE" w:rsidP="00977C78">
      <w:pPr>
        <w:pStyle w:val="FootnoteText"/>
      </w:pPr>
      <w:r>
        <w:rPr>
          <w:rStyle w:val="FootnoteReference"/>
        </w:rPr>
        <w:footnoteRef/>
      </w:r>
      <w:r>
        <w:t xml:space="preserve"> This is given by the four levels of post-school education (postgraduate, bachelor, sub-bachelor, and VET) timed by the nine broad fields of study (Medicine, Other health, Education, Engineering, Business and Commerce, Arts (including visual arts), Science, Information Technology, and Food &amp; Hospitality), plus an additional category for those without post-school qualifications.</w:t>
      </w:r>
    </w:p>
  </w:footnote>
  <w:footnote w:id="57">
    <w:p w:rsidR="009F06EE" w:rsidRDefault="009F06EE">
      <w:pPr>
        <w:pStyle w:val="FootnoteText"/>
      </w:pPr>
      <w:r>
        <w:rPr>
          <w:rStyle w:val="FootnoteReference"/>
        </w:rPr>
        <w:footnoteRef/>
      </w:r>
      <w:r>
        <w:t xml:space="preserve"> In the </w:t>
      </w:r>
      <w:r w:rsidRPr="00993BEA">
        <w:t>context of a Heckscher-Ohlin model</w:t>
      </w:r>
      <w:r>
        <w:t xml:space="preserve">, </w:t>
      </w:r>
      <w:r w:rsidRPr="00993BEA">
        <w:t xml:space="preserve">The Rybczynski </w:t>
      </w:r>
      <w:r>
        <w:t xml:space="preserve">effect is the observation that under certain conditions, </w:t>
      </w:r>
      <w:r w:rsidRPr="00993BEA">
        <w:t xml:space="preserve">an </w:t>
      </w:r>
      <w:r>
        <w:t xml:space="preserve">increase in </w:t>
      </w:r>
      <w:r w:rsidRPr="00993BEA">
        <w:t>endowment</w:t>
      </w:r>
      <w:r>
        <w:t>s</w:t>
      </w:r>
      <w:r w:rsidRPr="00993BEA">
        <w:t xml:space="preserve"> </w:t>
      </w:r>
      <w:r>
        <w:t>can affect</w:t>
      </w:r>
      <w:r w:rsidRPr="00993BEA">
        <w:t xml:space="preserve"> the outputs of </w:t>
      </w:r>
      <w:r>
        <w:t xml:space="preserve">different </w:t>
      </w:r>
      <w:r w:rsidRPr="00993BEA">
        <w:t>goods</w:t>
      </w:r>
      <w:r>
        <w:t>, to lower overall GDP,</w:t>
      </w:r>
      <w:r w:rsidRPr="00993BEA">
        <w:t xml:space="preserve"> when full employment is sustained</w:t>
      </w:r>
      <w:r>
        <w:t>.</w:t>
      </w:r>
    </w:p>
  </w:footnote>
  <w:footnote w:id="58">
    <w:p w:rsidR="009F06EE" w:rsidRDefault="009F06EE" w:rsidP="00977C78">
      <w:pPr>
        <w:pStyle w:val="FootnoteText"/>
      </w:pPr>
      <w:r>
        <w:rPr>
          <w:rStyle w:val="FootnoteReference"/>
        </w:rPr>
        <w:footnoteRef/>
      </w:r>
      <w:r>
        <w:t xml:space="preserve"> The structural change is phased in gradually over the 2012-2030 period.</w:t>
      </w:r>
    </w:p>
  </w:footnote>
  <w:footnote w:id="59">
    <w:p w:rsidR="009F06EE" w:rsidRPr="00C16F98" w:rsidRDefault="009F06EE" w:rsidP="00541B64">
      <w:pPr>
        <w:pStyle w:val="FootnoteText"/>
        <w:rPr>
          <w:szCs w:val="18"/>
        </w:rPr>
      </w:pPr>
      <w:r w:rsidRPr="00460EF9">
        <w:rPr>
          <w:rStyle w:val="FootnoteReference"/>
          <w:szCs w:val="18"/>
        </w:rPr>
        <w:footnoteRef/>
      </w:r>
      <w:r w:rsidRPr="00460EF9">
        <w:rPr>
          <w:szCs w:val="18"/>
        </w:rPr>
        <w:t xml:space="preserve"> The size of this number is important only for numeric accuracy purposes. Too small, and the </w:t>
      </w:r>
      <w:r w:rsidRPr="00D33244">
        <w:rPr>
          <w:szCs w:val="18"/>
        </w:rPr>
        <w:t>two results will not bear any significant difference; too large, and movem</w:t>
      </w:r>
      <w:r w:rsidRPr="00C16F98">
        <w:rPr>
          <w:szCs w:val="18"/>
        </w:rPr>
        <w:t xml:space="preserve">ent will distort the economy unnecessarily (e.g. average wages for high schoolers exceeding bachelor graduates, etc.).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6EE" w:rsidRPr="008352AD" w:rsidRDefault="009F06EE" w:rsidP="008352AD">
    <w:pPr>
      <w:pStyle w:val="Header"/>
    </w:pPr>
    <w:r>
      <w:rPr>
        <w:szCs w:val="28"/>
      </w:rPr>
      <w:t>Estimating t</w:t>
    </w:r>
    <w:r>
      <w:t>he public and private benefits of higher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6EE" w:rsidRPr="00962F39" w:rsidRDefault="009F06EE" w:rsidP="00123109">
    <w:pPr>
      <w:pStyle w:val="Header"/>
    </w:pPr>
    <w:r w:rsidRPr="00B259CC">
      <w:rPr>
        <w:szCs w:val="28"/>
      </w:rPr>
      <w:t xml:space="preserve"> </w:t>
    </w:r>
    <w:r>
      <w:rPr>
        <w:szCs w:val="28"/>
      </w:rPr>
      <w:t>Estimating t</w:t>
    </w:r>
    <w:r>
      <w:t>he public and private benefits of higher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6EE" w:rsidRPr="007F362F" w:rsidRDefault="009F06EE" w:rsidP="00123109">
    <w:pPr>
      <w:pStyle w:val="Header"/>
    </w:pPr>
    <w:r>
      <w:t>The public and private benefits of higher education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5C66196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F3B04A5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52430B"/>
    <w:multiLevelType w:val="multilevel"/>
    <w:tmpl w:val="A34AE908"/>
    <w:lvl w:ilvl="0">
      <w:start w:val="1"/>
      <w:numFmt w:val="none"/>
      <w:pStyle w:val="MajorHeading"/>
      <w:suff w:val="space"/>
      <w:lvlText w:val=""/>
      <w:lvlJc w:val="left"/>
      <w:pPr>
        <w:ind w:left="0" w:hanging="113"/>
      </w:pPr>
      <w:rPr>
        <w:rFonts w:hint="default"/>
      </w:rPr>
    </w:lvl>
    <w:lvl w:ilvl="1">
      <w:start w:val="1"/>
      <w:numFmt w:val="lowerRoman"/>
      <w:pStyle w:val="ExecTableCaption"/>
      <w:suff w:val="nothing"/>
      <w:lvlText w:val="Table %2"/>
      <w:lvlJc w:val="left"/>
      <w:pPr>
        <w:ind w:left="0" w:firstLine="0"/>
      </w:pPr>
      <w:rPr>
        <w:rFonts w:ascii="Calibri" w:hAnsi="Calibri" w:hint="default"/>
        <w:b/>
        <w:i w:val="0"/>
        <w:color w:val="002776"/>
        <w:sz w:val="22"/>
      </w:rPr>
    </w:lvl>
    <w:lvl w:ilvl="2">
      <w:start w:val="1"/>
      <w:numFmt w:val="lowerRoman"/>
      <w:lvlRestart w:val="1"/>
      <w:pStyle w:val="ExecChartCaption"/>
      <w:suff w:val="nothing"/>
      <w:lvlText w:val="Chart %3"/>
      <w:lvlJc w:val="left"/>
      <w:pPr>
        <w:ind w:left="0" w:firstLine="0"/>
      </w:pPr>
      <w:rPr>
        <w:rFonts w:ascii="Calibri" w:hAnsi="Calibri" w:hint="default"/>
        <w:b/>
        <w:i w:val="0"/>
        <w:color w:val="002776"/>
        <w:sz w:val="22"/>
      </w:rPr>
    </w:lvl>
    <w:lvl w:ilvl="3">
      <w:start w:val="1"/>
      <w:numFmt w:val="lowerRoman"/>
      <w:lvlRestart w:val="1"/>
      <w:pStyle w:val="ExecFigureCaption"/>
      <w:suff w:val="nothing"/>
      <w:lvlText w:val="Figure %4"/>
      <w:lvlJc w:val="left"/>
      <w:pPr>
        <w:ind w:left="0" w:firstLine="0"/>
      </w:pPr>
      <w:rPr>
        <w:rFonts w:ascii="Calibri" w:hAnsi="Calibri" w:hint="default"/>
        <w:b/>
        <w:i w:val="0"/>
        <w:color w:val="002776"/>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20104D1"/>
    <w:multiLevelType w:val="hybridMultilevel"/>
    <w:tmpl w:val="C7024314"/>
    <w:lvl w:ilvl="0" w:tplc="7D989CDA">
      <w:start w:val="1"/>
      <w:numFmt w:val="bullet"/>
      <w:pStyle w:val="Bullet3"/>
      <w:lvlText w:val="•"/>
      <w:lvlJc w:val="left"/>
      <w:pPr>
        <w:ind w:left="1854" w:hanging="360"/>
      </w:pPr>
      <w:rPr>
        <w:rFonts w:ascii="Calibri" w:hAnsi="Calibri" w:hint="default"/>
        <w:color w:val="92D400"/>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04D22C47"/>
    <w:multiLevelType w:val="hybridMultilevel"/>
    <w:tmpl w:val="B216650C"/>
    <w:lvl w:ilvl="0" w:tplc="EFD2CE08">
      <w:start w:val="1"/>
      <w:numFmt w:val="bullet"/>
      <w:lvlText w:val="•"/>
      <w:lvlJc w:val="left"/>
      <w:pPr>
        <w:tabs>
          <w:tab w:val="num" w:pos="720"/>
        </w:tabs>
        <w:ind w:left="720" w:hanging="360"/>
      </w:pPr>
      <w:rPr>
        <w:rFonts w:ascii="Arial" w:hAnsi="Arial" w:hint="default"/>
      </w:rPr>
    </w:lvl>
    <w:lvl w:ilvl="1" w:tplc="C34020F4" w:tentative="1">
      <w:start w:val="1"/>
      <w:numFmt w:val="bullet"/>
      <w:lvlText w:val="•"/>
      <w:lvlJc w:val="left"/>
      <w:pPr>
        <w:tabs>
          <w:tab w:val="num" w:pos="1440"/>
        </w:tabs>
        <w:ind w:left="1440" w:hanging="360"/>
      </w:pPr>
      <w:rPr>
        <w:rFonts w:ascii="Arial" w:hAnsi="Arial" w:hint="default"/>
      </w:rPr>
    </w:lvl>
    <w:lvl w:ilvl="2" w:tplc="84704C96" w:tentative="1">
      <w:start w:val="1"/>
      <w:numFmt w:val="bullet"/>
      <w:lvlText w:val="•"/>
      <w:lvlJc w:val="left"/>
      <w:pPr>
        <w:tabs>
          <w:tab w:val="num" w:pos="2160"/>
        </w:tabs>
        <w:ind w:left="2160" w:hanging="360"/>
      </w:pPr>
      <w:rPr>
        <w:rFonts w:ascii="Arial" w:hAnsi="Arial" w:hint="default"/>
      </w:rPr>
    </w:lvl>
    <w:lvl w:ilvl="3" w:tplc="66428D5C" w:tentative="1">
      <w:start w:val="1"/>
      <w:numFmt w:val="bullet"/>
      <w:lvlText w:val="•"/>
      <w:lvlJc w:val="left"/>
      <w:pPr>
        <w:tabs>
          <w:tab w:val="num" w:pos="2880"/>
        </w:tabs>
        <w:ind w:left="2880" w:hanging="360"/>
      </w:pPr>
      <w:rPr>
        <w:rFonts w:ascii="Arial" w:hAnsi="Arial" w:hint="default"/>
      </w:rPr>
    </w:lvl>
    <w:lvl w:ilvl="4" w:tplc="A6FA43CA" w:tentative="1">
      <w:start w:val="1"/>
      <w:numFmt w:val="bullet"/>
      <w:lvlText w:val="•"/>
      <w:lvlJc w:val="left"/>
      <w:pPr>
        <w:tabs>
          <w:tab w:val="num" w:pos="3600"/>
        </w:tabs>
        <w:ind w:left="3600" w:hanging="360"/>
      </w:pPr>
      <w:rPr>
        <w:rFonts w:ascii="Arial" w:hAnsi="Arial" w:hint="default"/>
      </w:rPr>
    </w:lvl>
    <w:lvl w:ilvl="5" w:tplc="00A89074" w:tentative="1">
      <w:start w:val="1"/>
      <w:numFmt w:val="bullet"/>
      <w:lvlText w:val="•"/>
      <w:lvlJc w:val="left"/>
      <w:pPr>
        <w:tabs>
          <w:tab w:val="num" w:pos="4320"/>
        </w:tabs>
        <w:ind w:left="4320" w:hanging="360"/>
      </w:pPr>
      <w:rPr>
        <w:rFonts w:ascii="Arial" w:hAnsi="Arial" w:hint="default"/>
      </w:rPr>
    </w:lvl>
    <w:lvl w:ilvl="6" w:tplc="5852AEF2" w:tentative="1">
      <w:start w:val="1"/>
      <w:numFmt w:val="bullet"/>
      <w:lvlText w:val="•"/>
      <w:lvlJc w:val="left"/>
      <w:pPr>
        <w:tabs>
          <w:tab w:val="num" w:pos="5040"/>
        </w:tabs>
        <w:ind w:left="5040" w:hanging="360"/>
      </w:pPr>
      <w:rPr>
        <w:rFonts w:ascii="Arial" w:hAnsi="Arial" w:hint="default"/>
      </w:rPr>
    </w:lvl>
    <w:lvl w:ilvl="7" w:tplc="270EB17E" w:tentative="1">
      <w:start w:val="1"/>
      <w:numFmt w:val="bullet"/>
      <w:lvlText w:val="•"/>
      <w:lvlJc w:val="left"/>
      <w:pPr>
        <w:tabs>
          <w:tab w:val="num" w:pos="5760"/>
        </w:tabs>
        <w:ind w:left="5760" w:hanging="360"/>
      </w:pPr>
      <w:rPr>
        <w:rFonts w:ascii="Arial" w:hAnsi="Arial" w:hint="default"/>
      </w:rPr>
    </w:lvl>
    <w:lvl w:ilvl="8" w:tplc="CE96FCA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C3541D"/>
    <w:multiLevelType w:val="hybridMultilevel"/>
    <w:tmpl w:val="2E967CCA"/>
    <w:lvl w:ilvl="0" w:tplc="C78018B4">
      <w:start w:val="1"/>
      <w:numFmt w:val="bullet"/>
      <w:lvlText w:val="•"/>
      <w:lvlJc w:val="left"/>
      <w:pPr>
        <w:tabs>
          <w:tab w:val="num" w:pos="720"/>
        </w:tabs>
        <w:ind w:left="720" w:hanging="360"/>
      </w:pPr>
      <w:rPr>
        <w:rFonts w:ascii="Arial" w:hAnsi="Arial" w:hint="default"/>
      </w:rPr>
    </w:lvl>
    <w:lvl w:ilvl="1" w:tplc="263C45E6" w:tentative="1">
      <w:start w:val="1"/>
      <w:numFmt w:val="bullet"/>
      <w:lvlText w:val="•"/>
      <w:lvlJc w:val="left"/>
      <w:pPr>
        <w:tabs>
          <w:tab w:val="num" w:pos="1440"/>
        </w:tabs>
        <w:ind w:left="1440" w:hanging="360"/>
      </w:pPr>
      <w:rPr>
        <w:rFonts w:ascii="Arial" w:hAnsi="Arial" w:hint="default"/>
      </w:rPr>
    </w:lvl>
    <w:lvl w:ilvl="2" w:tplc="F766AF00" w:tentative="1">
      <w:start w:val="1"/>
      <w:numFmt w:val="bullet"/>
      <w:lvlText w:val="•"/>
      <w:lvlJc w:val="left"/>
      <w:pPr>
        <w:tabs>
          <w:tab w:val="num" w:pos="2160"/>
        </w:tabs>
        <w:ind w:left="2160" w:hanging="360"/>
      </w:pPr>
      <w:rPr>
        <w:rFonts w:ascii="Arial" w:hAnsi="Arial" w:hint="default"/>
      </w:rPr>
    </w:lvl>
    <w:lvl w:ilvl="3" w:tplc="1264077E" w:tentative="1">
      <w:start w:val="1"/>
      <w:numFmt w:val="bullet"/>
      <w:lvlText w:val="•"/>
      <w:lvlJc w:val="left"/>
      <w:pPr>
        <w:tabs>
          <w:tab w:val="num" w:pos="2880"/>
        </w:tabs>
        <w:ind w:left="2880" w:hanging="360"/>
      </w:pPr>
      <w:rPr>
        <w:rFonts w:ascii="Arial" w:hAnsi="Arial" w:hint="default"/>
      </w:rPr>
    </w:lvl>
    <w:lvl w:ilvl="4" w:tplc="E5024498" w:tentative="1">
      <w:start w:val="1"/>
      <w:numFmt w:val="bullet"/>
      <w:lvlText w:val="•"/>
      <w:lvlJc w:val="left"/>
      <w:pPr>
        <w:tabs>
          <w:tab w:val="num" w:pos="3600"/>
        </w:tabs>
        <w:ind w:left="3600" w:hanging="360"/>
      </w:pPr>
      <w:rPr>
        <w:rFonts w:ascii="Arial" w:hAnsi="Arial" w:hint="default"/>
      </w:rPr>
    </w:lvl>
    <w:lvl w:ilvl="5" w:tplc="0252847E" w:tentative="1">
      <w:start w:val="1"/>
      <w:numFmt w:val="bullet"/>
      <w:lvlText w:val="•"/>
      <w:lvlJc w:val="left"/>
      <w:pPr>
        <w:tabs>
          <w:tab w:val="num" w:pos="4320"/>
        </w:tabs>
        <w:ind w:left="4320" w:hanging="360"/>
      </w:pPr>
      <w:rPr>
        <w:rFonts w:ascii="Arial" w:hAnsi="Arial" w:hint="default"/>
      </w:rPr>
    </w:lvl>
    <w:lvl w:ilvl="6" w:tplc="4A6A11C2" w:tentative="1">
      <w:start w:val="1"/>
      <w:numFmt w:val="bullet"/>
      <w:lvlText w:val="•"/>
      <w:lvlJc w:val="left"/>
      <w:pPr>
        <w:tabs>
          <w:tab w:val="num" w:pos="5040"/>
        </w:tabs>
        <w:ind w:left="5040" w:hanging="360"/>
      </w:pPr>
      <w:rPr>
        <w:rFonts w:ascii="Arial" w:hAnsi="Arial" w:hint="default"/>
      </w:rPr>
    </w:lvl>
    <w:lvl w:ilvl="7" w:tplc="8C286F0C" w:tentative="1">
      <w:start w:val="1"/>
      <w:numFmt w:val="bullet"/>
      <w:lvlText w:val="•"/>
      <w:lvlJc w:val="left"/>
      <w:pPr>
        <w:tabs>
          <w:tab w:val="num" w:pos="5760"/>
        </w:tabs>
        <w:ind w:left="5760" w:hanging="360"/>
      </w:pPr>
      <w:rPr>
        <w:rFonts w:ascii="Arial" w:hAnsi="Arial" w:hint="default"/>
      </w:rPr>
    </w:lvl>
    <w:lvl w:ilvl="8" w:tplc="B464D5A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BE65E5"/>
    <w:multiLevelType w:val="hybridMultilevel"/>
    <w:tmpl w:val="818AFE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A3D71DF"/>
    <w:multiLevelType w:val="singleLevel"/>
    <w:tmpl w:val="C5B2C534"/>
    <w:lvl w:ilvl="0">
      <w:start w:val="1"/>
      <w:numFmt w:val="lowerRoman"/>
      <w:pStyle w:val="IndentNumberedList"/>
      <w:lvlText w:val="%1"/>
      <w:lvlJc w:val="left"/>
      <w:pPr>
        <w:tabs>
          <w:tab w:val="num" w:pos="1134"/>
        </w:tabs>
        <w:ind w:left="1134" w:hanging="567"/>
      </w:pPr>
      <w:rPr>
        <w:rFonts w:ascii="Calibri" w:hAnsi="Calibri" w:cs="Arial" w:hint="default"/>
        <w:b w:val="0"/>
        <w:i w:val="0"/>
        <w:color w:val="000000"/>
        <w:sz w:val="22"/>
        <w:szCs w:val="24"/>
      </w:rPr>
    </w:lvl>
  </w:abstractNum>
  <w:abstractNum w:abstractNumId="8" w15:restartNumberingAfterBreak="0">
    <w:nsid w:val="0B211ABD"/>
    <w:multiLevelType w:val="hybridMultilevel"/>
    <w:tmpl w:val="0D609A00"/>
    <w:lvl w:ilvl="0" w:tplc="58EAA3E8">
      <w:start w:val="1"/>
      <w:numFmt w:val="bullet"/>
      <w:lvlText w:val="•"/>
      <w:lvlJc w:val="left"/>
      <w:pPr>
        <w:tabs>
          <w:tab w:val="num" w:pos="720"/>
        </w:tabs>
        <w:ind w:left="720" w:hanging="360"/>
      </w:pPr>
      <w:rPr>
        <w:rFonts w:ascii="Arial" w:hAnsi="Arial" w:hint="default"/>
      </w:rPr>
    </w:lvl>
    <w:lvl w:ilvl="1" w:tplc="6734C12E" w:tentative="1">
      <w:start w:val="1"/>
      <w:numFmt w:val="bullet"/>
      <w:lvlText w:val="•"/>
      <w:lvlJc w:val="left"/>
      <w:pPr>
        <w:tabs>
          <w:tab w:val="num" w:pos="1440"/>
        </w:tabs>
        <w:ind w:left="1440" w:hanging="360"/>
      </w:pPr>
      <w:rPr>
        <w:rFonts w:ascii="Arial" w:hAnsi="Arial" w:hint="default"/>
      </w:rPr>
    </w:lvl>
    <w:lvl w:ilvl="2" w:tplc="A642BE68" w:tentative="1">
      <w:start w:val="1"/>
      <w:numFmt w:val="bullet"/>
      <w:lvlText w:val="•"/>
      <w:lvlJc w:val="left"/>
      <w:pPr>
        <w:tabs>
          <w:tab w:val="num" w:pos="2160"/>
        </w:tabs>
        <w:ind w:left="2160" w:hanging="360"/>
      </w:pPr>
      <w:rPr>
        <w:rFonts w:ascii="Arial" w:hAnsi="Arial" w:hint="default"/>
      </w:rPr>
    </w:lvl>
    <w:lvl w:ilvl="3" w:tplc="2A1CC76A" w:tentative="1">
      <w:start w:val="1"/>
      <w:numFmt w:val="bullet"/>
      <w:lvlText w:val="•"/>
      <w:lvlJc w:val="left"/>
      <w:pPr>
        <w:tabs>
          <w:tab w:val="num" w:pos="2880"/>
        </w:tabs>
        <w:ind w:left="2880" w:hanging="360"/>
      </w:pPr>
      <w:rPr>
        <w:rFonts w:ascii="Arial" w:hAnsi="Arial" w:hint="default"/>
      </w:rPr>
    </w:lvl>
    <w:lvl w:ilvl="4" w:tplc="A9F803EA" w:tentative="1">
      <w:start w:val="1"/>
      <w:numFmt w:val="bullet"/>
      <w:lvlText w:val="•"/>
      <w:lvlJc w:val="left"/>
      <w:pPr>
        <w:tabs>
          <w:tab w:val="num" w:pos="3600"/>
        </w:tabs>
        <w:ind w:left="3600" w:hanging="360"/>
      </w:pPr>
      <w:rPr>
        <w:rFonts w:ascii="Arial" w:hAnsi="Arial" w:hint="default"/>
      </w:rPr>
    </w:lvl>
    <w:lvl w:ilvl="5" w:tplc="724A1FF8" w:tentative="1">
      <w:start w:val="1"/>
      <w:numFmt w:val="bullet"/>
      <w:lvlText w:val="•"/>
      <w:lvlJc w:val="left"/>
      <w:pPr>
        <w:tabs>
          <w:tab w:val="num" w:pos="4320"/>
        </w:tabs>
        <w:ind w:left="4320" w:hanging="360"/>
      </w:pPr>
      <w:rPr>
        <w:rFonts w:ascii="Arial" w:hAnsi="Arial" w:hint="default"/>
      </w:rPr>
    </w:lvl>
    <w:lvl w:ilvl="6" w:tplc="AD307E20" w:tentative="1">
      <w:start w:val="1"/>
      <w:numFmt w:val="bullet"/>
      <w:lvlText w:val="•"/>
      <w:lvlJc w:val="left"/>
      <w:pPr>
        <w:tabs>
          <w:tab w:val="num" w:pos="5040"/>
        </w:tabs>
        <w:ind w:left="5040" w:hanging="360"/>
      </w:pPr>
      <w:rPr>
        <w:rFonts w:ascii="Arial" w:hAnsi="Arial" w:hint="default"/>
      </w:rPr>
    </w:lvl>
    <w:lvl w:ilvl="7" w:tplc="22348F44" w:tentative="1">
      <w:start w:val="1"/>
      <w:numFmt w:val="bullet"/>
      <w:lvlText w:val="•"/>
      <w:lvlJc w:val="left"/>
      <w:pPr>
        <w:tabs>
          <w:tab w:val="num" w:pos="5760"/>
        </w:tabs>
        <w:ind w:left="5760" w:hanging="360"/>
      </w:pPr>
      <w:rPr>
        <w:rFonts w:ascii="Arial" w:hAnsi="Arial" w:hint="default"/>
      </w:rPr>
    </w:lvl>
    <w:lvl w:ilvl="8" w:tplc="A18AC05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2049B9"/>
    <w:multiLevelType w:val="hybridMultilevel"/>
    <w:tmpl w:val="B8506D88"/>
    <w:lvl w:ilvl="0" w:tplc="A4F8682C">
      <w:numFmt w:val="bullet"/>
      <w:pStyle w:val="IndentParaGreyBullet"/>
      <w:lvlText w:val="•"/>
      <w:lvlJc w:val="left"/>
      <w:pPr>
        <w:ind w:left="567" w:hanging="283"/>
      </w:pPr>
      <w:rPr>
        <w:rFonts w:ascii="Arial" w:eastAsia="Times New Roman" w:hAnsi="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0" w15:restartNumberingAfterBreak="0">
    <w:nsid w:val="1C354B73"/>
    <w:multiLevelType w:val="singleLevel"/>
    <w:tmpl w:val="EE4A2D06"/>
    <w:name w:val="NumberedList"/>
    <w:lvl w:ilvl="0">
      <w:start w:val="1"/>
      <w:numFmt w:val="decimal"/>
      <w:lvlRestart w:val="0"/>
      <w:lvlText w:val="%1"/>
      <w:lvlJc w:val="left"/>
      <w:pPr>
        <w:tabs>
          <w:tab w:val="num" w:pos="567"/>
        </w:tabs>
        <w:ind w:left="567" w:hanging="567"/>
      </w:pPr>
      <w:rPr>
        <w:rFonts w:ascii="Arial" w:hAnsi="Arial" w:cs="Arial"/>
      </w:rPr>
    </w:lvl>
  </w:abstractNum>
  <w:abstractNum w:abstractNumId="11" w15:restartNumberingAfterBreak="0">
    <w:nsid w:val="209F2649"/>
    <w:multiLevelType w:val="singleLevel"/>
    <w:tmpl w:val="78AE38C0"/>
    <w:name w:val="AlphabeticList"/>
    <w:lvl w:ilvl="0">
      <w:start w:val="1"/>
      <w:numFmt w:val="upperLetter"/>
      <w:lvlRestart w:val="0"/>
      <w:lvlText w:val="%1"/>
      <w:lvlJc w:val="left"/>
      <w:pPr>
        <w:tabs>
          <w:tab w:val="num" w:pos="567"/>
        </w:tabs>
        <w:ind w:left="567" w:hanging="567"/>
      </w:pPr>
      <w:rPr>
        <w:rFonts w:ascii="Arial" w:hAnsi="Arial" w:cs="Arial" w:hint="default"/>
        <w:b w:val="0"/>
        <w:i w:val="0"/>
        <w:color w:val="000000"/>
        <w:sz w:val="22"/>
        <w:szCs w:val="22"/>
      </w:rPr>
    </w:lvl>
  </w:abstractNum>
  <w:abstractNum w:abstractNumId="12" w15:restartNumberingAfterBreak="0">
    <w:nsid w:val="293C1ADA"/>
    <w:multiLevelType w:val="multilevel"/>
    <w:tmpl w:val="D062E44A"/>
    <w:lvl w:ilvl="0">
      <w:start w:val="1"/>
      <w:numFmt w:val="decimal"/>
      <w:pStyle w:val="Heading1"/>
      <w:lvlText w:val="%1"/>
      <w:lvlJc w:val="left"/>
      <w:pPr>
        <w:ind w:left="360" w:hanging="360"/>
      </w:pPr>
      <w:rPr>
        <w:rFonts w:hint="default"/>
        <w:b/>
        <w:i w:val="0"/>
        <w:color w:val="002776"/>
        <w:sz w:val="56"/>
        <w:szCs w:val="56"/>
      </w:rPr>
    </w:lvl>
    <w:lvl w:ilvl="1">
      <w:start w:val="1"/>
      <w:numFmt w:val="decimal"/>
      <w:pStyle w:val="Heading2"/>
      <w:lvlText w:val="%1.%2"/>
      <w:lvlJc w:val="left"/>
      <w:pPr>
        <w:tabs>
          <w:tab w:val="num" w:pos="709"/>
        </w:tabs>
        <w:ind w:left="709" w:hanging="567"/>
      </w:pPr>
      <w:rPr>
        <w:rFonts w:ascii="Calibri" w:hAnsi="Calibri" w:cs="Arial" w:hint="default"/>
        <w:b/>
        <w:i w:val="0"/>
        <w:color w:val="00A1DE"/>
        <w:sz w:val="40"/>
        <w:szCs w:val="40"/>
      </w:rPr>
    </w:lvl>
    <w:lvl w:ilvl="2">
      <w:start w:val="1"/>
      <w:numFmt w:val="decimal"/>
      <w:pStyle w:val="Heading3"/>
      <w:lvlText w:val="%1.%2.%3"/>
      <w:lvlJc w:val="left"/>
      <w:pPr>
        <w:tabs>
          <w:tab w:val="num" w:pos="1418"/>
        </w:tabs>
        <w:ind w:left="1418" w:hanging="1134"/>
      </w:pPr>
      <w:rPr>
        <w:rFonts w:ascii="Calibri" w:hAnsi="Calibri" w:cs="Arial" w:hint="default"/>
        <w:b w:val="0"/>
        <w:i w:val="0"/>
        <w:color w:val="00A1DE"/>
        <w:sz w:val="26"/>
        <w:szCs w:val="24"/>
      </w:rPr>
    </w:lvl>
    <w:lvl w:ilvl="3">
      <w:start w:val="1"/>
      <w:numFmt w:val="decimal"/>
      <w:pStyle w:val="Heading4"/>
      <w:lvlText w:val="%1.%2.%3.%4"/>
      <w:lvlJc w:val="left"/>
      <w:pPr>
        <w:tabs>
          <w:tab w:val="num" w:pos="1134"/>
        </w:tabs>
        <w:ind w:left="1134" w:hanging="1134"/>
      </w:pPr>
      <w:rPr>
        <w:rFonts w:ascii="Calibri" w:hAnsi="Calibri" w:cs="Arial" w:hint="default"/>
        <w:b/>
        <w:i w:val="0"/>
        <w:color w:val="00A1DE"/>
        <w:sz w:val="24"/>
        <w:szCs w:val="24"/>
        <w:u w:val="none"/>
      </w:rPr>
    </w:lvl>
    <w:lvl w:ilvl="4">
      <w:start w:val="1"/>
      <w:numFmt w:val="decimal"/>
      <w:lvlRestart w:val="1"/>
      <w:pStyle w:val="Heading5"/>
      <w:suff w:val="space"/>
      <w:lvlText w:val="Box %1.%5"/>
      <w:lvlJc w:val="left"/>
      <w:pPr>
        <w:ind w:left="1134" w:hanging="850"/>
      </w:pPr>
      <w:rPr>
        <w:rFonts w:ascii="Calibri" w:hAnsi="Calibri" w:cs="Arial" w:hint="default"/>
        <w:b/>
        <w:i w:val="0"/>
        <w:color w:val="FFFFFF"/>
        <w:sz w:val="20"/>
        <w:szCs w:val="20"/>
      </w:rPr>
    </w:lvl>
    <w:lvl w:ilvl="5">
      <w:start w:val="1"/>
      <w:numFmt w:val="none"/>
      <w:lvlRestart w:val="0"/>
      <w:lvlText w:val=""/>
      <w:lvlJc w:val="center"/>
      <w:pPr>
        <w:ind w:left="0" w:firstLine="0"/>
      </w:pPr>
      <w:rPr>
        <w:rFonts w:ascii="Arial" w:hAnsi="Arial" w:cs="Arial" w:hint="default"/>
        <w:b/>
        <w:i w:val="0"/>
        <w:color w:val="931638"/>
        <w:sz w:val="20"/>
        <w:szCs w:val="20"/>
      </w:rPr>
    </w:lvl>
    <w:lvl w:ilvl="6">
      <w:start w:val="1"/>
      <w:numFmt w:val="decimal"/>
      <w:lvlRestart w:val="1"/>
      <w:pStyle w:val="CaptionTable"/>
      <w:suff w:val="nothing"/>
      <w:lvlText w:val="Table %1.%7"/>
      <w:lvlJc w:val="left"/>
      <w:pPr>
        <w:ind w:left="8081" w:firstLine="0"/>
      </w:pPr>
      <w:rPr>
        <w:rFonts w:ascii="Calibri" w:hAnsi="Calibri" w:cs="Arial" w:hint="default"/>
        <w:b/>
        <w:i w:val="0"/>
        <w:color w:val="002776"/>
        <w:sz w:val="22"/>
        <w:szCs w:val="20"/>
      </w:rPr>
    </w:lvl>
    <w:lvl w:ilvl="7">
      <w:start w:val="1"/>
      <w:numFmt w:val="decimal"/>
      <w:lvlRestart w:val="1"/>
      <w:pStyle w:val="CaptionChart"/>
      <w:suff w:val="nothing"/>
      <w:lvlText w:val="Chart %1.%8"/>
      <w:lvlJc w:val="left"/>
      <w:pPr>
        <w:ind w:left="1560" w:firstLine="0"/>
      </w:pPr>
      <w:rPr>
        <w:rFonts w:ascii="Calibri" w:hAnsi="Calibri" w:cs="Arial" w:hint="default"/>
        <w:b/>
        <w:i w:val="0"/>
        <w:color w:val="002776"/>
        <w:sz w:val="22"/>
        <w:szCs w:val="20"/>
      </w:rPr>
    </w:lvl>
    <w:lvl w:ilvl="8">
      <w:start w:val="1"/>
      <w:numFmt w:val="decimal"/>
      <w:lvlRestart w:val="1"/>
      <w:pStyle w:val="CaptionFigure"/>
      <w:suff w:val="nothing"/>
      <w:lvlText w:val="Figure %1.%9"/>
      <w:lvlJc w:val="left"/>
      <w:pPr>
        <w:ind w:left="3119" w:firstLine="0"/>
      </w:pPr>
      <w:rPr>
        <w:rFonts w:ascii="Calibri" w:hAnsi="Calibri" w:cs="Arial" w:hint="default"/>
        <w:b/>
        <w:i w:val="0"/>
        <w:color w:val="002776"/>
        <w:sz w:val="22"/>
        <w:szCs w:val="20"/>
      </w:rPr>
    </w:lvl>
  </w:abstractNum>
  <w:abstractNum w:abstractNumId="13" w15:restartNumberingAfterBreak="0">
    <w:nsid w:val="2F197E8C"/>
    <w:multiLevelType w:val="hybridMultilevel"/>
    <w:tmpl w:val="3B20C10A"/>
    <w:lvl w:ilvl="0" w:tplc="1FB23140">
      <w:start w:val="1"/>
      <w:numFmt w:val="bullet"/>
      <w:lvlText w:val="•"/>
      <w:lvlJc w:val="left"/>
      <w:pPr>
        <w:tabs>
          <w:tab w:val="num" w:pos="720"/>
        </w:tabs>
        <w:ind w:left="720" w:hanging="360"/>
      </w:pPr>
      <w:rPr>
        <w:rFonts w:ascii="Arial" w:hAnsi="Arial" w:hint="default"/>
      </w:rPr>
    </w:lvl>
    <w:lvl w:ilvl="1" w:tplc="D004CE36" w:tentative="1">
      <w:start w:val="1"/>
      <w:numFmt w:val="bullet"/>
      <w:lvlText w:val="•"/>
      <w:lvlJc w:val="left"/>
      <w:pPr>
        <w:tabs>
          <w:tab w:val="num" w:pos="1440"/>
        </w:tabs>
        <w:ind w:left="1440" w:hanging="360"/>
      </w:pPr>
      <w:rPr>
        <w:rFonts w:ascii="Arial" w:hAnsi="Arial" w:hint="default"/>
      </w:rPr>
    </w:lvl>
    <w:lvl w:ilvl="2" w:tplc="7AEC17F8" w:tentative="1">
      <w:start w:val="1"/>
      <w:numFmt w:val="bullet"/>
      <w:lvlText w:val="•"/>
      <w:lvlJc w:val="left"/>
      <w:pPr>
        <w:tabs>
          <w:tab w:val="num" w:pos="2160"/>
        </w:tabs>
        <w:ind w:left="2160" w:hanging="360"/>
      </w:pPr>
      <w:rPr>
        <w:rFonts w:ascii="Arial" w:hAnsi="Arial" w:hint="default"/>
      </w:rPr>
    </w:lvl>
    <w:lvl w:ilvl="3" w:tplc="E5687F66" w:tentative="1">
      <w:start w:val="1"/>
      <w:numFmt w:val="bullet"/>
      <w:lvlText w:val="•"/>
      <w:lvlJc w:val="left"/>
      <w:pPr>
        <w:tabs>
          <w:tab w:val="num" w:pos="2880"/>
        </w:tabs>
        <w:ind w:left="2880" w:hanging="360"/>
      </w:pPr>
      <w:rPr>
        <w:rFonts w:ascii="Arial" w:hAnsi="Arial" w:hint="default"/>
      </w:rPr>
    </w:lvl>
    <w:lvl w:ilvl="4" w:tplc="C8702EE4" w:tentative="1">
      <w:start w:val="1"/>
      <w:numFmt w:val="bullet"/>
      <w:lvlText w:val="•"/>
      <w:lvlJc w:val="left"/>
      <w:pPr>
        <w:tabs>
          <w:tab w:val="num" w:pos="3600"/>
        </w:tabs>
        <w:ind w:left="3600" w:hanging="360"/>
      </w:pPr>
      <w:rPr>
        <w:rFonts w:ascii="Arial" w:hAnsi="Arial" w:hint="default"/>
      </w:rPr>
    </w:lvl>
    <w:lvl w:ilvl="5" w:tplc="710074C0" w:tentative="1">
      <w:start w:val="1"/>
      <w:numFmt w:val="bullet"/>
      <w:lvlText w:val="•"/>
      <w:lvlJc w:val="left"/>
      <w:pPr>
        <w:tabs>
          <w:tab w:val="num" w:pos="4320"/>
        </w:tabs>
        <w:ind w:left="4320" w:hanging="360"/>
      </w:pPr>
      <w:rPr>
        <w:rFonts w:ascii="Arial" w:hAnsi="Arial" w:hint="default"/>
      </w:rPr>
    </w:lvl>
    <w:lvl w:ilvl="6" w:tplc="7F6E2C54" w:tentative="1">
      <w:start w:val="1"/>
      <w:numFmt w:val="bullet"/>
      <w:lvlText w:val="•"/>
      <w:lvlJc w:val="left"/>
      <w:pPr>
        <w:tabs>
          <w:tab w:val="num" w:pos="5040"/>
        </w:tabs>
        <w:ind w:left="5040" w:hanging="360"/>
      </w:pPr>
      <w:rPr>
        <w:rFonts w:ascii="Arial" w:hAnsi="Arial" w:hint="default"/>
      </w:rPr>
    </w:lvl>
    <w:lvl w:ilvl="7" w:tplc="E1647A80" w:tentative="1">
      <w:start w:val="1"/>
      <w:numFmt w:val="bullet"/>
      <w:lvlText w:val="•"/>
      <w:lvlJc w:val="left"/>
      <w:pPr>
        <w:tabs>
          <w:tab w:val="num" w:pos="5760"/>
        </w:tabs>
        <w:ind w:left="5760" w:hanging="360"/>
      </w:pPr>
      <w:rPr>
        <w:rFonts w:ascii="Arial" w:hAnsi="Arial" w:hint="default"/>
      </w:rPr>
    </w:lvl>
    <w:lvl w:ilvl="8" w:tplc="E4E0E8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19F65D9"/>
    <w:multiLevelType w:val="hybridMultilevel"/>
    <w:tmpl w:val="1D20B32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392B73D6"/>
    <w:multiLevelType w:val="hybridMultilevel"/>
    <w:tmpl w:val="1450AD28"/>
    <w:name w:val="BulletList"/>
    <w:lvl w:ilvl="0" w:tplc="E8882CC4">
      <w:start w:val="1"/>
      <w:numFmt w:val="bullet"/>
      <w:lvlText w:val=""/>
      <w:lvlJc w:val="left"/>
      <w:pPr>
        <w:ind w:left="720" w:hanging="360"/>
      </w:pPr>
      <w:rPr>
        <w:rFonts w:ascii="Symbol" w:hAnsi="Symbol" w:hint="default"/>
      </w:rPr>
    </w:lvl>
    <w:lvl w:ilvl="1" w:tplc="A6F6CB9A" w:tentative="1">
      <w:start w:val="1"/>
      <w:numFmt w:val="bullet"/>
      <w:lvlText w:val="o"/>
      <w:lvlJc w:val="left"/>
      <w:pPr>
        <w:ind w:left="1440" w:hanging="360"/>
      </w:pPr>
      <w:rPr>
        <w:rFonts w:ascii="Courier New" w:hAnsi="Courier New" w:cs="Courier New" w:hint="default"/>
      </w:rPr>
    </w:lvl>
    <w:lvl w:ilvl="2" w:tplc="6A302F10" w:tentative="1">
      <w:start w:val="1"/>
      <w:numFmt w:val="bullet"/>
      <w:lvlText w:val=""/>
      <w:lvlJc w:val="left"/>
      <w:pPr>
        <w:ind w:left="2160" w:hanging="360"/>
      </w:pPr>
      <w:rPr>
        <w:rFonts w:ascii="Wingdings" w:hAnsi="Wingdings" w:hint="default"/>
      </w:rPr>
    </w:lvl>
    <w:lvl w:ilvl="3" w:tplc="C3DC6F38" w:tentative="1">
      <w:start w:val="1"/>
      <w:numFmt w:val="bullet"/>
      <w:lvlText w:val=""/>
      <w:lvlJc w:val="left"/>
      <w:pPr>
        <w:ind w:left="2880" w:hanging="360"/>
      </w:pPr>
      <w:rPr>
        <w:rFonts w:ascii="Symbol" w:hAnsi="Symbol" w:hint="default"/>
      </w:rPr>
    </w:lvl>
    <w:lvl w:ilvl="4" w:tplc="2D28A880" w:tentative="1">
      <w:start w:val="1"/>
      <w:numFmt w:val="bullet"/>
      <w:lvlText w:val="o"/>
      <w:lvlJc w:val="left"/>
      <w:pPr>
        <w:ind w:left="3600" w:hanging="360"/>
      </w:pPr>
      <w:rPr>
        <w:rFonts w:ascii="Courier New" w:hAnsi="Courier New" w:cs="Courier New" w:hint="default"/>
      </w:rPr>
    </w:lvl>
    <w:lvl w:ilvl="5" w:tplc="CDC46302" w:tentative="1">
      <w:start w:val="1"/>
      <w:numFmt w:val="bullet"/>
      <w:lvlText w:val=""/>
      <w:lvlJc w:val="left"/>
      <w:pPr>
        <w:ind w:left="4320" w:hanging="360"/>
      </w:pPr>
      <w:rPr>
        <w:rFonts w:ascii="Wingdings" w:hAnsi="Wingdings" w:hint="default"/>
      </w:rPr>
    </w:lvl>
    <w:lvl w:ilvl="6" w:tplc="C6D0D70C" w:tentative="1">
      <w:start w:val="1"/>
      <w:numFmt w:val="bullet"/>
      <w:lvlText w:val=""/>
      <w:lvlJc w:val="left"/>
      <w:pPr>
        <w:ind w:left="5040" w:hanging="360"/>
      </w:pPr>
      <w:rPr>
        <w:rFonts w:ascii="Symbol" w:hAnsi="Symbol" w:hint="default"/>
      </w:rPr>
    </w:lvl>
    <w:lvl w:ilvl="7" w:tplc="5F6413EE" w:tentative="1">
      <w:start w:val="1"/>
      <w:numFmt w:val="bullet"/>
      <w:lvlText w:val="o"/>
      <w:lvlJc w:val="left"/>
      <w:pPr>
        <w:ind w:left="5760" w:hanging="360"/>
      </w:pPr>
      <w:rPr>
        <w:rFonts w:ascii="Courier New" w:hAnsi="Courier New" w:cs="Courier New" w:hint="default"/>
      </w:rPr>
    </w:lvl>
    <w:lvl w:ilvl="8" w:tplc="05EC6A42" w:tentative="1">
      <w:start w:val="1"/>
      <w:numFmt w:val="bullet"/>
      <w:lvlText w:val=""/>
      <w:lvlJc w:val="left"/>
      <w:pPr>
        <w:ind w:left="6480" w:hanging="360"/>
      </w:pPr>
      <w:rPr>
        <w:rFonts w:ascii="Wingdings" w:hAnsi="Wingdings" w:hint="default"/>
      </w:rPr>
    </w:lvl>
  </w:abstractNum>
  <w:abstractNum w:abstractNumId="16" w15:restartNumberingAfterBreak="0">
    <w:nsid w:val="3DBE6E86"/>
    <w:multiLevelType w:val="hybridMultilevel"/>
    <w:tmpl w:val="B1CA1290"/>
    <w:lvl w:ilvl="0" w:tplc="F9EECD32">
      <w:start w:val="1"/>
      <w:numFmt w:val="bullet"/>
      <w:lvlText w:val="-"/>
      <w:lvlJc w:val="left"/>
      <w:pPr>
        <w:ind w:left="720" w:hanging="360"/>
      </w:pPr>
      <w:rPr>
        <w:rFonts w:ascii="Arial" w:eastAsia="Arial"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F5C7FA3"/>
    <w:multiLevelType w:val="hybridMultilevel"/>
    <w:tmpl w:val="A8728FB2"/>
    <w:lvl w:ilvl="0" w:tplc="0B5AB6D0">
      <w:start w:val="1"/>
      <w:numFmt w:val="bullet"/>
      <w:lvlText w:val="•"/>
      <w:lvlJc w:val="left"/>
      <w:pPr>
        <w:tabs>
          <w:tab w:val="num" w:pos="720"/>
        </w:tabs>
        <w:ind w:left="720" w:hanging="360"/>
      </w:pPr>
      <w:rPr>
        <w:rFonts w:ascii="Arial" w:hAnsi="Arial" w:hint="default"/>
      </w:rPr>
    </w:lvl>
    <w:lvl w:ilvl="1" w:tplc="F48086D6" w:tentative="1">
      <w:start w:val="1"/>
      <w:numFmt w:val="bullet"/>
      <w:lvlText w:val="•"/>
      <w:lvlJc w:val="left"/>
      <w:pPr>
        <w:tabs>
          <w:tab w:val="num" w:pos="1440"/>
        </w:tabs>
        <w:ind w:left="1440" w:hanging="360"/>
      </w:pPr>
      <w:rPr>
        <w:rFonts w:ascii="Arial" w:hAnsi="Arial" w:hint="default"/>
      </w:rPr>
    </w:lvl>
    <w:lvl w:ilvl="2" w:tplc="39FAAAA6" w:tentative="1">
      <w:start w:val="1"/>
      <w:numFmt w:val="bullet"/>
      <w:lvlText w:val="•"/>
      <w:lvlJc w:val="left"/>
      <w:pPr>
        <w:tabs>
          <w:tab w:val="num" w:pos="2160"/>
        </w:tabs>
        <w:ind w:left="2160" w:hanging="360"/>
      </w:pPr>
      <w:rPr>
        <w:rFonts w:ascii="Arial" w:hAnsi="Arial" w:hint="default"/>
      </w:rPr>
    </w:lvl>
    <w:lvl w:ilvl="3" w:tplc="50F8CEF4" w:tentative="1">
      <w:start w:val="1"/>
      <w:numFmt w:val="bullet"/>
      <w:lvlText w:val="•"/>
      <w:lvlJc w:val="left"/>
      <w:pPr>
        <w:tabs>
          <w:tab w:val="num" w:pos="2880"/>
        </w:tabs>
        <w:ind w:left="2880" w:hanging="360"/>
      </w:pPr>
      <w:rPr>
        <w:rFonts w:ascii="Arial" w:hAnsi="Arial" w:hint="default"/>
      </w:rPr>
    </w:lvl>
    <w:lvl w:ilvl="4" w:tplc="1CF8B304" w:tentative="1">
      <w:start w:val="1"/>
      <w:numFmt w:val="bullet"/>
      <w:lvlText w:val="•"/>
      <w:lvlJc w:val="left"/>
      <w:pPr>
        <w:tabs>
          <w:tab w:val="num" w:pos="3600"/>
        </w:tabs>
        <w:ind w:left="3600" w:hanging="360"/>
      </w:pPr>
      <w:rPr>
        <w:rFonts w:ascii="Arial" w:hAnsi="Arial" w:hint="default"/>
      </w:rPr>
    </w:lvl>
    <w:lvl w:ilvl="5" w:tplc="47F8621A" w:tentative="1">
      <w:start w:val="1"/>
      <w:numFmt w:val="bullet"/>
      <w:lvlText w:val="•"/>
      <w:lvlJc w:val="left"/>
      <w:pPr>
        <w:tabs>
          <w:tab w:val="num" w:pos="4320"/>
        </w:tabs>
        <w:ind w:left="4320" w:hanging="360"/>
      </w:pPr>
      <w:rPr>
        <w:rFonts w:ascii="Arial" w:hAnsi="Arial" w:hint="default"/>
      </w:rPr>
    </w:lvl>
    <w:lvl w:ilvl="6" w:tplc="1D64FD26" w:tentative="1">
      <w:start w:val="1"/>
      <w:numFmt w:val="bullet"/>
      <w:lvlText w:val="•"/>
      <w:lvlJc w:val="left"/>
      <w:pPr>
        <w:tabs>
          <w:tab w:val="num" w:pos="5040"/>
        </w:tabs>
        <w:ind w:left="5040" w:hanging="360"/>
      </w:pPr>
      <w:rPr>
        <w:rFonts w:ascii="Arial" w:hAnsi="Arial" w:hint="default"/>
      </w:rPr>
    </w:lvl>
    <w:lvl w:ilvl="7" w:tplc="2D522C3A" w:tentative="1">
      <w:start w:val="1"/>
      <w:numFmt w:val="bullet"/>
      <w:lvlText w:val="•"/>
      <w:lvlJc w:val="left"/>
      <w:pPr>
        <w:tabs>
          <w:tab w:val="num" w:pos="5760"/>
        </w:tabs>
        <w:ind w:left="5760" w:hanging="360"/>
      </w:pPr>
      <w:rPr>
        <w:rFonts w:ascii="Arial" w:hAnsi="Arial" w:hint="default"/>
      </w:rPr>
    </w:lvl>
    <w:lvl w:ilvl="8" w:tplc="1818ABA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2142A31"/>
    <w:multiLevelType w:val="multilevel"/>
    <w:tmpl w:val="B950D55A"/>
    <w:lvl w:ilvl="0">
      <w:start w:val="1"/>
      <w:numFmt w:val="upperLetter"/>
      <w:pStyle w:val="Appendix"/>
      <w:suff w:val="nothing"/>
      <w:lvlText w:val="Appendix %1"/>
      <w:lvlJc w:val="left"/>
      <w:pPr>
        <w:ind w:left="0" w:firstLine="0"/>
      </w:pPr>
      <w:rPr>
        <w:rFonts w:hint="default"/>
      </w:rPr>
    </w:lvl>
    <w:lvl w:ilvl="1">
      <w:start w:val="1"/>
      <w:numFmt w:val="decimal"/>
      <w:pStyle w:val="AppendixTableCaption"/>
      <w:suff w:val="nothing"/>
      <w:lvlText w:val="Table %1.%2"/>
      <w:lvlJc w:val="left"/>
      <w:pPr>
        <w:ind w:left="0" w:firstLine="0"/>
      </w:pPr>
      <w:rPr>
        <w:rFonts w:ascii="Calibri" w:hAnsi="Calibri" w:cs="Arial" w:hint="default"/>
        <w:b/>
        <w:i w:val="0"/>
        <w:color w:val="002776"/>
        <w:sz w:val="22"/>
      </w:rPr>
    </w:lvl>
    <w:lvl w:ilvl="2">
      <w:start w:val="1"/>
      <w:numFmt w:val="decimal"/>
      <w:lvlRestart w:val="1"/>
      <w:pStyle w:val="AppendixChartCaption"/>
      <w:suff w:val="nothing"/>
      <w:lvlText w:val="Chart %1.%3"/>
      <w:lvlJc w:val="left"/>
      <w:pPr>
        <w:ind w:left="0" w:firstLine="0"/>
      </w:pPr>
      <w:rPr>
        <w:rFonts w:ascii="Calibri" w:hAnsi="Calibri" w:cs="Arial" w:hint="default"/>
        <w:b/>
        <w:i w:val="0"/>
        <w:color w:val="002776"/>
        <w:sz w:val="22"/>
        <w:szCs w:val="24"/>
      </w:rPr>
    </w:lvl>
    <w:lvl w:ilvl="3">
      <w:start w:val="1"/>
      <w:numFmt w:val="decimal"/>
      <w:lvlRestart w:val="1"/>
      <w:pStyle w:val="AppendixFigureCaption"/>
      <w:suff w:val="nothing"/>
      <w:lvlText w:val="Figure %1.%4"/>
      <w:lvlJc w:val="left"/>
      <w:pPr>
        <w:ind w:left="0" w:firstLine="0"/>
      </w:pPr>
      <w:rPr>
        <w:rFonts w:ascii="Calibri" w:hAnsi="Calibri" w:cs="Arial" w:hint="default"/>
        <w:b/>
        <w:i w:val="0"/>
        <w:color w:val="002776"/>
        <w:sz w:val="22"/>
        <w:szCs w:val="24"/>
      </w:rPr>
    </w:lvl>
    <w:lvl w:ilvl="4">
      <w:start w:val="1"/>
      <w:numFmt w:val="decimal"/>
      <w:lvlText w:val="%1.%2.%3.%4.%5"/>
      <w:lvlJc w:val="left"/>
      <w:pPr>
        <w:tabs>
          <w:tab w:val="num" w:pos="1134"/>
        </w:tabs>
        <w:ind w:left="1134" w:hanging="1134"/>
      </w:pPr>
      <w:rPr>
        <w:rFonts w:ascii="Arial" w:hAnsi="Arial" w:cs="Arial" w:hint="default"/>
        <w:b w:val="0"/>
        <w:i w:val="0"/>
        <w:color w:val="931638"/>
        <w:sz w:val="20"/>
      </w:rPr>
    </w:lvl>
    <w:lvl w:ilvl="5">
      <w:start w:val="1"/>
      <w:numFmt w:val="decimal"/>
      <w:lvlText w:val="%1.%2.%3.%4.%5.%6"/>
      <w:lvlJc w:val="left"/>
      <w:pPr>
        <w:tabs>
          <w:tab w:val="num" w:pos="1701"/>
        </w:tabs>
        <w:ind w:left="1701" w:hanging="1701"/>
      </w:pPr>
      <w:rPr>
        <w:rFonts w:ascii="Arial" w:hAnsi="Arial" w:cs="Arial" w:hint="default"/>
        <w:b w:val="0"/>
        <w:i w:val="0"/>
        <w:color w:val="931638"/>
        <w:sz w:val="20"/>
      </w:rPr>
    </w:lvl>
    <w:lvl w:ilvl="6">
      <w:start w:val="1"/>
      <w:numFmt w:val="decimal"/>
      <w:lvlText w:val="%1.%2.%3.%4.%5.%6.%7"/>
      <w:lvlJc w:val="left"/>
      <w:pPr>
        <w:tabs>
          <w:tab w:val="num" w:pos="1701"/>
        </w:tabs>
        <w:ind w:left="1701" w:hanging="1701"/>
      </w:pPr>
      <w:rPr>
        <w:rFonts w:ascii="Arial" w:hAnsi="Arial" w:cs="Arial" w:hint="default"/>
        <w:b w:val="0"/>
        <w:i w:val="0"/>
        <w:color w:val="931638"/>
        <w:sz w:val="20"/>
      </w:rPr>
    </w:lvl>
    <w:lvl w:ilvl="7">
      <w:start w:val="1"/>
      <w:numFmt w:val="decimal"/>
      <w:lvlText w:val="%1.%2.%3.%4.%5.%6.%7.%8"/>
      <w:lvlJc w:val="left"/>
      <w:pPr>
        <w:tabs>
          <w:tab w:val="num" w:pos="1701"/>
        </w:tabs>
        <w:ind w:left="1701" w:hanging="1701"/>
      </w:pPr>
      <w:rPr>
        <w:rFonts w:ascii="Arial" w:hAnsi="Arial" w:cs="Arial" w:hint="default"/>
        <w:b w:val="0"/>
        <w:i w:val="0"/>
        <w:color w:val="931638"/>
        <w:sz w:val="20"/>
      </w:rPr>
    </w:lvl>
    <w:lvl w:ilvl="8">
      <w:start w:val="1"/>
      <w:numFmt w:val="decimal"/>
      <w:lvlText w:val="%1.%2.%3.%4.%5.%6.%7.%8.%9"/>
      <w:lvlJc w:val="left"/>
      <w:pPr>
        <w:tabs>
          <w:tab w:val="num" w:pos="1701"/>
        </w:tabs>
        <w:ind w:left="1701" w:hanging="1701"/>
      </w:pPr>
      <w:rPr>
        <w:rFonts w:ascii="Arial" w:hAnsi="Arial" w:cs="Arial" w:hint="default"/>
        <w:b w:val="0"/>
        <w:i w:val="0"/>
        <w:color w:val="931638"/>
        <w:sz w:val="20"/>
      </w:rPr>
    </w:lvl>
  </w:abstractNum>
  <w:abstractNum w:abstractNumId="19" w15:restartNumberingAfterBreak="0">
    <w:nsid w:val="4393200F"/>
    <w:multiLevelType w:val="singleLevel"/>
    <w:tmpl w:val="4614C302"/>
    <w:lvl w:ilvl="0">
      <w:start w:val="1"/>
      <w:numFmt w:val="lowerLetter"/>
      <w:pStyle w:val="IndentAlphabeticList"/>
      <w:lvlText w:val="%1"/>
      <w:lvlJc w:val="left"/>
      <w:pPr>
        <w:ind w:left="927" w:hanging="360"/>
      </w:pPr>
      <w:rPr>
        <w:rFonts w:ascii="Calibri" w:hAnsi="Calibri" w:cs="Arial" w:hint="default"/>
        <w:b w:val="0"/>
        <w:i w:val="0"/>
        <w:color w:val="000000"/>
        <w:sz w:val="24"/>
        <w:szCs w:val="22"/>
      </w:rPr>
    </w:lvl>
  </w:abstractNum>
  <w:abstractNum w:abstractNumId="20" w15:restartNumberingAfterBreak="0">
    <w:nsid w:val="4CA04DDB"/>
    <w:multiLevelType w:val="multilevel"/>
    <w:tmpl w:val="0409001D"/>
    <w:name w:val="IndentDash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DCE2E8E"/>
    <w:multiLevelType w:val="multilevel"/>
    <w:tmpl w:val="3D485516"/>
    <w:name w:val="BulletList"/>
    <w:lvl w:ilvl="0">
      <w:numFmt w:val="none"/>
      <w:lvlText w:val=""/>
      <w:lvlJc w:val="left"/>
      <w:pPr>
        <w:tabs>
          <w:tab w:val="num" w:pos="360"/>
        </w:tabs>
      </w:pPr>
    </w:lvl>
    <w:lvl w:ilvl="1">
      <w:start w:val="1"/>
      <w:numFmt w:val="bullet"/>
      <w:lvlRestart w:val="0"/>
      <w:pStyle w:val="DashList"/>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80E5F4F"/>
    <w:multiLevelType w:val="hybridMultilevel"/>
    <w:tmpl w:val="D1CAD3A8"/>
    <w:lvl w:ilvl="0" w:tplc="60F03CF4">
      <w:start w:val="1"/>
      <w:numFmt w:val="bullet"/>
      <w:lvlText w:val=""/>
      <w:lvlJc w:val="left"/>
      <w:pPr>
        <w:ind w:left="720" w:hanging="360"/>
      </w:pPr>
      <w:rPr>
        <w:rFonts w:ascii="Symbol" w:eastAsia="Arial"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8E3346A"/>
    <w:multiLevelType w:val="hybridMultilevel"/>
    <w:tmpl w:val="2702DA1E"/>
    <w:lvl w:ilvl="0" w:tplc="49FEF8E6">
      <w:start w:val="1"/>
      <w:numFmt w:val="bullet"/>
      <w:lvlText w:val="•"/>
      <w:lvlJc w:val="left"/>
      <w:pPr>
        <w:tabs>
          <w:tab w:val="num" w:pos="720"/>
        </w:tabs>
        <w:ind w:left="720" w:hanging="360"/>
      </w:pPr>
      <w:rPr>
        <w:rFonts w:ascii="Arial" w:hAnsi="Arial" w:hint="default"/>
      </w:rPr>
    </w:lvl>
    <w:lvl w:ilvl="1" w:tplc="38E8AA42" w:tentative="1">
      <w:start w:val="1"/>
      <w:numFmt w:val="bullet"/>
      <w:lvlText w:val="•"/>
      <w:lvlJc w:val="left"/>
      <w:pPr>
        <w:tabs>
          <w:tab w:val="num" w:pos="1440"/>
        </w:tabs>
        <w:ind w:left="1440" w:hanging="360"/>
      </w:pPr>
      <w:rPr>
        <w:rFonts w:ascii="Arial" w:hAnsi="Arial" w:hint="default"/>
      </w:rPr>
    </w:lvl>
    <w:lvl w:ilvl="2" w:tplc="1F72A984" w:tentative="1">
      <w:start w:val="1"/>
      <w:numFmt w:val="bullet"/>
      <w:lvlText w:val="•"/>
      <w:lvlJc w:val="left"/>
      <w:pPr>
        <w:tabs>
          <w:tab w:val="num" w:pos="2160"/>
        </w:tabs>
        <w:ind w:left="2160" w:hanging="360"/>
      </w:pPr>
      <w:rPr>
        <w:rFonts w:ascii="Arial" w:hAnsi="Arial" w:hint="default"/>
      </w:rPr>
    </w:lvl>
    <w:lvl w:ilvl="3" w:tplc="DF8A6F38" w:tentative="1">
      <w:start w:val="1"/>
      <w:numFmt w:val="bullet"/>
      <w:lvlText w:val="•"/>
      <w:lvlJc w:val="left"/>
      <w:pPr>
        <w:tabs>
          <w:tab w:val="num" w:pos="2880"/>
        </w:tabs>
        <w:ind w:left="2880" w:hanging="360"/>
      </w:pPr>
      <w:rPr>
        <w:rFonts w:ascii="Arial" w:hAnsi="Arial" w:hint="default"/>
      </w:rPr>
    </w:lvl>
    <w:lvl w:ilvl="4" w:tplc="47283312" w:tentative="1">
      <w:start w:val="1"/>
      <w:numFmt w:val="bullet"/>
      <w:lvlText w:val="•"/>
      <w:lvlJc w:val="left"/>
      <w:pPr>
        <w:tabs>
          <w:tab w:val="num" w:pos="3600"/>
        </w:tabs>
        <w:ind w:left="3600" w:hanging="360"/>
      </w:pPr>
      <w:rPr>
        <w:rFonts w:ascii="Arial" w:hAnsi="Arial" w:hint="default"/>
      </w:rPr>
    </w:lvl>
    <w:lvl w:ilvl="5" w:tplc="C422FFCC" w:tentative="1">
      <w:start w:val="1"/>
      <w:numFmt w:val="bullet"/>
      <w:lvlText w:val="•"/>
      <w:lvlJc w:val="left"/>
      <w:pPr>
        <w:tabs>
          <w:tab w:val="num" w:pos="4320"/>
        </w:tabs>
        <w:ind w:left="4320" w:hanging="360"/>
      </w:pPr>
      <w:rPr>
        <w:rFonts w:ascii="Arial" w:hAnsi="Arial" w:hint="default"/>
      </w:rPr>
    </w:lvl>
    <w:lvl w:ilvl="6" w:tplc="C3B809A8" w:tentative="1">
      <w:start w:val="1"/>
      <w:numFmt w:val="bullet"/>
      <w:lvlText w:val="•"/>
      <w:lvlJc w:val="left"/>
      <w:pPr>
        <w:tabs>
          <w:tab w:val="num" w:pos="5040"/>
        </w:tabs>
        <w:ind w:left="5040" w:hanging="360"/>
      </w:pPr>
      <w:rPr>
        <w:rFonts w:ascii="Arial" w:hAnsi="Arial" w:hint="default"/>
      </w:rPr>
    </w:lvl>
    <w:lvl w:ilvl="7" w:tplc="B6428CA6" w:tentative="1">
      <w:start w:val="1"/>
      <w:numFmt w:val="bullet"/>
      <w:lvlText w:val="•"/>
      <w:lvlJc w:val="left"/>
      <w:pPr>
        <w:tabs>
          <w:tab w:val="num" w:pos="5760"/>
        </w:tabs>
        <w:ind w:left="5760" w:hanging="360"/>
      </w:pPr>
      <w:rPr>
        <w:rFonts w:ascii="Arial" w:hAnsi="Arial" w:hint="default"/>
      </w:rPr>
    </w:lvl>
    <w:lvl w:ilvl="8" w:tplc="3E083CA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91240D4"/>
    <w:multiLevelType w:val="hybridMultilevel"/>
    <w:tmpl w:val="0EC02708"/>
    <w:lvl w:ilvl="0" w:tplc="2FB464EC">
      <w:numFmt w:val="bullet"/>
      <w:lvlText w:val=""/>
      <w:lvlJc w:val="left"/>
      <w:pPr>
        <w:ind w:left="720" w:hanging="360"/>
      </w:pPr>
      <w:rPr>
        <w:rFonts w:ascii="Symbol" w:eastAsia="Arial"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A693A46"/>
    <w:multiLevelType w:val="singleLevel"/>
    <w:tmpl w:val="8E3AB198"/>
    <w:name w:val="NumberedList"/>
    <w:lvl w:ilvl="0">
      <w:start w:val="1"/>
      <w:numFmt w:val="lowerLetter"/>
      <w:lvlRestart w:val="0"/>
      <w:lvlText w:val="%1"/>
      <w:lvlJc w:val="left"/>
      <w:pPr>
        <w:tabs>
          <w:tab w:val="num" w:pos="1134"/>
        </w:tabs>
        <w:ind w:left="1134" w:hanging="567"/>
      </w:pPr>
      <w:rPr>
        <w:rFonts w:ascii="Arial" w:hAnsi="Arial" w:cs="Arial" w:hint="default"/>
        <w:b w:val="0"/>
        <w:i w:val="0"/>
        <w:color w:val="000000"/>
        <w:sz w:val="24"/>
        <w:szCs w:val="22"/>
      </w:rPr>
    </w:lvl>
  </w:abstractNum>
  <w:abstractNum w:abstractNumId="26" w15:restartNumberingAfterBreak="0">
    <w:nsid w:val="5BB86D4F"/>
    <w:multiLevelType w:val="hybridMultilevel"/>
    <w:tmpl w:val="98E89F60"/>
    <w:lvl w:ilvl="0" w:tplc="2892F572">
      <w:start w:val="1"/>
      <w:numFmt w:val="bullet"/>
      <w:pStyle w:val="Bullet2"/>
      <w:lvlText w:val="•"/>
      <w:lvlJc w:val="left"/>
      <w:pPr>
        <w:ind w:left="1287" w:hanging="360"/>
      </w:pPr>
      <w:rPr>
        <w:rFonts w:ascii="Calibri" w:hAnsi="Calibri" w:hint="default"/>
        <w:color w:val="72C7E7"/>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5BEA6677"/>
    <w:multiLevelType w:val="hybridMultilevel"/>
    <w:tmpl w:val="42C01E0C"/>
    <w:name w:val="IndentAlphabeticList"/>
    <w:lvl w:ilvl="0" w:tplc="130C176A">
      <w:start w:val="1"/>
      <w:numFmt w:val="bullet"/>
      <w:lvlText w:val=""/>
      <w:lvlJc w:val="left"/>
      <w:pPr>
        <w:ind w:left="720" w:hanging="360"/>
      </w:pPr>
      <w:rPr>
        <w:rFonts w:ascii="Symbol" w:hAnsi="Symbol" w:hint="default"/>
      </w:rPr>
    </w:lvl>
    <w:lvl w:ilvl="1" w:tplc="9AEE3FCA" w:tentative="1">
      <w:start w:val="1"/>
      <w:numFmt w:val="bullet"/>
      <w:lvlText w:val="o"/>
      <w:lvlJc w:val="left"/>
      <w:pPr>
        <w:ind w:left="1440" w:hanging="360"/>
      </w:pPr>
      <w:rPr>
        <w:rFonts w:ascii="Courier New" w:hAnsi="Courier New" w:cs="Courier New" w:hint="default"/>
      </w:rPr>
    </w:lvl>
    <w:lvl w:ilvl="2" w:tplc="9F68C952" w:tentative="1">
      <w:start w:val="1"/>
      <w:numFmt w:val="bullet"/>
      <w:lvlText w:val=""/>
      <w:lvlJc w:val="left"/>
      <w:pPr>
        <w:ind w:left="2160" w:hanging="360"/>
      </w:pPr>
      <w:rPr>
        <w:rFonts w:ascii="Wingdings" w:hAnsi="Wingdings" w:hint="default"/>
      </w:rPr>
    </w:lvl>
    <w:lvl w:ilvl="3" w:tplc="03A2D29A" w:tentative="1">
      <w:start w:val="1"/>
      <w:numFmt w:val="bullet"/>
      <w:lvlText w:val=""/>
      <w:lvlJc w:val="left"/>
      <w:pPr>
        <w:ind w:left="2880" w:hanging="360"/>
      </w:pPr>
      <w:rPr>
        <w:rFonts w:ascii="Symbol" w:hAnsi="Symbol" w:hint="default"/>
      </w:rPr>
    </w:lvl>
    <w:lvl w:ilvl="4" w:tplc="079E955C" w:tentative="1">
      <w:start w:val="1"/>
      <w:numFmt w:val="bullet"/>
      <w:lvlText w:val="o"/>
      <w:lvlJc w:val="left"/>
      <w:pPr>
        <w:ind w:left="3600" w:hanging="360"/>
      </w:pPr>
      <w:rPr>
        <w:rFonts w:ascii="Courier New" w:hAnsi="Courier New" w:cs="Courier New" w:hint="default"/>
      </w:rPr>
    </w:lvl>
    <w:lvl w:ilvl="5" w:tplc="717070D0" w:tentative="1">
      <w:start w:val="1"/>
      <w:numFmt w:val="bullet"/>
      <w:lvlText w:val=""/>
      <w:lvlJc w:val="left"/>
      <w:pPr>
        <w:ind w:left="4320" w:hanging="360"/>
      </w:pPr>
      <w:rPr>
        <w:rFonts w:ascii="Wingdings" w:hAnsi="Wingdings" w:hint="default"/>
      </w:rPr>
    </w:lvl>
    <w:lvl w:ilvl="6" w:tplc="5B10D098" w:tentative="1">
      <w:start w:val="1"/>
      <w:numFmt w:val="bullet"/>
      <w:lvlText w:val=""/>
      <w:lvlJc w:val="left"/>
      <w:pPr>
        <w:ind w:left="5040" w:hanging="360"/>
      </w:pPr>
      <w:rPr>
        <w:rFonts w:ascii="Symbol" w:hAnsi="Symbol" w:hint="default"/>
      </w:rPr>
    </w:lvl>
    <w:lvl w:ilvl="7" w:tplc="0366C4A8" w:tentative="1">
      <w:start w:val="1"/>
      <w:numFmt w:val="bullet"/>
      <w:lvlText w:val="o"/>
      <w:lvlJc w:val="left"/>
      <w:pPr>
        <w:ind w:left="5760" w:hanging="360"/>
      </w:pPr>
      <w:rPr>
        <w:rFonts w:ascii="Courier New" w:hAnsi="Courier New" w:cs="Courier New" w:hint="default"/>
      </w:rPr>
    </w:lvl>
    <w:lvl w:ilvl="8" w:tplc="ED520634" w:tentative="1">
      <w:start w:val="1"/>
      <w:numFmt w:val="bullet"/>
      <w:lvlText w:val=""/>
      <w:lvlJc w:val="left"/>
      <w:pPr>
        <w:ind w:left="6480" w:hanging="360"/>
      </w:pPr>
      <w:rPr>
        <w:rFonts w:ascii="Wingdings" w:hAnsi="Wingdings" w:hint="default"/>
      </w:rPr>
    </w:lvl>
  </w:abstractNum>
  <w:abstractNum w:abstractNumId="28" w15:restartNumberingAfterBreak="0">
    <w:nsid w:val="601A2164"/>
    <w:multiLevelType w:val="singleLevel"/>
    <w:tmpl w:val="28CC76BA"/>
    <w:lvl w:ilvl="0">
      <w:start w:val="1"/>
      <w:numFmt w:val="upperLetter"/>
      <w:pStyle w:val="AlphabeticList"/>
      <w:lvlText w:val="%1"/>
      <w:lvlJc w:val="left"/>
      <w:pPr>
        <w:ind w:left="567" w:hanging="567"/>
      </w:pPr>
      <w:rPr>
        <w:rFonts w:ascii="Calibri" w:hAnsi="Calibri" w:cs="Arial" w:hint="default"/>
      </w:rPr>
    </w:lvl>
  </w:abstractNum>
  <w:abstractNum w:abstractNumId="29" w15:restartNumberingAfterBreak="0">
    <w:nsid w:val="6C2815A0"/>
    <w:multiLevelType w:val="multilevel"/>
    <w:tmpl w:val="2240431E"/>
    <w:name w:val="Alphabetic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1452641"/>
    <w:multiLevelType w:val="multilevel"/>
    <w:tmpl w:val="ACDE66B8"/>
    <w:lvl w:ilvl="0">
      <w:start w:val="1"/>
      <w:numFmt w:val="decimal"/>
      <w:pStyle w:val="NumberedList"/>
      <w:lvlText w:val="%1."/>
      <w:lvlJc w:val="left"/>
      <w:pPr>
        <w:ind w:left="1134" w:hanging="567"/>
      </w:pPr>
      <w:rPr>
        <w:rFonts w:hint="default"/>
      </w:rPr>
    </w:lvl>
    <w:lvl w:ilvl="1">
      <w:start w:val="1"/>
      <w:numFmt w:val="lowerLetter"/>
      <w:lvlText w:val="%2."/>
      <w:lvlJc w:val="left"/>
      <w:pPr>
        <w:ind w:left="1737" w:hanging="360"/>
      </w:pPr>
      <w:rPr>
        <w:rFonts w:hint="default"/>
      </w:rPr>
    </w:lvl>
    <w:lvl w:ilvl="2">
      <w:start w:val="1"/>
      <w:numFmt w:val="lowerRoman"/>
      <w:lvlText w:val="%3."/>
      <w:lvlJc w:val="right"/>
      <w:pPr>
        <w:ind w:left="2457" w:hanging="180"/>
      </w:pPr>
      <w:rPr>
        <w:rFonts w:hint="default"/>
      </w:rPr>
    </w:lvl>
    <w:lvl w:ilvl="3">
      <w:start w:val="1"/>
      <w:numFmt w:val="decimal"/>
      <w:lvlText w:val="%4."/>
      <w:lvlJc w:val="left"/>
      <w:pPr>
        <w:ind w:left="3177" w:hanging="360"/>
      </w:pPr>
      <w:rPr>
        <w:rFonts w:hint="default"/>
      </w:rPr>
    </w:lvl>
    <w:lvl w:ilvl="4">
      <w:start w:val="1"/>
      <w:numFmt w:val="lowerLetter"/>
      <w:lvlText w:val="%5."/>
      <w:lvlJc w:val="left"/>
      <w:pPr>
        <w:ind w:left="3897" w:hanging="360"/>
      </w:pPr>
      <w:rPr>
        <w:rFonts w:hint="default"/>
      </w:rPr>
    </w:lvl>
    <w:lvl w:ilvl="5">
      <w:start w:val="1"/>
      <w:numFmt w:val="lowerRoman"/>
      <w:lvlText w:val="%6."/>
      <w:lvlJc w:val="right"/>
      <w:pPr>
        <w:ind w:left="4617" w:hanging="180"/>
      </w:pPr>
      <w:rPr>
        <w:rFonts w:hint="default"/>
      </w:rPr>
    </w:lvl>
    <w:lvl w:ilvl="6">
      <w:start w:val="1"/>
      <w:numFmt w:val="decimal"/>
      <w:lvlText w:val="%7."/>
      <w:lvlJc w:val="left"/>
      <w:pPr>
        <w:ind w:left="5337" w:hanging="360"/>
      </w:pPr>
      <w:rPr>
        <w:rFonts w:hint="default"/>
      </w:rPr>
    </w:lvl>
    <w:lvl w:ilvl="7">
      <w:start w:val="1"/>
      <w:numFmt w:val="lowerLetter"/>
      <w:lvlText w:val="%8."/>
      <w:lvlJc w:val="left"/>
      <w:pPr>
        <w:ind w:left="6057" w:hanging="360"/>
      </w:pPr>
      <w:rPr>
        <w:rFonts w:hint="default"/>
      </w:rPr>
    </w:lvl>
    <w:lvl w:ilvl="8">
      <w:start w:val="1"/>
      <w:numFmt w:val="lowerRoman"/>
      <w:lvlText w:val="%9."/>
      <w:lvlJc w:val="right"/>
      <w:pPr>
        <w:ind w:left="6777" w:hanging="180"/>
      </w:pPr>
      <w:rPr>
        <w:rFonts w:hint="default"/>
      </w:rPr>
    </w:lvl>
  </w:abstractNum>
  <w:abstractNum w:abstractNumId="31" w15:restartNumberingAfterBreak="0">
    <w:nsid w:val="74D31029"/>
    <w:multiLevelType w:val="multilevel"/>
    <w:tmpl w:val="B080CDA2"/>
    <w:lvl w:ilvl="0">
      <w:start w:val="1"/>
      <w:numFmt w:val="bullet"/>
      <w:pStyle w:val="Bullet1"/>
      <w:lvlText w:val=""/>
      <w:lvlJc w:val="left"/>
      <w:pPr>
        <w:ind w:left="360" w:hanging="360"/>
      </w:pPr>
      <w:rPr>
        <w:rFonts w:ascii="Symbol" w:hAnsi="Symbol" w:hint="default"/>
        <w:color w:val="002776"/>
        <w:sz w:val="22"/>
      </w:r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bullet"/>
      <w:lvlText w:val="-"/>
      <w:lvlJc w:val="left"/>
      <w:pPr>
        <w:tabs>
          <w:tab w:val="num" w:pos="1701"/>
        </w:tabs>
        <w:ind w:left="1701" w:hanging="567"/>
      </w:pPr>
      <w:rPr>
        <w:rFonts w:ascii="Arial" w:hAnsi="Arial" w:hint="default"/>
        <w:color w:val="93163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75728CF"/>
    <w:multiLevelType w:val="hybridMultilevel"/>
    <w:tmpl w:val="9F1807C8"/>
    <w:lvl w:ilvl="0" w:tplc="1ED06BF4">
      <w:start w:val="1"/>
      <w:numFmt w:val="bullet"/>
      <w:pStyle w:val="DBullet"/>
      <w:lvlText w:val=""/>
      <w:lvlJc w:val="left"/>
      <w:pPr>
        <w:tabs>
          <w:tab w:val="num" w:pos="357"/>
        </w:tabs>
        <w:ind w:left="357" w:hanging="357"/>
      </w:pPr>
      <w:rPr>
        <w:rFonts w:ascii="Symbol" w:hAnsi="Symbol" w:hint="default"/>
      </w:rPr>
    </w:lvl>
    <w:lvl w:ilvl="1" w:tplc="D940FEDA" w:tentative="1">
      <w:start w:val="1"/>
      <w:numFmt w:val="bullet"/>
      <w:lvlText w:val="o"/>
      <w:lvlJc w:val="left"/>
      <w:pPr>
        <w:tabs>
          <w:tab w:val="num" w:pos="1090"/>
        </w:tabs>
        <w:ind w:left="1090" w:hanging="360"/>
      </w:pPr>
      <w:rPr>
        <w:rFonts w:ascii="Courier New" w:hAnsi="Courier New" w:cs="Courier New" w:hint="default"/>
      </w:rPr>
    </w:lvl>
    <w:lvl w:ilvl="2" w:tplc="A7665F9E" w:tentative="1">
      <w:start w:val="1"/>
      <w:numFmt w:val="bullet"/>
      <w:lvlText w:val=""/>
      <w:lvlJc w:val="left"/>
      <w:pPr>
        <w:tabs>
          <w:tab w:val="num" w:pos="1810"/>
        </w:tabs>
        <w:ind w:left="1810" w:hanging="360"/>
      </w:pPr>
      <w:rPr>
        <w:rFonts w:ascii="Wingdings" w:hAnsi="Wingdings" w:hint="default"/>
      </w:rPr>
    </w:lvl>
    <w:lvl w:ilvl="3" w:tplc="8E06246A" w:tentative="1">
      <w:start w:val="1"/>
      <w:numFmt w:val="bullet"/>
      <w:lvlText w:val=""/>
      <w:lvlJc w:val="left"/>
      <w:pPr>
        <w:tabs>
          <w:tab w:val="num" w:pos="2530"/>
        </w:tabs>
        <w:ind w:left="2530" w:hanging="360"/>
      </w:pPr>
      <w:rPr>
        <w:rFonts w:ascii="Symbol" w:hAnsi="Symbol" w:hint="default"/>
      </w:rPr>
    </w:lvl>
    <w:lvl w:ilvl="4" w:tplc="5B68272E" w:tentative="1">
      <w:start w:val="1"/>
      <w:numFmt w:val="bullet"/>
      <w:lvlText w:val="o"/>
      <w:lvlJc w:val="left"/>
      <w:pPr>
        <w:tabs>
          <w:tab w:val="num" w:pos="3250"/>
        </w:tabs>
        <w:ind w:left="3250" w:hanging="360"/>
      </w:pPr>
      <w:rPr>
        <w:rFonts w:ascii="Courier New" w:hAnsi="Courier New" w:cs="Courier New" w:hint="default"/>
      </w:rPr>
    </w:lvl>
    <w:lvl w:ilvl="5" w:tplc="5D8EA73A" w:tentative="1">
      <w:start w:val="1"/>
      <w:numFmt w:val="bullet"/>
      <w:lvlText w:val=""/>
      <w:lvlJc w:val="left"/>
      <w:pPr>
        <w:tabs>
          <w:tab w:val="num" w:pos="3970"/>
        </w:tabs>
        <w:ind w:left="3970" w:hanging="360"/>
      </w:pPr>
      <w:rPr>
        <w:rFonts w:ascii="Wingdings" w:hAnsi="Wingdings" w:hint="default"/>
      </w:rPr>
    </w:lvl>
    <w:lvl w:ilvl="6" w:tplc="E022338C" w:tentative="1">
      <w:start w:val="1"/>
      <w:numFmt w:val="bullet"/>
      <w:lvlText w:val=""/>
      <w:lvlJc w:val="left"/>
      <w:pPr>
        <w:tabs>
          <w:tab w:val="num" w:pos="4690"/>
        </w:tabs>
        <w:ind w:left="4690" w:hanging="360"/>
      </w:pPr>
      <w:rPr>
        <w:rFonts w:ascii="Symbol" w:hAnsi="Symbol" w:hint="default"/>
      </w:rPr>
    </w:lvl>
    <w:lvl w:ilvl="7" w:tplc="E11EDBF2" w:tentative="1">
      <w:start w:val="1"/>
      <w:numFmt w:val="bullet"/>
      <w:lvlText w:val="o"/>
      <w:lvlJc w:val="left"/>
      <w:pPr>
        <w:tabs>
          <w:tab w:val="num" w:pos="5410"/>
        </w:tabs>
        <w:ind w:left="5410" w:hanging="360"/>
      </w:pPr>
      <w:rPr>
        <w:rFonts w:ascii="Courier New" w:hAnsi="Courier New" w:cs="Courier New" w:hint="default"/>
      </w:rPr>
    </w:lvl>
    <w:lvl w:ilvl="8" w:tplc="50D689AE" w:tentative="1">
      <w:start w:val="1"/>
      <w:numFmt w:val="bullet"/>
      <w:lvlText w:val=""/>
      <w:lvlJc w:val="left"/>
      <w:pPr>
        <w:tabs>
          <w:tab w:val="num" w:pos="6130"/>
        </w:tabs>
        <w:ind w:left="6130" w:hanging="360"/>
      </w:pPr>
      <w:rPr>
        <w:rFonts w:ascii="Wingdings" w:hAnsi="Wingdings" w:hint="default"/>
      </w:rPr>
    </w:lvl>
  </w:abstractNum>
  <w:num w:numId="1">
    <w:abstractNumId w:val="21"/>
  </w:num>
  <w:num w:numId="2">
    <w:abstractNumId w:val="28"/>
  </w:num>
  <w:num w:numId="3">
    <w:abstractNumId w:val="19"/>
  </w:num>
  <w:num w:numId="4">
    <w:abstractNumId w:val="7"/>
  </w:num>
  <w:num w:numId="5">
    <w:abstractNumId w:val="31"/>
  </w:num>
  <w:num w:numId="6">
    <w:abstractNumId w:val="26"/>
  </w:num>
  <w:num w:numId="7">
    <w:abstractNumId w:val="3"/>
  </w:num>
  <w:num w:numId="8">
    <w:abstractNumId w:val="12"/>
  </w:num>
  <w:num w:numId="9">
    <w:abstractNumId w:val="9"/>
  </w:num>
  <w:num w:numId="10">
    <w:abstractNumId w:val="2"/>
  </w:num>
  <w:num w:numId="11">
    <w:abstractNumId w:val="1"/>
  </w:num>
  <w:num w:numId="12">
    <w:abstractNumId w:val="18"/>
  </w:num>
  <w:num w:numId="13">
    <w:abstractNumId w:val="32"/>
  </w:num>
  <w:num w:numId="14">
    <w:abstractNumId w:val="12"/>
  </w:num>
  <w:num w:numId="15">
    <w:abstractNumId w:val="30"/>
  </w:num>
  <w:num w:numId="16">
    <w:abstractNumId w:val="12"/>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3"/>
  </w:num>
  <w:num w:numId="22">
    <w:abstractNumId w:val="13"/>
  </w:num>
  <w:num w:numId="23">
    <w:abstractNumId w:val="8"/>
  </w:num>
  <w:num w:numId="24">
    <w:abstractNumId w:val="5"/>
  </w:num>
  <w:num w:numId="25">
    <w:abstractNumId w:val="17"/>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22"/>
  </w:num>
  <w:num w:numId="38">
    <w:abstractNumId w:val="6"/>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TrueTypeFonts/>
  <w:saveSubsetFonts/>
  <w:hideSpellingErrors/>
  <w:hideGrammaticalErrors/>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851"/>
  <w:drawingGridHorizontalSpacing w:val="11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7d5be4bb-d98c-497c-a3f3-373ebc9ab5a1"/>
  </w:docVars>
  <w:rsids>
    <w:rsidRoot w:val="00C374F4"/>
    <w:rsid w:val="000001AB"/>
    <w:rsid w:val="000002DC"/>
    <w:rsid w:val="00001FEA"/>
    <w:rsid w:val="000024C3"/>
    <w:rsid w:val="0000305E"/>
    <w:rsid w:val="00003CCA"/>
    <w:rsid w:val="00004BA1"/>
    <w:rsid w:val="000058CD"/>
    <w:rsid w:val="00006690"/>
    <w:rsid w:val="000066F0"/>
    <w:rsid w:val="00006A9F"/>
    <w:rsid w:val="000074BA"/>
    <w:rsid w:val="00010019"/>
    <w:rsid w:val="00010661"/>
    <w:rsid w:val="00010875"/>
    <w:rsid w:val="00010C36"/>
    <w:rsid w:val="00010E7D"/>
    <w:rsid w:val="0001118F"/>
    <w:rsid w:val="0001128F"/>
    <w:rsid w:val="000115C6"/>
    <w:rsid w:val="00011D2A"/>
    <w:rsid w:val="00012C21"/>
    <w:rsid w:val="00012C70"/>
    <w:rsid w:val="00012D1B"/>
    <w:rsid w:val="00012EC9"/>
    <w:rsid w:val="00014351"/>
    <w:rsid w:val="000143D9"/>
    <w:rsid w:val="0001451A"/>
    <w:rsid w:val="0001458D"/>
    <w:rsid w:val="00014B2C"/>
    <w:rsid w:val="0001580E"/>
    <w:rsid w:val="000167FF"/>
    <w:rsid w:val="000171FE"/>
    <w:rsid w:val="000175EC"/>
    <w:rsid w:val="000179BD"/>
    <w:rsid w:val="000206DB"/>
    <w:rsid w:val="00020ABB"/>
    <w:rsid w:val="00020CCD"/>
    <w:rsid w:val="000216EF"/>
    <w:rsid w:val="0002225C"/>
    <w:rsid w:val="00022C61"/>
    <w:rsid w:val="00022EA7"/>
    <w:rsid w:val="0002306E"/>
    <w:rsid w:val="000232A6"/>
    <w:rsid w:val="00023C9E"/>
    <w:rsid w:val="0002410F"/>
    <w:rsid w:val="00024338"/>
    <w:rsid w:val="00024784"/>
    <w:rsid w:val="00024D74"/>
    <w:rsid w:val="000259B6"/>
    <w:rsid w:val="000259C8"/>
    <w:rsid w:val="00025B68"/>
    <w:rsid w:val="00025E20"/>
    <w:rsid w:val="000263B6"/>
    <w:rsid w:val="000264E7"/>
    <w:rsid w:val="00026595"/>
    <w:rsid w:val="00026AC5"/>
    <w:rsid w:val="00027A98"/>
    <w:rsid w:val="00027CE4"/>
    <w:rsid w:val="00027F2A"/>
    <w:rsid w:val="00030332"/>
    <w:rsid w:val="0003053E"/>
    <w:rsid w:val="00030ECC"/>
    <w:rsid w:val="00031072"/>
    <w:rsid w:val="00031E68"/>
    <w:rsid w:val="0003212B"/>
    <w:rsid w:val="00032AF2"/>
    <w:rsid w:val="00032BCA"/>
    <w:rsid w:val="00032E26"/>
    <w:rsid w:val="00032E33"/>
    <w:rsid w:val="00033312"/>
    <w:rsid w:val="00033340"/>
    <w:rsid w:val="0003384F"/>
    <w:rsid w:val="00033FAC"/>
    <w:rsid w:val="000346D0"/>
    <w:rsid w:val="0003472B"/>
    <w:rsid w:val="0003480A"/>
    <w:rsid w:val="00035632"/>
    <w:rsid w:val="000359D8"/>
    <w:rsid w:val="00035B30"/>
    <w:rsid w:val="00036110"/>
    <w:rsid w:val="00037E07"/>
    <w:rsid w:val="00040225"/>
    <w:rsid w:val="00040526"/>
    <w:rsid w:val="00040A73"/>
    <w:rsid w:val="0004142B"/>
    <w:rsid w:val="000414D3"/>
    <w:rsid w:val="00041ADD"/>
    <w:rsid w:val="00041D71"/>
    <w:rsid w:val="00042200"/>
    <w:rsid w:val="00042225"/>
    <w:rsid w:val="00042A90"/>
    <w:rsid w:val="00043622"/>
    <w:rsid w:val="000436FB"/>
    <w:rsid w:val="00043E2B"/>
    <w:rsid w:val="00043E63"/>
    <w:rsid w:val="000447F0"/>
    <w:rsid w:val="00044EB4"/>
    <w:rsid w:val="0004528F"/>
    <w:rsid w:val="00046056"/>
    <w:rsid w:val="000464FE"/>
    <w:rsid w:val="00046B51"/>
    <w:rsid w:val="000475CE"/>
    <w:rsid w:val="0004786C"/>
    <w:rsid w:val="00050E22"/>
    <w:rsid w:val="000510BC"/>
    <w:rsid w:val="00051164"/>
    <w:rsid w:val="000519AD"/>
    <w:rsid w:val="00053253"/>
    <w:rsid w:val="00053ABD"/>
    <w:rsid w:val="00053AD9"/>
    <w:rsid w:val="00054175"/>
    <w:rsid w:val="00054650"/>
    <w:rsid w:val="00054A03"/>
    <w:rsid w:val="00054A20"/>
    <w:rsid w:val="00054F38"/>
    <w:rsid w:val="000554EC"/>
    <w:rsid w:val="00055C15"/>
    <w:rsid w:val="00056377"/>
    <w:rsid w:val="00057796"/>
    <w:rsid w:val="000578DF"/>
    <w:rsid w:val="00057A20"/>
    <w:rsid w:val="00061403"/>
    <w:rsid w:val="00061808"/>
    <w:rsid w:val="00062EC3"/>
    <w:rsid w:val="0006373B"/>
    <w:rsid w:val="0006374F"/>
    <w:rsid w:val="000637EA"/>
    <w:rsid w:val="0006462F"/>
    <w:rsid w:val="00064662"/>
    <w:rsid w:val="00064DC3"/>
    <w:rsid w:val="00064FDE"/>
    <w:rsid w:val="00065293"/>
    <w:rsid w:val="0006535C"/>
    <w:rsid w:val="000653CC"/>
    <w:rsid w:val="0006635E"/>
    <w:rsid w:val="00066753"/>
    <w:rsid w:val="00066A9D"/>
    <w:rsid w:val="000675FC"/>
    <w:rsid w:val="00070088"/>
    <w:rsid w:val="00070D97"/>
    <w:rsid w:val="00070F59"/>
    <w:rsid w:val="00071072"/>
    <w:rsid w:val="000713BC"/>
    <w:rsid w:val="00071B5A"/>
    <w:rsid w:val="00071CC2"/>
    <w:rsid w:val="00071D06"/>
    <w:rsid w:val="00071DBC"/>
    <w:rsid w:val="000735D5"/>
    <w:rsid w:val="000736F1"/>
    <w:rsid w:val="0007382F"/>
    <w:rsid w:val="00073BCE"/>
    <w:rsid w:val="00074523"/>
    <w:rsid w:val="00075414"/>
    <w:rsid w:val="00075B02"/>
    <w:rsid w:val="00075C4E"/>
    <w:rsid w:val="00077240"/>
    <w:rsid w:val="00077299"/>
    <w:rsid w:val="000774C2"/>
    <w:rsid w:val="00077860"/>
    <w:rsid w:val="000779EE"/>
    <w:rsid w:val="00077F50"/>
    <w:rsid w:val="00080392"/>
    <w:rsid w:val="0008070D"/>
    <w:rsid w:val="00080F67"/>
    <w:rsid w:val="0008158E"/>
    <w:rsid w:val="000817FC"/>
    <w:rsid w:val="000819AB"/>
    <w:rsid w:val="00081A49"/>
    <w:rsid w:val="00081A6A"/>
    <w:rsid w:val="000826D4"/>
    <w:rsid w:val="00083609"/>
    <w:rsid w:val="000837F7"/>
    <w:rsid w:val="00083C59"/>
    <w:rsid w:val="00083D1D"/>
    <w:rsid w:val="00084329"/>
    <w:rsid w:val="000846C4"/>
    <w:rsid w:val="00084866"/>
    <w:rsid w:val="00084C6D"/>
    <w:rsid w:val="000862C9"/>
    <w:rsid w:val="000866C4"/>
    <w:rsid w:val="00087A0D"/>
    <w:rsid w:val="00087AB8"/>
    <w:rsid w:val="00087D5A"/>
    <w:rsid w:val="00091248"/>
    <w:rsid w:val="00091EBE"/>
    <w:rsid w:val="00091EDC"/>
    <w:rsid w:val="000920D5"/>
    <w:rsid w:val="000923F3"/>
    <w:rsid w:val="00092A1E"/>
    <w:rsid w:val="00092C4C"/>
    <w:rsid w:val="00092E57"/>
    <w:rsid w:val="00092FE5"/>
    <w:rsid w:val="00093657"/>
    <w:rsid w:val="00093E5B"/>
    <w:rsid w:val="0009422D"/>
    <w:rsid w:val="0009440B"/>
    <w:rsid w:val="00095D13"/>
    <w:rsid w:val="00095D9F"/>
    <w:rsid w:val="00095F46"/>
    <w:rsid w:val="00096F80"/>
    <w:rsid w:val="00097217"/>
    <w:rsid w:val="000974E2"/>
    <w:rsid w:val="00097525"/>
    <w:rsid w:val="00097D9A"/>
    <w:rsid w:val="000A00E9"/>
    <w:rsid w:val="000A07AE"/>
    <w:rsid w:val="000A1A5E"/>
    <w:rsid w:val="000A1CD2"/>
    <w:rsid w:val="000A21BA"/>
    <w:rsid w:val="000A4282"/>
    <w:rsid w:val="000A4F35"/>
    <w:rsid w:val="000A508F"/>
    <w:rsid w:val="000A54E4"/>
    <w:rsid w:val="000A5D64"/>
    <w:rsid w:val="000A63E2"/>
    <w:rsid w:val="000A6ABD"/>
    <w:rsid w:val="000A718C"/>
    <w:rsid w:val="000A7451"/>
    <w:rsid w:val="000A7799"/>
    <w:rsid w:val="000A7A38"/>
    <w:rsid w:val="000A7C35"/>
    <w:rsid w:val="000A7C47"/>
    <w:rsid w:val="000B006E"/>
    <w:rsid w:val="000B09F0"/>
    <w:rsid w:val="000B0B8B"/>
    <w:rsid w:val="000B175A"/>
    <w:rsid w:val="000B1CE5"/>
    <w:rsid w:val="000B243C"/>
    <w:rsid w:val="000B28E0"/>
    <w:rsid w:val="000B2A4B"/>
    <w:rsid w:val="000B2CAF"/>
    <w:rsid w:val="000B3493"/>
    <w:rsid w:val="000B3975"/>
    <w:rsid w:val="000B3C52"/>
    <w:rsid w:val="000B3CEC"/>
    <w:rsid w:val="000B3D3B"/>
    <w:rsid w:val="000B54A5"/>
    <w:rsid w:val="000B54D6"/>
    <w:rsid w:val="000B72BC"/>
    <w:rsid w:val="000B7AE6"/>
    <w:rsid w:val="000B7BAB"/>
    <w:rsid w:val="000B7E55"/>
    <w:rsid w:val="000C051B"/>
    <w:rsid w:val="000C17E1"/>
    <w:rsid w:val="000C28F4"/>
    <w:rsid w:val="000C2A2C"/>
    <w:rsid w:val="000C36E6"/>
    <w:rsid w:val="000C387F"/>
    <w:rsid w:val="000C3B61"/>
    <w:rsid w:val="000C3B95"/>
    <w:rsid w:val="000C464A"/>
    <w:rsid w:val="000C547A"/>
    <w:rsid w:val="000C585D"/>
    <w:rsid w:val="000C5976"/>
    <w:rsid w:val="000C5DF5"/>
    <w:rsid w:val="000C67EE"/>
    <w:rsid w:val="000C6FE8"/>
    <w:rsid w:val="000C7839"/>
    <w:rsid w:val="000D011F"/>
    <w:rsid w:val="000D05C5"/>
    <w:rsid w:val="000D0714"/>
    <w:rsid w:val="000D1438"/>
    <w:rsid w:val="000D1965"/>
    <w:rsid w:val="000D19BE"/>
    <w:rsid w:val="000D1FD6"/>
    <w:rsid w:val="000D2574"/>
    <w:rsid w:val="000D2986"/>
    <w:rsid w:val="000D2C81"/>
    <w:rsid w:val="000D3821"/>
    <w:rsid w:val="000D3A3E"/>
    <w:rsid w:val="000D40AC"/>
    <w:rsid w:val="000D47CB"/>
    <w:rsid w:val="000D4BF7"/>
    <w:rsid w:val="000D4C08"/>
    <w:rsid w:val="000D50BF"/>
    <w:rsid w:val="000D5479"/>
    <w:rsid w:val="000D5809"/>
    <w:rsid w:val="000D6474"/>
    <w:rsid w:val="000D6531"/>
    <w:rsid w:val="000D6B73"/>
    <w:rsid w:val="000D6BEF"/>
    <w:rsid w:val="000D781A"/>
    <w:rsid w:val="000E066C"/>
    <w:rsid w:val="000E07A6"/>
    <w:rsid w:val="000E0B9A"/>
    <w:rsid w:val="000E183D"/>
    <w:rsid w:val="000E183F"/>
    <w:rsid w:val="000E1B0A"/>
    <w:rsid w:val="000E1C39"/>
    <w:rsid w:val="000E2140"/>
    <w:rsid w:val="000E26DD"/>
    <w:rsid w:val="000E26E1"/>
    <w:rsid w:val="000E2B35"/>
    <w:rsid w:val="000E2D1B"/>
    <w:rsid w:val="000E2E14"/>
    <w:rsid w:val="000E33F2"/>
    <w:rsid w:val="000E3449"/>
    <w:rsid w:val="000E3726"/>
    <w:rsid w:val="000E3D02"/>
    <w:rsid w:val="000E3DD8"/>
    <w:rsid w:val="000E445C"/>
    <w:rsid w:val="000E4B42"/>
    <w:rsid w:val="000E53BE"/>
    <w:rsid w:val="000E5B3A"/>
    <w:rsid w:val="000E5DB6"/>
    <w:rsid w:val="000E6948"/>
    <w:rsid w:val="000E76E9"/>
    <w:rsid w:val="000E791E"/>
    <w:rsid w:val="000F0BC1"/>
    <w:rsid w:val="000F0BC7"/>
    <w:rsid w:val="000F0D64"/>
    <w:rsid w:val="000F1AE5"/>
    <w:rsid w:val="000F281A"/>
    <w:rsid w:val="000F2F8D"/>
    <w:rsid w:val="000F32F2"/>
    <w:rsid w:val="000F3676"/>
    <w:rsid w:val="000F3A39"/>
    <w:rsid w:val="000F3B8F"/>
    <w:rsid w:val="000F3E4F"/>
    <w:rsid w:val="000F4625"/>
    <w:rsid w:val="000F4A0D"/>
    <w:rsid w:val="000F532F"/>
    <w:rsid w:val="000F592C"/>
    <w:rsid w:val="000F5BFB"/>
    <w:rsid w:val="000F5D83"/>
    <w:rsid w:val="000F60F3"/>
    <w:rsid w:val="000F628C"/>
    <w:rsid w:val="000F693C"/>
    <w:rsid w:val="000F7058"/>
    <w:rsid w:val="000F7D70"/>
    <w:rsid w:val="000F7F36"/>
    <w:rsid w:val="00101D4B"/>
    <w:rsid w:val="001021DA"/>
    <w:rsid w:val="0010260E"/>
    <w:rsid w:val="00102741"/>
    <w:rsid w:val="001033B7"/>
    <w:rsid w:val="0010356D"/>
    <w:rsid w:val="00103CB2"/>
    <w:rsid w:val="00104F1B"/>
    <w:rsid w:val="001057BD"/>
    <w:rsid w:val="001057D7"/>
    <w:rsid w:val="0010583E"/>
    <w:rsid w:val="00105977"/>
    <w:rsid w:val="00105F36"/>
    <w:rsid w:val="00106300"/>
    <w:rsid w:val="00106D42"/>
    <w:rsid w:val="00106F80"/>
    <w:rsid w:val="00107D2E"/>
    <w:rsid w:val="00110318"/>
    <w:rsid w:val="00110748"/>
    <w:rsid w:val="001107AE"/>
    <w:rsid w:val="00110A90"/>
    <w:rsid w:val="00111411"/>
    <w:rsid w:val="001115B2"/>
    <w:rsid w:val="00111689"/>
    <w:rsid w:val="00111906"/>
    <w:rsid w:val="001119A8"/>
    <w:rsid w:val="00111DD1"/>
    <w:rsid w:val="0011237E"/>
    <w:rsid w:val="00112638"/>
    <w:rsid w:val="00112651"/>
    <w:rsid w:val="0011281B"/>
    <w:rsid w:val="001130B2"/>
    <w:rsid w:val="0011321E"/>
    <w:rsid w:val="00113631"/>
    <w:rsid w:val="001136F8"/>
    <w:rsid w:val="00113E4C"/>
    <w:rsid w:val="001148D8"/>
    <w:rsid w:val="00114A8E"/>
    <w:rsid w:val="00114C3E"/>
    <w:rsid w:val="00114DE2"/>
    <w:rsid w:val="0011507B"/>
    <w:rsid w:val="00115E9F"/>
    <w:rsid w:val="00115F39"/>
    <w:rsid w:val="00116990"/>
    <w:rsid w:val="00120171"/>
    <w:rsid w:val="00120642"/>
    <w:rsid w:val="00120A9D"/>
    <w:rsid w:val="00120C9E"/>
    <w:rsid w:val="00121C05"/>
    <w:rsid w:val="00121C24"/>
    <w:rsid w:val="00122224"/>
    <w:rsid w:val="00122D0E"/>
    <w:rsid w:val="00123109"/>
    <w:rsid w:val="00123115"/>
    <w:rsid w:val="0012316B"/>
    <w:rsid w:val="0012359A"/>
    <w:rsid w:val="001236D5"/>
    <w:rsid w:val="00123806"/>
    <w:rsid w:val="00124023"/>
    <w:rsid w:val="0012472C"/>
    <w:rsid w:val="001252BE"/>
    <w:rsid w:val="0012548E"/>
    <w:rsid w:val="00125FB4"/>
    <w:rsid w:val="00126722"/>
    <w:rsid w:val="0012777F"/>
    <w:rsid w:val="00127A47"/>
    <w:rsid w:val="001302D0"/>
    <w:rsid w:val="001307D4"/>
    <w:rsid w:val="00130B70"/>
    <w:rsid w:val="00130D6C"/>
    <w:rsid w:val="001311D9"/>
    <w:rsid w:val="00131561"/>
    <w:rsid w:val="00131AB6"/>
    <w:rsid w:val="00132E8F"/>
    <w:rsid w:val="00133516"/>
    <w:rsid w:val="00133ACD"/>
    <w:rsid w:val="00133DBD"/>
    <w:rsid w:val="001340C7"/>
    <w:rsid w:val="001340D4"/>
    <w:rsid w:val="00134DA5"/>
    <w:rsid w:val="00135C93"/>
    <w:rsid w:val="0013680F"/>
    <w:rsid w:val="00136D36"/>
    <w:rsid w:val="001371DD"/>
    <w:rsid w:val="00137676"/>
    <w:rsid w:val="00143EAB"/>
    <w:rsid w:val="00144332"/>
    <w:rsid w:val="00144A43"/>
    <w:rsid w:val="00144CDB"/>
    <w:rsid w:val="00145365"/>
    <w:rsid w:val="001453E2"/>
    <w:rsid w:val="00145D58"/>
    <w:rsid w:val="00145D5C"/>
    <w:rsid w:val="00145E3C"/>
    <w:rsid w:val="00146849"/>
    <w:rsid w:val="00146907"/>
    <w:rsid w:val="00146E61"/>
    <w:rsid w:val="00147334"/>
    <w:rsid w:val="001473CE"/>
    <w:rsid w:val="001474EE"/>
    <w:rsid w:val="00147656"/>
    <w:rsid w:val="00147ED7"/>
    <w:rsid w:val="00150BB3"/>
    <w:rsid w:val="00150FEB"/>
    <w:rsid w:val="0015111C"/>
    <w:rsid w:val="001519E6"/>
    <w:rsid w:val="001521F2"/>
    <w:rsid w:val="00152575"/>
    <w:rsid w:val="00152C1B"/>
    <w:rsid w:val="001535D0"/>
    <w:rsid w:val="00153E58"/>
    <w:rsid w:val="00154B90"/>
    <w:rsid w:val="00155340"/>
    <w:rsid w:val="00155879"/>
    <w:rsid w:val="00155919"/>
    <w:rsid w:val="00155A03"/>
    <w:rsid w:val="0015654B"/>
    <w:rsid w:val="001566BB"/>
    <w:rsid w:val="00156B7A"/>
    <w:rsid w:val="001572C4"/>
    <w:rsid w:val="0015732B"/>
    <w:rsid w:val="0015768D"/>
    <w:rsid w:val="00157C29"/>
    <w:rsid w:val="00157EAB"/>
    <w:rsid w:val="0016138A"/>
    <w:rsid w:val="00161EF7"/>
    <w:rsid w:val="0016209A"/>
    <w:rsid w:val="001621DE"/>
    <w:rsid w:val="0016248B"/>
    <w:rsid w:val="001627A6"/>
    <w:rsid w:val="0016352C"/>
    <w:rsid w:val="001635AA"/>
    <w:rsid w:val="00163822"/>
    <w:rsid w:val="00163D2C"/>
    <w:rsid w:val="00163E2A"/>
    <w:rsid w:val="00163EB0"/>
    <w:rsid w:val="001643D0"/>
    <w:rsid w:val="00164921"/>
    <w:rsid w:val="00164D75"/>
    <w:rsid w:val="0016534C"/>
    <w:rsid w:val="00165990"/>
    <w:rsid w:val="00165B02"/>
    <w:rsid w:val="00165D6D"/>
    <w:rsid w:val="00166C2C"/>
    <w:rsid w:val="00166C4D"/>
    <w:rsid w:val="00166F16"/>
    <w:rsid w:val="001675C6"/>
    <w:rsid w:val="0016778F"/>
    <w:rsid w:val="00167D66"/>
    <w:rsid w:val="00167FAD"/>
    <w:rsid w:val="0017061E"/>
    <w:rsid w:val="001708DE"/>
    <w:rsid w:val="001718E4"/>
    <w:rsid w:val="00171E24"/>
    <w:rsid w:val="00172870"/>
    <w:rsid w:val="00172EA9"/>
    <w:rsid w:val="00173467"/>
    <w:rsid w:val="0017387A"/>
    <w:rsid w:val="001739D6"/>
    <w:rsid w:val="00173E2B"/>
    <w:rsid w:val="001740CE"/>
    <w:rsid w:val="001744B0"/>
    <w:rsid w:val="0017537C"/>
    <w:rsid w:val="00175E29"/>
    <w:rsid w:val="00175F7A"/>
    <w:rsid w:val="00177FA9"/>
    <w:rsid w:val="00180687"/>
    <w:rsid w:val="00180A99"/>
    <w:rsid w:val="00180E6D"/>
    <w:rsid w:val="00180F30"/>
    <w:rsid w:val="00181994"/>
    <w:rsid w:val="0018245C"/>
    <w:rsid w:val="001826BD"/>
    <w:rsid w:val="001829CD"/>
    <w:rsid w:val="00182C0E"/>
    <w:rsid w:val="00182F02"/>
    <w:rsid w:val="00182F60"/>
    <w:rsid w:val="00184571"/>
    <w:rsid w:val="00184657"/>
    <w:rsid w:val="00184FC1"/>
    <w:rsid w:val="001853C5"/>
    <w:rsid w:val="00185EB2"/>
    <w:rsid w:val="0018610E"/>
    <w:rsid w:val="00186804"/>
    <w:rsid w:val="00187029"/>
    <w:rsid w:val="00187683"/>
    <w:rsid w:val="00187780"/>
    <w:rsid w:val="001879CC"/>
    <w:rsid w:val="0019020E"/>
    <w:rsid w:val="0019033F"/>
    <w:rsid w:val="00190C2A"/>
    <w:rsid w:val="0019129B"/>
    <w:rsid w:val="001927C4"/>
    <w:rsid w:val="00193E38"/>
    <w:rsid w:val="00194EBE"/>
    <w:rsid w:val="001959E9"/>
    <w:rsid w:val="00195E24"/>
    <w:rsid w:val="00196CCA"/>
    <w:rsid w:val="001979A3"/>
    <w:rsid w:val="001A07CD"/>
    <w:rsid w:val="001A09C5"/>
    <w:rsid w:val="001A0A2E"/>
    <w:rsid w:val="001A17CE"/>
    <w:rsid w:val="001A18B6"/>
    <w:rsid w:val="001A1FEB"/>
    <w:rsid w:val="001A2CC3"/>
    <w:rsid w:val="001A3292"/>
    <w:rsid w:val="001A378B"/>
    <w:rsid w:val="001A3A23"/>
    <w:rsid w:val="001A3B1A"/>
    <w:rsid w:val="001A4224"/>
    <w:rsid w:val="001A431F"/>
    <w:rsid w:val="001A4EB7"/>
    <w:rsid w:val="001A5056"/>
    <w:rsid w:val="001A51B5"/>
    <w:rsid w:val="001A55BE"/>
    <w:rsid w:val="001A5F7F"/>
    <w:rsid w:val="001A6083"/>
    <w:rsid w:val="001A60F3"/>
    <w:rsid w:val="001A6173"/>
    <w:rsid w:val="001A6424"/>
    <w:rsid w:val="001A68FF"/>
    <w:rsid w:val="001A6DFB"/>
    <w:rsid w:val="001A7A5B"/>
    <w:rsid w:val="001B0D93"/>
    <w:rsid w:val="001B0EEF"/>
    <w:rsid w:val="001B1728"/>
    <w:rsid w:val="001B174E"/>
    <w:rsid w:val="001B17CB"/>
    <w:rsid w:val="001B1A2F"/>
    <w:rsid w:val="001B1E8C"/>
    <w:rsid w:val="001B22C7"/>
    <w:rsid w:val="001B245B"/>
    <w:rsid w:val="001B2E2A"/>
    <w:rsid w:val="001B3365"/>
    <w:rsid w:val="001B3B4C"/>
    <w:rsid w:val="001B4A75"/>
    <w:rsid w:val="001B61B8"/>
    <w:rsid w:val="001B649C"/>
    <w:rsid w:val="001B6A8B"/>
    <w:rsid w:val="001B701A"/>
    <w:rsid w:val="001B74A3"/>
    <w:rsid w:val="001B7C72"/>
    <w:rsid w:val="001B7D72"/>
    <w:rsid w:val="001C05A2"/>
    <w:rsid w:val="001C0614"/>
    <w:rsid w:val="001C090C"/>
    <w:rsid w:val="001C115F"/>
    <w:rsid w:val="001C16B9"/>
    <w:rsid w:val="001C1C50"/>
    <w:rsid w:val="001C2D7A"/>
    <w:rsid w:val="001C390C"/>
    <w:rsid w:val="001C39E3"/>
    <w:rsid w:val="001C3A54"/>
    <w:rsid w:val="001C4D4C"/>
    <w:rsid w:val="001C50E9"/>
    <w:rsid w:val="001C5DF5"/>
    <w:rsid w:val="001C5F43"/>
    <w:rsid w:val="001C6208"/>
    <w:rsid w:val="001C6382"/>
    <w:rsid w:val="001C7126"/>
    <w:rsid w:val="001C756A"/>
    <w:rsid w:val="001C766E"/>
    <w:rsid w:val="001C7A9B"/>
    <w:rsid w:val="001D0059"/>
    <w:rsid w:val="001D01E7"/>
    <w:rsid w:val="001D04E4"/>
    <w:rsid w:val="001D0FDF"/>
    <w:rsid w:val="001D3EED"/>
    <w:rsid w:val="001D4564"/>
    <w:rsid w:val="001D48A8"/>
    <w:rsid w:val="001D4B55"/>
    <w:rsid w:val="001D4EA5"/>
    <w:rsid w:val="001D55FB"/>
    <w:rsid w:val="001D573C"/>
    <w:rsid w:val="001D5B1F"/>
    <w:rsid w:val="001D5CE5"/>
    <w:rsid w:val="001D60AA"/>
    <w:rsid w:val="001D6650"/>
    <w:rsid w:val="001D69E0"/>
    <w:rsid w:val="001D6A0F"/>
    <w:rsid w:val="001E0294"/>
    <w:rsid w:val="001E07C8"/>
    <w:rsid w:val="001E190A"/>
    <w:rsid w:val="001E1DB2"/>
    <w:rsid w:val="001E2044"/>
    <w:rsid w:val="001E2081"/>
    <w:rsid w:val="001E2361"/>
    <w:rsid w:val="001E2C61"/>
    <w:rsid w:val="001E39E4"/>
    <w:rsid w:val="001E42BE"/>
    <w:rsid w:val="001E467B"/>
    <w:rsid w:val="001E5085"/>
    <w:rsid w:val="001E610C"/>
    <w:rsid w:val="001E6EAE"/>
    <w:rsid w:val="001E7506"/>
    <w:rsid w:val="001E7648"/>
    <w:rsid w:val="001E7885"/>
    <w:rsid w:val="001E7C55"/>
    <w:rsid w:val="001E7D69"/>
    <w:rsid w:val="001F0102"/>
    <w:rsid w:val="001F0C47"/>
    <w:rsid w:val="001F0F5A"/>
    <w:rsid w:val="001F14DB"/>
    <w:rsid w:val="001F199F"/>
    <w:rsid w:val="001F29B9"/>
    <w:rsid w:val="001F2B1F"/>
    <w:rsid w:val="001F2B8B"/>
    <w:rsid w:val="001F43A0"/>
    <w:rsid w:val="001F63A6"/>
    <w:rsid w:val="001F66F7"/>
    <w:rsid w:val="001F72A7"/>
    <w:rsid w:val="00200408"/>
    <w:rsid w:val="00200478"/>
    <w:rsid w:val="00200DF6"/>
    <w:rsid w:val="00201427"/>
    <w:rsid w:val="002019FF"/>
    <w:rsid w:val="00201AAE"/>
    <w:rsid w:val="00201E47"/>
    <w:rsid w:val="002027EA"/>
    <w:rsid w:val="00203024"/>
    <w:rsid w:val="00203A8F"/>
    <w:rsid w:val="00203CEB"/>
    <w:rsid w:val="00204136"/>
    <w:rsid w:val="00204A33"/>
    <w:rsid w:val="0020509E"/>
    <w:rsid w:val="00206003"/>
    <w:rsid w:val="00206E2B"/>
    <w:rsid w:val="0020735D"/>
    <w:rsid w:val="002075A4"/>
    <w:rsid w:val="0021007E"/>
    <w:rsid w:val="002101D5"/>
    <w:rsid w:val="0021071D"/>
    <w:rsid w:val="0021237A"/>
    <w:rsid w:val="00212629"/>
    <w:rsid w:val="002139F5"/>
    <w:rsid w:val="00213E40"/>
    <w:rsid w:val="00213E7B"/>
    <w:rsid w:val="00214539"/>
    <w:rsid w:val="00214ADE"/>
    <w:rsid w:val="00214EA5"/>
    <w:rsid w:val="00214F6D"/>
    <w:rsid w:val="00215376"/>
    <w:rsid w:val="002155BD"/>
    <w:rsid w:val="00215E92"/>
    <w:rsid w:val="00216E6F"/>
    <w:rsid w:val="00217045"/>
    <w:rsid w:val="00217B6A"/>
    <w:rsid w:val="00217E06"/>
    <w:rsid w:val="002200A0"/>
    <w:rsid w:val="00221007"/>
    <w:rsid w:val="00221A26"/>
    <w:rsid w:val="00221A8A"/>
    <w:rsid w:val="00221E5D"/>
    <w:rsid w:val="00223382"/>
    <w:rsid w:val="002234A4"/>
    <w:rsid w:val="0022367E"/>
    <w:rsid w:val="00223FF4"/>
    <w:rsid w:val="00224000"/>
    <w:rsid w:val="0022469D"/>
    <w:rsid w:val="002246CD"/>
    <w:rsid w:val="00224C32"/>
    <w:rsid w:val="00225254"/>
    <w:rsid w:val="0022590F"/>
    <w:rsid w:val="002261DE"/>
    <w:rsid w:val="0022630D"/>
    <w:rsid w:val="00226AB7"/>
    <w:rsid w:val="00226D14"/>
    <w:rsid w:val="00227E00"/>
    <w:rsid w:val="00227EEB"/>
    <w:rsid w:val="00230D3E"/>
    <w:rsid w:val="0023117F"/>
    <w:rsid w:val="002313F1"/>
    <w:rsid w:val="00231431"/>
    <w:rsid w:val="0023187C"/>
    <w:rsid w:val="002320EB"/>
    <w:rsid w:val="002331FD"/>
    <w:rsid w:val="00233238"/>
    <w:rsid w:val="002333C5"/>
    <w:rsid w:val="00233922"/>
    <w:rsid w:val="00233994"/>
    <w:rsid w:val="00233BF0"/>
    <w:rsid w:val="00233ED2"/>
    <w:rsid w:val="00234374"/>
    <w:rsid w:val="00234C7F"/>
    <w:rsid w:val="00235303"/>
    <w:rsid w:val="002354CA"/>
    <w:rsid w:val="00236A94"/>
    <w:rsid w:val="00236AD0"/>
    <w:rsid w:val="00236E3B"/>
    <w:rsid w:val="002376C1"/>
    <w:rsid w:val="0023786A"/>
    <w:rsid w:val="00237CE9"/>
    <w:rsid w:val="0024185C"/>
    <w:rsid w:val="00242202"/>
    <w:rsid w:val="002422DF"/>
    <w:rsid w:val="0024258E"/>
    <w:rsid w:val="00243C9B"/>
    <w:rsid w:val="002444F0"/>
    <w:rsid w:val="00244622"/>
    <w:rsid w:val="0024545C"/>
    <w:rsid w:val="002455AB"/>
    <w:rsid w:val="00245B3E"/>
    <w:rsid w:val="002466EF"/>
    <w:rsid w:val="002468B6"/>
    <w:rsid w:val="00246ACC"/>
    <w:rsid w:val="002472E1"/>
    <w:rsid w:val="00247398"/>
    <w:rsid w:val="0024762C"/>
    <w:rsid w:val="00247AAE"/>
    <w:rsid w:val="00250008"/>
    <w:rsid w:val="00250150"/>
    <w:rsid w:val="00250537"/>
    <w:rsid w:val="00250AFC"/>
    <w:rsid w:val="00250C2B"/>
    <w:rsid w:val="00250E74"/>
    <w:rsid w:val="00251450"/>
    <w:rsid w:val="00251982"/>
    <w:rsid w:val="00251CCF"/>
    <w:rsid w:val="0025210E"/>
    <w:rsid w:val="00252694"/>
    <w:rsid w:val="002527A2"/>
    <w:rsid w:val="0025317C"/>
    <w:rsid w:val="002533CF"/>
    <w:rsid w:val="0025366A"/>
    <w:rsid w:val="002539EC"/>
    <w:rsid w:val="00253A02"/>
    <w:rsid w:val="00253F06"/>
    <w:rsid w:val="002541BA"/>
    <w:rsid w:val="002557C5"/>
    <w:rsid w:val="00255DFC"/>
    <w:rsid w:val="00257686"/>
    <w:rsid w:val="002601D8"/>
    <w:rsid w:val="002602FA"/>
    <w:rsid w:val="002607FC"/>
    <w:rsid w:val="00260B24"/>
    <w:rsid w:val="00260B4D"/>
    <w:rsid w:val="00261886"/>
    <w:rsid w:val="0026283F"/>
    <w:rsid w:val="00262F0B"/>
    <w:rsid w:val="00263455"/>
    <w:rsid w:val="00263542"/>
    <w:rsid w:val="0026482B"/>
    <w:rsid w:val="00264AA1"/>
    <w:rsid w:val="00264C32"/>
    <w:rsid w:val="00264FE6"/>
    <w:rsid w:val="00265261"/>
    <w:rsid w:val="00265817"/>
    <w:rsid w:val="00265A60"/>
    <w:rsid w:val="00265BF6"/>
    <w:rsid w:val="00265F04"/>
    <w:rsid w:val="00266AF4"/>
    <w:rsid w:val="00266EE3"/>
    <w:rsid w:val="0026744E"/>
    <w:rsid w:val="00270028"/>
    <w:rsid w:val="00270B23"/>
    <w:rsid w:val="00271CE8"/>
    <w:rsid w:val="00271E1F"/>
    <w:rsid w:val="00271F1C"/>
    <w:rsid w:val="00272473"/>
    <w:rsid w:val="002724DC"/>
    <w:rsid w:val="002729A9"/>
    <w:rsid w:val="00272F42"/>
    <w:rsid w:val="002736C9"/>
    <w:rsid w:val="00273CDF"/>
    <w:rsid w:val="00273CF6"/>
    <w:rsid w:val="00274BDE"/>
    <w:rsid w:val="00274EB9"/>
    <w:rsid w:val="00275000"/>
    <w:rsid w:val="0027511B"/>
    <w:rsid w:val="00275226"/>
    <w:rsid w:val="00276163"/>
    <w:rsid w:val="0027630F"/>
    <w:rsid w:val="002767A1"/>
    <w:rsid w:val="00276A04"/>
    <w:rsid w:val="00276B78"/>
    <w:rsid w:val="0027702D"/>
    <w:rsid w:val="00277289"/>
    <w:rsid w:val="00280227"/>
    <w:rsid w:val="002802C6"/>
    <w:rsid w:val="002809B2"/>
    <w:rsid w:val="00280A54"/>
    <w:rsid w:val="00281662"/>
    <w:rsid w:val="00281F83"/>
    <w:rsid w:val="00283486"/>
    <w:rsid w:val="00283A66"/>
    <w:rsid w:val="00283B8E"/>
    <w:rsid w:val="0028451F"/>
    <w:rsid w:val="00285E91"/>
    <w:rsid w:val="00285EDC"/>
    <w:rsid w:val="00286AC1"/>
    <w:rsid w:val="00286D3E"/>
    <w:rsid w:val="0028719F"/>
    <w:rsid w:val="002871F0"/>
    <w:rsid w:val="0028734C"/>
    <w:rsid w:val="00287DFC"/>
    <w:rsid w:val="00290051"/>
    <w:rsid w:val="002905C7"/>
    <w:rsid w:val="002908AE"/>
    <w:rsid w:val="00290AA0"/>
    <w:rsid w:val="00290AA8"/>
    <w:rsid w:val="00290AC4"/>
    <w:rsid w:val="00290D36"/>
    <w:rsid w:val="00291854"/>
    <w:rsid w:val="00291C7F"/>
    <w:rsid w:val="002924FD"/>
    <w:rsid w:val="0029265C"/>
    <w:rsid w:val="00292906"/>
    <w:rsid w:val="00292C23"/>
    <w:rsid w:val="00292E67"/>
    <w:rsid w:val="002931EF"/>
    <w:rsid w:val="00293FAD"/>
    <w:rsid w:val="00294235"/>
    <w:rsid w:val="00294B81"/>
    <w:rsid w:val="00294F60"/>
    <w:rsid w:val="00295028"/>
    <w:rsid w:val="0029522C"/>
    <w:rsid w:val="0029553B"/>
    <w:rsid w:val="002957F0"/>
    <w:rsid w:val="00295E4F"/>
    <w:rsid w:val="00295F11"/>
    <w:rsid w:val="002960A8"/>
    <w:rsid w:val="00297196"/>
    <w:rsid w:val="00297F61"/>
    <w:rsid w:val="002A0246"/>
    <w:rsid w:val="002A0E10"/>
    <w:rsid w:val="002A105D"/>
    <w:rsid w:val="002A1086"/>
    <w:rsid w:val="002A2048"/>
    <w:rsid w:val="002A2175"/>
    <w:rsid w:val="002A346E"/>
    <w:rsid w:val="002A3579"/>
    <w:rsid w:val="002A3A69"/>
    <w:rsid w:val="002A3B5E"/>
    <w:rsid w:val="002A445D"/>
    <w:rsid w:val="002A4694"/>
    <w:rsid w:val="002A49F5"/>
    <w:rsid w:val="002A4B3D"/>
    <w:rsid w:val="002A4D4F"/>
    <w:rsid w:val="002A514B"/>
    <w:rsid w:val="002A51D0"/>
    <w:rsid w:val="002A611D"/>
    <w:rsid w:val="002A6611"/>
    <w:rsid w:val="002A67CA"/>
    <w:rsid w:val="002A6DB3"/>
    <w:rsid w:val="002A74E3"/>
    <w:rsid w:val="002A7F97"/>
    <w:rsid w:val="002B01DF"/>
    <w:rsid w:val="002B07C5"/>
    <w:rsid w:val="002B0AFF"/>
    <w:rsid w:val="002B1399"/>
    <w:rsid w:val="002B1772"/>
    <w:rsid w:val="002B189C"/>
    <w:rsid w:val="002B2340"/>
    <w:rsid w:val="002B2DF6"/>
    <w:rsid w:val="002B2EDA"/>
    <w:rsid w:val="002B3A18"/>
    <w:rsid w:val="002B3B82"/>
    <w:rsid w:val="002B48D1"/>
    <w:rsid w:val="002B4B7E"/>
    <w:rsid w:val="002B4D31"/>
    <w:rsid w:val="002B4E6E"/>
    <w:rsid w:val="002B4F73"/>
    <w:rsid w:val="002B5116"/>
    <w:rsid w:val="002B5227"/>
    <w:rsid w:val="002B561C"/>
    <w:rsid w:val="002B6253"/>
    <w:rsid w:val="002B64A2"/>
    <w:rsid w:val="002B6D90"/>
    <w:rsid w:val="002B6E5D"/>
    <w:rsid w:val="002B7D36"/>
    <w:rsid w:val="002C0046"/>
    <w:rsid w:val="002C015F"/>
    <w:rsid w:val="002C04A4"/>
    <w:rsid w:val="002C0BEB"/>
    <w:rsid w:val="002C1135"/>
    <w:rsid w:val="002C161B"/>
    <w:rsid w:val="002C1F18"/>
    <w:rsid w:val="002C26C7"/>
    <w:rsid w:val="002C2899"/>
    <w:rsid w:val="002C2BD6"/>
    <w:rsid w:val="002C31F2"/>
    <w:rsid w:val="002C31FA"/>
    <w:rsid w:val="002C3871"/>
    <w:rsid w:val="002C388A"/>
    <w:rsid w:val="002C4443"/>
    <w:rsid w:val="002C44E5"/>
    <w:rsid w:val="002C4826"/>
    <w:rsid w:val="002C4CD8"/>
    <w:rsid w:val="002C4E75"/>
    <w:rsid w:val="002C4F48"/>
    <w:rsid w:val="002C5916"/>
    <w:rsid w:val="002C60F3"/>
    <w:rsid w:val="002C661B"/>
    <w:rsid w:val="002C7054"/>
    <w:rsid w:val="002C726C"/>
    <w:rsid w:val="002C7283"/>
    <w:rsid w:val="002D01AC"/>
    <w:rsid w:val="002D0343"/>
    <w:rsid w:val="002D03A6"/>
    <w:rsid w:val="002D1314"/>
    <w:rsid w:val="002D139D"/>
    <w:rsid w:val="002D2E0B"/>
    <w:rsid w:val="002D3185"/>
    <w:rsid w:val="002D3442"/>
    <w:rsid w:val="002D37B8"/>
    <w:rsid w:val="002D3CF5"/>
    <w:rsid w:val="002D499E"/>
    <w:rsid w:val="002D49A2"/>
    <w:rsid w:val="002D50B4"/>
    <w:rsid w:val="002D5C52"/>
    <w:rsid w:val="002D5CA9"/>
    <w:rsid w:val="002D66C2"/>
    <w:rsid w:val="002D69DF"/>
    <w:rsid w:val="002D7829"/>
    <w:rsid w:val="002D7C0E"/>
    <w:rsid w:val="002E0AF6"/>
    <w:rsid w:val="002E0B67"/>
    <w:rsid w:val="002E1060"/>
    <w:rsid w:val="002E1173"/>
    <w:rsid w:val="002E20BF"/>
    <w:rsid w:val="002E2862"/>
    <w:rsid w:val="002E3626"/>
    <w:rsid w:val="002E36AC"/>
    <w:rsid w:val="002E3A84"/>
    <w:rsid w:val="002E3BCA"/>
    <w:rsid w:val="002E4244"/>
    <w:rsid w:val="002E52DA"/>
    <w:rsid w:val="002E5970"/>
    <w:rsid w:val="002E5A6A"/>
    <w:rsid w:val="002E6446"/>
    <w:rsid w:val="002E6D97"/>
    <w:rsid w:val="002E70C6"/>
    <w:rsid w:val="002E711E"/>
    <w:rsid w:val="002E7303"/>
    <w:rsid w:val="002E7DDC"/>
    <w:rsid w:val="002E7E8B"/>
    <w:rsid w:val="002E7F96"/>
    <w:rsid w:val="002E7FF6"/>
    <w:rsid w:val="002F049F"/>
    <w:rsid w:val="002F0763"/>
    <w:rsid w:val="002F0A20"/>
    <w:rsid w:val="002F11E6"/>
    <w:rsid w:val="002F134C"/>
    <w:rsid w:val="002F1E33"/>
    <w:rsid w:val="002F1F46"/>
    <w:rsid w:val="002F209F"/>
    <w:rsid w:val="002F24BB"/>
    <w:rsid w:val="002F32F8"/>
    <w:rsid w:val="002F34AD"/>
    <w:rsid w:val="002F36B1"/>
    <w:rsid w:val="002F3DC6"/>
    <w:rsid w:val="002F3E25"/>
    <w:rsid w:val="002F41F3"/>
    <w:rsid w:val="002F4274"/>
    <w:rsid w:val="002F4B9B"/>
    <w:rsid w:val="002F4D7B"/>
    <w:rsid w:val="002F5BDF"/>
    <w:rsid w:val="002F5CCE"/>
    <w:rsid w:val="002F67B4"/>
    <w:rsid w:val="002F6E0D"/>
    <w:rsid w:val="002F7C65"/>
    <w:rsid w:val="002F7D60"/>
    <w:rsid w:val="002F7E1D"/>
    <w:rsid w:val="0030006C"/>
    <w:rsid w:val="0030019B"/>
    <w:rsid w:val="00300447"/>
    <w:rsid w:val="003009D8"/>
    <w:rsid w:val="00301912"/>
    <w:rsid w:val="00301B76"/>
    <w:rsid w:val="00301E85"/>
    <w:rsid w:val="0030217E"/>
    <w:rsid w:val="003028A7"/>
    <w:rsid w:val="00303558"/>
    <w:rsid w:val="00303C93"/>
    <w:rsid w:val="00304709"/>
    <w:rsid w:val="00304FD4"/>
    <w:rsid w:val="00305AB7"/>
    <w:rsid w:val="003069C7"/>
    <w:rsid w:val="003069CD"/>
    <w:rsid w:val="00306EC6"/>
    <w:rsid w:val="003071DD"/>
    <w:rsid w:val="0030767F"/>
    <w:rsid w:val="003076BD"/>
    <w:rsid w:val="00307AE0"/>
    <w:rsid w:val="00310253"/>
    <w:rsid w:val="00310B9D"/>
    <w:rsid w:val="003111F7"/>
    <w:rsid w:val="003119DF"/>
    <w:rsid w:val="00312664"/>
    <w:rsid w:val="00312F2A"/>
    <w:rsid w:val="003130C2"/>
    <w:rsid w:val="00313C0B"/>
    <w:rsid w:val="0031411F"/>
    <w:rsid w:val="00315EEE"/>
    <w:rsid w:val="0031604B"/>
    <w:rsid w:val="003166AA"/>
    <w:rsid w:val="0031706B"/>
    <w:rsid w:val="00317F9F"/>
    <w:rsid w:val="003202DF"/>
    <w:rsid w:val="00320C86"/>
    <w:rsid w:val="00321105"/>
    <w:rsid w:val="0032112F"/>
    <w:rsid w:val="00321386"/>
    <w:rsid w:val="00321B3F"/>
    <w:rsid w:val="00321FEA"/>
    <w:rsid w:val="0032206C"/>
    <w:rsid w:val="0032221B"/>
    <w:rsid w:val="0032246C"/>
    <w:rsid w:val="00322667"/>
    <w:rsid w:val="003226AC"/>
    <w:rsid w:val="00323F9B"/>
    <w:rsid w:val="003242AB"/>
    <w:rsid w:val="00324B70"/>
    <w:rsid w:val="00325C3D"/>
    <w:rsid w:val="00325DBF"/>
    <w:rsid w:val="00326F0A"/>
    <w:rsid w:val="0032735B"/>
    <w:rsid w:val="00327784"/>
    <w:rsid w:val="00327B08"/>
    <w:rsid w:val="00327D53"/>
    <w:rsid w:val="00327E2A"/>
    <w:rsid w:val="0033011F"/>
    <w:rsid w:val="003301B9"/>
    <w:rsid w:val="0033062C"/>
    <w:rsid w:val="0033073A"/>
    <w:rsid w:val="00330C2D"/>
    <w:rsid w:val="00331142"/>
    <w:rsid w:val="00331477"/>
    <w:rsid w:val="00332B71"/>
    <w:rsid w:val="00332D66"/>
    <w:rsid w:val="003338A4"/>
    <w:rsid w:val="00334338"/>
    <w:rsid w:val="00334F6F"/>
    <w:rsid w:val="00335004"/>
    <w:rsid w:val="00335527"/>
    <w:rsid w:val="00335631"/>
    <w:rsid w:val="00335E53"/>
    <w:rsid w:val="003368A8"/>
    <w:rsid w:val="00336A49"/>
    <w:rsid w:val="00336B03"/>
    <w:rsid w:val="00336DA0"/>
    <w:rsid w:val="00340030"/>
    <w:rsid w:val="00340760"/>
    <w:rsid w:val="00340AF2"/>
    <w:rsid w:val="00340CD7"/>
    <w:rsid w:val="00340F33"/>
    <w:rsid w:val="003417CE"/>
    <w:rsid w:val="0034223A"/>
    <w:rsid w:val="003427A9"/>
    <w:rsid w:val="003428C5"/>
    <w:rsid w:val="00342ADC"/>
    <w:rsid w:val="00342D34"/>
    <w:rsid w:val="003430E5"/>
    <w:rsid w:val="003431BA"/>
    <w:rsid w:val="00343E92"/>
    <w:rsid w:val="00343EE0"/>
    <w:rsid w:val="003443E3"/>
    <w:rsid w:val="00344DE4"/>
    <w:rsid w:val="00344EF2"/>
    <w:rsid w:val="00345781"/>
    <w:rsid w:val="00345B58"/>
    <w:rsid w:val="00345E05"/>
    <w:rsid w:val="00346190"/>
    <w:rsid w:val="003465AC"/>
    <w:rsid w:val="003466C9"/>
    <w:rsid w:val="00346CD5"/>
    <w:rsid w:val="00346E88"/>
    <w:rsid w:val="00346FAB"/>
    <w:rsid w:val="00346FD9"/>
    <w:rsid w:val="0034750F"/>
    <w:rsid w:val="00347727"/>
    <w:rsid w:val="00350838"/>
    <w:rsid w:val="00351B19"/>
    <w:rsid w:val="0035322E"/>
    <w:rsid w:val="003538EB"/>
    <w:rsid w:val="0035397F"/>
    <w:rsid w:val="00354016"/>
    <w:rsid w:val="003545B7"/>
    <w:rsid w:val="003549CB"/>
    <w:rsid w:val="00354A2F"/>
    <w:rsid w:val="00354AC0"/>
    <w:rsid w:val="00354BFE"/>
    <w:rsid w:val="00354E2F"/>
    <w:rsid w:val="0035533B"/>
    <w:rsid w:val="003560D5"/>
    <w:rsid w:val="00356108"/>
    <w:rsid w:val="00356A29"/>
    <w:rsid w:val="0035705F"/>
    <w:rsid w:val="00357E72"/>
    <w:rsid w:val="0036010C"/>
    <w:rsid w:val="00360941"/>
    <w:rsid w:val="003612E1"/>
    <w:rsid w:val="00361646"/>
    <w:rsid w:val="003616D0"/>
    <w:rsid w:val="00361974"/>
    <w:rsid w:val="00361D90"/>
    <w:rsid w:val="00361DCA"/>
    <w:rsid w:val="00362183"/>
    <w:rsid w:val="00362195"/>
    <w:rsid w:val="003624AB"/>
    <w:rsid w:val="0036301A"/>
    <w:rsid w:val="00363378"/>
    <w:rsid w:val="00363520"/>
    <w:rsid w:val="00364094"/>
    <w:rsid w:val="0036440F"/>
    <w:rsid w:val="00364493"/>
    <w:rsid w:val="0036567E"/>
    <w:rsid w:val="00365DA0"/>
    <w:rsid w:val="00366494"/>
    <w:rsid w:val="003667D7"/>
    <w:rsid w:val="00366928"/>
    <w:rsid w:val="003674B4"/>
    <w:rsid w:val="0036758E"/>
    <w:rsid w:val="00367B92"/>
    <w:rsid w:val="00370150"/>
    <w:rsid w:val="0037082C"/>
    <w:rsid w:val="00370CFE"/>
    <w:rsid w:val="0037117C"/>
    <w:rsid w:val="003713E0"/>
    <w:rsid w:val="0037168B"/>
    <w:rsid w:val="003725D7"/>
    <w:rsid w:val="003727D1"/>
    <w:rsid w:val="00372B6E"/>
    <w:rsid w:val="00373261"/>
    <w:rsid w:val="0037398B"/>
    <w:rsid w:val="00374391"/>
    <w:rsid w:val="00374905"/>
    <w:rsid w:val="00375185"/>
    <w:rsid w:val="00375A50"/>
    <w:rsid w:val="0037651A"/>
    <w:rsid w:val="003769EB"/>
    <w:rsid w:val="00376DF4"/>
    <w:rsid w:val="003774CA"/>
    <w:rsid w:val="003778C5"/>
    <w:rsid w:val="00377B72"/>
    <w:rsid w:val="00380444"/>
    <w:rsid w:val="003809D8"/>
    <w:rsid w:val="00381087"/>
    <w:rsid w:val="003813F3"/>
    <w:rsid w:val="00381AD1"/>
    <w:rsid w:val="00381C85"/>
    <w:rsid w:val="00381D26"/>
    <w:rsid w:val="00381F18"/>
    <w:rsid w:val="003820D7"/>
    <w:rsid w:val="00382113"/>
    <w:rsid w:val="0038237D"/>
    <w:rsid w:val="0038278D"/>
    <w:rsid w:val="003828F2"/>
    <w:rsid w:val="00382D72"/>
    <w:rsid w:val="00383171"/>
    <w:rsid w:val="0038317C"/>
    <w:rsid w:val="00383290"/>
    <w:rsid w:val="00383903"/>
    <w:rsid w:val="003839C6"/>
    <w:rsid w:val="00384299"/>
    <w:rsid w:val="003844EC"/>
    <w:rsid w:val="00384554"/>
    <w:rsid w:val="00384C35"/>
    <w:rsid w:val="00384E35"/>
    <w:rsid w:val="00385264"/>
    <w:rsid w:val="00385686"/>
    <w:rsid w:val="00385924"/>
    <w:rsid w:val="00386197"/>
    <w:rsid w:val="003862B8"/>
    <w:rsid w:val="00386936"/>
    <w:rsid w:val="00386A89"/>
    <w:rsid w:val="00386B32"/>
    <w:rsid w:val="00386D83"/>
    <w:rsid w:val="00387966"/>
    <w:rsid w:val="00387B5E"/>
    <w:rsid w:val="00387C3A"/>
    <w:rsid w:val="003904BB"/>
    <w:rsid w:val="00390FFA"/>
    <w:rsid w:val="0039244A"/>
    <w:rsid w:val="003927F5"/>
    <w:rsid w:val="00392909"/>
    <w:rsid w:val="00392AA0"/>
    <w:rsid w:val="003931A6"/>
    <w:rsid w:val="00393B1C"/>
    <w:rsid w:val="00394656"/>
    <w:rsid w:val="0039520E"/>
    <w:rsid w:val="003952E2"/>
    <w:rsid w:val="00395E0F"/>
    <w:rsid w:val="00396C53"/>
    <w:rsid w:val="0039738F"/>
    <w:rsid w:val="003A01EE"/>
    <w:rsid w:val="003A1777"/>
    <w:rsid w:val="003A1D36"/>
    <w:rsid w:val="003A1E85"/>
    <w:rsid w:val="003A1F51"/>
    <w:rsid w:val="003A2E40"/>
    <w:rsid w:val="003A3155"/>
    <w:rsid w:val="003A37E9"/>
    <w:rsid w:val="003A415B"/>
    <w:rsid w:val="003A484E"/>
    <w:rsid w:val="003A4D42"/>
    <w:rsid w:val="003A4EA6"/>
    <w:rsid w:val="003A50D1"/>
    <w:rsid w:val="003A5478"/>
    <w:rsid w:val="003A568A"/>
    <w:rsid w:val="003A5DA4"/>
    <w:rsid w:val="003A62DA"/>
    <w:rsid w:val="003A6A67"/>
    <w:rsid w:val="003A79A8"/>
    <w:rsid w:val="003A7C53"/>
    <w:rsid w:val="003A7E88"/>
    <w:rsid w:val="003B0309"/>
    <w:rsid w:val="003B0956"/>
    <w:rsid w:val="003B13DB"/>
    <w:rsid w:val="003B1B0C"/>
    <w:rsid w:val="003B1EA5"/>
    <w:rsid w:val="003B300E"/>
    <w:rsid w:val="003B33AF"/>
    <w:rsid w:val="003B39CC"/>
    <w:rsid w:val="003B60EB"/>
    <w:rsid w:val="003B667D"/>
    <w:rsid w:val="003B67E3"/>
    <w:rsid w:val="003B6D56"/>
    <w:rsid w:val="003B7347"/>
    <w:rsid w:val="003C00EF"/>
    <w:rsid w:val="003C0608"/>
    <w:rsid w:val="003C08BB"/>
    <w:rsid w:val="003C230D"/>
    <w:rsid w:val="003C3022"/>
    <w:rsid w:val="003C452F"/>
    <w:rsid w:val="003C4D0B"/>
    <w:rsid w:val="003C53AE"/>
    <w:rsid w:val="003C5A35"/>
    <w:rsid w:val="003C5BCC"/>
    <w:rsid w:val="003C5DB3"/>
    <w:rsid w:val="003C63F6"/>
    <w:rsid w:val="003C666D"/>
    <w:rsid w:val="003C693C"/>
    <w:rsid w:val="003C6E73"/>
    <w:rsid w:val="003C7C93"/>
    <w:rsid w:val="003D05F3"/>
    <w:rsid w:val="003D07E8"/>
    <w:rsid w:val="003D0C90"/>
    <w:rsid w:val="003D108B"/>
    <w:rsid w:val="003D18E5"/>
    <w:rsid w:val="003D1B32"/>
    <w:rsid w:val="003D212F"/>
    <w:rsid w:val="003D2DFC"/>
    <w:rsid w:val="003D2E29"/>
    <w:rsid w:val="003D3FDB"/>
    <w:rsid w:val="003D4C3E"/>
    <w:rsid w:val="003D4C78"/>
    <w:rsid w:val="003D5421"/>
    <w:rsid w:val="003D5A15"/>
    <w:rsid w:val="003D5C9E"/>
    <w:rsid w:val="003D5F2D"/>
    <w:rsid w:val="003D649A"/>
    <w:rsid w:val="003D64E5"/>
    <w:rsid w:val="003D6E58"/>
    <w:rsid w:val="003D7673"/>
    <w:rsid w:val="003D7BB9"/>
    <w:rsid w:val="003E0084"/>
    <w:rsid w:val="003E0C59"/>
    <w:rsid w:val="003E0CB1"/>
    <w:rsid w:val="003E1153"/>
    <w:rsid w:val="003E162D"/>
    <w:rsid w:val="003E2633"/>
    <w:rsid w:val="003E2DCE"/>
    <w:rsid w:val="003E3009"/>
    <w:rsid w:val="003E3086"/>
    <w:rsid w:val="003E3C54"/>
    <w:rsid w:val="003E3CA4"/>
    <w:rsid w:val="003E41DB"/>
    <w:rsid w:val="003E4D10"/>
    <w:rsid w:val="003E51AB"/>
    <w:rsid w:val="003E556B"/>
    <w:rsid w:val="003E5CF2"/>
    <w:rsid w:val="003E65EC"/>
    <w:rsid w:val="003E66B4"/>
    <w:rsid w:val="003E6AA2"/>
    <w:rsid w:val="003E75DD"/>
    <w:rsid w:val="003E7EA5"/>
    <w:rsid w:val="003E7F9A"/>
    <w:rsid w:val="003F01B0"/>
    <w:rsid w:val="003F057F"/>
    <w:rsid w:val="003F1B87"/>
    <w:rsid w:val="003F1F98"/>
    <w:rsid w:val="003F1FC0"/>
    <w:rsid w:val="003F2689"/>
    <w:rsid w:val="003F3213"/>
    <w:rsid w:val="003F36CF"/>
    <w:rsid w:val="003F3CF5"/>
    <w:rsid w:val="003F4956"/>
    <w:rsid w:val="003F6155"/>
    <w:rsid w:val="003F61FC"/>
    <w:rsid w:val="003F663F"/>
    <w:rsid w:val="003F6C31"/>
    <w:rsid w:val="003F6EFA"/>
    <w:rsid w:val="003F7BCA"/>
    <w:rsid w:val="003F7D61"/>
    <w:rsid w:val="004000C2"/>
    <w:rsid w:val="00400700"/>
    <w:rsid w:val="00400822"/>
    <w:rsid w:val="004011EF"/>
    <w:rsid w:val="00401B4A"/>
    <w:rsid w:val="004028DA"/>
    <w:rsid w:val="004047CA"/>
    <w:rsid w:val="00404DEA"/>
    <w:rsid w:val="0040503F"/>
    <w:rsid w:val="00405503"/>
    <w:rsid w:val="004057B6"/>
    <w:rsid w:val="00405A1A"/>
    <w:rsid w:val="00406534"/>
    <w:rsid w:val="004068B4"/>
    <w:rsid w:val="00406A32"/>
    <w:rsid w:val="00406A62"/>
    <w:rsid w:val="00407A6B"/>
    <w:rsid w:val="00407D47"/>
    <w:rsid w:val="00407FE6"/>
    <w:rsid w:val="0041039E"/>
    <w:rsid w:val="004113B7"/>
    <w:rsid w:val="00411724"/>
    <w:rsid w:val="0041189F"/>
    <w:rsid w:val="00411BD2"/>
    <w:rsid w:val="00411E62"/>
    <w:rsid w:val="00411E66"/>
    <w:rsid w:val="004121E0"/>
    <w:rsid w:val="00413630"/>
    <w:rsid w:val="0041368B"/>
    <w:rsid w:val="00413822"/>
    <w:rsid w:val="004138F3"/>
    <w:rsid w:val="00413C7E"/>
    <w:rsid w:val="004143B2"/>
    <w:rsid w:val="00414440"/>
    <w:rsid w:val="004147C8"/>
    <w:rsid w:val="00414EF4"/>
    <w:rsid w:val="00415368"/>
    <w:rsid w:val="0041582F"/>
    <w:rsid w:val="004169D2"/>
    <w:rsid w:val="00416BD0"/>
    <w:rsid w:val="004170A0"/>
    <w:rsid w:val="0041722D"/>
    <w:rsid w:val="00417CFB"/>
    <w:rsid w:val="004210DC"/>
    <w:rsid w:val="00421842"/>
    <w:rsid w:val="00421BD6"/>
    <w:rsid w:val="00421D50"/>
    <w:rsid w:val="00422062"/>
    <w:rsid w:val="00422667"/>
    <w:rsid w:val="00422A68"/>
    <w:rsid w:val="00424006"/>
    <w:rsid w:val="0042428E"/>
    <w:rsid w:val="00425248"/>
    <w:rsid w:val="004252B0"/>
    <w:rsid w:val="00425B9C"/>
    <w:rsid w:val="00425FDE"/>
    <w:rsid w:val="00426631"/>
    <w:rsid w:val="00426DE2"/>
    <w:rsid w:val="00427FC2"/>
    <w:rsid w:val="00430410"/>
    <w:rsid w:val="0043088A"/>
    <w:rsid w:val="004310D1"/>
    <w:rsid w:val="00432973"/>
    <w:rsid w:val="0043364B"/>
    <w:rsid w:val="00433D4A"/>
    <w:rsid w:val="004340F3"/>
    <w:rsid w:val="0043441C"/>
    <w:rsid w:val="004345E1"/>
    <w:rsid w:val="00434EE2"/>
    <w:rsid w:val="00435667"/>
    <w:rsid w:val="00436192"/>
    <w:rsid w:val="00436342"/>
    <w:rsid w:val="00436367"/>
    <w:rsid w:val="00437408"/>
    <w:rsid w:val="00437C3E"/>
    <w:rsid w:val="004401A0"/>
    <w:rsid w:val="00440FA5"/>
    <w:rsid w:val="0044129B"/>
    <w:rsid w:val="00441A86"/>
    <w:rsid w:val="00441E3C"/>
    <w:rsid w:val="004421F0"/>
    <w:rsid w:val="004434C7"/>
    <w:rsid w:val="00443521"/>
    <w:rsid w:val="00443577"/>
    <w:rsid w:val="0044374C"/>
    <w:rsid w:val="004438C1"/>
    <w:rsid w:val="00443D77"/>
    <w:rsid w:val="0044412A"/>
    <w:rsid w:val="004444FC"/>
    <w:rsid w:val="00444769"/>
    <w:rsid w:val="00444888"/>
    <w:rsid w:val="004449E3"/>
    <w:rsid w:val="004478CE"/>
    <w:rsid w:val="004479FA"/>
    <w:rsid w:val="00447B26"/>
    <w:rsid w:val="00447BA8"/>
    <w:rsid w:val="004507DC"/>
    <w:rsid w:val="00450EFA"/>
    <w:rsid w:val="00450FAE"/>
    <w:rsid w:val="0045104D"/>
    <w:rsid w:val="004511A0"/>
    <w:rsid w:val="00451554"/>
    <w:rsid w:val="00451AC6"/>
    <w:rsid w:val="00451E53"/>
    <w:rsid w:val="00453877"/>
    <w:rsid w:val="00453A84"/>
    <w:rsid w:val="004543F2"/>
    <w:rsid w:val="004547B4"/>
    <w:rsid w:val="00455C96"/>
    <w:rsid w:val="00455ED8"/>
    <w:rsid w:val="00456B0D"/>
    <w:rsid w:val="00460087"/>
    <w:rsid w:val="00460392"/>
    <w:rsid w:val="00460666"/>
    <w:rsid w:val="00460EF9"/>
    <w:rsid w:val="00461538"/>
    <w:rsid w:val="004615E0"/>
    <w:rsid w:val="004616EE"/>
    <w:rsid w:val="0046220B"/>
    <w:rsid w:val="00462878"/>
    <w:rsid w:val="0046325D"/>
    <w:rsid w:val="0046410F"/>
    <w:rsid w:val="004642DF"/>
    <w:rsid w:val="00464387"/>
    <w:rsid w:val="00466260"/>
    <w:rsid w:val="0046647F"/>
    <w:rsid w:val="0046653F"/>
    <w:rsid w:val="00466C99"/>
    <w:rsid w:val="00467271"/>
    <w:rsid w:val="004673EE"/>
    <w:rsid w:val="00467448"/>
    <w:rsid w:val="00467A83"/>
    <w:rsid w:val="00470B11"/>
    <w:rsid w:val="00470B8A"/>
    <w:rsid w:val="00470BE6"/>
    <w:rsid w:val="00471F42"/>
    <w:rsid w:val="00472245"/>
    <w:rsid w:val="00472794"/>
    <w:rsid w:val="00472C3F"/>
    <w:rsid w:val="00473979"/>
    <w:rsid w:val="00473B2A"/>
    <w:rsid w:val="00473E27"/>
    <w:rsid w:val="0047464D"/>
    <w:rsid w:val="00475C37"/>
    <w:rsid w:val="004761DA"/>
    <w:rsid w:val="004767A5"/>
    <w:rsid w:val="00476E7A"/>
    <w:rsid w:val="004772A8"/>
    <w:rsid w:val="00477639"/>
    <w:rsid w:val="00477B01"/>
    <w:rsid w:val="00477B53"/>
    <w:rsid w:val="00481005"/>
    <w:rsid w:val="0048129B"/>
    <w:rsid w:val="00481527"/>
    <w:rsid w:val="00482179"/>
    <w:rsid w:val="00482AFC"/>
    <w:rsid w:val="00482B84"/>
    <w:rsid w:val="004837F2"/>
    <w:rsid w:val="00483A67"/>
    <w:rsid w:val="00483E2E"/>
    <w:rsid w:val="00483F2D"/>
    <w:rsid w:val="004840F5"/>
    <w:rsid w:val="004842A8"/>
    <w:rsid w:val="0048544A"/>
    <w:rsid w:val="0048568B"/>
    <w:rsid w:val="0048620E"/>
    <w:rsid w:val="004864E4"/>
    <w:rsid w:val="00486A30"/>
    <w:rsid w:val="004874C9"/>
    <w:rsid w:val="00490F11"/>
    <w:rsid w:val="004911FE"/>
    <w:rsid w:val="004923AF"/>
    <w:rsid w:val="00492730"/>
    <w:rsid w:val="00492F88"/>
    <w:rsid w:val="004935ED"/>
    <w:rsid w:val="004936A5"/>
    <w:rsid w:val="004944F4"/>
    <w:rsid w:val="00494815"/>
    <w:rsid w:val="0049492D"/>
    <w:rsid w:val="004953A0"/>
    <w:rsid w:val="00495957"/>
    <w:rsid w:val="0049640D"/>
    <w:rsid w:val="0049696F"/>
    <w:rsid w:val="00496C24"/>
    <w:rsid w:val="00497374"/>
    <w:rsid w:val="004A0231"/>
    <w:rsid w:val="004A115A"/>
    <w:rsid w:val="004A177D"/>
    <w:rsid w:val="004A1B3A"/>
    <w:rsid w:val="004A21AA"/>
    <w:rsid w:val="004A2338"/>
    <w:rsid w:val="004A28DF"/>
    <w:rsid w:val="004A2A8D"/>
    <w:rsid w:val="004A2ECC"/>
    <w:rsid w:val="004A325D"/>
    <w:rsid w:val="004A4398"/>
    <w:rsid w:val="004A4514"/>
    <w:rsid w:val="004A4861"/>
    <w:rsid w:val="004A4D7B"/>
    <w:rsid w:val="004A4DD4"/>
    <w:rsid w:val="004A5CAE"/>
    <w:rsid w:val="004A5FDA"/>
    <w:rsid w:val="004A62F3"/>
    <w:rsid w:val="004A6865"/>
    <w:rsid w:val="004A6A00"/>
    <w:rsid w:val="004A7C3A"/>
    <w:rsid w:val="004A7F57"/>
    <w:rsid w:val="004B08E1"/>
    <w:rsid w:val="004B12CB"/>
    <w:rsid w:val="004B363D"/>
    <w:rsid w:val="004B3A10"/>
    <w:rsid w:val="004B3B3D"/>
    <w:rsid w:val="004B3D8E"/>
    <w:rsid w:val="004B3E50"/>
    <w:rsid w:val="004B3EE2"/>
    <w:rsid w:val="004B42DE"/>
    <w:rsid w:val="004B46D3"/>
    <w:rsid w:val="004B4A8F"/>
    <w:rsid w:val="004B4ABD"/>
    <w:rsid w:val="004B5007"/>
    <w:rsid w:val="004B5B22"/>
    <w:rsid w:val="004B6428"/>
    <w:rsid w:val="004B6896"/>
    <w:rsid w:val="004B796D"/>
    <w:rsid w:val="004B7C96"/>
    <w:rsid w:val="004B7FA5"/>
    <w:rsid w:val="004C07D3"/>
    <w:rsid w:val="004C08E5"/>
    <w:rsid w:val="004C128A"/>
    <w:rsid w:val="004C158B"/>
    <w:rsid w:val="004C1D05"/>
    <w:rsid w:val="004C2174"/>
    <w:rsid w:val="004C2425"/>
    <w:rsid w:val="004C294E"/>
    <w:rsid w:val="004C2DFF"/>
    <w:rsid w:val="004C33C6"/>
    <w:rsid w:val="004C38D4"/>
    <w:rsid w:val="004C3E14"/>
    <w:rsid w:val="004C4347"/>
    <w:rsid w:val="004C51B0"/>
    <w:rsid w:val="004C54AC"/>
    <w:rsid w:val="004C5FFE"/>
    <w:rsid w:val="004C763A"/>
    <w:rsid w:val="004D09A3"/>
    <w:rsid w:val="004D11C3"/>
    <w:rsid w:val="004D1472"/>
    <w:rsid w:val="004D14AB"/>
    <w:rsid w:val="004D153D"/>
    <w:rsid w:val="004D1EF0"/>
    <w:rsid w:val="004D1F48"/>
    <w:rsid w:val="004D1FDE"/>
    <w:rsid w:val="004D21D4"/>
    <w:rsid w:val="004D223E"/>
    <w:rsid w:val="004D2344"/>
    <w:rsid w:val="004D27AE"/>
    <w:rsid w:val="004D2B59"/>
    <w:rsid w:val="004D3753"/>
    <w:rsid w:val="004D3CE7"/>
    <w:rsid w:val="004D413D"/>
    <w:rsid w:val="004D4C3E"/>
    <w:rsid w:val="004D4E2D"/>
    <w:rsid w:val="004D52D1"/>
    <w:rsid w:val="004D5625"/>
    <w:rsid w:val="004D60C2"/>
    <w:rsid w:val="004D659A"/>
    <w:rsid w:val="004D705A"/>
    <w:rsid w:val="004D70DC"/>
    <w:rsid w:val="004D7197"/>
    <w:rsid w:val="004D7404"/>
    <w:rsid w:val="004D79A5"/>
    <w:rsid w:val="004D7B0F"/>
    <w:rsid w:val="004D7B5D"/>
    <w:rsid w:val="004D7C26"/>
    <w:rsid w:val="004E0F35"/>
    <w:rsid w:val="004E1438"/>
    <w:rsid w:val="004E1867"/>
    <w:rsid w:val="004E1C3E"/>
    <w:rsid w:val="004E20C5"/>
    <w:rsid w:val="004E235C"/>
    <w:rsid w:val="004E23AB"/>
    <w:rsid w:val="004E241E"/>
    <w:rsid w:val="004E2ABA"/>
    <w:rsid w:val="004E2DB9"/>
    <w:rsid w:val="004E3241"/>
    <w:rsid w:val="004E3CBF"/>
    <w:rsid w:val="004E3F79"/>
    <w:rsid w:val="004E4033"/>
    <w:rsid w:val="004E4C58"/>
    <w:rsid w:val="004E57F1"/>
    <w:rsid w:val="004E6852"/>
    <w:rsid w:val="004E6E23"/>
    <w:rsid w:val="004E6ECB"/>
    <w:rsid w:val="004E7091"/>
    <w:rsid w:val="004E7160"/>
    <w:rsid w:val="004E7699"/>
    <w:rsid w:val="004E7737"/>
    <w:rsid w:val="004F0085"/>
    <w:rsid w:val="004F079B"/>
    <w:rsid w:val="004F08C3"/>
    <w:rsid w:val="004F1283"/>
    <w:rsid w:val="004F13FC"/>
    <w:rsid w:val="004F1514"/>
    <w:rsid w:val="004F1F9E"/>
    <w:rsid w:val="004F2200"/>
    <w:rsid w:val="004F26E9"/>
    <w:rsid w:val="004F3651"/>
    <w:rsid w:val="004F3D8C"/>
    <w:rsid w:val="004F40F8"/>
    <w:rsid w:val="004F4BA1"/>
    <w:rsid w:val="004F523A"/>
    <w:rsid w:val="004F5C43"/>
    <w:rsid w:val="004F5DDB"/>
    <w:rsid w:val="004F6162"/>
    <w:rsid w:val="004F63FF"/>
    <w:rsid w:val="004F68D0"/>
    <w:rsid w:val="004F6EA6"/>
    <w:rsid w:val="004F746B"/>
    <w:rsid w:val="004F7A4C"/>
    <w:rsid w:val="0050077D"/>
    <w:rsid w:val="0050118D"/>
    <w:rsid w:val="00501689"/>
    <w:rsid w:val="00502380"/>
    <w:rsid w:val="005026D2"/>
    <w:rsid w:val="005027A4"/>
    <w:rsid w:val="005027E6"/>
    <w:rsid w:val="00502DD1"/>
    <w:rsid w:val="0050305A"/>
    <w:rsid w:val="005031D6"/>
    <w:rsid w:val="00503430"/>
    <w:rsid w:val="005045D8"/>
    <w:rsid w:val="00504F35"/>
    <w:rsid w:val="00506053"/>
    <w:rsid w:val="00506673"/>
    <w:rsid w:val="0050674C"/>
    <w:rsid w:val="00506FDE"/>
    <w:rsid w:val="0050707A"/>
    <w:rsid w:val="005070D5"/>
    <w:rsid w:val="005103ED"/>
    <w:rsid w:val="005104CA"/>
    <w:rsid w:val="0051105A"/>
    <w:rsid w:val="005112F4"/>
    <w:rsid w:val="00511910"/>
    <w:rsid w:val="00511F65"/>
    <w:rsid w:val="005126DC"/>
    <w:rsid w:val="00512AB4"/>
    <w:rsid w:val="00512CC1"/>
    <w:rsid w:val="00512F32"/>
    <w:rsid w:val="0051442A"/>
    <w:rsid w:val="00514804"/>
    <w:rsid w:val="005149AF"/>
    <w:rsid w:val="00514A32"/>
    <w:rsid w:val="0051653C"/>
    <w:rsid w:val="005166DF"/>
    <w:rsid w:val="00516849"/>
    <w:rsid w:val="00516C7D"/>
    <w:rsid w:val="00517336"/>
    <w:rsid w:val="00517D0C"/>
    <w:rsid w:val="005202CA"/>
    <w:rsid w:val="005205CC"/>
    <w:rsid w:val="00520E21"/>
    <w:rsid w:val="0052150E"/>
    <w:rsid w:val="005219BD"/>
    <w:rsid w:val="00522B8C"/>
    <w:rsid w:val="0052301A"/>
    <w:rsid w:val="00523434"/>
    <w:rsid w:val="00523E52"/>
    <w:rsid w:val="00524F61"/>
    <w:rsid w:val="005260CC"/>
    <w:rsid w:val="005265FA"/>
    <w:rsid w:val="00526EA3"/>
    <w:rsid w:val="005276D8"/>
    <w:rsid w:val="00527B0B"/>
    <w:rsid w:val="0053243A"/>
    <w:rsid w:val="00532A4A"/>
    <w:rsid w:val="00532B20"/>
    <w:rsid w:val="00532F37"/>
    <w:rsid w:val="0053317C"/>
    <w:rsid w:val="005333F1"/>
    <w:rsid w:val="00533831"/>
    <w:rsid w:val="00533B3F"/>
    <w:rsid w:val="00534009"/>
    <w:rsid w:val="005344AD"/>
    <w:rsid w:val="005348F9"/>
    <w:rsid w:val="005349BF"/>
    <w:rsid w:val="00534A24"/>
    <w:rsid w:val="00534C1D"/>
    <w:rsid w:val="00534C5C"/>
    <w:rsid w:val="00534DD4"/>
    <w:rsid w:val="00534F9F"/>
    <w:rsid w:val="005354FA"/>
    <w:rsid w:val="00535553"/>
    <w:rsid w:val="00535732"/>
    <w:rsid w:val="005360D8"/>
    <w:rsid w:val="00536641"/>
    <w:rsid w:val="005367D0"/>
    <w:rsid w:val="00536C81"/>
    <w:rsid w:val="00537199"/>
    <w:rsid w:val="005374AF"/>
    <w:rsid w:val="005378A6"/>
    <w:rsid w:val="00537E2C"/>
    <w:rsid w:val="00540110"/>
    <w:rsid w:val="00540334"/>
    <w:rsid w:val="00540721"/>
    <w:rsid w:val="005408AD"/>
    <w:rsid w:val="00541257"/>
    <w:rsid w:val="00541952"/>
    <w:rsid w:val="00541B64"/>
    <w:rsid w:val="00542DF8"/>
    <w:rsid w:val="00542E03"/>
    <w:rsid w:val="005438EB"/>
    <w:rsid w:val="005439A7"/>
    <w:rsid w:val="00543CC7"/>
    <w:rsid w:val="0054454F"/>
    <w:rsid w:val="005445CE"/>
    <w:rsid w:val="00544B08"/>
    <w:rsid w:val="00545704"/>
    <w:rsid w:val="00545757"/>
    <w:rsid w:val="00546F7A"/>
    <w:rsid w:val="00547298"/>
    <w:rsid w:val="00547606"/>
    <w:rsid w:val="00547922"/>
    <w:rsid w:val="00547AEB"/>
    <w:rsid w:val="00547F87"/>
    <w:rsid w:val="0055012A"/>
    <w:rsid w:val="00551BC4"/>
    <w:rsid w:val="0055265C"/>
    <w:rsid w:val="00552664"/>
    <w:rsid w:val="0055318E"/>
    <w:rsid w:val="00553AC7"/>
    <w:rsid w:val="005541DA"/>
    <w:rsid w:val="00554916"/>
    <w:rsid w:val="00554F32"/>
    <w:rsid w:val="005550C9"/>
    <w:rsid w:val="00555300"/>
    <w:rsid w:val="005559CF"/>
    <w:rsid w:val="00556543"/>
    <w:rsid w:val="00556696"/>
    <w:rsid w:val="0055694D"/>
    <w:rsid w:val="00557306"/>
    <w:rsid w:val="00560543"/>
    <w:rsid w:val="00562758"/>
    <w:rsid w:val="00562C29"/>
    <w:rsid w:val="00563068"/>
    <w:rsid w:val="00563843"/>
    <w:rsid w:val="00563D04"/>
    <w:rsid w:val="00563F64"/>
    <w:rsid w:val="00564480"/>
    <w:rsid w:val="005645B0"/>
    <w:rsid w:val="00564B96"/>
    <w:rsid w:val="00564F0A"/>
    <w:rsid w:val="00564F7A"/>
    <w:rsid w:val="00565124"/>
    <w:rsid w:val="0056584B"/>
    <w:rsid w:val="005661A1"/>
    <w:rsid w:val="00566787"/>
    <w:rsid w:val="0056702D"/>
    <w:rsid w:val="00567281"/>
    <w:rsid w:val="005676D9"/>
    <w:rsid w:val="00567A51"/>
    <w:rsid w:val="00567FB2"/>
    <w:rsid w:val="00570A83"/>
    <w:rsid w:val="00570A98"/>
    <w:rsid w:val="0057102B"/>
    <w:rsid w:val="005710AE"/>
    <w:rsid w:val="00571172"/>
    <w:rsid w:val="005712DF"/>
    <w:rsid w:val="005714A0"/>
    <w:rsid w:val="00571C46"/>
    <w:rsid w:val="00571C99"/>
    <w:rsid w:val="00571F10"/>
    <w:rsid w:val="00572346"/>
    <w:rsid w:val="005727DE"/>
    <w:rsid w:val="00572F15"/>
    <w:rsid w:val="0057348D"/>
    <w:rsid w:val="00574320"/>
    <w:rsid w:val="0057458D"/>
    <w:rsid w:val="0057465A"/>
    <w:rsid w:val="0057520E"/>
    <w:rsid w:val="00575529"/>
    <w:rsid w:val="0057575B"/>
    <w:rsid w:val="00575A86"/>
    <w:rsid w:val="005762AD"/>
    <w:rsid w:val="00576563"/>
    <w:rsid w:val="0057713E"/>
    <w:rsid w:val="005777C5"/>
    <w:rsid w:val="005803FD"/>
    <w:rsid w:val="0058066F"/>
    <w:rsid w:val="00580A99"/>
    <w:rsid w:val="00580B24"/>
    <w:rsid w:val="00580E18"/>
    <w:rsid w:val="005813B4"/>
    <w:rsid w:val="00581571"/>
    <w:rsid w:val="005815D8"/>
    <w:rsid w:val="00581C66"/>
    <w:rsid w:val="00581C69"/>
    <w:rsid w:val="00581E62"/>
    <w:rsid w:val="00582180"/>
    <w:rsid w:val="005822B7"/>
    <w:rsid w:val="00582CDA"/>
    <w:rsid w:val="0058386C"/>
    <w:rsid w:val="00583FC8"/>
    <w:rsid w:val="00584B49"/>
    <w:rsid w:val="005850EB"/>
    <w:rsid w:val="005859DB"/>
    <w:rsid w:val="005863D6"/>
    <w:rsid w:val="00586A42"/>
    <w:rsid w:val="0058706A"/>
    <w:rsid w:val="005874B0"/>
    <w:rsid w:val="0058758C"/>
    <w:rsid w:val="00587D86"/>
    <w:rsid w:val="00590E6C"/>
    <w:rsid w:val="00590EF1"/>
    <w:rsid w:val="00590F73"/>
    <w:rsid w:val="00591067"/>
    <w:rsid w:val="00591D28"/>
    <w:rsid w:val="00592443"/>
    <w:rsid w:val="00592B7A"/>
    <w:rsid w:val="00592C9D"/>
    <w:rsid w:val="005930E3"/>
    <w:rsid w:val="005931E7"/>
    <w:rsid w:val="0059337C"/>
    <w:rsid w:val="00594B9E"/>
    <w:rsid w:val="00594F3E"/>
    <w:rsid w:val="00596176"/>
    <w:rsid w:val="005963E0"/>
    <w:rsid w:val="00596B22"/>
    <w:rsid w:val="00596EBE"/>
    <w:rsid w:val="00597676"/>
    <w:rsid w:val="005A0655"/>
    <w:rsid w:val="005A0AE8"/>
    <w:rsid w:val="005A0F6E"/>
    <w:rsid w:val="005A1BD1"/>
    <w:rsid w:val="005A3F8D"/>
    <w:rsid w:val="005B05BD"/>
    <w:rsid w:val="005B06EE"/>
    <w:rsid w:val="005B0734"/>
    <w:rsid w:val="005B0B90"/>
    <w:rsid w:val="005B1323"/>
    <w:rsid w:val="005B242F"/>
    <w:rsid w:val="005B2FD4"/>
    <w:rsid w:val="005B314B"/>
    <w:rsid w:val="005B31BF"/>
    <w:rsid w:val="005B35B1"/>
    <w:rsid w:val="005B38F6"/>
    <w:rsid w:val="005B643C"/>
    <w:rsid w:val="005B6806"/>
    <w:rsid w:val="005B6C84"/>
    <w:rsid w:val="005B6EDB"/>
    <w:rsid w:val="005B6F15"/>
    <w:rsid w:val="005B779C"/>
    <w:rsid w:val="005C0498"/>
    <w:rsid w:val="005C0592"/>
    <w:rsid w:val="005C1120"/>
    <w:rsid w:val="005C123B"/>
    <w:rsid w:val="005C1E6A"/>
    <w:rsid w:val="005C271A"/>
    <w:rsid w:val="005C35EA"/>
    <w:rsid w:val="005C36A6"/>
    <w:rsid w:val="005C3BE6"/>
    <w:rsid w:val="005C424F"/>
    <w:rsid w:val="005C5A9F"/>
    <w:rsid w:val="005C5CB5"/>
    <w:rsid w:val="005C5D29"/>
    <w:rsid w:val="005C62AE"/>
    <w:rsid w:val="005C66CD"/>
    <w:rsid w:val="005C74C5"/>
    <w:rsid w:val="005D0E98"/>
    <w:rsid w:val="005D1707"/>
    <w:rsid w:val="005D1F2F"/>
    <w:rsid w:val="005D220F"/>
    <w:rsid w:val="005D27B2"/>
    <w:rsid w:val="005D2D56"/>
    <w:rsid w:val="005D33B4"/>
    <w:rsid w:val="005D3BA7"/>
    <w:rsid w:val="005D3E7E"/>
    <w:rsid w:val="005D43C1"/>
    <w:rsid w:val="005D453D"/>
    <w:rsid w:val="005D4D54"/>
    <w:rsid w:val="005D5FA1"/>
    <w:rsid w:val="005D6CB5"/>
    <w:rsid w:val="005D6CC6"/>
    <w:rsid w:val="005D6E92"/>
    <w:rsid w:val="005D76D3"/>
    <w:rsid w:val="005D7965"/>
    <w:rsid w:val="005E021E"/>
    <w:rsid w:val="005E06C8"/>
    <w:rsid w:val="005E083E"/>
    <w:rsid w:val="005E153B"/>
    <w:rsid w:val="005E3967"/>
    <w:rsid w:val="005E39AF"/>
    <w:rsid w:val="005E3AFE"/>
    <w:rsid w:val="005E3EB3"/>
    <w:rsid w:val="005E43B8"/>
    <w:rsid w:val="005E54B7"/>
    <w:rsid w:val="005E5AA2"/>
    <w:rsid w:val="005E5E88"/>
    <w:rsid w:val="005E69E4"/>
    <w:rsid w:val="005E72F4"/>
    <w:rsid w:val="005E7B94"/>
    <w:rsid w:val="005F088A"/>
    <w:rsid w:val="005F096F"/>
    <w:rsid w:val="005F0E27"/>
    <w:rsid w:val="005F117D"/>
    <w:rsid w:val="005F1337"/>
    <w:rsid w:val="005F1579"/>
    <w:rsid w:val="005F19CF"/>
    <w:rsid w:val="005F2568"/>
    <w:rsid w:val="005F279E"/>
    <w:rsid w:val="005F3680"/>
    <w:rsid w:val="005F3793"/>
    <w:rsid w:val="005F3804"/>
    <w:rsid w:val="005F6242"/>
    <w:rsid w:val="005F63A5"/>
    <w:rsid w:val="005F6DBF"/>
    <w:rsid w:val="005F726B"/>
    <w:rsid w:val="005F7C07"/>
    <w:rsid w:val="005F7DC1"/>
    <w:rsid w:val="00600D4E"/>
    <w:rsid w:val="00601633"/>
    <w:rsid w:val="00601A27"/>
    <w:rsid w:val="00602176"/>
    <w:rsid w:val="00602A2C"/>
    <w:rsid w:val="00603091"/>
    <w:rsid w:val="006030DD"/>
    <w:rsid w:val="00603EA3"/>
    <w:rsid w:val="00604999"/>
    <w:rsid w:val="00605099"/>
    <w:rsid w:val="006058C7"/>
    <w:rsid w:val="00605963"/>
    <w:rsid w:val="00606534"/>
    <w:rsid w:val="006071A7"/>
    <w:rsid w:val="006076FF"/>
    <w:rsid w:val="00607799"/>
    <w:rsid w:val="006102AE"/>
    <w:rsid w:val="006103B7"/>
    <w:rsid w:val="00610BFB"/>
    <w:rsid w:val="00611E68"/>
    <w:rsid w:val="00612633"/>
    <w:rsid w:val="0061271A"/>
    <w:rsid w:val="00612AA5"/>
    <w:rsid w:val="00612EB7"/>
    <w:rsid w:val="00612FD8"/>
    <w:rsid w:val="00613555"/>
    <w:rsid w:val="0061425E"/>
    <w:rsid w:val="00615147"/>
    <w:rsid w:val="006151C1"/>
    <w:rsid w:val="00615926"/>
    <w:rsid w:val="00616502"/>
    <w:rsid w:val="00616638"/>
    <w:rsid w:val="00616B06"/>
    <w:rsid w:val="0061710F"/>
    <w:rsid w:val="0061739B"/>
    <w:rsid w:val="006174F9"/>
    <w:rsid w:val="0061755B"/>
    <w:rsid w:val="00617723"/>
    <w:rsid w:val="00617C05"/>
    <w:rsid w:val="00617D45"/>
    <w:rsid w:val="00617EE8"/>
    <w:rsid w:val="0062050A"/>
    <w:rsid w:val="00620A81"/>
    <w:rsid w:val="00621159"/>
    <w:rsid w:val="00622A86"/>
    <w:rsid w:val="00622B15"/>
    <w:rsid w:val="006234E5"/>
    <w:rsid w:val="00623AD4"/>
    <w:rsid w:val="00623F69"/>
    <w:rsid w:val="0062411D"/>
    <w:rsid w:val="00624FF3"/>
    <w:rsid w:val="0062581C"/>
    <w:rsid w:val="00625845"/>
    <w:rsid w:val="00626640"/>
    <w:rsid w:val="00626847"/>
    <w:rsid w:val="00626A89"/>
    <w:rsid w:val="00626C7E"/>
    <w:rsid w:val="00626DE2"/>
    <w:rsid w:val="00630101"/>
    <w:rsid w:val="006306D0"/>
    <w:rsid w:val="00630A65"/>
    <w:rsid w:val="00630CCE"/>
    <w:rsid w:val="0063126E"/>
    <w:rsid w:val="00631ECA"/>
    <w:rsid w:val="006324DC"/>
    <w:rsid w:val="006330D3"/>
    <w:rsid w:val="006330EF"/>
    <w:rsid w:val="0063355F"/>
    <w:rsid w:val="006335D4"/>
    <w:rsid w:val="006336BF"/>
    <w:rsid w:val="00634643"/>
    <w:rsid w:val="00634F4B"/>
    <w:rsid w:val="006356AB"/>
    <w:rsid w:val="006356BF"/>
    <w:rsid w:val="0063627D"/>
    <w:rsid w:val="00636414"/>
    <w:rsid w:val="006407A7"/>
    <w:rsid w:val="00640AC3"/>
    <w:rsid w:val="00640C57"/>
    <w:rsid w:val="00641057"/>
    <w:rsid w:val="0064231C"/>
    <w:rsid w:val="00644AF6"/>
    <w:rsid w:val="00645215"/>
    <w:rsid w:val="006454E3"/>
    <w:rsid w:val="00645A17"/>
    <w:rsid w:val="00645DF0"/>
    <w:rsid w:val="006460DB"/>
    <w:rsid w:val="006462E7"/>
    <w:rsid w:val="0064643F"/>
    <w:rsid w:val="00647BBE"/>
    <w:rsid w:val="00647CAE"/>
    <w:rsid w:val="00650AEA"/>
    <w:rsid w:val="00650E61"/>
    <w:rsid w:val="006521D1"/>
    <w:rsid w:val="00652CE0"/>
    <w:rsid w:val="00653857"/>
    <w:rsid w:val="0065391A"/>
    <w:rsid w:val="00653F92"/>
    <w:rsid w:val="006540C2"/>
    <w:rsid w:val="006546AD"/>
    <w:rsid w:val="0065473D"/>
    <w:rsid w:val="00654B96"/>
    <w:rsid w:val="00654C32"/>
    <w:rsid w:val="006551C9"/>
    <w:rsid w:val="00655A2D"/>
    <w:rsid w:val="00655A5D"/>
    <w:rsid w:val="00655C54"/>
    <w:rsid w:val="006567F3"/>
    <w:rsid w:val="00656B8F"/>
    <w:rsid w:val="00657746"/>
    <w:rsid w:val="00657B68"/>
    <w:rsid w:val="00657C85"/>
    <w:rsid w:val="006602B8"/>
    <w:rsid w:val="006614AD"/>
    <w:rsid w:val="00662126"/>
    <w:rsid w:val="006622A8"/>
    <w:rsid w:val="0066271E"/>
    <w:rsid w:val="00662AE8"/>
    <w:rsid w:val="006634C7"/>
    <w:rsid w:val="0066486F"/>
    <w:rsid w:val="00664D92"/>
    <w:rsid w:val="00665491"/>
    <w:rsid w:val="00665818"/>
    <w:rsid w:val="00665DDE"/>
    <w:rsid w:val="00665ED6"/>
    <w:rsid w:val="0066718A"/>
    <w:rsid w:val="00667402"/>
    <w:rsid w:val="0067022C"/>
    <w:rsid w:val="0067057F"/>
    <w:rsid w:val="006706D9"/>
    <w:rsid w:val="0067072D"/>
    <w:rsid w:val="00670A3B"/>
    <w:rsid w:val="00670F24"/>
    <w:rsid w:val="00670F3B"/>
    <w:rsid w:val="006711C0"/>
    <w:rsid w:val="006712C8"/>
    <w:rsid w:val="00671379"/>
    <w:rsid w:val="00671412"/>
    <w:rsid w:val="00671804"/>
    <w:rsid w:val="00672DEC"/>
    <w:rsid w:val="006732A7"/>
    <w:rsid w:val="006736DE"/>
    <w:rsid w:val="00673991"/>
    <w:rsid w:val="00673AB9"/>
    <w:rsid w:val="00673BED"/>
    <w:rsid w:val="006746F1"/>
    <w:rsid w:val="00674E26"/>
    <w:rsid w:val="0067550C"/>
    <w:rsid w:val="006757CA"/>
    <w:rsid w:val="00675D64"/>
    <w:rsid w:val="0067631C"/>
    <w:rsid w:val="00676543"/>
    <w:rsid w:val="00676F10"/>
    <w:rsid w:val="00680968"/>
    <w:rsid w:val="00680BF8"/>
    <w:rsid w:val="006812F6"/>
    <w:rsid w:val="006813B8"/>
    <w:rsid w:val="00681783"/>
    <w:rsid w:val="00682A07"/>
    <w:rsid w:val="00683ECB"/>
    <w:rsid w:val="00683FF1"/>
    <w:rsid w:val="00684469"/>
    <w:rsid w:val="006847FA"/>
    <w:rsid w:val="006853BC"/>
    <w:rsid w:val="0068607D"/>
    <w:rsid w:val="006877F0"/>
    <w:rsid w:val="00687CE9"/>
    <w:rsid w:val="00690526"/>
    <w:rsid w:val="00691148"/>
    <w:rsid w:val="00691495"/>
    <w:rsid w:val="00691D03"/>
    <w:rsid w:val="00691F9D"/>
    <w:rsid w:val="0069233C"/>
    <w:rsid w:val="00692349"/>
    <w:rsid w:val="006923EA"/>
    <w:rsid w:val="006925CC"/>
    <w:rsid w:val="00692B6C"/>
    <w:rsid w:val="006930CC"/>
    <w:rsid w:val="006933D3"/>
    <w:rsid w:val="006936FE"/>
    <w:rsid w:val="00693B22"/>
    <w:rsid w:val="00693D19"/>
    <w:rsid w:val="00694671"/>
    <w:rsid w:val="0069493C"/>
    <w:rsid w:val="006954FE"/>
    <w:rsid w:val="00696E04"/>
    <w:rsid w:val="00696FD9"/>
    <w:rsid w:val="00697070"/>
    <w:rsid w:val="006A06B3"/>
    <w:rsid w:val="006A083A"/>
    <w:rsid w:val="006A09C3"/>
    <w:rsid w:val="006A0DDA"/>
    <w:rsid w:val="006A17D8"/>
    <w:rsid w:val="006A17F4"/>
    <w:rsid w:val="006A1F46"/>
    <w:rsid w:val="006A25E2"/>
    <w:rsid w:val="006A275E"/>
    <w:rsid w:val="006A2875"/>
    <w:rsid w:val="006A2D2A"/>
    <w:rsid w:val="006A2E9B"/>
    <w:rsid w:val="006A34D4"/>
    <w:rsid w:val="006A55C8"/>
    <w:rsid w:val="006A580A"/>
    <w:rsid w:val="006A5AFD"/>
    <w:rsid w:val="006A5F90"/>
    <w:rsid w:val="006A5FB4"/>
    <w:rsid w:val="006A69C4"/>
    <w:rsid w:val="006A74D2"/>
    <w:rsid w:val="006A786C"/>
    <w:rsid w:val="006A79F8"/>
    <w:rsid w:val="006A7BFE"/>
    <w:rsid w:val="006A7CA3"/>
    <w:rsid w:val="006A7DFA"/>
    <w:rsid w:val="006A7FED"/>
    <w:rsid w:val="006B04D0"/>
    <w:rsid w:val="006B0777"/>
    <w:rsid w:val="006B1772"/>
    <w:rsid w:val="006B29A4"/>
    <w:rsid w:val="006B31B5"/>
    <w:rsid w:val="006B3387"/>
    <w:rsid w:val="006B3408"/>
    <w:rsid w:val="006B3D05"/>
    <w:rsid w:val="006B458D"/>
    <w:rsid w:val="006B49E1"/>
    <w:rsid w:val="006B51F1"/>
    <w:rsid w:val="006B5C65"/>
    <w:rsid w:val="006B6112"/>
    <w:rsid w:val="006B6312"/>
    <w:rsid w:val="006B6332"/>
    <w:rsid w:val="006B676A"/>
    <w:rsid w:val="006B6C33"/>
    <w:rsid w:val="006B6CE5"/>
    <w:rsid w:val="006B7B3A"/>
    <w:rsid w:val="006B7EC8"/>
    <w:rsid w:val="006C018C"/>
    <w:rsid w:val="006C0504"/>
    <w:rsid w:val="006C0667"/>
    <w:rsid w:val="006C0AB4"/>
    <w:rsid w:val="006C0F9B"/>
    <w:rsid w:val="006C10DC"/>
    <w:rsid w:val="006C1BF9"/>
    <w:rsid w:val="006C1CB0"/>
    <w:rsid w:val="006C2D1E"/>
    <w:rsid w:val="006C3440"/>
    <w:rsid w:val="006C414C"/>
    <w:rsid w:val="006C4671"/>
    <w:rsid w:val="006C486B"/>
    <w:rsid w:val="006C4A6A"/>
    <w:rsid w:val="006C4BA9"/>
    <w:rsid w:val="006C512D"/>
    <w:rsid w:val="006C543B"/>
    <w:rsid w:val="006C5AA8"/>
    <w:rsid w:val="006C5AB1"/>
    <w:rsid w:val="006C6784"/>
    <w:rsid w:val="006C6AB5"/>
    <w:rsid w:val="006C6E9C"/>
    <w:rsid w:val="006C6F11"/>
    <w:rsid w:val="006C739D"/>
    <w:rsid w:val="006C7BD1"/>
    <w:rsid w:val="006C7D1E"/>
    <w:rsid w:val="006D02FA"/>
    <w:rsid w:val="006D071B"/>
    <w:rsid w:val="006D1673"/>
    <w:rsid w:val="006D1859"/>
    <w:rsid w:val="006D2089"/>
    <w:rsid w:val="006D2556"/>
    <w:rsid w:val="006D2A8D"/>
    <w:rsid w:val="006D2D5F"/>
    <w:rsid w:val="006D366F"/>
    <w:rsid w:val="006D3A18"/>
    <w:rsid w:val="006D3B88"/>
    <w:rsid w:val="006D41F7"/>
    <w:rsid w:val="006D4332"/>
    <w:rsid w:val="006D4AC5"/>
    <w:rsid w:val="006D4E16"/>
    <w:rsid w:val="006D55E4"/>
    <w:rsid w:val="006D6207"/>
    <w:rsid w:val="006D63F5"/>
    <w:rsid w:val="006D67DA"/>
    <w:rsid w:val="006D68A8"/>
    <w:rsid w:val="006D6EA9"/>
    <w:rsid w:val="006D72D5"/>
    <w:rsid w:val="006D7467"/>
    <w:rsid w:val="006D7BE7"/>
    <w:rsid w:val="006D7FAA"/>
    <w:rsid w:val="006E118E"/>
    <w:rsid w:val="006E1749"/>
    <w:rsid w:val="006E1E1F"/>
    <w:rsid w:val="006E29D8"/>
    <w:rsid w:val="006E2BDF"/>
    <w:rsid w:val="006E4052"/>
    <w:rsid w:val="006E449A"/>
    <w:rsid w:val="006E4888"/>
    <w:rsid w:val="006E4E3C"/>
    <w:rsid w:val="006E53C6"/>
    <w:rsid w:val="006E582C"/>
    <w:rsid w:val="006E6724"/>
    <w:rsid w:val="006E67A1"/>
    <w:rsid w:val="006E6E44"/>
    <w:rsid w:val="006E7DCE"/>
    <w:rsid w:val="006F0C62"/>
    <w:rsid w:val="006F0D4F"/>
    <w:rsid w:val="006F184E"/>
    <w:rsid w:val="006F20F7"/>
    <w:rsid w:val="006F253B"/>
    <w:rsid w:val="006F2548"/>
    <w:rsid w:val="006F3397"/>
    <w:rsid w:val="006F348D"/>
    <w:rsid w:val="006F3863"/>
    <w:rsid w:val="006F3A82"/>
    <w:rsid w:val="006F3D5B"/>
    <w:rsid w:val="006F4073"/>
    <w:rsid w:val="006F4339"/>
    <w:rsid w:val="006F5510"/>
    <w:rsid w:val="006F5C26"/>
    <w:rsid w:val="006F5E16"/>
    <w:rsid w:val="006F6C11"/>
    <w:rsid w:val="006F7555"/>
    <w:rsid w:val="00700014"/>
    <w:rsid w:val="00700829"/>
    <w:rsid w:val="007008B2"/>
    <w:rsid w:val="00703816"/>
    <w:rsid w:val="00703976"/>
    <w:rsid w:val="00704251"/>
    <w:rsid w:val="00704577"/>
    <w:rsid w:val="00704EB3"/>
    <w:rsid w:val="00705024"/>
    <w:rsid w:val="00705528"/>
    <w:rsid w:val="007057BC"/>
    <w:rsid w:val="00705D28"/>
    <w:rsid w:val="00705D51"/>
    <w:rsid w:val="00705E3B"/>
    <w:rsid w:val="00706A0B"/>
    <w:rsid w:val="00706E44"/>
    <w:rsid w:val="00707D50"/>
    <w:rsid w:val="00710562"/>
    <w:rsid w:val="0071089F"/>
    <w:rsid w:val="00710FF7"/>
    <w:rsid w:val="00711178"/>
    <w:rsid w:val="00711ABC"/>
    <w:rsid w:val="007121AF"/>
    <w:rsid w:val="00712313"/>
    <w:rsid w:val="007124D7"/>
    <w:rsid w:val="00712C3E"/>
    <w:rsid w:val="007131BB"/>
    <w:rsid w:val="007133E5"/>
    <w:rsid w:val="0071377C"/>
    <w:rsid w:val="00713801"/>
    <w:rsid w:val="0071470A"/>
    <w:rsid w:val="00714855"/>
    <w:rsid w:val="00715368"/>
    <w:rsid w:val="00715A1C"/>
    <w:rsid w:val="00715D5E"/>
    <w:rsid w:val="0071609D"/>
    <w:rsid w:val="007165AC"/>
    <w:rsid w:val="00717923"/>
    <w:rsid w:val="00717C09"/>
    <w:rsid w:val="00720119"/>
    <w:rsid w:val="007210C9"/>
    <w:rsid w:val="0072170B"/>
    <w:rsid w:val="00721EC7"/>
    <w:rsid w:val="00721F35"/>
    <w:rsid w:val="0072206C"/>
    <w:rsid w:val="007222D0"/>
    <w:rsid w:val="00722691"/>
    <w:rsid w:val="00722A2C"/>
    <w:rsid w:val="00722A73"/>
    <w:rsid w:val="00722D38"/>
    <w:rsid w:val="007230F6"/>
    <w:rsid w:val="00723227"/>
    <w:rsid w:val="0072394A"/>
    <w:rsid w:val="007248F4"/>
    <w:rsid w:val="007257C4"/>
    <w:rsid w:val="00725F1D"/>
    <w:rsid w:val="007274BD"/>
    <w:rsid w:val="00727BEC"/>
    <w:rsid w:val="00730834"/>
    <w:rsid w:val="00730B33"/>
    <w:rsid w:val="0073183A"/>
    <w:rsid w:val="00732488"/>
    <w:rsid w:val="007336F7"/>
    <w:rsid w:val="007342F4"/>
    <w:rsid w:val="0073462F"/>
    <w:rsid w:val="00734784"/>
    <w:rsid w:val="00734D6A"/>
    <w:rsid w:val="00735018"/>
    <w:rsid w:val="00735297"/>
    <w:rsid w:val="007355A9"/>
    <w:rsid w:val="00735CEA"/>
    <w:rsid w:val="0073613F"/>
    <w:rsid w:val="007367DA"/>
    <w:rsid w:val="00736848"/>
    <w:rsid w:val="00736FE0"/>
    <w:rsid w:val="00737406"/>
    <w:rsid w:val="00737DD8"/>
    <w:rsid w:val="00741058"/>
    <w:rsid w:val="00741E3D"/>
    <w:rsid w:val="00741EAE"/>
    <w:rsid w:val="00741F7E"/>
    <w:rsid w:val="0074208F"/>
    <w:rsid w:val="00743130"/>
    <w:rsid w:val="007438E5"/>
    <w:rsid w:val="00744190"/>
    <w:rsid w:val="0074447C"/>
    <w:rsid w:val="0074509B"/>
    <w:rsid w:val="00745596"/>
    <w:rsid w:val="00746205"/>
    <w:rsid w:val="0074628E"/>
    <w:rsid w:val="007473BA"/>
    <w:rsid w:val="00747839"/>
    <w:rsid w:val="00747BF4"/>
    <w:rsid w:val="00747E8C"/>
    <w:rsid w:val="007500A5"/>
    <w:rsid w:val="00750878"/>
    <w:rsid w:val="00750AF5"/>
    <w:rsid w:val="00750C73"/>
    <w:rsid w:val="00750F23"/>
    <w:rsid w:val="00750F8C"/>
    <w:rsid w:val="007512C3"/>
    <w:rsid w:val="00753FAA"/>
    <w:rsid w:val="007540A8"/>
    <w:rsid w:val="00754BE9"/>
    <w:rsid w:val="007554F7"/>
    <w:rsid w:val="007555AD"/>
    <w:rsid w:val="00755660"/>
    <w:rsid w:val="00755868"/>
    <w:rsid w:val="00755F22"/>
    <w:rsid w:val="007561A5"/>
    <w:rsid w:val="0075680D"/>
    <w:rsid w:val="00756841"/>
    <w:rsid w:val="00756D4C"/>
    <w:rsid w:val="0075710D"/>
    <w:rsid w:val="00757625"/>
    <w:rsid w:val="00757C20"/>
    <w:rsid w:val="007609C0"/>
    <w:rsid w:val="00760EF2"/>
    <w:rsid w:val="00760F68"/>
    <w:rsid w:val="00761507"/>
    <w:rsid w:val="007620CC"/>
    <w:rsid w:val="00762B27"/>
    <w:rsid w:val="007631A1"/>
    <w:rsid w:val="007633F6"/>
    <w:rsid w:val="00763B53"/>
    <w:rsid w:val="0076485A"/>
    <w:rsid w:val="00764B19"/>
    <w:rsid w:val="00765952"/>
    <w:rsid w:val="0076601A"/>
    <w:rsid w:val="00766076"/>
    <w:rsid w:val="0076613D"/>
    <w:rsid w:val="0076669C"/>
    <w:rsid w:val="0076674A"/>
    <w:rsid w:val="00766991"/>
    <w:rsid w:val="00766EAF"/>
    <w:rsid w:val="00766F39"/>
    <w:rsid w:val="00767849"/>
    <w:rsid w:val="007701A6"/>
    <w:rsid w:val="00770803"/>
    <w:rsid w:val="00770FEE"/>
    <w:rsid w:val="0077116B"/>
    <w:rsid w:val="007719C0"/>
    <w:rsid w:val="00772335"/>
    <w:rsid w:val="00772555"/>
    <w:rsid w:val="00772766"/>
    <w:rsid w:val="00772A0D"/>
    <w:rsid w:val="00773DC7"/>
    <w:rsid w:val="00774114"/>
    <w:rsid w:val="00774171"/>
    <w:rsid w:val="00774275"/>
    <w:rsid w:val="00774D5C"/>
    <w:rsid w:val="007758D7"/>
    <w:rsid w:val="00776604"/>
    <w:rsid w:val="007766DF"/>
    <w:rsid w:val="00777CC2"/>
    <w:rsid w:val="00780061"/>
    <w:rsid w:val="00780504"/>
    <w:rsid w:val="00780632"/>
    <w:rsid w:val="0078094F"/>
    <w:rsid w:val="00780969"/>
    <w:rsid w:val="00780A9F"/>
    <w:rsid w:val="00780B61"/>
    <w:rsid w:val="00782713"/>
    <w:rsid w:val="00782730"/>
    <w:rsid w:val="00783062"/>
    <w:rsid w:val="0078320A"/>
    <w:rsid w:val="0078394D"/>
    <w:rsid w:val="007839EB"/>
    <w:rsid w:val="00783AE6"/>
    <w:rsid w:val="00784438"/>
    <w:rsid w:val="00784F60"/>
    <w:rsid w:val="00785196"/>
    <w:rsid w:val="0078571F"/>
    <w:rsid w:val="00785CF0"/>
    <w:rsid w:val="00786650"/>
    <w:rsid w:val="00786E98"/>
    <w:rsid w:val="007870FF"/>
    <w:rsid w:val="007901C0"/>
    <w:rsid w:val="007904EB"/>
    <w:rsid w:val="00790A9B"/>
    <w:rsid w:val="00791286"/>
    <w:rsid w:val="007915A6"/>
    <w:rsid w:val="00791995"/>
    <w:rsid w:val="00792421"/>
    <w:rsid w:val="00792858"/>
    <w:rsid w:val="00793FD6"/>
    <w:rsid w:val="00794162"/>
    <w:rsid w:val="0079458B"/>
    <w:rsid w:val="00794919"/>
    <w:rsid w:val="0079544A"/>
    <w:rsid w:val="00795F93"/>
    <w:rsid w:val="00796BBF"/>
    <w:rsid w:val="00796DB9"/>
    <w:rsid w:val="00796F64"/>
    <w:rsid w:val="00797621"/>
    <w:rsid w:val="00797FAE"/>
    <w:rsid w:val="00797FB2"/>
    <w:rsid w:val="007A0806"/>
    <w:rsid w:val="007A10B4"/>
    <w:rsid w:val="007A1C34"/>
    <w:rsid w:val="007A1D7E"/>
    <w:rsid w:val="007A1DB7"/>
    <w:rsid w:val="007A1F03"/>
    <w:rsid w:val="007A1F71"/>
    <w:rsid w:val="007A20F4"/>
    <w:rsid w:val="007A20F6"/>
    <w:rsid w:val="007A29AD"/>
    <w:rsid w:val="007A3F03"/>
    <w:rsid w:val="007A3F6F"/>
    <w:rsid w:val="007A402B"/>
    <w:rsid w:val="007A4366"/>
    <w:rsid w:val="007A43AE"/>
    <w:rsid w:val="007A48B0"/>
    <w:rsid w:val="007A4C45"/>
    <w:rsid w:val="007A4E06"/>
    <w:rsid w:val="007A5212"/>
    <w:rsid w:val="007A5306"/>
    <w:rsid w:val="007A5315"/>
    <w:rsid w:val="007A5A4C"/>
    <w:rsid w:val="007A64FA"/>
    <w:rsid w:val="007A657D"/>
    <w:rsid w:val="007A6C35"/>
    <w:rsid w:val="007A6C7D"/>
    <w:rsid w:val="007A70F9"/>
    <w:rsid w:val="007A78E9"/>
    <w:rsid w:val="007A7D50"/>
    <w:rsid w:val="007B0F96"/>
    <w:rsid w:val="007B1157"/>
    <w:rsid w:val="007B19D6"/>
    <w:rsid w:val="007B2593"/>
    <w:rsid w:val="007B2813"/>
    <w:rsid w:val="007B2B42"/>
    <w:rsid w:val="007B35F7"/>
    <w:rsid w:val="007B42C7"/>
    <w:rsid w:val="007B444F"/>
    <w:rsid w:val="007B451E"/>
    <w:rsid w:val="007B521A"/>
    <w:rsid w:val="007B6417"/>
    <w:rsid w:val="007B73AE"/>
    <w:rsid w:val="007B78DF"/>
    <w:rsid w:val="007B7BC7"/>
    <w:rsid w:val="007B7E90"/>
    <w:rsid w:val="007C067B"/>
    <w:rsid w:val="007C0E5B"/>
    <w:rsid w:val="007C0EEC"/>
    <w:rsid w:val="007C0F3B"/>
    <w:rsid w:val="007C1237"/>
    <w:rsid w:val="007C172A"/>
    <w:rsid w:val="007C2553"/>
    <w:rsid w:val="007C30E9"/>
    <w:rsid w:val="007C405F"/>
    <w:rsid w:val="007C4551"/>
    <w:rsid w:val="007C4E7A"/>
    <w:rsid w:val="007C5432"/>
    <w:rsid w:val="007C564C"/>
    <w:rsid w:val="007C573D"/>
    <w:rsid w:val="007C5B00"/>
    <w:rsid w:val="007C5F16"/>
    <w:rsid w:val="007C7CA6"/>
    <w:rsid w:val="007D072F"/>
    <w:rsid w:val="007D0CC4"/>
    <w:rsid w:val="007D0E8E"/>
    <w:rsid w:val="007D2822"/>
    <w:rsid w:val="007D308B"/>
    <w:rsid w:val="007D3438"/>
    <w:rsid w:val="007D41A6"/>
    <w:rsid w:val="007D42F2"/>
    <w:rsid w:val="007D4A33"/>
    <w:rsid w:val="007D4E1F"/>
    <w:rsid w:val="007D5E88"/>
    <w:rsid w:val="007D65CB"/>
    <w:rsid w:val="007D6B90"/>
    <w:rsid w:val="007D7227"/>
    <w:rsid w:val="007D722C"/>
    <w:rsid w:val="007D74FE"/>
    <w:rsid w:val="007D779B"/>
    <w:rsid w:val="007D7890"/>
    <w:rsid w:val="007E0B40"/>
    <w:rsid w:val="007E146F"/>
    <w:rsid w:val="007E16B9"/>
    <w:rsid w:val="007E1EDD"/>
    <w:rsid w:val="007E2828"/>
    <w:rsid w:val="007E292E"/>
    <w:rsid w:val="007E299E"/>
    <w:rsid w:val="007E355E"/>
    <w:rsid w:val="007E3701"/>
    <w:rsid w:val="007E3FE9"/>
    <w:rsid w:val="007E4384"/>
    <w:rsid w:val="007E4DF3"/>
    <w:rsid w:val="007E52FF"/>
    <w:rsid w:val="007E5A69"/>
    <w:rsid w:val="007E5FBF"/>
    <w:rsid w:val="007E622B"/>
    <w:rsid w:val="007E7396"/>
    <w:rsid w:val="007E773A"/>
    <w:rsid w:val="007E78F6"/>
    <w:rsid w:val="007F02DC"/>
    <w:rsid w:val="007F0B92"/>
    <w:rsid w:val="007F0D84"/>
    <w:rsid w:val="007F0F39"/>
    <w:rsid w:val="007F0F6F"/>
    <w:rsid w:val="007F2144"/>
    <w:rsid w:val="007F247E"/>
    <w:rsid w:val="007F3220"/>
    <w:rsid w:val="007F3E3F"/>
    <w:rsid w:val="007F4878"/>
    <w:rsid w:val="007F4C0A"/>
    <w:rsid w:val="007F4E33"/>
    <w:rsid w:val="007F5345"/>
    <w:rsid w:val="007F54A7"/>
    <w:rsid w:val="007F5DCA"/>
    <w:rsid w:val="007F636E"/>
    <w:rsid w:val="007F696B"/>
    <w:rsid w:val="007F6F94"/>
    <w:rsid w:val="007F7392"/>
    <w:rsid w:val="007F7D13"/>
    <w:rsid w:val="007F7DF6"/>
    <w:rsid w:val="007F7E05"/>
    <w:rsid w:val="00801AC5"/>
    <w:rsid w:val="00801BC8"/>
    <w:rsid w:val="00802D65"/>
    <w:rsid w:val="00803337"/>
    <w:rsid w:val="008033A2"/>
    <w:rsid w:val="008035F7"/>
    <w:rsid w:val="0080374A"/>
    <w:rsid w:val="008039C9"/>
    <w:rsid w:val="00803E8B"/>
    <w:rsid w:val="00803EDB"/>
    <w:rsid w:val="00804257"/>
    <w:rsid w:val="008047E1"/>
    <w:rsid w:val="0080499C"/>
    <w:rsid w:val="00805975"/>
    <w:rsid w:val="00805D5E"/>
    <w:rsid w:val="008068D6"/>
    <w:rsid w:val="00807F6C"/>
    <w:rsid w:val="0081073F"/>
    <w:rsid w:val="00810F1B"/>
    <w:rsid w:val="00811692"/>
    <w:rsid w:val="0081177D"/>
    <w:rsid w:val="00811DF4"/>
    <w:rsid w:val="008122C5"/>
    <w:rsid w:val="00812AA3"/>
    <w:rsid w:val="00813C6F"/>
    <w:rsid w:val="00813DE4"/>
    <w:rsid w:val="00813E8E"/>
    <w:rsid w:val="00814061"/>
    <w:rsid w:val="00814097"/>
    <w:rsid w:val="008144DD"/>
    <w:rsid w:val="00814EA1"/>
    <w:rsid w:val="00815C94"/>
    <w:rsid w:val="00815E20"/>
    <w:rsid w:val="00816037"/>
    <w:rsid w:val="0081641E"/>
    <w:rsid w:val="0081661D"/>
    <w:rsid w:val="00817916"/>
    <w:rsid w:val="00817BAE"/>
    <w:rsid w:val="00820501"/>
    <w:rsid w:val="00820905"/>
    <w:rsid w:val="00820C04"/>
    <w:rsid w:val="00820F0A"/>
    <w:rsid w:val="0082152B"/>
    <w:rsid w:val="00821558"/>
    <w:rsid w:val="00821C0B"/>
    <w:rsid w:val="00821CA4"/>
    <w:rsid w:val="0082225C"/>
    <w:rsid w:val="00822408"/>
    <w:rsid w:val="008232FE"/>
    <w:rsid w:val="00823438"/>
    <w:rsid w:val="008234B7"/>
    <w:rsid w:val="00823907"/>
    <w:rsid w:val="00824000"/>
    <w:rsid w:val="00824009"/>
    <w:rsid w:val="0082404D"/>
    <w:rsid w:val="00824DFD"/>
    <w:rsid w:val="00825F5F"/>
    <w:rsid w:val="00826010"/>
    <w:rsid w:val="008267F7"/>
    <w:rsid w:val="008275C2"/>
    <w:rsid w:val="00827CBC"/>
    <w:rsid w:val="00830556"/>
    <w:rsid w:val="00830931"/>
    <w:rsid w:val="00831B0F"/>
    <w:rsid w:val="0083262F"/>
    <w:rsid w:val="00832CBB"/>
    <w:rsid w:val="00832D4A"/>
    <w:rsid w:val="0083351E"/>
    <w:rsid w:val="008342DD"/>
    <w:rsid w:val="00834DE5"/>
    <w:rsid w:val="0083527A"/>
    <w:rsid w:val="008352AD"/>
    <w:rsid w:val="00835E53"/>
    <w:rsid w:val="00836216"/>
    <w:rsid w:val="00836270"/>
    <w:rsid w:val="00836E28"/>
    <w:rsid w:val="00836FFF"/>
    <w:rsid w:val="00837034"/>
    <w:rsid w:val="0083726E"/>
    <w:rsid w:val="0083778F"/>
    <w:rsid w:val="00840161"/>
    <w:rsid w:val="00840635"/>
    <w:rsid w:val="00840683"/>
    <w:rsid w:val="00840929"/>
    <w:rsid w:val="00840B45"/>
    <w:rsid w:val="00840D1C"/>
    <w:rsid w:val="00841281"/>
    <w:rsid w:val="00841917"/>
    <w:rsid w:val="00841DAB"/>
    <w:rsid w:val="008421BA"/>
    <w:rsid w:val="00843807"/>
    <w:rsid w:val="00843845"/>
    <w:rsid w:val="0084399F"/>
    <w:rsid w:val="00844CAE"/>
    <w:rsid w:val="00845672"/>
    <w:rsid w:val="00845D7F"/>
    <w:rsid w:val="0084618E"/>
    <w:rsid w:val="008469AC"/>
    <w:rsid w:val="00846A16"/>
    <w:rsid w:val="00846C0B"/>
    <w:rsid w:val="00847F8B"/>
    <w:rsid w:val="0085018E"/>
    <w:rsid w:val="0085041E"/>
    <w:rsid w:val="00850721"/>
    <w:rsid w:val="0085074A"/>
    <w:rsid w:val="00850ECD"/>
    <w:rsid w:val="008520C5"/>
    <w:rsid w:val="008528B4"/>
    <w:rsid w:val="00852AD9"/>
    <w:rsid w:val="00853088"/>
    <w:rsid w:val="008533DA"/>
    <w:rsid w:val="00853424"/>
    <w:rsid w:val="00853D3B"/>
    <w:rsid w:val="00853EAD"/>
    <w:rsid w:val="00854371"/>
    <w:rsid w:val="008545F3"/>
    <w:rsid w:val="008554E6"/>
    <w:rsid w:val="008555E0"/>
    <w:rsid w:val="00855910"/>
    <w:rsid w:val="00855F73"/>
    <w:rsid w:val="008563C2"/>
    <w:rsid w:val="0085671F"/>
    <w:rsid w:val="00856E31"/>
    <w:rsid w:val="00857594"/>
    <w:rsid w:val="0085776B"/>
    <w:rsid w:val="00857791"/>
    <w:rsid w:val="00860224"/>
    <w:rsid w:val="008603D9"/>
    <w:rsid w:val="008603E4"/>
    <w:rsid w:val="008603FE"/>
    <w:rsid w:val="00860C87"/>
    <w:rsid w:val="0086106B"/>
    <w:rsid w:val="00861783"/>
    <w:rsid w:val="008618E8"/>
    <w:rsid w:val="008619D5"/>
    <w:rsid w:val="00862421"/>
    <w:rsid w:val="00862642"/>
    <w:rsid w:val="0086375A"/>
    <w:rsid w:val="00864266"/>
    <w:rsid w:val="008647BF"/>
    <w:rsid w:val="00865DD8"/>
    <w:rsid w:val="00866189"/>
    <w:rsid w:val="008664F9"/>
    <w:rsid w:val="00866C39"/>
    <w:rsid w:val="00866DF7"/>
    <w:rsid w:val="00866F89"/>
    <w:rsid w:val="00867057"/>
    <w:rsid w:val="0086729D"/>
    <w:rsid w:val="00867AB6"/>
    <w:rsid w:val="00870D1C"/>
    <w:rsid w:val="0087158D"/>
    <w:rsid w:val="00872CAC"/>
    <w:rsid w:val="008734A2"/>
    <w:rsid w:val="0087366B"/>
    <w:rsid w:val="0087438D"/>
    <w:rsid w:val="0087559B"/>
    <w:rsid w:val="00875822"/>
    <w:rsid w:val="00875ACB"/>
    <w:rsid w:val="00875D2D"/>
    <w:rsid w:val="008762CC"/>
    <w:rsid w:val="008765F5"/>
    <w:rsid w:val="00876D83"/>
    <w:rsid w:val="00877773"/>
    <w:rsid w:val="00877A6F"/>
    <w:rsid w:val="00877F72"/>
    <w:rsid w:val="00880167"/>
    <w:rsid w:val="00880444"/>
    <w:rsid w:val="00880874"/>
    <w:rsid w:val="00880BA9"/>
    <w:rsid w:val="00881041"/>
    <w:rsid w:val="0088119D"/>
    <w:rsid w:val="0088155C"/>
    <w:rsid w:val="008823BE"/>
    <w:rsid w:val="00882C3F"/>
    <w:rsid w:val="00883DFB"/>
    <w:rsid w:val="0088442D"/>
    <w:rsid w:val="00885D88"/>
    <w:rsid w:val="00885FFA"/>
    <w:rsid w:val="0088607A"/>
    <w:rsid w:val="008870D7"/>
    <w:rsid w:val="0088737B"/>
    <w:rsid w:val="00887541"/>
    <w:rsid w:val="008875E2"/>
    <w:rsid w:val="00887741"/>
    <w:rsid w:val="00887843"/>
    <w:rsid w:val="00887AFB"/>
    <w:rsid w:val="00890155"/>
    <w:rsid w:val="0089059C"/>
    <w:rsid w:val="00890AA6"/>
    <w:rsid w:val="0089119E"/>
    <w:rsid w:val="00891D2B"/>
    <w:rsid w:val="00891D54"/>
    <w:rsid w:val="008927EB"/>
    <w:rsid w:val="0089322A"/>
    <w:rsid w:val="00893416"/>
    <w:rsid w:val="00893DEB"/>
    <w:rsid w:val="00894124"/>
    <w:rsid w:val="0089430B"/>
    <w:rsid w:val="0089473C"/>
    <w:rsid w:val="008950BC"/>
    <w:rsid w:val="00895F37"/>
    <w:rsid w:val="0089637A"/>
    <w:rsid w:val="00896772"/>
    <w:rsid w:val="008967C5"/>
    <w:rsid w:val="00896952"/>
    <w:rsid w:val="00896C60"/>
    <w:rsid w:val="00897126"/>
    <w:rsid w:val="00897977"/>
    <w:rsid w:val="008A01C5"/>
    <w:rsid w:val="008A10B8"/>
    <w:rsid w:val="008A1243"/>
    <w:rsid w:val="008A2415"/>
    <w:rsid w:val="008A2500"/>
    <w:rsid w:val="008A2D4C"/>
    <w:rsid w:val="008A379A"/>
    <w:rsid w:val="008A3940"/>
    <w:rsid w:val="008A3A53"/>
    <w:rsid w:val="008A46B5"/>
    <w:rsid w:val="008A46F6"/>
    <w:rsid w:val="008A562E"/>
    <w:rsid w:val="008A6BD1"/>
    <w:rsid w:val="008A75E3"/>
    <w:rsid w:val="008B0730"/>
    <w:rsid w:val="008B122E"/>
    <w:rsid w:val="008B1272"/>
    <w:rsid w:val="008B1847"/>
    <w:rsid w:val="008B1992"/>
    <w:rsid w:val="008B3111"/>
    <w:rsid w:val="008B36AB"/>
    <w:rsid w:val="008B456B"/>
    <w:rsid w:val="008B4AB1"/>
    <w:rsid w:val="008B4AE7"/>
    <w:rsid w:val="008B4C6E"/>
    <w:rsid w:val="008B5478"/>
    <w:rsid w:val="008B57E3"/>
    <w:rsid w:val="008B5CD5"/>
    <w:rsid w:val="008B6080"/>
    <w:rsid w:val="008B60DE"/>
    <w:rsid w:val="008B6FFF"/>
    <w:rsid w:val="008B7350"/>
    <w:rsid w:val="008B7BD0"/>
    <w:rsid w:val="008B7F5D"/>
    <w:rsid w:val="008C00A9"/>
    <w:rsid w:val="008C0311"/>
    <w:rsid w:val="008C0E95"/>
    <w:rsid w:val="008C1615"/>
    <w:rsid w:val="008C1A92"/>
    <w:rsid w:val="008C333F"/>
    <w:rsid w:val="008C3AA4"/>
    <w:rsid w:val="008C3D16"/>
    <w:rsid w:val="008C3F53"/>
    <w:rsid w:val="008C4151"/>
    <w:rsid w:val="008C4EB5"/>
    <w:rsid w:val="008C5283"/>
    <w:rsid w:val="008C56B1"/>
    <w:rsid w:val="008C5A9E"/>
    <w:rsid w:val="008C5C93"/>
    <w:rsid w:val="008C6B34"/>
    <w:rsid w:val="008C6F1E"/>
    <w:rsid w:val="008C7271"/>
    <w:rsid w:val="008C7592"/>
    <w:rsid w:val="008C7992"/>
    <w:rsid w:val="008D0A41"/>
    <w:rsid w:val="008D0D9B"/>
    <w:rsid w:val="008D13C0"/>
    <w:rsid w:val="008D179C"/>
    <w:rsid w:val="008D1D33"/>
    <w:rsid w:val="008D2FD0"/>
    <w:rsid w:val="008D363A"/>
    <w:rsid w:val="008D3767"/>
    <w:rsid w:val="008D3F13"/>
    <w:rsid w:val="008D4E73"/>
    <w:rsid w:val="008D505F"/>
    <w:rsid w:val="008D5249"/>
    <w:rsid w:val="008D595C"/>
    <w:rsid w:val="008D5C0B"/>
    <w:rsid w:val="008D5EB6"/>
    <w:rsid w:val="008D6C83"/>
    <w:rsid w:val="008D6D30"/>
    <w:rsid w:val="008D707D"/>
    <w:rsid w:val="008E0C27"/>
    <w:rsid w:val="008E1CDB"/>
    <w:rsid w:val="008E2B67"/>
    <w:rsid w:val="008E2C2B"/>
    <w:rsid w:val="008E3490"/>
    <w:rsid w:val="008E44BB"/>
    <w:rsid w:val="008E4C16"/>
    <w:rsid w:val="008E5402"/>
    <w:rsid w:val="008E6024"/>
    <w:rsid w:val="008E64B0"/>
    <w:rsid w:val="008E656D"/>
    <w:rsid w:val="008E6C20"/>
    <w:rsid w:val="008E7557"/>
    <w:rsid w:val="008E7AC7"/>
    <w:rsid w:val="008E7D22"/>
    <w:rsid w:val="008E7D9F"/>
    <w:rsid w:val="008E7DC2"/>
    <w:rsid w:val="008F03AD"/>
    <w:rsid w:val="008F048D"/>
    <w:rsid w:val="008F0DB8"/>
    <w:rsid w:val="008F1302"/>
    <w:rsid w:val="008F16F2"/>
    <w:rsid w:val="008F1EFF"/>
    <w:rsid w:val="008F1F99"/>
    <w:rsid w:val="008F205A"/>
    <w:rsid w:val="008F2227"/>
    <w:rsid w:val="008F2AED"/>
    <w:rsid w:val="008F2ECA"/>
    <w:rsid w:val="008F3641"/>
    <w:rsid w:val="008F3A15"/>
    <w:rsid w:val="008F3E58"/>
    <w:rsid w:val="008F4249"/>
    <w:rsid w:val="008F45A1"/>
    <w:rsid w:val="008F4B36"/>
    <w:rsid w:val="008F5072"/>
    <w:rsid w:val="008F6308"/>
    <w:rsid w:val="008F65BB"/>
    <w:rsid w:val="008F66B3"/>
    <w:rsid w:val="008F6803"/>
    <w:rsid w:val="008F78AE"/>
    <w:rsid w:val="00900123"/>
    <w:rsid w:val="00900748"/>
    <w:rsid w:val="009010F2"/>
    <w:rsid w:val="009034A7"/>
    <w:rsid w:val="00904267"/>
    <w:rsid w:val="009043AA"/>
    <w:rsid w:val="00904671"/>
    <w:rsid w:val="00904CC5"/>
    <w:rsid w:val="009053DF"/>
    <w:rsid w:val="0090553E"/>
    <w:rsid w:val="009056DA"/>
    <w:rsid w:val="009058A1"/>
    <w:rsid w:val="00905F95"/>
    <w:rsid w:val="00906135"/>
    <w:rsid w:val="00906F29"/>
    <w:rsid w:val="0090746D"/>
    <w:rsid w:val="00907793"/>
    <w:rsid w:val="00910073"/>
    <w:rsid w:val="00910351"/>
    <w:rsid w:val="0091097A"/>
    <w:rsid w:val="00910EC1"/>
    <w:rsid w:val="009114B5"/>
    <w:rsid w:val="009127E6"/>
    <w:rsid w:val="009142E7"/>
    <w:rsid w:val="0091553A"/>
    <w:rsid w:val="00915A10"/>
    <w:rsid w:val="00915D1E"/>
    <w:rsid w:val="00916183"/>
    <w:rsid w:val="0091644B"/>
    <w:rsid w:val="00916FA3"/>
    <w:rsid w:val="0092195B"/>
    <w:rsid w:val="00921DDD"/>
    <w:rsid w:val="00921E34"/>
    <w:rsid w:val="0092257D"/>
    <w:rsid w:val="00923384"/>
    <w:rsid w:val="009235F0"/>
    <w:rsid w:val="00923DE6"/>
    <w:rsid w:val="009243A8"/>
    <w:rsid w:val="009248F6"/>
    <w:rsid w:val="00924B08"/>
    <w:rsid w:val="00924D2C"/>
    <w:rsid w:val="00925459"/>
    <w:rsid w:val="009256C1"/>
    <w:rsid w:val="00925AE3"/>
    <w:rsid w:val="00926069"/>
    <w:rsid w:val="009276B2"/>
    <w:rsid w:val="009279D0"/>
    <w:rsid w:val="009279D9"/>
    <w:rsid w:val="00927F7C"/>
    <w:rsid w:val="009300E1"/>
    <w:rsid w:val="00930962"/>
    <w:rsid w:val="009310B3"/>
    <w:rsid w:val="009312AE"/>
    <w:rsid w:val="009315AC"/>
    <w:rsid w:val="009324BC"/>
    <w:rsid w:val="009324F9"/>
    <w:rsid w:val="00933799"/>
    <w:rsid w:val="00933BA9"/>
    <w:rsid w:val="00933BB5"/>
    <w:rsid w:val="00933C9B"/>
    <w:rsid w:val="009348BF"/>
    <w:rsid w:val="0093508D"/>
    <w:rsid w:val="00935F98"/>
    <w:rsid w:val="009360BE"/>
    <w:rsid w:val="00936995"/>
    <w:rsid w:val="00936AF1"/>
    <w:rsid w:val="0093736F"/>
    <w:rsid w:val="00937C93"/>
    <w:rsid w:val="00937CDB"/>
    <w:rsid w:val="00940642"/>
    <w:rsid w:val="009408B4"/>
    <w:rsid w:val="00940E33"/>
    <w:rsid w:val="00941BD7"/>
    <w:rsid w:val="0094296D"/>
    <w:rsid w:val="00942B32"/>
    <w:rsid w:val="00943196"/>
    <w:rsid w:val="0094378B"/>
    <w:rsid w:val="0094403C"/>
    <w:rsid w:val="0094409F"/>
    <w:rsid w:val="00944103"/>
    <w:rsid w:val="0094462E"/>
    <w:rsid w:val="0094586F"/>
    <w:rsid w:val="0094593B"/>
    <w:rsid w:val="00945F0F"/>
    <w:rsid w:val="0094650F"/>
    <w:rsid w:val="00946720"/>
    <w:rsid w:val="00946ECA"/>
    <w:rsid w:val="00946EEA"/>
    <w:rsid w:val="00947545"/>
    <w:rsid w:val="00947848"/>
    <w:rsid w:val="00947AAC"/>
    <w:rsid w:val="00950399"/>
    <w:rsid w:val="00950687"/>
    <w:rsid w:val="00950DB0"/>
    <w:rsid w:val="00950F23"/>
    <w:rsid w:val="009514FC"/>
    <w:rsid w:val="00951FEB"/>
    <w:rsid w:val="00952B0B"/>
    <w:rsid w:val="0095373F"/>
    <w:rsid w:val="00953BA8"/>
    <w:rsid w:val="009544A6"/>
    <w:rsid w:val="00954CA1"/>
    <w:rsid w:val="00954E06"/>
    <w:rsid w:val="009551F8"/>
    <w:rsid w:val="00955363"/>
    <w:rsid w:val="009553BE"/>
    <w:rsid w:val="0095574B"/>
    <w:rsid w:val="00955E0E"/>
    <w:rsid w:val="0095646C"/>
    <w:rsid w:val="00956B83"/>
    <w:rsid w:val="00956D2F"/>
    <w:rsid w:val="00957058"/>
    <w:rsid w:val="009575DF"/>
    <w:rsid w:val="009576CC"/>
    <w:rsid w:val="00957716"/>
    <w:rsid w:val="009577F8"/>
    <w:rsid w:val="00957995"/>
    <w:rsid w:val="00960244"/>
    <w:rsid w:val="00960D77"/>
    <w:rsid w:val="00961045"/>
    <w:rsid w:val="009610E5"/>
    <w:rsid w:val="0096167D"/>
    <w:rsid w:val="00961CEB"/>
    <w:rsid w:val="00961D72"/>
    <w:rsid w:val="00961E29"/>
    <w:rsid w:val="00962295"/>
    <w:rsid w:val="0096277C"/>
    <w:rsid w:val="00962DED"/>
    <w:rsid w:val="00962EFA"/>
    <w:rsid w:val="00963196"/>
    <w:rsid w:val="0096337F"/>
    <w:rsid w:val="00964949"/>
    <w:rsid w:val="009654BA"/>
    <w:rsid w:val="00965786"/>
    <w:rsid w:val="009665BC"/>
    <w:rsid w:val="00966A6C"/>
    <w:rsid w:val="00966EA3"/>
    <w:rsid w:val="00967EEB"/>
    <w:rsid w:val="00970648"/>
    <w:rsid w:val="00970ABF"/>
    <w:rsid w:val="0097256D"/>
    <w:rsid w:val="00972601"/>
    <w:rsid w:val="00972764"/>
    <w:rsid w:val="00972EF6"/>
    <w:rsid w:val="00972F6D"/>
    <w:rsid w:val="00973517"/>
    <w:rsid w:val="00973C04"/>
    <w:rsid w:val="0097409B"/>
    <w:rsid w:val="0097481F"/>
    <w:rsid w:val="0097512B"/>
    <w:rsid w:val="0097558D"/>
    <w:rsid w:val="00976B17"/>
    <w:rsid w:val="00976D34"/>
    <w:rsid w:val="0097714B"/>
    <w:rsid w:val="0097754A"/>
    <w:rsid w:val="00977551"/>
    <w:rsid w:val="00977C78"/>
    <w:rsid w:val="009808CA"/>
    <w:rsid w:val="00980C16"/>
    <w:rsid w:val="00980FBC"/>
    <w:rsid w:val="00981408"/>
    <w:rsid w:val="009815D4"/>
    <w:rsid w:val="00981881"/>
    <w:rsid w:val="009828C7"/>
    <w:rsid w:val="00982AA8"/>
    <w:rsid w:val="00982C0F"/>
    <w:rsid w:val="00983196"/>
    <w:rsid w:val="00984AEF"/>
    <w:rsid w:val="00984F94"/>
    <w:rsid w:val="00985368"/>
    <w:rsid w:val="0098569C"/>
    <w:rsid w:val="00985E47"/>
    <w:rsid w:val="009862E9"/>
    <w:rsid w:val="009868FB"/>
    <w:rsid w:val="009873BB"/>
    <w:rsid w:val="00987BE9"/>
    <w:rsid w:val="00987F9F"/>
    <w:rsid w:val="00990437"/>
    <w:rsid w:val="0099047A"/>
    <w:rsid w:val="009916FA"/>
    <w:rsid w:val="009923FD"/>
    <w:rsid w:val="009926A3"/>
    <w:rsid w:val="009926EF"/>
    <w:rsid w:val="00993382"/>
    <w:rsid w:val="00993773"/>
    <w:rsid w:val="00993BEA"/>
    <w:rsid w:val="00994218"/>
    <w:rsid w:val="00994B04"/>
    <w:rsid w:val="00995A07"/>
    <w:rsid w:val="00995D52"/>
    <w:rsid w:val="0099633D"/>
    <w:rsid w:val="009969C7"/>
    <w:rsid w:val="00996D12"/>
    <w:rsid w:val="00997DE6"/>
    <w:rsid w:val="009A073B"/>
    <w:rsid w:val="009A10C1"/>
    <w:rsid w:val="009A12F4"/>
    <w:rsid w:val="009A1769"/>
    <w:rsid w:val="009A2209"/>
    <w:rsid w:val="009A2941"/>
    <w:rsid w:val="009A2E37"/>
    <w:rsid w:val="009A3BF0"/>
    <w:rsid w:val="009A48C5"/>
    <w:rsid w:val="009A5524"/>
    <w:rsid w:val="009A6740"/>
    <w:rsid w:val="009A68A2"/>
    <w:rsid w:val="009A72E2"/>
    <w:rsid w:val="009B2343"/>
    <w:rsid w:val="009B256E"/>
    <w:rsid w:val="009B2E10"/>
    <w:rsid w:val="009B2FBE"/>
    <w:rsid w:val="009B301E"/>
    <w:rsid w:val="009B3A61"/>
    <w:rsid w:val="009B3D0B"/>
    <w:rsid w:val="009B3EF9"/>
    <w:rsid w:val="009B406C"/>
    <w:rsid w:val="009B4785"/>
    <w:rsid w:val="009B4A1A"/>
    <w:rsid w:val="009B4B43"/>
    <w:rsid w:val="009B4F17"/>
    <w:rsid w:val="009B5445"/>
    <w:rsid w:val="009B5FDB"/>
    <w:rsid w:val="009B61F7"/>
    <w:rsid w:val="009B63F2"/>
    <w:rsid w:val="009B6C32"/>
    <w:rsid w:val="009B6C92"/>
    <w:rsid w:val="009B6E43"/>
    <w:rsid w:val="009B720E"/>
    <w:rsid w:val="009B755C"/>
    <w:rsid w:val="009B79B1"/>
    <w:rsid w:val="009B7A1B"/>
    <w:rsid w:val="009C0061"/>
    <w:rsid w:val="009C0EF1"/>
    <w:rsid w:val="009C16BF"/>
    <w:rsid w:val="009C2BE6"/>
    <w:rsid w:val="009C3957"/>
    <w:rsid w:val="009C3A4F"/>
    <w:rsid w:val="009C3E70"/>
    <w:rsid w:val="009C4461"/>
    <w:rsid w:val="009C5124"/>
    <w:rsid w:val="009C57C3"/>
    <w:rsid w:val="009C59B2"/>
    <w:rsid w:val="009C6A98"/>
    <w:rsid w:val="009C6C96"/>
    <w:rsid w:val="009C7948"/>
    <w:rsid w:val="009D009D"/>
    <w:rsid w:val="009D02EC"/>
    <w:rsid w:val="009D06C9"/>
    <w:rsid w:val="009D080E"/>
    <w:rsid w:val="009D0909"/>
    <w:rsid w:val="009D0CF1"/>
    <w:rsid w:val="009D41C2"/>
    <w:rsid w:val="009D57E2"/>
    <w:rsid w:val="009D63C1"/>
    <w:rsid w:val="009D67A4"/>
    <w:rsid w:val="009D68EF"/>
    <w:rsid w:val="009D7202"/>
    <w:rsid w:val="009D7C7B"/>
    <w:rsid w:val="009E1032"/>
    <w:rsid w:val="009E2AF8"/>
    <w:rsid w:val="009E3835"/>
    <w:rsid w:val="009E3986"/>
    <w:rsid w:val="009E50D4"/>
    <w:rsid w:val="009E512D"/>
    <w:rsid w:val="009E5611"/>
    <w:rsid w:val="009E595C"/>
    <w:rsid w:val="009E603E"/>
    <w:rsid w:val="009E6A91"/>
    <w:rsid w:val="009E6EBD"/>
    <w:rsid w:val="009E7241"/>
    <w:rsid w:val="009F06EE"/>
    <w:rsid w:val="009F09B5"/>
    <w:rsid w:val="009F0BF0"/>
    <w:rsid w:val="009F11D5"/>
    <w:rsid w:val="009F1659"/>
    <w:rsid w:val="009F190A"/>
    <w:rsid w:val="009F1E01"/>
    <w:rsid w:val="009F2515"/>
    <w:rsid w:val="009F2DE9"/>
    <w:rsid w:val="009F2F0B"/>
    <w:rsid w:val="009F3252"/>
    <w:rsid w:val="009F32B9"/>
    <w:rsid w:val="009F488A"/>
    <w:rsid w:val="009F48F6"/>
    <w:rsid w:val="009F491F"/>
    <w:rsid w:val="009F4B6D"/>
    <w:rsid w:val="009F4BAA"/>
    <w:rsid w:val="009F5028"/>
    <w:rsid w:val="009F615F"/>
    <w:rsid w:val="009F6AC4"/>
    <w:rsid w:val="009F6E7E"/>
    <w:rsid w:val="009F7E0E"/>
    <w:rsid w:val="00A00136"/>
    <w:rsid w:val="00A00899"/>
    <w:rsid w:val="00A01363"/>
    <w:rsid w:val="00A01476"/>
    <w:rsid w:val="00A021DB"/>
    <w:rsid w:val="00A022E5"/>
    <w:rsid w:val="00A02451"/>
    <w:rsid w:val="00A0307E"/>
    <w:rsid w:val="00A0317E"/>
    <w:rsid w:val="00A036D6"/>
    <w:rsid w:val="00A038E3"/>
    <w:rsid w:val="00A038F3"/>
    <w:rsid w:val="00A03A60"/>
    <w:rsid w:val="00A04501"/>
    <w:rsid w:val="00A04597"/>
    <w:rsid w:val="00A0464C"/>
    <w:rsid w:val="00A0472E"/>
    <w:rsid w:val="00A0481F"/>
    <w:rsid w:val="00A05196"/>
    <w:rsid w:val="00A058BB"/>
    <w:rsid w:val="00A060C2"/>
    <w:rsid w:val="00A06468"/>
    <w:rsid w:val="00A06596"/>
    <w:rsid w:val="00A069CE"/>
    <w:rsid w:val="00A06EBE"/>
    <w:rsid w:val="00A0735C"/>
    <w:rsid w:val="00A078D3"/>
    <w:rsid w:val="00A07B82"/>
    <w:rsid w:val="00A07C9D"/>
    <w:rsid w:val="00A1105A"/>
    <w:rsid w:val="00A11624"/>
    <w:rsid w:val="00A12190"/>
    <w:rsid w:val="00A12D5C"/>
    <w:rsid w:val="00A13F18"/>
    <w:rsid w:val="00A14304"/>
    <w:rsid w:val="00A14B6B"/>
    <w:rsid w:val="00A14D92"/>
    <w:rsid w:val="00A14DA9"/>
    <w:rsid w:val="00A157A4"/>
    <w:rsid w:val="00A15852"/>
    <w:rsid w:val="00A16404"/>
    <w:rsid w:val="00A16B18"/>
    <w:rsid w:val="00A171BA"/>
    <w:rsid w:val="00A17714"/>
    <w:rsid w:val="00A17831"/>
    <w:rsid w:val="00A200CF"/>
    <w:rsid w:val="00A2029E"/>
    <w:rsid w:val="00A2045E"/>
    <w:rsid w:val="00A21632"/>
    <w:rsid w:val="00A2176C"/>
    <w:rsid w:val="00A23E11"/>
    <w:rsid w:val="00A24153"/>
    <w:rsid w:val="00A2438F"/>
    <w:rsid w:val="00A24B6F"/>
    <w:rsid w:val="00A24EDD"/>
    <w:rsid w:val="00A25386"/>
    <w:rsid w:val="00A2592D"/>
    <w:rsid w:val="00A26067"/>
    <w:rsid w:val="00A261E8"/>
    <w:rsid w:val="00A268A0"/>
    <w:rsid w:val="00A27284"/>
    <w:rsid w:val="00A304E0"/>
    <w:rsid w:val="00A31610"/>
    <w:rsid w:val="00A319F4"/>
    <w:rsid w:val="00A31EB9"/>
    <w:rsid w:val="00A32BE2"/>
    <w:rsid w:val="00A32CC3"/>
    <w:rsid w:val="00A3352A"/>
    <w:rsid w:val="00A3509E"/>
    <w:rsid w:val="00A35235"/>
    <w:rsid w:val="00A3528D"/>
    <w:rsid w:val="00A355D6"/>
    <w:rsid w:val="00A35A46"/>
    <w:rsid w:val="00A35C67"/>
    <w:rsid w:val="00A35FEA"/>
    <w:rsid w:val="00A36958"/>
    <w:rsid w:val="00A36A73"/>
    <w:rsid w:val="00A36DB4"/>
    <w:rsid w:val="00A370D5"/>
    <w:rsid w:val="00A40814"/>
    <w:rsid w:val="00A41C9C"/>
    <w:rsid w:val="00A41E64"/>
    <w:rsid w:val="00A41EA5"/>
    <w:rsid w:val="00A450C2"/>
    <w:rsid w:val="00A454E7"/>
    <w:rsid w:val="00A45614"/>
    <w:rsid w:val="00A45C8A"/>
    <w:rsid w:val="00A46692"/>
    <w:rsid w:val="00A4721C"/>
    <w:rsid w:val="00A477E7"/>
    <w:rsid w:val="00A50D43"/>
    <w:rsid w:val="00A514D7"/>
    <w:rsid w:val="00A522FB"/>
    <w:rsid w:val="00A52825"/>
    <w:rsid w:val="00A53029"/>
    <w:rsid w:val="00A53801"/>
    <w:rsid w:val="00A53E6B"/>
    <w:rsid w:val="00A53F69"/>
    <w:rsid w:val="00A5583F"/>
    <w:rsid w:val="00A55E0A"/>
    <w:rsid w:val="00A561FA"/>
    <w:rsid w:val="00A56853"/>
    <w:rsid w:val="00A569AB"/>
    <w:rsid w:val="00A56A6B"/>
    <w:rsid w:val="00A56F97"/>
    <w:rsid w:val="00A570E8"/>
    <w:rsid w:val="00A57B0B"/>
    <w:rsid w:val="00A57CD9"/>
    <w:rsid w:val="00A601B6"/>
    <w:rsid w:val="00A609C9"/>
    <w:rsid w:val="00A60D96"/>
    <w:rsid w:val="00A616E0"/>
    <w:rsid w:val="00A61C92"/>
    <w:rsid w:val="00A61FED"/>
    <w:rsid w:val="00A62608"/>
    <w:rsid w:val="00A62798"/>
    <w:rsid w:val="00A6285A"/>
    <w:rsid w:val="00A62EBD"/>
    <w:rsid w:val="00A633FB"/>
    <w:rsid w:val="00A63C35"/>
    <w:rsid w:val="00A63F78"/>
    <w:rsid w:val="00A6424C"/>
    <w:rsid w:val="00A64C47"/>
    <w:rsid w:val="00A6518C"/>
    <w:rsid w:val="00A65862"/>
    <w:rsid w:val="00A662BE"/>
    <w:rsid w:val="00A6666B"/>
    <w:rsid w:val="00A67148"/>
    <w:rsid w:val="00A67846"/>
    <w:rsid w:val="00A67C56"/>
    <w:rsid w:val="00A70BF0"/>
    <w:rsid w:val="00A70D41"/>
    <w:rsid w:val="00A7129C"/>
    <w:rsid w:val="00A714DE"/>
    <w:rsid w:val="00A71E53"/>
    <w:rsid w:val="00A722FC"/>
    <w:rsid w:val="00A72A41"/>
    <w:rsid w:val="00A734C7"/>
    <w:rsid w:val="00A7370A"/>
    <w:rsid w:val="00A73D61"/>
    <w:rsid w:val="00A7437A"/>
    <w:rsid w:val="00A748BE"/>
    <w:rsid w:val="00A74B3A"/>
    <w:rsid w:val="00A74D7A"/>
    <w:rsid w:val="00A74EBA"/>
    <w:rsid w:val="00A753C3"/>
    <w:rsid w:val="00A75451"/>
    <w:rsid w:val="00A755EA"/>
    <w:rsid w:val="00A756B9"/>
    <w:rsid w:val="00A75857"/>
    <w:rsid w:val="00A75D0F"/>
    <w:rsid w:val="00A7610E"/>
    <w:rsid w:val="00A76C5F"/>
    <w:rsid w:val="00A76FEE"/>
    <w:rsid w:val="00A771C4"/>
    <w:rsid w:val="00A7767A"/>
    <w:rsid w:val="00A7790E"/>
    <w:rsid w:val="00A80387"/>
    <w:rsid w:val="00A80A5F"/>
    <w:rsid w:val="00A81F0D"/>
    <w:rsid w:val="00A82926"/>
    <w:rsid w:val="00A82A43"/>
    <w:rsid w:val="00A82B7B"/>
    <w:rsid w:val="00A82E08"/>
    <w:rsid w:val="00A836DB"/>
    <w:rsid w:val="00A83930"/>
    <w:rsid w:val="00A83B9D"/>
    <w:rsid w:val="00A846A0"/>
    <w:rsid w:val="00A84900"/>
    <w:rsid w:val="00A84B50"/>
    <w:rsid w:val="00A84CF2"/>
    <w:rsid w:val="00A84E48"/>
    <w:rsid w:val="00A8551B"/>
    <w:rsid w:val="00A86C49"/>
    <w:rsid w:val="00A86DAE"/>
    <w:rsid w:val="00A8743D"/>
    <w:rsid w:val="00A876CC"/>
    <w:rsid w:val="00A90903"/>
    <w:rsid w:val="00A90EAD"/>
    <w:rsid w:val="00A915BE"/>
    <w:rsid w:val="00A92F5C"/>
    <w:rsid w:val="00A932F7"/>
    <w:rsid w:val="00A9343D"/>
    <w:rsid w:val="00A93535"/>
    <w:rsid w:val="00A93592"/>
    <w:rsid w:val="00A9393D"/>
    <w:rsid w:val="00A94654"/>
    <w:rsid w:val="00A94978"/>
    <w:rsid w:val="00A9615D"/>
    <w:rsid w:val="00A9639D"/>
    <w:rsid w:val="00A9691E"/>
    <w:rsid w:val="00A96A6B"/>
    <w:rsid w:val="00A96D8E"/>
    <w:rsid w:val="00A971C3"/>
    <w:rsid w:val="00A973D0"/>
    <w:rsid w:val="00A97A79"/>
    <w:rsid w:val="00A97B01"/>
    <w:rsid w:val="00A97D35"/>
    <w:rsid w:val="00A97DF5"/>
    <w:rsid w:val="00AA0C10"/>
    <w:rsid w:val="00AA0FD0"/>
    <w:rsid w:val="00AA111D"/>
    <w:rsid w:val="00AA151C"/>
    <w:rsid w:val="00AA1630"/>
    <w:rsid w:val="00AA20F1"/>
    <w:rsid w:val="00AA325D"/>
    <w:rsid w:val="00AA3267"/>
    <w:rsid w:val="00AA33E5"/>
    <w:rsid w:val="00AA37DB"/>
    <w:rsid w:val="00AA4ABD"/>
    <w:rsid w:val="00AA5290"/>
    <w:rsid w:val="00AA530E"/>
    <w:rsid w:val="00AA5F8E"/>
    <w:rsid w:val="00AA5FC5"/>
    <w:rsid w:val="00AA61A7"/>
    <w:rsid w:val="00AA67A1"/>
    <w:rsid w:val="00AA67B3"/>
    <w:rsid w:val="00AA6A61"/>
    <w:rsid w:val="00AA6DB8"/>
    <w:rsid w:val="00AA7089"/>
    <w:rsid w:val="00AA7411"/>
    <w:rsid w:val="00AA780D"/>
    <w:rsid w:val="00AB030C"/>
    <w:rsid w:val="00AB1786"/>
    <w:rsid w:val="00AB242F"/>
    <w:rsid w:val="00AB270F"/>
    <w:rsid w:val="00AB314D"/>
    <w:rsid w:val="00AB3601"/>
    <w:rsid w:val="00AB36E8"/>
    <w:rsid w:val="00AB3C56"/>
    <w:rsid w:val="00AB458F"/>
    <w:rsid w:val="00AB4BE2"/>
    <w:rsid w:val="00AB4CEB"/>
    <w:rsid w:val="00AB591E"/>
    <w:rsid w:val="00AB5A14"/>
    <w:rsid w:val="00AB5BD1"/>
    <w:rsid w:val="00AB5C90"/>
    <w:rsid w:val="00AB5DE4"/>
    <w:rsid w:val="00AB61EA"/>
    <w:rsid w:val="00AB6D7C"/>
    <w:rsid w:val="00AB738C"/>
    <w:rsid w:val="00AC051D"/>
    <w:rsid w:val="00AC0896"/>
    <w:rsid w:val="00AC0BCB"/>
    <w:rsid w:val="00AC0C42"/>
    <w:rsid w:val="00AC1286"/>
    <w:rsid w:val="00AC192E"/>
    <w:rsid w:val="00AC1B57"/>
    <w:rsid w:val="00AC1FC7"/>
    <w:rsid w:val="00AC2105"/>
    <w:rsid w:val="00AC2AF3"/>
    <w:rsid w:val="00AC33DB"/>
    <w:rsid w:val="00AC41E3"/>
    <w:rsid w:val="00AC4587"/>
    <w:rsid w:val="00AC4800"/>
    <w:rsid w:val="00AC485B"/>
    <w:rsid w:val="00AC4954"/>
    <w:rsid w:val="00AC503C"/>
    <w:rsid w:val="00AC6184"/>
    <w:rsid w:val="00AC6200"/>
    <w:rsid w:val="00AC657E"/>
    <w:rsid w:val="00AC66C7"/>
    <w:rsid w:val="00AC6713"/>
    <w:rsid w:val="00AC6CA0"/>
    <w:rsid w:val="00AC7373"/>
    <w:rsid w:val="00AD0236"/>
    <w:rsid w:val="00AD085B"/>
    <w:rsid w:val="00AD0C16"/>
    <w:rsid w:val="00AD0C5A"/>
    <w:rsid w:val="00AD13D4"/>
    <w:rsid w:val="00AD183A"/>
    <w:rsid w:val="00AD1CA7"/>
    <w:rsid w:val="00AD2405"/>
    <w:rsid w:val="00AD3102"/>
    <w:rsid w:val="00AD46B1"/>
    <w:rsid w:val="00AD480A"/>
    <w:rsid w:val="00AD48BC"/>
    <w:rsid w:val="00AD4C1E"/>
    <w:rsid w:val="00AD4D87"/>
    <w:rsid w:val="00AD5068"/>
    <w:rsid w:val="00AD58C8"/>
    <w:rsid w:val="00AD5FDA"/>
    <w:rsid w:val="00AD606C"/>
    <w:rsid w:val="00AD67E6"/>
    <w:rsid w:val="00AD69BC"/>
    <w:rsid w:val="00AD6B96"/>
    <w:rsid w:val="00AD75B7"/>
    <w:rsid w:val="00AD7A69"/>
    <w:rsid w:val="00AD7EF8"/>
    <w:rsid w:val="00AE0159"/>
    <w:rsid w:val="00AE0602"/>
    <w:rsid w:val="00AE061D"/>
    <w:rsid w:val="00AE0C9E"/>
    <w:rsid w:val="00AE1657"/>
    <w:rsid w:val="00AE1D8B"/>
    <w:rsid w:val="00AE1FA3"/>
    <w:rsid w:val="00AE3B05"/>
    <w:rsid w:val="00AE44E9"/>
    <w:rsid w:val="00AE47CF"/>
    <w:rsid w:val="00AE49C0"/>
    <w:rsid w:val="00AE4B78"/>
    <w:rsid w:val="00AE56F3"/>
    <w:rsid w:val="00AE5DE1"/>
    <w:rsid w:val="00AE678E"/>
    <w:rsid w:val="00AE68AA"/>
    <w:rsid w:val="00AE6A8D"/>
    <w:rsid w:val="00AE6C80"/>
    <w:rsid w:val="00AE6D57"/>
    <w:rsid w:val="00AE74A0"/>
    <w:rsid w:val="00AF006B"/>
    <w:rsid w:val="00AF0C15"/>
    <w:rsid w:val="00AF0CC8"/>
    <w:rsid w:val="00AF1CF5"/>
    <w:rsid w:val="00AF205A"/>
    <w:rsid w:val="00AF224A"/>
    <w:rsid w:val="00AF31B8"/>
    <w:rsid w:val="00AF3258"/>
    <w:rsid w:val="00AF3953"/>
    <w:rsid w:val="00AF48DD"/>
    <w:rsid w:val="00AF4D36"/>
    <w:rsid w:val="00AF4F69"/>
    <w:rsid w:val="00AF515D"/>
    <w:rsid w:val="00AF54FE"/>
    <w:rsid w:val="00AF56A2"/>
    <w:rsid w:val="00AF585A"/>
    <w:rsid w:val="00AF6E19"/>
    <w:rsid w:val="00B001FD"/>
    <w:rsid w:val="00B00718"/>
    <w:rsid w:val="00B01245"/>
    <w:rsid w:val="00B018FE"/>
    <w:rsid w:val="00B01BB0"/>
    <w:rsid w:val="00B01FFB"/>
    <w:rsid w:val="00B027DE"/>
    <w:rsid w:val="00B02C3D"/>
    <w:rsid w:val="00B02D3D"/>
    <w:rsid w:val="00B0357A"/>
    <w:rsid w:val="00B03921"/>
    <w:rsid w:val="00B04D03"/>
    <w:rsid w:val="00B051A1"/>
    <w:rsid w:val="00B05778"/>
    <w:rsid w:val="00B0623D"/>
    <w:rsid w:val="00B062F3"/>
    <w:rsid w:val="00B063BB"/>
    <w:rsid w:val="00B066EE"/>
    <w:rsid w:val="00B06C6F"/>
    <w:rsid w:val="00B06FC2"/>
    <w:rsid w:val="00B07297"/>
    <w:rsid w:val="00B073F0"/>
    <w:rsid w:val="00B074BF"/>
    <w:rsid w:val="00B10817"/>
    <w:rsid w:val="00B10B05"/>
    <w:rsid w:val="00B11802"/>
    <w:rsid w:val="00B1199F"/>
    <w:rsid w:val="00B11ECF"/>
    <w:rsid w:val="00B13C2B"/>
    <w:rsid w:val="00B140BA"/>
    <w:rsid w:val="00B14443"/>
    <w:rsid w:val="00B15349"/>
    <w:rsid w:val="00B157FF"/>
    <w:rsid w:val="00B15895"/>
    <w:rsid w:val="00B15B46"/>
    <w:rsid w:val="00B1646A"/>
    <w:rsid w:val="00B1661A"/>
    <w:rsid w:val="00B16E92"/>
    <w:rsid w:val="00B172DC"/>
    <w:rsid w:val="00B1747F"/>
    <w:rsid w:val="00B17683"/>
    <w:rsid w:val="00B201C8"/>
    <w:rsid w:val="00B20897"/>
    <w:rsid w:val="00B20E3F"/>
    <w:rsid w:val="00B218FC"/>
    <w:rsid w:val="00B21BDD"/>
    <w:rsid w:val="00B2254A"/>
    <w:rsid w:val="00B23C96"/>
    <w:rsid w:val="00B23F12"/>
    <w:rsid w:val="00B24804"/>
    <w:rsid w:val="00B254EC"/>
    <w:rsid w:val="00B259CC"/>
    <w:rsid w:val="00B259D4"/>
    <w:rsid w:val="00B263B0"/>
    <w:rsid w:val="00B26D0D"/>
    <w:rsid w:val="00B27512"/>
    <w:rsid w:val="00B27A86"/>
    <w:rsid w:val="00B27CEF"/>
    <w:rsid w:val="00B304EE"/>
    <w:rsid w:val="00B3053B"/>
    <w:rsid w:val="00B30BE4"/>
    <w:rsid w:val="00B30C61"/>
    <w:rsid w:val="00B30E82"/>
    <w:rsid w:val="00B31976"/>
    <w:rsid w:val="00B31B69"/>
    <w:rsid w:val="00B32115"/>
    <w:rsid w:val="00B33B35"/>
    <w:rsid w:val="00B340C3"/>
    <w:rsid w:val="00B34D6A"/>
    <w:rsid w:val="00B3555C"/>
    <w:rsid w:val="00B35908"/>
    <w:rsid w:val="00B36713"/>
    <w:rsid w:val="00B36A0E"/>
    <w:rsid w:val="00B36CC9"/>
    <w:rsid w:val="00B3708A"/>
    <w:rsid w:val="00B37A01"/>
    <w:rsid w:val="00B37FAE"/>
    <w:rsid w:val="00B402FB"/>
    <w:rsid w:val="00B408B9"/>
    <w:rsid w:val="00B40BB3"/>
    <w:rsid w:val="00B40ED7"/>
    <w:rsid w:val="00B415B8"/>
    <w:rsid w:val="00B41C84"/>
    <w:rsid w:val="00B422B7"/>
    <w:rsid w:val="00B42868"/>
    <w:rsid w:val="00B42CB5"/>
    <w:rsid w:val="00B42DE3"/>
    <w:rsid w:val="00B4345A"/>
    <w:rsid w:val="00B43B39"/>
    <w:rsid w:val="00B43BE4"/>
    <w:rsid w:val="00B440AC"/>
    <w:rsid w:val="00B44149"/>
    <w:rsid w:val="00B4428F"/>
    <w:rsid w:val="00B44290"/>
    <w:rsid w:val="00B44E8F"/>
    <w:rsid w:val="00B45160"/>
    <w:rsid w:val="00B45B18"/>
    <w:rsid w:val="00B4623A"/>
    <w:rsid w:val="00B46374"/>
    <w:rsid w:val="00B465F7"/>
    <w:rsid w:val="00B46D15"/>
    <w:rsid w:val="00B46FE3"/>
    <w:rsid w:val="00B473D3"/>
    <w:rsid w:val="00B476D2"/>
    <w:rsid w:val="00B47781"/>
    <w:rsid w:val="00B47DCB"/>
    <w:rsid w:val="00B5078C"/>
    <w:rsid w:val="00B50CCA"/>
    <w:rsid w:val="00B50DBC"/>
    <w:rsid w:val="00B51586"/>
    <w:rsid w:val="00B51A3C"/>
    <w:rsid w:val="00B52A6A"/>
    <w:rsid w:val="00B52BB7"/>
    <w:rsid w:val="00B52C27"/>
    <w:rsid w:val="00B5350F"/>
    <w:rsid w:val="00B53E0F"/>
    <w:rsid w:val="00B54248"/>
    <w:rsid w:val="00B54500"/>
    <w:rsid w:val="00B54936"/>
    <w:rsid w:val="00B549D5"/>
    <w:rsid w:val="00B54C14"/>
    <w:rsid w:val="00B5584C"/>
    <w:rsid w:val="00B558D9"/>
    <w:rsid w:val="00B55A48"/>
    <w:rsid w:val="00B55ABA"/>
    <w:rsid w:val="00B55C06"/>
    <w:rsid w:val="00B56557"/>
    <w:rsid w:val="00B566A5"/>
    <w:rsid w:val="00B567B7"/>
    <w:rsid w:val="00B5731B"/>
    <w:rsid w:val="00B57891"/>
    <w:rsid w:val="00B600D1"/>
    <w:rsid w:val="00B6040B"/>
    <w:rsid w:val="00B60792"/>
    <w:rsid w:val="00B61513"/>
    <w:rsid w:val="00B61CE2"/>
    <w:rsid w:val="00B62385"/>
    <w:rsid w:val="00B63636"/>
    <w:rsid w:val="00B63D10"/>
    <w:rsid w:val="00B64117"/>
    <w:rsid w:val="00B64B8B"/>
    <w:rsid w:val="00B64BAC"/>
    <w:rsid w:val="00B64BE3"/>
    <w:rsid w:val="00B64C17"/>
    <w:rsid w:val="00B66C5F"/>
    <w:rsid w:val="00B66E79"/>
    <w:rsid w:val="00B67AC6"/>
    <w:rsid w:val="00B67EE5"/>
    <w:rsid w:val="00B70384"/>
    <w:rsid w:val="00B706FB"/>
    <w:rsid w:val="00B71056"/>
    <w:rsid w:val="00B711E7"/>
    <w:rsid w:val="00B71935"/>
    <w:rsid w:val="00B72383"/>
    <w:rsid w:val="00B7253D"/>
    <w:rsid w:val="00B728A2"/>
    <w:rsid w:val="00B73C94"/>
    <w:rsid w:val="00B74249"/>
    <w:rsid w:val="00B7442E"/>
    <w:rsid w:val="00B74435"/>
    <w:rsid w:val="00B7477C"/>
    <w:rsid w:val="00B7480C"/>
    <w:rsid w:val="00B74C51"/>
    <w:rsid w:val="00B77BBC"/>
    <w:rsid w:val="00B77CF0"/>
    <w:rsid w:val="00B807E1"/>
    <w:rsid w:val="00B80897"/>
    <w:rsid w:val="00B80C89"/>
    <w:rsid w:val="00B80D46"/>
    <w:rsid w:val="00B813D6"/>
    <w:rsid w:val="00B81AD5"/>
    <w:rsid w:val="00B81CD8"/>
    <w:rsid w:val="00B829F9"/>
    <w:rsid w:val="00B82B1D"/>
    <w:rsid w:val="00B843B5"/>
    <w:rsid w:val="00B848A9"/>
    <w:rsid w:val="00B85847"/>
    <w:rsid w:val="00B858C3"/>
    <w:rsid w:val="00B858ED"/>
    <w:rsid w:val="00B85957"/>
    <w:rsid w:val="00B85A89"/>
    <w:rsid w:val="00B866CC"/>
    <w:rsid w:val="00B86C47"/>
    <w:rsid w:val="00B873F8"/>
    <w:rsid w:val="00B8748A"/>
    <w:rsid w:val="00B876BF"/>
    <w:rsid w:val="00B87E24"/>
    <w:rsid w:val="00B87F70"/>
    <w:rsid w:val="00B909FB"/>
    <w:rsid w:val="00B90CEB"/>
    <w:rsid w:val="00B91508"/>
    <w:rsid w:val="00B91C00"/>
    <w:rsid w:val="00B91E66"/>
    <w:rsid w:val="00B922E0"/>
    <w:rsid w:val="00B926FC"/>
    <w:rsid w:val="00B92799"/>
    <w:rsid w:val="00B93757"/>
    <w:rsid w:val="00B93EF2"/>
    <w:rsid w:val="00B9424E"/>
    <w:rsid w:val="00B94399"/>
    <w:rsid w:val="00B943A1"/>
    <w:rsid w:val="00B94666"/>
    <w:rsid w:val="00B94677"/>
    <w:rsid w:val="00B94890"/>
    <w:rsid w:val="00B94E61"/>
    <w:rsid w:val="00B95800"/>
    <w:rsid w:val="00B96CEA"/>
    <w:rsid w:val="00B970B7"/>
    <w:rsid w:val="00B97EDD"/>
    <w:rsid w:val="00B97FCE"/>
    <w:rsid w:val="00BA02AC"/>
    <w:rsid w:val="00BA11C9"/>
    <w:rsid w:val="00BA15A4"/>
    <w:rsid w:val="00BA1AF6"/>
    <w:rsid w:val="00BA1BC8"/>
    <w:rsid w:val="00BA1C67"/>
    <w:rsid w:val="00BA2BFE"/>
    <w:rsid w:val="00BA2FEF"/>
    <w:rsid w:val="00BA3822"/>
    <w:rsid w:val="00BA3DAB"/>
    <w:rsid w:val="00BA487E"/>
    <w:rsid w:val="00BA4F12"/>
    <w:rsid w:val="00BA5220"/>
    <w:rsid w:val="00BA5502"/>
    <w:rsid w:val="00BA58C6"/>
    <w:rsid w:val="00BA5D30"/>
    <w:rsid w:val="00BA618C"/>
    <w:rsid w:val="00BA637C"/>
    <w:rsid w:val="00BA651F"/>
    <w:rsid w:val="00BA6DD1"/>
    <w:rsid w:val="00BA6E95"/>
    <w:rsid w:val="00BA6FF0"/>
    <w:rsid w:val="00BA7170"/>
    <w:rsid w:val="00BB0104"/>
    <w:rsid w:val="00BB0260"/>
    <w:rsid w:val="00BB07D8"/>
    <w:rsid w:val="00BB172B"/>
    <w:rsid w:val="00BB197A"/>
    <w:rsid w:val="00BB1B33"/>
    <w:rsid w:val="00BB2003"/>
    <w:rsid w:val="00BB2252"/>
    <w:rsid w:val="00BB29E6"/>
    <w:rsid w:val="00BB2D11"/>
    <w:rsid w:val="00BB3576"/>
    <w:rsid w:val="00BB370D"/>
    <w:rsid w:val="00BB418B"/>
    <w:rsid w:val="00BB4632"/>
    <w:rsid w:val="00BB48B3"/>
    <w:rsid w:val="00BB4D82"/>
    <w:rsid w:val="00BB5CC5"/>
    <w:rsid w:val="00BB5EB0"/>
    <w:rsid w:val="00BB61DA"/>
    <w:rsid w:val="00BB7387"/>
    <w:rsid w:val="00BC09A3"/>
    <w:rsid w:val="00BC1327"/>
    <w:rsid w:val="00BC17C1"/>
    <w:rsid w:val="00BC21B3"/>
    <w:rsid w:val="00BC28A5"/>
    <w:rsid w:val="00BC2C5B"/>
    <w:rsid w:val="00BC2D6D"/>
    <w:rsid w:val="00BC4D39"/>
    <w:rsid w:val="00BC64E6"/>
    <w:rsid w:val="00BC7211"/>
    <w:rsid w:val="00BC7B4B"/>
    <w:rsid w:val="00BC7C72"/>
    <w:rsid w:val="00BD06DE"/>
    <w:rsid w:val="00BD07D2"/>
    <w:rsid w:val="00BD0CA3"/>
    <w:rsid w:val="00BD0CF6"/>
    <w:rsid w:val="00BD103E"/>
    <w:rsid w:val="00BD1624"/>
    <w:rsid w:val="00BD17EE"/>
    <w:rsid w:val="00BD1EF2"/>
    <w:rsid w:val="00BD22CB"/>
    <w:rsid w:val="00BD2BE5"/>
    <w:rsid w:val="00BD2C10"/>
    <w:rsid w:val="00BD34BD"/>
    <w:rsid w:val="00BD3829"/>
    <w:rsid w:val="00BD3CC3"/>
    <w:rsid w:val="00BD3DAB"/>
    <w:rsid w:val="00BD3F6D"/>
    <w:rsid w:val="00BD4DDD"/>
    <w:rsid w:val="00BD5436"/>
    <w:rsid w:val="00BD5E20"/>
    <w:rsid w:val="00BD5E7D"/>
    <w:rsid w:val="00BD6485"/>
    <w:rsid w:val="00BD707E"/>
    <w:rsid w:val="00BD72E1"/>
    <w:rsid w:val="00BD76EE"/>
    <w:rsid w:val="00BD771A"/>
    <w:rsid w:val="00BE008E"/>
    <w:rsid w:val="00BE0171"/>
    <w:rsid w:val="00BE01AB"/>
    <w:rsid w:val="00BE0536"/>
    <w:rsid w:val="00BE095F"/>
    <w:rsid w:val="00BE101B"/>
    <w:rsid w:val="00BE110B"/>
    <w:rsid w:val="00BE1207"/>
    <w:rsid w:val="00BE16C0"/>
    <w:rsid w:val="00BE1927"/>
    <w:rsid w:val="00BE20FD"/>
    <w:rsid w:val="00BE22B2"/>
    <w:rsid w:val="00BE247B"/>
    <w:rsid w:val="00BE2D2F"/>
    <w:rsid w:val="00BE2D67"/>
    <w:rsid w:val="00BE2DC0"/>
    <w:rsid w:val="00BE33D6"/>
    <w:rsid w:val="00BE346E"/>
    <w:rsid w:val="00BE3B64"/>
    <w:rsid w:val="00BE3FA6"/>
    <w:rsid w:val="00BE483B"/>
    <w:rsid w:val="00BE560D"/>
    <w:rsid w:val="00BE577D"/>
    <w:rsid w:val="00BE5866"/>
    <w:rsid w:val="00BE5D80"/>
    <w:rsid w:val="00BE5D85"/>
    <w:rsid w:val="00BE633F"/>
    <w:rsid w:val="00BE6353"/>
    <w:rsid w:val="00BE6D5B"/>
    <w:rsid w:val="00BE7037"/>
    <w:rsid w:val="00BE72A2"/>
    <w:rsid w:val="00BE796C"/>
    <w:rsid w:val="00BE7BEE"/>
    <w:rsid w:val="00BF038F"/>
    <w:rsid w:val="00BF12A4"/>
    <w:rsid w:val="00BF228B"/>
    <w:rsid w:val="00BF2B02"/>
    <w:rsid w:val="00BF345A"/>
    <w:rsid w:val="00BF3542"/>
    <w:rsid w:val="00BF3A9F"/>
    <w:rsid w:val="00BF3C19"/>
    <w:rsid w:val="00BF433D"/>
    <w:rsid w:val="00BF4371"/>
    <w:rsid w:val="00BF4A39"/>
    <w:rsid w:val="00BF4F55"/>
    <w:rsid w:val="00BF5126"/>
    <w:rsid w:val="00BF514B"/>
    <w:rsid w:val="00BF6D4A"/>
    <w:rsid w:val="00BF7034"/>
    <w:rsid w:val="00BF76CF"/>
    <w:rsid w:val="00BF7D98"/>
    <w:rsid w:val="00BF7E9B"/>
    <w:rsid w:val="00C0137E"/>
    <w:rsid w:val="00C015EA"/>
    <w:rsid w:val="00C01BAE"/>
    <w:rsid w:val="00C02265"/>
    <w:rsid w:val="00C02363"/>
    <w:rsid w:val="00C024E3"/>
    <w:rsid w:val="00C0285E"/>
    <w:rsid w:val="00C03112"/>
    <w:rsid w:val="00C03C41"/>
    <w:rsid w:val="00C03D6A"/>
    <w:rsid w:val="00C04007"/>
    <w:rsid w:val="00C0414F"/>
    <w:rsid w:val="00C0435B"/>
    <w:rsid w:val="00C04417"/>
    <w:rsid w:val="00C052EC"/>
    <w:rsid w:val="00C05499"/>
    <w:rsid w:val="00C05C7B"/>
    <w:rsid w:val="00C06305"/>
    <w:rsid w:val="00C06B77"/>
    <w:rsid w:val="00C06CF3"/>
    <w:rsid w:val="00C06FBA"/>
    <w:rsid w:val="00C070B4"/>
    <w:rsid w:val="00C078DC"/>
    <w:rsid w:val="00C07F50"/>
    <w:rsid w:val="00C07FE8"/>
    <w:rsid w:val="00C10A80"/>
    <w:rsid w:val="00C10D39"/>
    <w:rsid w:val="00C118F7"/>
    <w:rsid w:val="00C120EA"/>
    <w:rsid w:val="00C12FA3"/>
    <w:rsid w:val="00C13323"/>
    <w:rsid w:val="00C134DB"/>
    <w:rsid w:val="00C134FD"/>
    <w:rsid w:val="00C1385A"/>
    <w:rsid w:val="00C13A68"/>
    <w:rsid w:val="00C13EAE"/>
    <w:rsid w:val="00C14257"/>
    <w:rsid w:val="00C1469B"/>
    <w:rsid w:val="00C14CBE"/>
    <w:rsid w:val="00C15CF1"/>
    <w:rsid w:val="00C16BDC"/>
    <w:rsid w:val="00C16D50"/>
    <w:rsid w:val="00C16F98"/>
    <w:rsid w:val="00C16FC9"/>
    <w:rsid w:val="00C177B6"/>
    <w:rsid w:val="00C178E9"/>
    <w:rsid w:val="00C17E9C"/>
    <w:rsid w:val="00C20717"/>
    <w:rsid w:val="00C20F5D"/>
    <w:rsid w:val="00C212D9"/>
    <w:rsid w:val="00C21CC4"/>
    <w:rsid w:val="00C2215B"/>
    <w:rsid w:val="00C222B8"/>
    <w:rsid w:val="00C22826"/>
    <w:rsid w:val="00C22E9A"/>
    <w:rsid w:val="00C23AE8"/>
    <w:rsid w:val="00C23D7F"/>
    <w:rsid w:val="00C24388"/>
    <w:rsid w:val="00C2441F"/>
    <w:rsid w:val="00C26CC3"/>
    <w:rsid w:val="00C272ED"/>
    <w:rsid w:val="00C3018D"/>
    <w:rsid w:val="00C3090A"/>
    <w:rsid w:val="00C30D6C"/>
    <w:rsid w:val="00C317F3"/>
    <w:rsid w:val="00C31EE5"/>
    <w:rsid w:val="00C320AD"/>
    <w:rsid w:val="00C32615"/>
    <w:rsid w:val="00C32F41"/>
    <w:rsid w:val="00C33AD3"/>
    <w:rsid w:val="00C3418C"/>
    <w:rsid w:val="00C341F5"/>
    <w:rsid w:val="00C34830"/>
    <w:rsid w:val="00C34D3A"/>
    <w:rsid w:val="00C34D8A"/>
    <w:rsid w:val="00C35074"/>
    <w:rsid w:val="00C354EE"/>
    <w:rsid w:val="00C358E7"/>
    <w:rsid w:val="00C35A5A"/>
    <w:rsid w:val="00C35B93"/>
    <w:rsid w:val="00C35C98"/>
    <w:rsid w:val="00C36033"/>
    <w:rsid w:val="00C36522"/>
    <w:rsid w:val="00C366FB"/>
    <w:rsid w:val="00C36DC6"/>
    <w:rsid w:val="00C374F4"/>
    <w:rsid w:val="00C37D98"/>
    <w:rsid w:val="00C37E90"/>
    <w:rsid w:val="00C400CE"/>
    <w:rsid w:val="00C40F14"/>
    <w:rsid w:val="00C41424"/>
    <w:rsid w:val="00C41BEE"/>
    <w:rsid w:val="00C41EE6"/>
    <w:rsid w:val="00C430AE"/>
    <w:rsid w:val="00C4312D"/>
    <w:rsid w:val="00C43610"/>
    <w:rsid w:val="00C43649"/>
    <w:rsid w:val="00C4401A"/>
    <w:rsid w:val="00C4409C"/>
    <w:rsid w:val="00C44E5C"/>
    <w:rsid w:val="00C45263"/>
    <w:rsid w:val="00C45846"/>
    <w:rsid w:val="00C45FB1"/>
    <w:rsid w:val="00C465E6"/>
    <w:rsid w:val="00C46C75"/>
    <w:rsid w:val="00C47F73"/>
    <w:rsid w:val="00C50639"/>
    <w:rsid w:val="00C50B4A"/>
    <w:rsid w:val="00C50E60"/>
    <w:rsid w:val="00C51075"/>
    <w:rsid w:val="00C5188F"/>
    <w:rsid w:val="00C51A76"/>
    <w:rsid w:val="00C51CFF"/>
    <w:rsid w:val="00C51DB2"/>
    <w:rsid w:val="00C522F1"/>
    <w:rsid w:val="00C523F0"/>
    <w:rsid w:val="00C5284F"/>
    <w:rsid w:val="00C530F1"/>
    <w:rsid w:val="00C5317C"/>
    <w:rsid w:val="00C537EC"/>
    <w:rsid w:val="00C540D9"/>
    <w:rsid w:val="00C54DC7"/>
    <w:rsid w:val="00C554B1"/>
    <w:rsid w:val="00C557C9"/>
    <w:rsid w:val="00C55C03"/>
    <w:rsid w:val="00C55FB5"/>
    <w:rsid w:val="00C56092"/>
    <w:rsid w:val="00C56192"/>
    <w:rsid w:val="00C5637C"/>
    <w:rsid w:val="00C566CA"/>
    <w:rsid w:val="00C60571"/>
    <w:rsid w:val="00C6090A"/>
    <w:rsid w:val="00C60A87"/>
    <w:rsid w:val="00C61081"/>
    <w:rsid w:val="00C6165A"/>
    <w:rsid w:val="00C618A1"/>
    <w:rsid w:val="00C61AFB"/>
    <w:rsid w:val="00C61F2A"/>
    <w:rsid w:val="00C62600"/>
    <w:rsid w:val="00C62911"/>
    <w:rsid w:val="00C62B2F"/>
    <w:rsid w:val="00C64A08"/>
    <w:rsid w:val="00C654BC"/>
    <w:rsid w:val="00C66055"/>
    <w:rsid w:val="00C66418"/>
    <w:rsid w:val="00C66677"/>
    <w:rsid w:val="00C67574"/>
    <w:rsid w:val="00C67889"/>
    <w:rsid w:val="00C678B4"/>
    <w:rsid w:val="00C67F98"/>
    <w:rsid w:val="00C71A8D"/>
    <w:rsid w:val="00C728EE"/>
    <w:rsid w:val="00C72E58"/>
    <w:rsid w:val="00C7333B"/>
    <w:rsid w:val="00C73A07"/>
    <w:rsid w:val="00C73EF0"/>
    <w:rsid w:val="00C74C1C"/>
    <w:rsid w:val="00C75558"/>
    <w:rsid w:val="00C7651C"/>
    <w:rsid w:val="00C76B0A"/>
    <w:rsid w:val="00C76C15"/>
    <w:rsid w:val="00C76CFD"/>
    <w:rsid w:val="00C77362"/>
    <w:rsid w:val="00C7737B"/>
    <w:rsid w:val="00C77ED2"/>
    <w:rsid w:val="00C806A8"/>
    <w:rsid w:val="00C808F8"/>
    <w:rsid w:val="00C81B04"/>
    <w:rsid w:val="00C81C58"/>
    <w:rsid w:val="00C81FED"/>
    <w:rsid w:val="00C82264"/>
    <w:rsid w:val="00C82F67"/>
    <w:rsid w:val="00C83471"/>
    <w:rsid w:val="00C835F3"/>
    <w:rsid w:val="00C83F28"/>
    <w:rsid w:val="00C84487"/>
    <w:rsid w:val="00C8485B"/>
    <w:rsid w:val="00C848F2"/>
    <w:rsid w:val="00C856C7"/>
    <w:rsid w:val="00C86488"/>
    <w:rsid w:val="00C867FC"/>
    <w:rsid w:val="00C86B9F"/>
    <w:rsid w:val="00C86C6E"/>
    <w:rsid w:val="00C87994"/>
    <w:rsid w:val="00C87D7B"/>
    <w:rsid w:val="00C907D6"/>
    <w:rsid w:val="00C910FF"/>
    <w:rsid w:val="00C91662"/>
    <w:rsid w:val="00C917C5"/>
    <w:rsid w:val="00C925BC"/>
    <w:rsid w:val="00C92B01"/>
    <w:rsid w:val="00C9351B"/>
    <w:rsid w:val="00C936BF"/>
    <w:rsid w:val="00C93A41"/>
    <w:rsid w:val="00C94AED"/>
    <w:rsid w:val="00C9579E"/>
    <w:rsid w:val="00C97627"/>
    <w:rsid w:val="00C97923"/>
    <w:rsid w:val="00CA038C"/>
    <w:rsid w:val="00CA0497"/>
    <w:rsid w:val="00CA06BE"/>
    <w:rsid w:val="00CA10F5"/>
    <w:rsid w:val="00CA126F"/>
    <w:rsid w:val="00CA13AD"/>
    <w:rsid w:val="00CA1D11"/>
    <w:rsid w:val="00CA2AE7"/>
    <w:rsid w:val="00CA2F2C"/>
    <w:rsid w:val="00CA3792"/>
    <w:rsid w:val="00CA3F0D"/>
    <w:rsid w:val="00CA44A0"/>
    <w:rsid w:val="00CA49F5"/>
    <w:rsid w:val="00CA4AB2"/>
    <w:rsid w:val="00CA5CDB"/>
    <w:rsid w:val="00CA6026"/>
    <w:rsid w:val="00CA6487"/>
    <w:rsid w:val="00CA65CD"/>
    <w:rsid w:val="00CA669E"/>
    <w:rsid w:val="00CA7006"/>
    <w:rsid w:val="00CA70C3"/>
    <w:rsid w:val="00CA7C31"/>
    <w:rsid w:val="00CA7F15"/>
    <w:rsid w:val="00CB0249"/>
    <w:rsid w:val="00CB068B"/>
    <w:rsid w:val="00CB0819"/>
    <w:rsid w:val="00CB0ADE"/>
    <w:rsid w:val="00CB0DB5"/>
    <w:rsid w:val="00CB127A"/>
    <w:rsid w:val="00CB18FB"/>
    <w:rsid w:val="00CB1A0C"/>
    <w:rsid w:val="00CB31FA"/>
    <w:rsid w:val="00CB3320"/>
    <w:rsid w:val="00CB341E"/>
    <w:rsid w:val="00CB36B0"/>
    <w:rsid w:val="00CB3B99"/>
    <w:rsid w:val="00CB457C"/>
    <w:rsid w:val="00CB4B59"/>
    <w:rsid w:val="00CB5345"/>
    <w:rsid w:val="00CB59AA"/>
    <w:rsid w:val="00CB680F"/>
    <w:rsid w:val="00CB6C85"/>
    <w:rsid w:val="00CB710D"/>
    <w:rsid w:val="00CB7287"/>
    <w:rsid w:val="00CB783E"/>
    <w:rsid w:val="00CB7948"/>
    <w:rsid w:val="00CC0BC8"/>
    <w:rsid w:val="00CC0DDC"/>
    <w:rsid w:val="00CC1974"/>
    <w:rsid w:val="00CC1AFF"/>
    <w:rsid w:val="00CC1D2E"/>
    <w:rsid w:val="00CC1DBD"/>
    <w:rsid w:val="00CC4CAB"/>
    <w:rsid w:val="00CC5615"/>
    <w:rsid w:val="00CC6E6A"/>
    <w:rsid w:val="00CC7F7E"/>
    <w:rsid w:val="00CD0924"/>
    <w:rsid w:val="00CD0BC2"/>
    <w:rsid w:val="00CD0BCF"/>
    <w:rsid w:val="00CD0BEE"/>
    <w:rsid w:val="00CD1C4C"/>
    <w:rsid w:val="00CD2882"/>
    <w:rsid w:val="00CD2DF8"/>
    <w:rsid w:val="00CD2F97"/>
    <w:rsid w:val="00CD32C3"/>
    <w:rsid w:val="00CD40DF"/>
    <w:rsid w:val="00CD42F8"/>
    <w:rsid w:val="00CD469C"/>
    <w:rsid w:val="00CD4C4F"/>
    <w:rsid w:val="00CD4D51"/>
    <w:rsid w:val="00CD4D65"/>
    <w:rsid w:val="00CD4F12"/>
    <w:rsid w:val="00CD6F0F"/>
    <w:rsid w:val="00CD712B"/>
    <w:rsid w:val="00CD79CB"/>
    <w:rsid w:val="00CE1345"/>
    <w:rsid w:val="00CE176A"/>
    <w:rsid w:val="00CE2360"/>
    <w:rsid w:val="00CE23CC"/>
    <w:rsid w:val="00CE3BBA"/>
    <w:rsid w:val="00CE4763"/>
    <w:rsid w:val="00CE5587"/>
    <w:rsid w:val="00CE575A"/>
    <w:rsid w:val="00CE5820"/>
    <w:rsid w:val="00CE5868"/>
    <w:rsid w:val="00CE6286"/>
    <w:rsid w:val="00CE67E1"/>
    <w:rsid w:val="00CE6900"/>
    <w:rsid w:val="00CE6D67"/>
    <w:rsid w:val="00CE7670"/>
    <w:rsid w:val="00CE7954"/>
    <w:rsid w:val="00CF0251"/>
    <w:rsid w:val="00CF02CA"/>
    <w:rsid w:val="00CF037D"/>
    <w:rsid w:val="00CF10CB"/>
    <w:rsid w:val="00CF1694"/>
    <w:rsid w:val="00CF18B4"/>
    <w:rsid w:val="00CF2739"/>
    <w:rsid w:val="00CF29A5"/>
    <w:rsid w:val="00CF3500"/>
    <w:rsid w:val="00CF35E6"/>
    <w:rsid w:val="00CF4716"/>
    <w:rsid w:val="00CF4E47"/>
    <w:rsid w:val="00CF57DA"/>
    <w:rsid w:val="00CF63E9"/>
    <w:rsid w:val="00CF6442"/>
    <w:rsid w:val="00CF6D3A"/>
    <w:rsid w:val="00CF779A"/>
    <w:rsid w:val="00D005D9"/>
    <w:rsid w:val="00D008F1"/>
    <w:rsid w:val="00D00CE7"/>
    <w:rsid w:val="00D01F2D"/>
    <w:rsid w:val="00D02064"/>
    <w:rsid w:val="00D02F1A"/>
    <w:rsid w:val="00D03382"/>
    <w:rsid w:val="00D03BA0"/>
    <w:rsid w:val="00D042BA"/>
    <w:rsid w:val="00D0434C"/>
    <w:rsid w:val="00D044AA"/>
    <w:rsid w:val="00D04717"/>
    <w:rsid w:val="00D04827"/>
    <w:rsid w:val="00D04D75"/>
    <w:rsid w:val="00D04F52"/>
    <w:rsid w:val="00D05C5D"/>
    <w:rsid w:val="00D06E75"/>
    <w:rsid w:val="00D07075"/>
    <w:rsid w:val="00D07937"/>
    <w:rsid w:val="00D07947"/>
    <w:rsid w:val="00D07A02"/>
    <w:rsid w:val="00D10306"/>
    <w:rsid w:val="00D10D06"/>
    <w:rsid w:val="00D10E0B"/>
    <w:rsid w:val="00D11330"/>
    <w:rsid w:val="00D113D8"/>
    <w:rsid w:val="00D1166D"/>
    <w:rsid w:val="00D116E6"/>
    <w:rsid w:val="00D11763"/>
    <w:rsid w:val="00D119DE"/>
    <w:rsid w:val="00D11AA3"/>
    <w:rsid w:val="00D11DC5"/>
    <w:rsid w:val="00D12808"/>
    <w:rsid w:val="00D1287E"/>
    <w:rsid w:val="00D12BC1"/>
    <w:rsid w:val="00D13605"/>
    <w:rsid w:val="00D139D6"/>
    <w:rsid w:val="00D14530"/>
    <w:rsid w:val="00D146BC"/>
    <w:rsid w:val="00D14A6B"/>
    <w:rsid w:val="00D14A82"/>
    <w:rsid w:val="00D14C23"/>
    <w:rsid w:val="00D1519F"/>
    <w:rsid w:val="00D15E58"/>
    <w:rsid w:val="00D16CD6"/>
    <w:rsid w:val="00D16CF1"/>
    <w:rsid w:val="00D16F0B"/>
    <w:rsid w:val="00D177CE"/>
    <w:rsid w:val="00D1786E"/>
    <w:rsid w:val="00D17963"/>
    <w:rsid w:val="00D17B5C"/>
    <w:rsid w:val="00D17E42"/>
    <w:rsid w:val="00D20402"/>
    <w:rsid w:val="00D206F8"/>
    <w:rsid w:val="00D209CD"/>
    <w:rsid w:val="00D20B7F"/>
    <w:rsid w:val="00D20C82"/>
    <w:rsid w:val="00D21346"/>
    <w:rsid w:val="00D21447"/>
    <w:rsid w:val="00D216B6"/>
    <w:rsid w:val="00D21770"/>
    <w:rsid w:val="00D220DF"/>
    <w:rsid w:val="00D22656"/>
    <w:rsid w:val="00D229A4"/>
    <w:rsid w:val="00D23774"/>
    <w:rsid w:val="00D23C87"/>
    <w:rsid w:val="00D2463E"/>
    <w:rsid w:val="00D24889"/>
    <w:rsid w:val="00D249F4"/>
    <w:rsid w:val="00D24AD4"/>
    <w:rsid w:val="00D24D9F"/>
    <w:rsid w:val="00D24DFC"/>
    <w:rsid w:val="00D2523D"/>
    <w:rsid w:val="00D2531D"/>
    <w:rsid w:val="00D25785"/>
    <w:rsid w:val="00D25C21"/>
    <w:rsid w:val="00D2748B"/>
    <w:rsid w:val="00D27992"/>
    <w:rsid w:val="00D30378"/>
    <w:rsid w:val="00D3042D"/>
    <w:rsid w:val="00D308BD"/>
    <w:rsid w:val="00D30935"/>
    <w:rsid w:val="00D30A3F"/>
    <w:rsid w:val="00D30B85"/>
    <w:rsid w:val="00D30BB8"/>
    <w:rsid w:val="00D30CA5"/>
    <w:rsid w:val="00D30FEA"/>
    <w:rsid w:val="00D31482"/>
    <w:rsid w:val="00D319B7"/>
    <w:rsid w:val="00D31F00"/>
    <w:rsid w:val="00D32561"/>
    <w:rsid w:val="00D325C9"/>
    <w:rsid w:val="00D32BC3"/>
    <w:rsid w:val="00D32DA7"/>
    <w:rsid w:val="00D331F7"/>
    <w:rsid w:val="00D33244"/>
    <w:rsid w:val="00D333F4"/>
    <w:rsid w:val="00D33658"/>
    <w:rsid w:val="00D34152"/>
    <w:rsid w:val="00D3493D"/>
    <w:rsid w:val="00D356D3"/>
    <w:rsid w:val="00D35AAC"/>
    <w:rsid w:val="00D35FAC"/>
    <w:rsid w:val="00D3635E"/>
    <w:rsid w:val="00D370A6"/>
    <w:rsid w:val="00D417A4"/>
    <w:rsid w:val="00D417FB"/>
    <w:rsid w:val="00D41C28"/>
    <w:rsid w:val="00D41FFF"/>
    <w:rsid w:val="00D43300"/>
    <w:rsid w:val="00D43575"/>
    <w:rsid w:val="00D435D3"/>
    <w:rsid w:val="00D446B2"/>
    <w:rsid w:val="00D44C12"/>
    <w:rsid w:val="00D44FAF"/>
    <w:rsid w:val="00D45BCE"/>
    <w:rsid w:val="00D45F3F"/>
    <w:rsid w:val="00D46606"/>
    <w:rsid w:val="00D46FBB"/>
    <w:rsid w:val="00D47BA6"/>
    <w:rsid w:val="00D502B2"/>
    <w:rsid w:val="00D50748"/>
    <w:rsid w:val="00D507BD"/>
    <w:rsid w:val="00D5108A"/>
    <w:rsid w:val="00D51ABF"/>
    <w:rsid w:val="00D51E83"/>
    <w:rsid w:val="00D52859"/>
    <w:rsid w:val="00D52DE2"/>
    <w:rsid w:val="00D52F09"/>
    <w:rsid w:val="00D53200"/>
    <w:rsid w:val="00D53C7B"/>
    <w:rsid w:val="00D5446D"/>
    <w:rsid w:val="00D560A9"/>
    <w:rsid w:val="00D561DD"/>
    <w:rsid w:val="00D5684C"/>
    <w:rsid w:val="00D57946"/>
    <w:rsid w:val="00D6029D"/>
    <w:rsid w:val="00D6098D"/>
    <w:rsid w:val="00D60A79"/>
    <w:rsid w:val="00D61951"/>
    <w:rsid w:val="00D62C0E"/>
    <w:rsid w:val="00D6369D"/>
    <w:rsid w:val="00D637E2"/>
    <w:rsid w:val="00D63C0D"/>
    <w:rsid w:val="00D646DF"/>
    <w:rsid w:val="00D6484E"/>
    <w:rsid w:val="00D64C16"/>
    <w:rsid w:val="00D657D5"/>
    <w:rsid w:val="00D65AD5"/>
    <w:rsid w:val="00D65FC1"/>
    <w:rsid w:val="00D6624F"/>
    <w:rsid w:val="00D666A4"/>
    <w:rsid w:val="00D66DAE"/>
    <w:rsid w:val="00D67D1E"/>
    <w:rsid w:val="00D67E08"/>
    <w:rsid w:val="00D67EF0"/>
    <w:rsid w:val="00D701E0"/>
    <w:rsid w:val="00D70A5A"/>
    <w:rsid w:val="00D70CC8"/>
    <w:rsid w:val="00D711CC"/>
    <w:rsid w:val="00D717A4"/>
    <w:rsid w:val="00D7272F"/>
    <w:rsid w:val="00D72B87"/>
    <w:rsid w:val="00D72D4B"/>
    <w:rsid w:val="00D72FB9"/>
    <w:rsid w:val="00D730F8"/>
    <w:rsid w:val="00D73224"/>
    <w:rsid w:val="00D73976"/>
    <w:rsid w:val="00D7397A"/>
    <w:rsid w:val="00D73C84"/>
    <w:rsid w:val="00D73CA3"/>
    <w:rsid w:val="00D73CAA"/>
    <w:rsid w:val="00D74643"/>
    <w:rsid w:val="00D74749"/>
    <w:rsid w:val="00D7525E"/>
    <w:rsid w:val="00D75692"/>
    <w:rsid w:val="00D756EE"/>
    <w:rsid w:val="00D757FA"/>
    <w:rsid w:val="00D75C40"/>
    <w:rsid w:val="00D75D46"/>
    <w:rsid w:val="00D761DD"/>
    <w:rsid w:val="00D76766"/>
    <w:rsid w:val="00D76F30"/>
    <w:rsid w:val="00D77372"/>
    <w:rsid w:val="00D774F0"/>
    <w:rsid w:val="00D77B81"/>
    <w:rsid w:val="00D80029"/>
    <w:rsid w:val="00D808C0"/>
    <w:rsid w:val="00D8123D"/>
    <w:rsid w:val="00D81481"/>
    <w:rsid w:val="00D817CA"/>
    <w:rsid w:val="00D82F38"/>
    <w:rsid w:val="00D83927"/>
    <w:rsid w:val="00D83D84"/>
    <w:rsid w:val="00D847EF"/>
    <w:rsid w:val="00D8498B"/>
    <w:rsid w:val="00D84A77"/>
    <w:rsid w:val="00D84D36"/>
    <w:rsid w:val="00D852BA"/>
    <w:rsid w:val="00D85B4B"/>
    <w:rsid w:val="00D86F28"/>
    <w:rsid w:val="00D87025"/>
    <w:rsid w:val="00D87153"/>
    <w:rsid w:val="00D87675"/>
    <w:rsid w:val="00D87F1E"/>
    <w:rsid w:val="00D90300"/>
    <w:rsid w:val="00D909F3"/>
    <w:rsid w:val="00D90B2F"/>
    <w:rsid w:val="00D91616"/>
    <w:rsid w:val="00D91746"/>
    <w:rsid w:val="00D91A1B"/>
    <w:rsid w:val="00D92045"/>
    <w:rsid w:val="00D92137"/>
    <w:rsid w:val="00D929F4"/>
    <w:rsid w:val="00D92D76"/>
    <w:rsid w:val="00D9301C"/>
    <w:rsid w:val="00D93674"/>
    <w:rsid w:val="00D93878"/>
    <w:rsid w:val="00D93B95"/>
    <w:rsid w:val="00D94240"/>
    <w:rsid w:val="00D9442D"/>
    <w:rsid w:val="00D94B1F"/>
    <w:rsid w:val="00D94BBE"/>
    <w:rsid w:val="00D94F6C"/>
    <w:rsid w:val="00D94F7C"/>
    <w:rsid w:val="00D95364"/>
    <w:rsid w:val="00D9540B"/>
    <w:rsid w:val="00D956EA"/>
    <w:rsid w:val="00D95C1A"/>
    <w:rsid w:val="00D96213"/>
    <w:rsid w:val="00D964E3"/>
    <w:rsid w:val="00D9684B"/>
    <w:rsid w:val="00D969C9"/>
    <w:rsid w:val="00D96AB6"/>
    <w:rsid w:val="00D96B80"/>
    <w:rsid w:val="00D97DE2"/>
    <w:rsid w:val="00D97E16"/>
    <w:rsid w:val="00DA05AC"/>
    <w:rsid w:val="00DA062B"/>
    <w:rsid w:val="00DA1B57"/>
    <w:rsid w:val="00DA1BDC"/>
    <w:rsid w:val="00DA203E"/>
    <w:rsid w:val="00DA205B"/>
    <w:rsid w:val="00DA2334"/>
    <w:rsid w:val="00DA2359"/>
    <w:rsid w:val="00DA2473"/>
    <w:rsid w:val="00DA255A"/>
    <w:rsid w:val="00DA264A"/>
    <w:rsid w:val="00DA2662"/>
    <w:rsid w:val="00DA279F"/>
    <w:rsid w:val="00DA2D44"/>
    <w:rsid w:val="00DA3B1C"/>
    <w:rsid w:val="00DA3E1C"/>
    <w:rsid w:val="00DA43F2"/>
    <w:rsid w:val="00DA49D7"/>
    <w:rsid w:val="00DA4CA5"/>
    <w:rsid w:val="00DA5FEF"/>
    <w:rsid w:val="00DA6BDC"/>
    <w:rsid w:val="00DA76AE"/>
    <w:rsid w:val="00DA7873"/>
    <w:rsid w:val="00DB0172"/>
    <w:rsid w:val="00DB0A00"/>
    <w:rsid w:val="00DB1538"/>
    <w:rsid w:val="00DB2934"/>
    <w:rsid w:val="00DB2C76"/>
    <w:rsid w:val="00DB2CAC"/>
    <w:rsid w:val="00DB2F7A"/>
    <w:rsid w:val="00DB461B"/>
    <w:rsid w:val="00DB4988"/>
    <w:rsid w:val="00DB4A07"/>
    <w:rsid w:val="00DB502C"/>
    <w:rsid w:val="00DB50DF"/>
    <w:rsid w:val="00DB5A69"/>
    <w:rsid w:val="00DB65B1"/>
    <w:rsid w:val="00DB6C28"/>
    <w:rsid w:val="00DB7B43"/>
    <w:rsid w:val="00DC05F0"/>
    <w:rsid w:val="00DC112D"/>
    <w:rsid w:val="00DC2920"/>
    <w:rsid w:val="00DC411A"/>
    <w:rsid w:val="00DC47AE"/>
    <w:rsid w:val="00DC5056"/>
    <w:rsid w:val="00DC51D5"/>
    <w:rsid w:val="00DC5205"/>
    <w:rsid w:val="00DC5565"/>
    <w:rsid w:val="00DC58FB"/>
    <w:rsid w:val="00DC5CE7"/>
    <w:rsid w:val="00DC5EF7"/>
    <w:rsid w:val="00DC6762"/>
    <w:rsid w:val="00DC677A"/>
    <w:rsid w:val="00DC6F95"/>
    <w:rsid w:val="00DC78F6"/>
    <w:rsid w:val="00DD0970"/>
    <w:rsid w:val="00DD13AE"/>
    <w:rsid w:val="00DD16DC"/>
    <w:rsid w:val="00DD19DD"/>
    <w:rsid w:val="00DD2357"/>
    <w:rsid w:val="00DD26FB"/>
    <w:rsid w:val="00DD29CE"/>
    <w:rsid w:val="00DD2EB9"/>
    <w:rsid w:val="00DD3019"/>
    <w:rsid w:val="00DD301B"/>
    <w:rsid w:val="00DD475B"/>
    <w:rsid w:val="00DD491B"/>
    <w:rsid w:val="00DD4CB9"/>
    <w:rsid w:val="00DD4D7E"/>
    <w:rsid w:val="00DD5AD1"/>
    <w:rsid w:val="00DD63D4"/>
    <w:rsid w:val="00DD7FAB"/>
    <w:rsid w:val="00DE06BC"/>
    <w:rsid w:val="00DE1164"/>
    <w:rsid w:val="00DE12E5"/>
    <w:rsid w:val="00DE13E7"/>
    <w:rsid w:val="00DE17F2"/>
    <w:rsid w:val="00DE18C8"/>
    <w:rsid w:val="00DE1C28"/>
    <w:rsid w:val="00DE1F35"/>
    <w:rsid w:val="00DE2022"/>
    <w:rsid w:val="00DE2703"/>
    <w:rsid w:val="00DE2F82"/>
    <w:rsid w:val="00DE30E3"/>
    <w:rsid w:val="00DE3647"/>
    <w:rsid w:val="00DE3F49"/>
    <w:rsid w:val="00DE4434"/>
    <w:rsid w:val="00DE460D"/>
    <w:rsid w:val="00DE4BD1"/>
    <w:rsid w:val="00DE4E85"/>
    <w:rsid w:val="00DE5236"/>
    <w:rsid w:val="00DE576B"/>
    <w:rsid w:val="00DE63E3"/>
    <w:rsid w:val="00DE6F91"/>
    <w:rsid w:val="00DF021F"/>
    <w:rsid w:val="00DF07E6"/>
    <w:rsid w:val="00DF09DF"/>
    <w:rsid w:val="00DF11BF"/>
    <w:rsid w:val="00DF1B27"/>
    <w:rsid w:val="00DF207B"/>
    <w:rsid w:val="00DF23AA"/>
    <w:rsid w:val="00DF245C"/>
    <w:rsid w:val="00DF2C61"/>
    <w:rsid w:val="00DF3176"/>
    <w:rsid w:val="00DF3A66"/>
    <w:rsid w:val="00DF3BBE"/>
    <w:rsid w:val="00DF3D73"/>
    <w:rsid w:val="00DF40D7"/>
    <w:rsid w:val="00DF43BF"/>
    <w:rsid w:val="00DF517A"/>
    <w:rsid w:val="00DF624A"/>
    <w:rsid w:val="00DF72C5"/>
    <w:rsid w:val="00DF741E"/>
    <w:rsid w:val="00DF7BCF"/>
    <w:rsid w:val="00E00C67"/>
    <w:rsid w:val="00E00D70"/>
    <w:rsid w:val="00E017DE"/>
    <w:rsid w:val="00E01887"/>
    <w:rsid w:val="00E01D1A"/>
    <w:rsid w:val="00E02509"/>
    <w:rsid w:val="00E02F51"/>
    <w:rsid w:val="00E03C0F"/>
    <w:rsid w:val="00E0434C"/>
    <w:rsid w:val="00E043FD"/>
    <w:rsid w:val="00E04EDC"/>
    <w:rsid w:val="00E05495"/>
    <w:rsid w:val="00E05ECB"/>
    <w:rsid w:val="00E0613B"/>
    <w:rsid w:val="00E06DD6"/>
    <w:rsid w:val="00E06E96"/>
    <w:rsid w:val="00E07E6C"/>
    <w:rsid w:val="00E10063"/>
    <w:rsid w:val="00E10258"/>
    <w:rsid w:val="00E1051E"/>
    <w:rsid w:val="00E105A9"/>
    <w:rsid w:val="00E10762"/>
    <w:rsid w:val="00E10CA3"/>
    <w:rsid w:val="00E10FB4"/>
    <w:rsid w:val="00E11888"/>
    <w:rsid w:val="00E128A2"/>
    <w:rsid w:val="00E12AD3"/>
    <w:rsid w:val="00E134DE"/>
    <w:rsid w:val="00E13F84"/>
    <w:rsid w:val="00E140A7"/>
    <w:rsid w:val="00E15064"/>
    <w:rsid w:val="00E15327"/>
    <w:rsid w:val="00E155DD"/>
    <w:rsid w:val="00E15942"/>
    <w:rsid w:val="00E1598A"/>
    <w:rsid w:val="00E15F30"/>
    <w:rsid w:val="00E16E60"/>
    <w:rsid w:val="00E177A4"/>
    <w:rsid w:val="00E17FE6"/>
    <w:rsid w:val="00E20A79"/>
    <w:rsid w:val="00E215A7"/>
    <w:rsid w:val="00E21EF7"/>
    <w:rsid w:val="00E22004"/>
    <w:rsid w:val="00E22741"/>
    <w:rsid w:val="00E232E4"/>
    <w:rsid w:val="00E2360E"/>
    <w:rsid w:val="00E248BD"/>
    <w:rsid w:val="00E24EF5"/>
    <w:rsid w:val="00E25073"/>
    <w:rsid w:val="00E25097"/>
    <w:rsid w:val="00E267C5"/>
    <w:rsid w:val="00E275C9"/>
    <w:rsid w:val="00E27AEC"/>
    <w:rsid w:val="00E30924"/>
    <w:rsid w:val="00E30EB3"/>
    <w:rsid w:val="00E318AB"/>
    <w:rsid w:val="00E31F3D"/>
    <w:rsid w:val="00E31F91"/>
    <w:rsid w:val="00E32023"/>
    <w:rsid w:val="00E3273C"/>
    <w:rsid w:val="00E32B2F"/>
    <w:rsid w:val="00E32D5D"/>
    <w:rsid w:val="00E33198"/>
    <w:rsid w:val="00E337EF"/>
    <w:rsid w:val="00E34AF2"/>
    <w:rsid w:val="00E3578F"/>
    <w:rsid w:val="00E357EC"/>
    <w:rsid w:val="00E3776B"/>
    <w:rsid w:val="00E37ED8"/>
    <w:rsid w:val="00E404CA"/>
    <w:rsid w:val="00E409C7"/>
    <w:rsid w:val="00E411C1"/>
    <w:rsid w:val="00E41994"/>
    <w:rsid w:val="00E423A6"/>
    <w:rsid w:val="00E42747"/>
    <w:rsid w:val="00E428F6"/>
    <w:rsid w:val="00E4351C"/>
    <w:rsid w:val="00E43599"/>
    <w:rsid w:val="00E43DB7"/>
    <w:rsid w:val="00E43EA1"/>
    <w:rsid w:val="00E445C6"/>
    <w:rsid w:val="00E4464A"/>
    <w:rsid w:val="00E447E7"/>
    <w:rsid w:val="00E44B21"/>
    <w:rsid w:val="00E4566C"/>
    <w:rsid w:val="00E467EA"/>
    <w:rsid w:val="00E46A73"/>
    <w:rsid w:val="00E46CB6"/>
    <w:rsid w:val="00E47B26"/>
    <w:rsid w:val="00E47BD5"/>
    <w:rsid w:val="00E5006C"/>
    <w:rsid w:val="00E50489"/>
    <w:rsid w:val="00E5062B"/>
    <w:rsid w:val="00E506F8"/>
    <w:rsid w:val="00E51608"/>
    <w:rsid w:val="00E518E9"/>
    <w:rsid w:val="00E51A56"/>
    <w:rsid w:val="00E5231A"/>
    <w:rsid w:val="00E5262C"/>
    <w:rsid w:val="00E52A1A"/>
    <w:rsid w:val="00E52CE1"/>
    <w:rsid w:val="00E52ECC"/>
    <w:rsid w:val="00E5330A"/>
    <w:rsid w:val="00E53A16"/>
    <w:rsid w:val="00E543EA"/>
    <w:rsid w:val="00E544E2"/>
    <w:rsid w:val="00E545DA"/>
    <w:rsid w:val="00E547D5"/>
    <w:rsid w:val="00E54AD9"/>
    <w:rsid w:val="00E55305"/>
    <w:rsid w:val="00E55684"/>
    <w:rsid w:val="00E559D6"/>
    <w:rsid w:val="00E5685D"/>
    <w:rsid w:val="00E56F79"/>
    <w:rsid w:val="00E57295"/>
    <w:rsid w:val="00E57301"/>
    <w:rsid w:val="00E574A5"/>
    <w:rsid w:val="00E57986"/>
    <w:rsid w:val="00E60A4E"/>
    <w:rsid w:val="00E615A9"/>
    <w:rsid w:val="00E617CB"/>
    <w:rsid w:val="00E61C83"/>
    <w:rsid w:val="00E629D6"/>
    <w:rsid w:val="00E63D81"/>
    <w:rsid w:val="00E65281"/>
    <w:rsid w:val="00E659FD"/>
    <w:rsid w:val="00E6600F"/>
    <w:rsid w:val="00E66843"/>
    <w:rsid w:val="00E66C8E"/>
    <w:rsid w:val="00E66F02"/>
    <w:rsid w:val="00E66FA0"/>
    <w:rsid w:val="00E675B1"/>
    <w:rsid w:val="00E679A3"/>
    <w:rsid w:val="00E67F7A"/>
    <w:rsid w:val="00E70407"/>
    <w:rsid w:val="00E7047A"/>
    <w:rsid w:val="00E7128C"/>
    <w:rsid w:val="00E715A2"/>
    <w:rsid w:val="00E719DA"/>
    <w:rsid w:val="00E723EA"/>
    <w:rsid w:val="00E72409"/>
    <w:rsid w:val="00E72B4A"/>
    <w:rsid w:val="00E72DB0"/>
    <w:rsid w:val="00E735FF"/>
    <w:rsid w:val="00E73776"/>
    <w:rsid w:val="00E74851"/>
    <w:rsid w:val="00E74CEE"/>
    <w:rsid w:val="00E75A0D"/>
    <w:rsid w:val="00E7794B"/>
    <w:rsid w:val="00E77E60"/>
    <w:rsid w:val="00E77E9A"/>
    <w:rsid w:val="00E80098"/>
    <w:rsid w:val="00E802B7"/>
    <w:rsid w:val="00E80B55"/>
    <w:rsid w:val="00E80DD6"/>
    <w:rsid w:val="00E82303"/>
    <w:rsid w:val="00E82C7D"/>
    <w:rsid w:val="00E83444"/>
    <w:rsid w:val="00E83A45"/>
    <w:rsid w:val="00E83C77"/>
    <w:rsid w:val="00E83C7F"/>
    <w:rsid w:val="00E83EEC"/>
    <w:rsid w:val="00E843DD"/>
    <w:rsid w:val="00E850BE"/>
    <w:rsid w:val="00E86B9C"/>
    <w:rsid w:val="00E872CE"/>
    <w:rsid w:val="00E87598"/>
    <w:rsid w:val="00E87606"/>
    <w:rsid w:val="00E87D18"/>
    <w:rsid w:val="00E87F43"/>
    <w:rsid w:val="00E9129C"/>
    <w:rsid w:val="00E912CE"/>
    <w:rsid w:val="00E9171E"/>
    <w:rsid w:val="00E9177D"/>
    <w:rsid w:val="00E91CA0"/>
    <w:rsid w:val="00E91E0B"/>
    <w:rsid w:val="00E91F4C"/>
    <w:rsid w:val="00E927B8"/>
    <w:rsid w:val="00E92DA2"/>
    <w:rsid w:val="00E92EB6"/>
    <w:rsid w:val="00E92EEA"/>
    <w:rsid w:val="00E93AF7"/>
    <w:rsid w:val="00E93EB5"/>
    <w:rsid w:val="00E940AB"/>
    <w:rsid w:val="00E9410D"/>
    <w:rsid w:val="00E94321"/>
    <w:rsid w:val="00E9448D"/>
    <w:rsid w:val="00E94546"/>
    <w:rsid w:val="00E94599"/>
    <w:rsid w:val="00E94B6C"/>
    <w:rsid w:val="00E94C4D"/>
    <w:rsid w:val="00E95273"/>
    <w:rsid w:val="00E95401"/>
    <w:rsid w:val="00E956E1"/>
    <w:rsid w:val="00E9758A"/>
    <w:rsid w:val="00E97A03"/>
    <w:rsid w:val="00EA16DE"/>
    <w:rsid w:val="00EA235D"/>
    <w:rsid w:val="00EA2546"/>
    <w:rsid w:val="00EA3E6A"/>
    <w:rsid w:val="00EA4140"/>
    <w:rsid w:val="00EA4305"/>
    <w:rsid w:val="00EA444D"/>
    <w:rsid w:val="00EA47CF"/>
    <w:rsid w:val="00EA6D4C"/>
    <w:rsid w:val="00EB0513"/>
    <w:rsid w:val="00EB06E4"/>
    <w:rsid w:val="00EB0ADA"/>
    <w:rsid w:val="00EB109B"/>
    <w:rsid w:val="00EB1D1A"/>
    <w:rsid w:val="00EB2177"/>
    <w:rsid w:val="00EB223A"/>
    <w:rsid w:val="00EB2DCA"/>
    <w:rsid w:val="00EB2DFF"/>
    <w:rsid w:val="00EB3210"/>
    <w:rsid w:val="00EB332A"/>
    <w:rsid w:val="00EB3B2A"/>
    <w:rsid w:val="00EB595C"/>
    <w:rsid w:val="00EB65A1"/>
    <w:rsid w:val="00EB6B43"/>
    <w:rsid w:val="00EB735D"/>
    <w:rsid w:val="00EB7476"/>
    <w:rsid w:val="00EB7AB1"/>
    <w:rsid w:val="00EC0709"/>
    <w:rsid w:val="00EC0AD8"/>
    <w:rsid w:val="00EC0FFA"/>
    <w:rsid w:val="00EC18B5"/>
    <w:rsid w:val="00EC193E"/>
    <w:rsid w:val="00EC197D"/>
    <w:rsid w:val="00EC1FBD"/>
    <w:rsid w:val="00EC22CB"/>
    <w:rsid w:val="00EC3929"/>
    <w:rsid w:val="00EC39F0"/>
    <w:rsid w:val="00EC3CEB"/>
    <w:rsid w:val="00EC3E41"/>
    <w:rsid w:val="00EC3F25"/>
    <w:rsid w:val="00EC3F50"/>
    <w:rsid w:val="00EC3F91"/>
    <w:rsid w:val="00EC4000"/>
    <w:rsid w:val="00EC5107"/>
    <w:rsid w:val="00EC52CC"/>
    <w:rsid w:val="00EC5505"/>
    <w:rsid w:val="00EC57A0"/>
    <w:rsid w:val="00EC5FBC"/>
    <w:rsid w:val="00EC687A"/>
    <w:rsid w:val="00EC6DF6"/>
    <w:rsid w:val="00EC6EDD"/>
    <w:rsid w:val="00EC711F"/>
    <w:rsid w:val="00EC7AE9"/>
    <w:rsid w:val="00ED0E4F"/>
    <w:rsid w:val="00ED2A2B"/>
    <w:rsid w:val="00ED305E"/>
    <w:rsid w:val="00ED3156"/>
    <w:rsid w:val="00ED3192"/>
    <w:rsid w:val="00ED39AA"/>
    <w:rsid w:val="00ED3E05"/>
    <w:rsid w:val="00ED3F35"/>
    <w:rsid w:val="00ED4331"/>
    <w:rsid w:val="00ED4588"/>
    <w:rsid w:val="00ED4E70"/>
    <w:rsid w:val="00ED557E"/>
    <w:rsid w:val="00ED58BB"/>
    <w:rsid w:val="00ED63C0"/>
    <w:rsid w:val="00ED6816"/>
    <w:rsid w:val="00ED6AD5"/>
    <w:rsid w:val="00ED6E4F"/>
    <w:rsid w:val="00ED7896"/>
    <w:rsid w:val="00ED79CD"/>
    <w:rsid w:val="00ED7CE2"/>
    <w:rsid w:val="00EE09AD"/>
    <w:rsid w:val="00EE0A2D"/>
    <w:rsid w:val="00EE0C19"/>
    <w:rsid w:val="00EE1034"/>
    <w:rsid w:val="00EE17EA"/>
    <w:rsid w:val="00EE1B04"/>
    <w:rsid w:val="00EE1EAA"/>
    <w:rsid w:val="00EE2824"/>
    <w:rsid w:val="00EE28F9"/>
    <w:rsid w:val="00EE2BE4"/>
    <w:rsid w:val="00EE3881"/>
    <w:rsid w:val="00EE38DA"/>
    <w:rsid w:val="00EE3B49"/>
    <w:rsid w:val="00EE3B5C"/>
    <w:rsid w:val="00EE4C68"/>
    <w:rsid w:val="00EE4F4D"/>
    <w:rsid w:val="00EE51AC"/>
    <w:rsid w:val="00EE626B"/>
    <w:rsid w:val="00EE627A"/>
    <w:rsid w:val="00EE6BE1"/>
    <w:rsid w:val="00EE6C2E"/>
    <w:rsid w:val="00EE6CEE"/>
    <w:rsid w:val="00EE6F8F"/>
    <w:rsid w:val="00EF0472"/>
    <w:rsid w:val="00EF0756"/>
    <w:rsid w:val="00EF0E7D"/>
    <w:rsid w:val="00EF1BD7"/>
    <w:rsid w:val="00EF1F85"/>
    <w:rsid w:val="00EF1FCC"/>
    <w:rsid w:val="00EF29F8"/>
    <w:rsid w:val="00EF3454"/>
    <w:rsid w:val="00EF34EC"/>
    <w:rsid w:val="00EF3617"/>
    <w:rsid w:val="00EF3DA7"/>
    <w:rsid w:val="00EF469B"/>
    <w:rsid w:val="00EF4916"/>
    <w:rsid w:val="00EF4DD5"/>
    <w:rsid w:val="00EF547B"/>
    <w:rsid w:val="00EF5D36"/>
    <w:rsid w:val="00EF7942"/>
    <w:rsid w:val="00EF7FED"/>
    <w:rsid w:val="00F001FB"/>
    <w:rsid w:val="00F002DB"/>
    <w:rsid w:val="00F00370"/>
    <w:rsid w:val="00F0157B"/>
    <w:rsid w:val="00F01663"/>
    <w:rsid w:val="00F01C43"/>
    <w:rsid w:val="00F01E61"/>
    <w:rsid w:val="00F0239F"/>
    <w:rsid w:val="00F02618"/>
    <w:rsid w:val="00F02F2D"/>
    <w:rsid w:val="00F037A6"/>
    <w:rsid w:val="00F03CCB"/>
    <w:rsid w:val="00F040F7"/>
    <w:rsid w:val="00F04575"/>
    <w:rsid w:val="00F04E97"/>
    <w:rsid w:val="00F0503D"/>
    <w:rsid w:val="00F0509C"/>
    <w:rsid w:val="00F05183"/>
    <w:rsid w:val="00F05B65"/>
    <w:rsid w:val="00F06E88"/>
    <w:rsid w:val="00F06FA5"/>
    <w:rsid w:val="00F10013"/>
    <w:rsid w:val="00F10CD5"/>
    <w:rsid w:val="00F117D5"/>
    <w:rsid w:val="00F11DAB"/>
    <w:rsid w:val="00F12749"/>
    <w:rsid w:val="00F12D73"/>
    <w:rsid w:val="00F13AAA"/>
    <w:rsid w:val="00F14BF5"/>
    <w:rsid w:val="00F15ECB"/>
    <w:rsid w:val="00F1647F"/>
    <w:rsid w:val="00F16CB2"/>
    <w:rsid w:val="00F17526"/>
    <w:rsid w:val="00F17F16"/>
    <w:rsid w:val="00F205BF"/>
    <w:rsid w:val="00F2082D"/>
    <w:rsid w:val="00F21A70"/>
    <w:rsid w:val="00F220A9"/>
    <w:rsid w:val="00F22341"/>
    <w:rsid w:val="00F2472B"/>
    <w:rsid w:val="00F25398"/>
    <w:rsid w:val="00F25855"/>
    <w:rsid w:val="00F25F52"/>
    <w:rsid w:val="00F26C21"/>
    <w:rsid w:val="00F26F51"/>
    <w:rsid w:val="00F271B6"/>
    <w:rsid w:val="00F271E5"/>
    <w:rsid w:val="00F27208"/>
    <w:rsid w:val="00F2733C"/>
    <w:rsid w:val="00F27A3A"/>
    <w:rsid w:val="00F3023C"/>
    <w:rsid w:val="00F30885"/>
    <w:rsid w:val="00F31C02"/>
    <w:rsid w:val="00F3277D"/>
    <w:rsid w:val="00F32D8C"/>
    <w:rsid w:val="00F354FF"/>
    <w:rsid w:val="00F3560B"/>
    <w:rsid w:val="00F35752"/>
    <w:rsid w:val="00F359DB"/>
    <w:rsid w:val="00F35BC0"/>
    <w:rsid w:val="00F35F5D"/>
    <w:rsid w:val="00F360ED"/>
    <w:rsid w:val="00F365BD"/>
    <w:rsid w:val="00F36E22"/>
    <w:rsid w:val="00F370FC"/>
    <w:rsid w:val="00F372EE"/>
    <w:rsid w:val="00F37502"/>
    <w:rsid w:val="00F37A6C"/>
    <w:rsid w:val="00F4005F"/>
    <w:rsid w:val="00F40C5A"/>
    <w:rsid w:val="00F41B19"/>
    <w:rsid w:val="00F41CBD"/>
    <w:rsid w:val="00F42798"/>
    <w:rsid w:val="00F42E71"/>
    <w:rsid w:val="00F430BE"/>
    <w:rsid w:val="00F43244"/>
    <w:rsid w:val="00F43F82"/>
    <w:rsid w:val="00F44157"/>
    <w:rsid w:val="00F4419A"/>
    <w:rsid w:val="00F451BB"/>
    <w:rsid w:val="00F4557C"/>
    <w:rsid w:val="00F4568F"/>
    <w:rsid w:val="00F456A6"/>
    <w:rsid w:val="00F45C82"/>
    <w:rsid w:val="00F45CC2"/>
    <w:rsid w:val="00F46FFD"/>
    <w:rsid w:val="00F472E7"/>
    <w:rsid w:val="00F47453"/>
    <w:rsid w:val="00F47B23"/>
    <w:rsid w:val="00F50780"/>
    <w:rsid w:val="00F5111E"/>
    <w:rsid w:val="00F514A0"/>
    <w:rsid w:val="00F5165D"/>
    <w:rsid w:val="00F51924"/>
    <w:rsid w:val="00F5272C"/>
    <w:rsid w:val="00F52FAE"/>
    <w:rsid w:val="00F5394A"/>
    <w:rsid w:val="00F53A7B"/>
    <w:rsid w:val="00F55669"/>
    <w:rsid w:val="00F556EC"/>
    <w:rsid w:val="00F55D66"/>
    <w:rsid w:val="00F563F7"/>
    <w:rsid w:val="00F56BE7"/>
    <w:rsid w:val="00F56C48"/>
    <w:rsid w:val="00F56D38"/>
    <w:rsid w:val="00F56DC2"/>
    <w:rsid w:val="00F574E1"/>
    <w:rsid w:val="00F57A74"/>
    <w:rsid w:val="00F57DCE"/>
    <w:rsid w:val="00F605B8"/>
    <w:rsid w:val="00F61D73"/>
    <w:rsid w:val="00F62539"/>
    <w:rsid w:val="00F625D2"/>
    <w:rsid w:val="00F626A1"/>
    <w:rsid w:val="00F62C19"/>
    <w:rsid w:val="00F62F75"/>
    <w:rsid w:val="00F635E8"/>
    <w:rsid w:val="00F64270"/>
    <w:rsid w:val="00F64498"/>
    <w:rsid w:val="00F64554"/>
    <w:rsid w:val="00F6455A"/>
    <w:rsid w:val="00F64912"/>
    <w:rsid w:val="00F652B5"/>
    <w:rsid w:val="00F65411"/>
    <w:rsid w:val="00F65622"/>
    <w:rsid w:val="00F65A82"/>
    <w:rsid w:val="00F65E5E"/>
    <w:rsid w:val="00F65EA1"/>
    <w:rsid w:val="00F65F29"/>
    <w:rsid w:val="00F65F93"/>
    <w:rsid w:val="00F6625A"/>
    <w:rsid w:val="00F670FE"/>
    <w:rsid w:val="00F672EF"/>
    <w:rsid w:val="00F676B4"/>
    <w:rsid w:val="00F67852"/>
    <w:rsid w:val="00F67877"/>
    <w:rsid w:val="00F678DE"/>
    <w:rsid w:val="00F70818"/>
    <w:rsid w:val="00F709FC"/>
    <w:rsid w:val="00F70E50"/>
    <w:rsid w:val="00F71112"/>
    <w:rsid w:val="00F72273"/>
    <w:rsid w:val="00F72479"/>
    <w:rsid w:val="00F72619"/>
    <w:rsid w:val="00F72ABC"/>
    <w:rsid w:val="00F732F3"/>
    <w:rsid w:val="00F733C0"/>
    <w:rsid w:val="00F73675"/>
    <w:rsid w:val="00F73898"/>
    <w:rsid w:val="00F738A1"/>
    <w:rsid w:val="00F754B0"/>
    <w:rsid w:val="00F75510"/>
    <w:rsid w:val="00F75D63"/>
    <w:rsid w:val="00F75F7B"/>
    <w:rsid w:val="00F7606B"/>
    <w:rsid w:val="00F765A7"/>
    <w:rsid w:val="00F765F2"/>
    <w:rsid w:val="00F7661E"/>
    <w:rsid w:val="00F76845"/>
    <w:rsid w:val="00F80577"/>
    <w:rsid w:val="00F811F5"/>
    <w:rsid w:val="00F81C67"/>
    <w:rsid w:val="00F836FF"/>
    <w:rsid w:val="00F8389A"/>
    <w:rsid w:val="00F8423B"/>
    <w:rsid w:val="00F84354"/>
    <w:rsid w:val="00F853E8"/>
    <w:rsid w:val="00F854BB"/>
    <w:rsid w:val="00F85677"/>
    <w:rsid w:val="00F85DCA"/>
    <w:rsid w:val="00F85DCB"/>
    <w:rsid w:val="00F8602F"/>
    <w:rsid w:val="00F86A4D"/>
    <w:rsid w:val="00F86A93"/>
    <w:rsid w:val="00F87549"/>
    <w:rsid w:val="00F9014D"/>
    <w:rsid w:val="00F901D0"/>
    <w:rsid w:val="00F90608"/>
    <w:rsid w:val="00F90F1B"/>
    <w:rsid w:val="00F9177B"/>
    <w:rsid w:val="00F91CAD"/>
    <w:rsid w:val="00F924BB"/>
    <w:rsid w:val="00F92573"/>
    <w:rsid w:val="00F93033"/>
    <w:rsid w:val="00F93AC5"/>
    <w:rsid w:val="00F93C70"/>
    <w:rsid w:val="00F93C8E"/>
    <w:rsid w:val="00F94F7F"/>
    <w:rsid w:val="00F950D0"/>
    <w:rsid w:val="00F953B3"/>
    <w:rsid w:val="00F9571F"/>
    <w:rsid w:val="00F95CFB"/>
    <w:rsid w:val="00F95D29"/>
    <w:rsid w:val="00F95E54"/>
    <w:rsid w:val="00F962B4"/>
    <w:rsid w:val="00F968B4"/>
    <w:rsid w:val="00F970CB"/>
    <w:rsid w:val="00F970CD"/>
    <w:rsid w:val="00F9725C"/>
    <w:rsid w:val="00F976C2"/>
    <w:rsid w:val="00F97C48"/>
    <w:rsid w:val="00FA09BF"/>
    <w:rsid w:val="00FA11F9"/>
    <w:rsid w:val="00FA1252"/>
    <w:rsid w:val="00FA1422"/>
    <w:rsid w:val="00FA1610"/>
    <w:rsid w:val="00FA1AC6"/>
    <w:rsid w:val="00FA2D1E"/>
    <w:rsid w:val="00FA31BF"/>
    <w:rsid w:val="00FA3628"/>
    <w:rsid w:val="00FA3A76"/>
    <w:rsid w:val="00FA3BBD"/>
    <w:rsid w:val="00FA3C33"/>
    <w:rsid w:val="00FA40B3"/>
    <w:rsid w:val="00FA41AD"/>
    <w:rsid w:val="00FA4D4C"/>
    <w:rsid w:val="00FA5576"/>
    <w:rsid w:val="00FA566F"/>
    <w:rsid w:val="00FA5805"/>
    <w:rsid w:val="00FA5874"/>
    <w:rsid w:val="00FA5B23"/>
    <w:rsid w:val="00FA66BA"/>
    <w:rsid w:val="00FA6AD4"/>
    <w:rsid w:val="00FA73CB"/>
    <w:rsid w:val="00FA76A3"/>
    <w:rsid w:val="00FB013E"/>
    <w:rsid w:val="00FB0584"/>
    <w:rsid w:val="00FB0AF9"/>
    <w:rsid w:val="00FB0F89"/>
    <w:rsid w:val="00FB1DF1"/>
    <w:rsid w:val="00FB1FEC"/>
    <w:rsid w:val="00FB223A"/>
    <w:rsid w:val="00FB2738"/>
    <w:rsid w:val="00FB2A71"/>
    <w:rsid w:val="00FB2EF0"/>
    <w:rsid w:val="00FB37F9"/>
    <w:rsid w:val="00FB3A9F"/>
    <w:rsid w:val="00FB449F"/>
    <w:rsid w:val="00FB492A"/>
    <w:rsid w:val="00FB4D88"/>
    <w:rsid w:val="00FB64DA"/>
    <w:rsid w:val="00FB64FE"/>
    <w:rsid w:val="00FB6AD7"/>
    <w:rsid w:val="00FB6BC9"/>
    <w:rsid w:val="00FB752C"/>
    <w:rsid w:val="00FB76DF"/>
    <w:rsid w:val="00FC0D32"/>
    <w:rsid w:val="00FC0FA3"/>
    <w:rsid w:val="00FC1228"/>
    <w:rsid w:val="00FC1B36"/>
    <w:rsid w:val="00FC1B8C"/>
    <w:rsid w:val="00FC2882"/>
    <w:rsid w:val="00FC2A7B"/>
    <w:rsid w:val="00FC2D5B"/>
    <w:rsid w:val="00FC3061"/>
    <w:rsid w:val="00FC37CE"/>
    <w:rsid w:val="00FC3C1C"/>
    <w:rsid w:val="00FC43C4"/>
    <w:rsid w:val="00FC541F"/>
    <w:rsid w:val="00FC5534"/>
    <w:rsid w:val="00FC5963"/>
    <w:rsid w:val="00FC629E"/>
    <w:rsid w:val="00FC658A"/>
    <w:rsid w:val="00FC6759"/>
    <w:rsid w:val="00FC6B49"/>
    <w:rsid w:val="00FD0892"/>
    <w:rsid w:val="00FD0B76"/>
    <w:rsid w:val="00FD0D50"/>
    <w:rsid w:val="00FD1C82"/>
    <w:rsid w:val="00FD2084"/>
    <w:rsid w:val="00FD248F"/>
    <w:rsid w:val="00FD25B4"/>
    <w:rsid w:val="00FD2A85"/>
    <w:rsid w:val="00FD2C3E"/>
    <w:rsid w:val="00FD2F70"/>
    <w:rsid w:val="00FD350B"/>
    <w:rsid w:val="00FD3E46"/>
    <w:rsid w:val="00FD44FC"/>
    <w:rsid w:val="00FD4B5B"/>
    <w:rsid w:val="00FD4CF6"/>
    <w:rsid w:val="00FD52DD"/>
    <w:rsid w:val="00FD54D5"/>
    <w:rsid w:val="00FD5774"/>
    <w:rsid w:val="00FD5CAC"/>
    <w:rsid w:val="00FD5F6E"/>
    <w:rsid w:val="00FD6087"/>
    <w:rsid w:val="00FE03E0"/>
    <w:rsid w:val="00FE0C19"/>
    <w:rsid w:val="00FE0CB3"/>
    <w:rsid w:val="00FE0EEA"/>
    <w:rsid w:val="00FE17A4"/>
    <w:rsid w:val="00FE1BE1"/>
    <w:rsid w:val="00FE1E44"/>
    <w:rsid w:val="00FE29F3"/>
    <w:rsid w:val="00FE3711"/>
    <w:rsid w:val="00FE3C54"/>
    <w:rsid w:val="00FE4FB4"/>
    <w:rsid w:val="00FE54A5"/>
    <w:rsid w:val="00FE59B0"/>
    <w:rsid w:val="00FE5B05"/>
    <w:rsid w:val="00FE620B"/>
    <w:rsid w:val="00FE6EC5"/>
    <w:rsid w:val="00FE74AC"/>
    <w:rsid w:val="00FE7F07"/>
    <w:rsid w:val="00FF0CC2"/>
    <w:rsid w:val="00FF131E"/>
    <w:rsid w:val="00FF16B9"/>
    <w:rsid w:val="00FF2132"/>
    <w:rsid w:val="00FF2B3C"/>
    <w:rsid w:val="00FF38EB"/>
    <w:rsid w:val="00FF3DEC"/>
    <w:rsid w:val="00FF3E91"/>
    <w:rsid w:val="00FF4471"/>
    <w:rsid w:val="00FF4D67"/>
    <w:rsid w:val="00FF53C4"/>
    <w:rsid w:val="00FF6895"/>
    <w:rsid w:val="00FF70FD"/>
    <w:rsid w:val="00FF79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5D8"/>
    <w:rPr>
      <w:rFonts w:ascii="Calibri" w:hAnsi="Calibri"/>
      <w:sz w:val="22"/>
      <w:lang w:eastAsia="en-US"/>
    </w:rPr>
  </w:style>
  <w:style w:type="paragraph" w:styleId="Heading1">
    <w:name w:val="heading 1"/>
    <w:aliases w:val="No numbers,Main Heading,h1,Head1,Heading apps,Section Heading,H1,Section,(Chapter Nbr),Heading 11,Title1,A MAJOR/BOLD,Para,Level 1,L1,Appendix1,Appendix2,Appendix3,no pg,I1,1st level,l1,Chapter title,título1,H11,R1,app heading 1,ITT t1,II+,I"/>
    <w:next w:val="BodyText"/>
    <w:qFormat/>
    <w:rsid w:val="00F0239F"/>
    <w:pPr>
      <w:keepNext/>
      <w:keepLines/>
      <w:pageBreakBefore/>
      <w:numPr>
        <w:numId w:val="17"/>
      </w:numPr>
      <w:spacing w:before="360"/>
      <w:outlineLvl w:val="0"/>
    </w:pPr>
    <w:rPr>
      <w:rFonts w:ascii="Calibri" w:hAnsi="Calibri"/>
      <w:b/>
      <w:color w:val="002776"/>
      <w:kern w:val="28"/>
      <w:sz w:val="56"/>
      <w:lang w:eastAsia="en-US"/>
    </w:rPr>
  </w:style>
  <w:style w:type="paragraph" w:styleId="Heading2">
    <w:name w:val="heading 2"/>
    <w:aliases w:val="h2,- Main,Reset numbering,Major,Chapter Title,Attribute Heading 2,Heading 2 DSDN,2,h2 main heading,B Sub/Bold,B Sub/Bold1,B Sub/Bold2,B Sub/Bold11,h2 main heading1,h2 main heading2,B Sub/Bold3,B Sub/Bold12,h2 main heading3,B Sub/Bold4,h21,H2,h"/>
    <w:basedOn w:val="Normal"/>
    <w:next w:val="BodyText"/>
    <w:qFormat/>
    <w:rsid w:val="00F0239F"/>
    <w:pPr>
      <w:keepNext/>
      <w:numPr>
        <w:ilvl w:val="1"/>
        <w:numId w:val="17"/>
      </w:numPr>
      <w:tabs>
        <w:tab w:val="left" w:pos="851"/>
      </w:tabs>
      <w:spacing w:before="240"/>
      <w:outlineLvl w:val="1"/>
    </w:pPr>
    <w:rPr>
      <w:b/>
      <w:color w:val="00A1DE"/>
      <w:sz w:val="40"/>
      <w:szCs w:val="28"/>
    </w:rPr>
  </w:style>
  <w:style w:type="paragraph" w:styleId="Heading3">
    <w:name w:val="heading 3"/>
    <w:aliases w:val="h3,3,Head 3,C Sub-Sub/Italic,Head 31,Head 32,C Sub-Sub/Italic1,Head 33,C Sub-Sub/Italic2,Head 311,Head 321,C Sub-Sub/Italic11,h31,h3 sub heading,Para3,head3hdbk,H3,Sub2Para,d,sub-section,H31,Heading 3a,(Alt+3),3m,sub-sub-para,H32,H33,H311,H34"/>
    <w:basedOn w:val="Normal"/>
    <w:next w:val="BodyText"/>
    <w:link w:val="Heading3Char"/>
    <w:qFormat/>
    <w:rsid w:val="00F0239F"/>
    <w:pPr>
      <w:keepNext/>
      <w:numPr>
        <w:ilvl w:val="2"/>
        <w:numId w:val="17"/>
      </w:numPr>
      <w:spacing w:before="240"/>
      <w:outlineLvl w:val="2"/>
    </w:pPr>
    <w:rPr>
      <w:color w:val="00A1DE"/>
      <w:sz w:val="28"/>
    </w:rPr>
  </w:style>
  <w:style w:type="paragraph" w:styleId="Heading4">
    <w:name w:val="heading 4"/>
    <w:aliases w:val="h4,4,H4,(Alt+4),H41,(Alt+4)1,H42,(Alt+4)2,H43,(Alt+4)3,H44,(Alt+4)4,H45,(Alt+4)5,H411,(Alt+4)11,H421,(Alt+4)21,H431,(Alt+4)31,H46,(Alt+4)6,H412,(Alt+4)12,H422,(Alt+4)22,H432,(Alt+4)32,H47,(Alt+4)7,H48,(Alt+4)8,H49,(Alt+4)9,H410,(Alt+4)10,H413"/>
    <w:basedOn w:val="Normal"/>
    <w:next w:val="BodyText"/>
    <w:qFormat/>
    <w:rsid w:val="00F0239F"/>
    <w:pPr>
      <w:keepNext/>
      <w:numPr>
        <w:ilvl w:val="3"/>
        <w:numId w:val="17"/>
      </w:numPr>
      <w:spacing w:before="180" w:after="60"/>
      <w:outlineLvl w:val="3"/>
    </w:pPr>
    <w:rPr>
      <w:b/>
      <w:color w:val="00A1DE"/>
      <w:sz w:val="24"/>
      <w:szCs w:val="24"/>
    </w:rPr>
  </w:style>
  <w:style w:type="paragraph" w:styleId="Heading5">
    <w:name w:val="heading 5"/>
    <w:aliases w:val="H5,Heading 5 StGeorge,Level 3 - i,Level 5,L5,l5+toc5,(A),Level 3 - (i),Para5,i.,H,subsubpara,1.1.1.1.1,h5,3rd sub-clause,h51,h52,5"/>
    <w:basedOn w:val="Normal"/>
    <w:next w:val="BodyText"/>
    <w:qFormat/>
    <w:rsid w:val="00AC4800"/>
    <w:pPr>
      <w:keepNext/>
      <w:numPr>
        <w:ilvl w:val="4"/>
        <w:numId w:val="17"/>
      </w:numPr>
      <w:pBdr>
        <w:top w:val="single" w:sz="12" w:space="5" w:color="931638"/>
        <w:left w:val="single" w:sz="12" w:space="5" w:color="931638"/>
        <w:bottom w:val="single" w:sz="12" w:space="5" w:color="931638"/>
        <w:right w:val="single" w:sz="12" w:space="5" w:color="931638"/>
      </w:pBdr>
      <w:shd w:val="clear" w:color="auto" w:fill="931638"/>
      <w:ind w:right="284"/>
      <w:outlineLvl w:val="4"/>
    </w:pPr>
    <w:rPr>
      <w:b/>
      <w:color w:val="FFFFFF"/>
      <w:szCs w:val="24"/>
    </w:rPr>
  </w:style>
  <w:style w:type="paragraph" w:styleId="Heading6">
    <w:name w:val="heading 6"/>
    <w:basedOn w:val="Normal"/>
    <w:next w:val="BodyText"/>
    <w:qFormat/>
    <w:rsid w:val="00AC4800"/>
    <w:pPr>
      <w:outlineLvl w:val="5"/>
    </w:pPr>
    <w:rPr>
      <w:rFonts w:ascii="Arial Bold" w:hAnsi="Arial Bold"/>
      <w:b/>
      <w:color w:val="931638"/>
      <w:szCs w:val="22"/>
    </w:rPr>
  </w:style>
  <w:style w:type="paragraph" w:styleId="Heading7">
    <w:name w:val="heading 7"/>
    <w:basedOn w:val="Normal"/>
    <w:next w:val="BodyText"/>
    <w:qFormat/>
    <w:rsid w:val="00AC4800"/>
    <w:pPr>
      <w:outlineLvl w:val="6"/>
    </w:pPr>
    <w:rPr>
      <w:color w:val="931638"/>
      <w:szCs w:val="24"/>
    </w:rPr>
  </w:style>
  <w:style w:type="paragraph" w:styleId="Heading8">
    <w:name w:val="heading 8"/>
    <w:basedOn w:val="Normal"/>
    <w:next w:val="BodyText"/>
    <w:qFormat/>
    <w:rsid w:val="00AC4800"/>
    <w:pPr>
      <w:spacing w:before="180"/>
      <w:outlineLvl w:val="7"/>
    </w:pPr>
    <w:rPr>
      <w:color w:val="931638"/>
    </w:rPr>
  </w:style>
  <w:style w:type="paragraph" w:styleId="Heading9">
    <w:name w:val="heading 9"/>
    <w:basedOn w:val="Normal"/>
    <w:next w:val="BodyText"/>
    <w:qFormat/>
    <w:rsid w:val="00AC4800"/>
    <w:pPr>
      <w:spacing w:before="180"/>
      <w:outlineLvl w:val="8"/>
    </w:pPr>
    <w:rPr>
      <w:color w:val="9316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Body Text1 Char,t1,Body,Body Text Char1,Body Text Char Char,Body Text Char1 Char1 Char,Body Text Char Char Char Char,Body Text Char Char Char Char Char Char,Body Text Char1 Char Char Char Char Char Char"/>
    <w:basedOn w:val="Normal"/>
    <w:link w:val="BodyTextChar"/>
    <w:qFormat/>
    <w:rsid w:val="002539EC"/>
    <w:pPr>
      <w:spacing w:before="240"/>
      <w:jc w:val="both"/>
    </w:pPr>
  </w:style>
  <w:style w:type="paragraph" w:customStyle="1" w:styleId="TableHeadingLeft">
    <w:name w:val="Table Heading Left"/>
    <w:basedOn w:val="Normal"/>
    <w:qFormat/>
    <w:rsid w:val="00AC4800"/>
    <w:pPr>
      <w:keepNext/>
      <w:keepLines/>
      <w:spacing w:before="20" w:after="20"/>
    </w:pPr>
    <w:rPr>
      <w:b/>
      <w:color w:val="002776"/>
    </w:rPr>
  </w:style>
  <w:style w:type="paragraph" w:customStyle="1" w:styleId="TableHeadingRight">
    <w:name w:val="Table Heading Right"/>
    <w:basedOn w:val="Normal"/>
    <w:qFormat/>
    <w:rsid w:val="00AC4800"/>
    <w:pPr>
      <w:keepNext/>
      <w:keepLines/>
      <w:spacing w:before="20" w:after="20"/>
      <w:jc w:val="right"/>
    </w:pPr>
    <w:rPr>
      <w:b/>
      <w:color w:val="002776"/>
    </w:rPr>
  </w:style>
  <w:style w:type="paragraph" w:customStyle="1" w:styleId="SingleLeft">
    <w:name w:val="Single Left"/>
    <w:basedOn w:val="Normal"/>
    <w:qFormat/>
    <w:rsid w:val="009114B5"/>
    <w:pPr>
      <w:jc w:val="both"/>
    </w:pPr>
  </w:style>
  <w:style w:type="paragraph" w:customStyle="1" w:styleId="TabletextCentre">
    <w:name w:val="Table text Centre"/>
    <w:basedOn w:val="Normal"/>
    <w:qFormat/>
    <w:rsid w:val="00AC4800"/>
    <w:pPr>
      <w:spacing w:before="60"/>
      <w:jc w:val="center"/>
    </w:pPr>
    <w:rPr>
      <w:rFonts w:cs="Arial"/>
      <w:sz w:val="20"/>
    </w:rPr>
  </w:style>
  <w:style w:type="paragraph" w:customStyle="1" w:styleId="TabletextRight">
    <w:name w:val="Table text Right"/>
    <w:basedOn w:val="Normal"/>
    <w:qFormat/>
    <w:rsid w:val="00AC4800"/>
    <w:pPr>
      <w:spacing w:before="60"/>
      <w:jc w:val="right"/>
    </w:pPr>
    <w:rPr>
      <w:sz w:val="20"/>
    </w:rPr>
  </w:style>
  <w:style w:type="paragraph" w:customStyle="1" w:styleId="IndentParaGreySource">
    <w:name w:val="Indent Para Grey Source"/>
    <w:basedOn w:val="IndentParaGrey"/>
    <w:qFormat/>
    <w:rsid w:val="00AC4800"/>
    <w:pPr>
      <w:keepNext w:val="0"/>
    </w:pPr>
    <w:rPr>
      <w:rFonts w:cs="Arial"/>
      <w:sz w:val="18"/>
    </w:rPr>
  </w:style>
  <w:style w:type="paragraph" w:customStyle="1" w:styleId="IndentParaGrey">
    <w:name w:val="Indent Para Grey"/>
    <w:basedOn w:val="IndentPara"/>
    <w:next w:val="Normal"/>
    <w:rsid w:val="00AC4800"/>
    <w:pPr>
      <w:keepNext/>
      <w:keepLines/>
      <w:pBdr>
        <w:top w:val="single" w:sz="8" w:space="5" w:color="002776"/>
        <w:left w:val="single" w:sz="8" w:space="5" w:color="002776"/>
        <w:bottom w:val="single" w:sz="8" w:space="5" w:color="002776"/>
        <w:right w:val="single" w:sz="8" w:space="5" w:color="002776"/>
      </w:pBdr>
      <w:shd w:val="solid" w:color="E1E1E1" w:fill="C0C0C0"/>
      <w:spacing w:after="240"/>
    </w:pPr>
    <w:rPr>
      <w:color w:val="000000"/>
    </w:rPr>
  </w:style>
  <w:style w:type="paragraph" w:customStyle="1" w:styleId="IndentPara">
    <w:name w:val="Indent Para"/>
    <w:basedOn w:val="Normal"/>
    <w:next w:val="BodyText"/>
    <w:rsid w:val="00AC4800"/>
    <w:pPr>
      <w:spacing w:before="240"/>
      <w:ind w:left="567" w:right="567"/>
      <w:jc w:val="both"/>
    </w:pPr>
  </w:style>
  <w:style w:type="paragraph" w:customStyle="1" w:styleId="IndentParaGreyBullet">
    <w:name w:val="Indent Para Grey Bullet"/>
    <w:basedOn w:val="IndentParaGrey"/>
    <w:qFormat/>
    <w:rsid w:val="00AC4800"/>
    <w:pPr>
      <w:numPr>
        <w:numId w:val="9"/>
      </w:numPr>
      <w:tabs>
        <w:tab w:val="left" w:pos="1134"/>
      </w:tabs>
      <w:spacing w:after="60"/>
    </w:pPr>
    <w:rPr>
      <w:rFonts w:cs="Arial"/>
    </w:rPr>
  </w:style>
  <w:style w:type="paragraph" w:styleId="Header">
    <w:name w:val="header"/>
    <w:basedOn w:val="Normal"/>
    <w:link w:val="HeaderChar"/>
    <w:rsid w:val="00F35BC0"/>
    <w:pPr>
      <w:jc w:val="right"/>
    </w:pPr>
    <w:rPr>
      <w:color w:val="595959"/>
    </w:rPr>
  </w:style>
  <w:style w:type="paragraph" w:customStyle="1" w:styleId="BoldPara">
    <w:name w:val="Bold Para"/>
    <w:basedOn w:val="Normal"/>
    <w:next w:val="BodyText"/>
    <w:link w:val="BoldParaChar"/>
    <w:rsid w:val="00AC4800"/>
    <w:pPr>
      <w:spacing w:before="240"/>
      <w:jc w:val="both"/>
    </w:pPr>
    <w:rPr>
      <w:b/>
      <w:color w:val="002776"/>
      <w:szCs w:val="24"/>
    </w:rPr>
  </w:style>
  <w:style w:type="character" w:styleId="PageNumber">
    <w:name w:val="page number"/>
    <w:basedOn w:val="DefaultParagraphFont"/>
    <w:rsid w:val="00A200CF"/>
    <w:rPr>
      <w:rFonts w:ascii="Calibri" w:hAnsi="Calibri"/>
      <w:color w:val="auto"/>
      <w:sz w:val="18"/>
      <w:szCs w:val="18"/>
    </w:rPr>
  </w:style>
  <w:style w:type="paragraph" w:customStyle="1" w:styleId="Bullet1">
    <w:name w:val="Bullet 1"/>
    <w:basedOn w:val="Normal"/>
    <w:link w:val="Bullet1Char"/>
    <w:qFormat/>
    <w:rsid w:val="00003CCA"/>
    <w:pPr>
      <w:numPr>
        <w:numId w:val="5"/>
      </w:numPr>
      <w:spacing w:before="60"/>
      <w:jc w:val="both"/>
    </w:pPr>
    <w:rPr>
      <w:rFonts w:cs="Arial"/>
      <w:lang w:eastAsia="en-AU"/>
    </w:rPr>
  </w:style>
  <w:style w:type="paragraph" w:customStyle="1" w:styleId="BoxedHighlight">
    <w:name w:val="Boxed Highlight"/>
    <w:basedOn w:val="IndentPara"/>
    <w:next w:val="BodyText"/>
    <w:rsid w:val="006B29A4"/>
    <w:pPr>
      <w:pBdr>
        <w:top w:val="single" w:sz="18" w:space="5" w:color="002776"/>
        <w:left w:val="single" w:sz="18" w:space="5" w:color="002776"/>
        <w:bottom w:val="single" w:sz="18" w:space="5" w:color="002776"/>
        <w:right w:val="single" w:sz="18" w:space="5" w:color="002776"/>
      </w:pBdr>
      <w:contextualSpacing/>
    </w:pPr>
    <w:rPr>
      <w:rFonts w:cs="Arial"/>
      <w:color w:val="002776"/>
      <w:szCs w:val="24"/>
    </w:rPr>
  </w:style>
  <w:style w:type="paragraph" w:customStyle="1" w:styleId="Disclaimer">
    <w:name w:val="Disclaimer"/>
    <w:basedOn w:val="Normal"/>
    <w:rsid w:val="00A200CF"/>
    <w:rPr>
      <w:rFonts w:ascii="Swis721 Md BT" w:hAnsi="Swis721 Md BT"/>
      <w:b/>
      <w:color w:val="000000"/>
      <w:sz w:val="16"/>
      <w:szCs w:val="16"/>
    </w:rPr>
  </w:style>
  <w:style w:type="character" w:styleId="FootnoteReference">
    <w:name w:val="footnote reference"/>
    <w:basedOn w:val="DefaultParagraphFont"/>
    <w:rsid w:val="002F4274"/>
    <w:rPr>
      <w:rFonts w:ascii="Arial" w:hAnsi="Arial"/>
      <w:sz w:val="18"/>
      <w:szCs w:val="24"/>
      <w:vertAlign w:val="superscript"/>
    </w:rPr>
  </w:style>
  <w:style w:type="table" w:customStyle="1" w:styleId="TableAE">
    <w:name w:val="Table AE"/>
    <w:basedOn w:val="TableNormal"/>
    <w:uiPriority w:val="99"/>
    <w:rsid w:val="00A82926"/>
    <w:rPr>
      <w:rFonts w:ascii="Arial" w:hAnsi="Arial"/>
    </w:rPr>
    <w:tblPr>
      <w:jc w:val="center"/>
      <w:tblBorders>
        <w:bottom w:val="single" w:sz="12" w:space="0" w:color="002776"/>
      </w:tblBorders>
    </w:tblPr>
    <w:trPr>
      <w:cantSplit/>
      <w:jc w:val="center"/>
    </w:trPr>
    <w:tblStylePr w:type="firstRow">
      <w:tblPr/>
      <w:tcPr>
        <w:tcBorders>
          <w:top w:val="single" w:sz="12" w:space="0" w:color="002776"/>
          <w:left w:val="nil"/>
          <w:bottom w:val="single" w:sz="8" w:space="0" w:color="002776"/>
          <w:right w:val="nil"/>
          <w:insideH w:val="nil"/>
          <w:insideV w:val="nil"/>
          <w:tl2br w:val="nil"/>
          <w:tr2bl w:val="nil"/>
        </w:tcBorders>
      </w:tcPr>
    </w:tblStylePr>
  </w:style>
  <w:style w:type="paragraph" w:customStyle="1" w:styleId="IndentParaBurgundy">
    <w:name w:val="Indent Para Burgundy"/>
    <w:basedOn w:val="IndentParaDarkGrey"/>
    <w:next w:val="Normal"/>
    <w:rsid w:val="00AC4800"/>
    <w:pPr>
      <w:keepNext/>
      <w:keepLines/>
      <w:pBdr>
        <w:top w:val="single" w:sz="8" w:space="5" w:color="002776"/>
        <w:left w:val="single" w:sz="8" w:space="5" w:color="002776"/>
        <w:bottom w:val="single" w:sz="8" w:space="5" w:color="002776"/>
        <w:right w:val="single" w:sz="8" w:space="5" w:color="002776"/>
      </w:pBdr>
      <w:shd w:val="clear" w:color="808080" w:fill="002776"/>
    </w:pPr>
  </w:style>
  <w:style w:type="paragraph" w:customStyle="1" w:styleId="IndentQuote">
    <w:name w:val="Indent Quote"/>
    <w:basedOn w:val="Normal"/>
    <w:next w:val="Normal"/>
    <w:rsid w:val="00AC4800"/>
    <w:pPr>
      <w:tabs>
        <w:tab w:val="left" w:pos="1134"/>
      </w:tabs>
      <w:spacing w:before="240"/>
      <w:ind w:left="567" w:right="567"/>
      <w:jc w:val="both"/>
    </w:pPr>
    <w:rPr>
      <w:i/>
      <w:color w:val="595959"/>
    </w:rPr>
  </w:style>
  <w:style w:type="paragraph" w:customStyle="1" w:styleId="TableHeadingCentre">
    <w:name w:val="Table Heading Centre"/>
    <w:basedOn w:val="Normal"/>
    <w:rsid w:val="00AC4800"/>
    <w:pPr>
      <w:keepNext/>
      <w:keepLines/>
      <w:spacing w:before="20" w:after="20"/>
      <w:jc w:val="center"/>
    </w:pPr>
    <w:rPr>
      <w:b/>
      <w:color w:val="002776"/>
      <w:szCs w:val="22"/>
    </w:rPr>
  </w:style>
  <w:style w:type="paragraph" w:customStyle="1" w:styleId="Equation">
    <w:name w:val="Equation"/>
    <w:basedOn w:val="Normal"/>
    <w:next w:val="Normal"/>
    <w:rsid w:val="00AC4800"/>
    <w:pPr>
      <w:spacing w:before="240"/>
      <w:jc w:val="center"/>
    </w:pPr>
    <w:rPr>
      <w:rFonts w:ascii="Times New Roman" w:hAnsi="Times New Roman"/>
      <w:i/>
      <w:sz w:val="24"/>
      <w:szCs w:val="24"/>
    </w:rPr>
  </w:style>
  <w:style w:type="paragraph" w:customStyle="1" w:styleId="Contents-Major">
    <w:name w:val="Contents - Major"/>
    <w:basedOn w:val="Normal"/>
    <w:rsid w:val="006B29A4"/>
    <w:pPr>
      <w:keepNext/>
      <w:spacing w:after="200"/>
    </w:pPr>
    <w:rPr>
      <w:color w:val="002776"/>
      <w:sz w:val="56"/>
      <w:szCs w:val="32"/>
    </w:rPr>
  </w:style>
  <w:style w:type="paragraph" w:customStyle="1" w:styleId="Reference">
    <w:name w:val="Reference"/>
    <w:basedOn w:val="Normal"/>
    <w:rsid w:val="00F002DB"/>
    <w:pPr>
      <w:spacing w:before="240" w:after="240"/>
      <w:ind w:left="567" w:hanging="567"/>
    </w:pPr>
  </w:style>
  <w:style w:type="paragraph" w:styleId="TOC1">
    <w:name w:val="toc 1"/>
    <w:basedOn w:val="Normal"/>
    <w:next w:val="Normal"/>
    <w:uiPriority w:val="39"/>
    <w:rsid w:val="00AC4800"/>
    <w:pPr>
      <w:tabs>
        <w:tab w:val="left" w:pos="567"/>
        <w:tab w:val="right" w:leader="dot" w:pos="8505"/>
      </w:tabs>
      <w:spacing w:before="120"/>
    </w:pPr>
    <w:rPr>
      <w:rFonts w:cs="Arial"/>
      <w:szCs w:val="22"/>
    </w:rPr>
  </w:style>
  <w:style w:type="paragraph" w:styleId="TOC2">
    <w:name w:val="toc 2"/>
    <w:basedOn w:val="Normal"/>
    <w:next w:val="Normal"/>
    <w:uiPriority w:val="39"/>
    <w:rsid w:val="00AC4800"/>
    <w:pPr>
      <w:tabs>
        <w:tab w:val="left" w:pos="1134"/>
        <w:tab w:val="right" w:leader="dot" w:pos="8505"/>
      </w:tabs>
      <w:spacing w:before="60"/>
      <w:ind w:left="1134" w:right="567" w:hanging="567"/>
    </w:pPr>
    <w:rPr>
      <w:noProof/>
      <w:sz w:val="20"/>
    </w:rPr>
  </w:style>
  <w:style w:type="paragraph" w:styleId="TOC3">
    <w:name w:val="toc 3"/>
    <w:basedOn w:val="Normal"/>
    <w:next w:val="Normal"/>
    <w:autoRedefine/>
    <w:uiPriority w:val="39"/>
    <w:unhideWhenUsed/>
    <w:rsid w:val="00AC4800"/>
    <w:pPr>
      <w:tabs>
        <w:tab w:val="left" w:pos="1985"/>
        <w:tab w:val="right" w:leader="dot" w:pos="8505"/>
      </w:tabs>
      <w:spacing w:before="60" w:after="100" w:line="276" w:lineRule="auto"/>
      <w:ind w:left="2268" w:hanging="1134"/>
    </w:pPr>
    <w:rPr>
      <w:rFonts w:asciiTheme="minorHAnsi" w:eastAsiaTheme="minorHAnsi" w:hAnsiTheme="minorHAnsi" w:cstheme="minorBidi"/>
      <w:sz w:val="20"/>
      <w:szCs w:val="22"/>
    </w:rPr>
  </w:style>
  <w:style w:type="character" w:styleId="Hyperlink">
    <w:name w:val="Hyperlink"/>
    <w:basedOn w:val="DefaultParagraphFont"/>
    <w:uiPriority w:val="99"/>
    <w:rsid w:val="00D52DE2"/>
  </w:style>
  <w:style w:type="paragraph" w:customStyle="1" w:styleId="FooterOdd">
    <w:name w:val="Footer Odd"/>
    <w:basedOn w:val="Normal"/>
    <w:qFormat/>
    <w:rsid w:val="00F35BC0"/>
    <w:pPr>
      <w:framePr w:hSpace="181" w:wrap="around" w:vAnchor="text" w:hAnchor="page" w:x="10774" w:y="211"/>
      <w:shd w:val="solid" w:color="FFFFFF" w:fill="FFFFFF"/>
      <w:spacing w:before="120"/>
      <w:jc w:val="right"/>
    </w:pPr>
    <w:rPr>
      <w:sz w:val="18"/>
    </w:rPr>
  </w:style>
  <w:style w:type="table" w:customStyle="1" w:styleId="TableGridWithTotals">
    <w:name w:val="Table Grid With Totals"/>
    <w:basedOn w:val="TableNormal"/>
    <w:rsid w:val="00A82926"/>
    <w:pPr>
      <w:keepNext/>
      <w:keepLines/>
      <w:spacing w:before="60"/>
    </w:pPr>
    <w:rPr>
      <w:rFonts w:ascii="Arial" w:hAnsi="Arial"/>
    </w:rPr>
    <w:tblPr/>
    <w:trPr>
      <w:cantSplit/>
    </w:trPr>
    <w:tblStylePr w:type="firstRow">
      <w:pPr>
        <w:wordWrap/>
        <w:spacing w:beforeLines="0" w:beforeAutospacing="0" w:afterLines="0" w:afterAutospacing="0" w:line="240" w:lineRule="auto"/>
        <w:ind w:leftChars="0" w:left="0" w:rightChars="0" w:right="0"/>
        <w:contextualSpacing/>
        <w:outlineLvl w:val="9"/>
      </w:pPr>
      <w:tblPr/>
      <w:tcPr>
        <w:tcBorders>
          <w:top w:val="single" w:sz="12" w:space="0" w:color="002776"/>
          <w:left w:val="nil"/>
          <w:bottom w:val="single" w:sz="8" w:space="0" w:color="002776"/>
          <w:right w:val="nil"/>
          <w:insideH w:val="nil"/>
          <w:insideV w:val="nil"/>
          <w:tl2br w:val="nil"/>
          <w:tr2bl w:val="nil"/>
        </w:tcBorders>
      </w:tcPr>
    </w:tblStylePr>
    <w:tblStylePr w:type="lastRow">
      <w:pPr>
        <w:wordWrap/>
        <w:spacing w:beforeLines="0" w:beforeAutospacing="0" w:afterLines="0" w:afterAutospacing="0"/>
        <w:ind w:leftChars="0" w:left="142" w:firstLineChars="0" w:firstLine="0"/>
      </w:pPr>
      <w:rPr>
        <w:rFonts w:ascii="Arial" w:hAnsi="Arial"/>
        <w:b/>
        <w:i w:val="0"/>
        <w:color w:val="931638"/>
        <w:sz w:val="20"/>
        <w:szCs w:val="20"/>
      </w:rPr>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NumberedList">
    <w:name w:val="Numbered List"/>
    <w:basedOn w:val="Normal"/>
    <w:rsid w:val="00003CCA"/>
    <w:pPr>
      <w:numPr>
        <w:numId w:val="15"/>
      </w:numPr>
      <w:spacing w:before="120"/>
      <w:jc w:val="both"/>
    </w:pPr>
    <w:rPr>
      <w:rFonts w:cs="Arial"/>
    </w:rPr>
  </w:style>
  <w:style w:type="paragraph" w:styleId="Caption">
    <w:name w:val="caption"/>
    <w:basedOn w:val="Normal"/>
    <w:next w:val="Normal"/>
    <w:qFormat/>
    <w:rsid w:val="0076674A"/>
    <w:pPr>
      <w:keepNext/>
      <w:keepLines/>
      <w:spacing w:before="240" w:after="240"/>
      <w:jc w:val="center"/>
    </w:pPr>
    <w:rPr>
      <w:b/>
      <w:bCs/>
      <w:color w:val="931638"/>
      <w:szCs w:val="22"/>
    </w:rPr>
  </w:style>
  <w:style w:type="paragraph" w:customStyle="1" w:styleId="Note">
    <w:name w:val="Note"/>
    <w:basedOn w:val="Normal"/>
    <w:rsid w:val="00A200CF"/>
    <w:pPr>
      <w:spacing w:before="60" w:after="120"/>
    </w:pPr>
    <w:rPr>
      <w:sz w:val="18"/>
    </w:rPr>
  </w:style>
  <w:style w:type="paragraph" w:customStyle="1" w:styleId="MajorHeading">
    <w:name w:val="Major Heading"/>
    <w:basedOn w:val="Normal"/>
    <w:next w:val="Normal"/>
    <w:rsid w:val="00AC4800"/>
    <w:pPr>
      <w:pageBreakBefore/>
      <w:numPr>
        <w:numId w:val="10"/>
      </w:numPr>
      <w:spacing w:after="120"/>
    </w:pPr>
    <w:rPr>
      <w:rFonts w:cs="Arial"/>
      <w:b/>
      <w:color w:val="002776"/>
      <w:sz w:val="56"/>
    </w:rPr>
  </w:style>
  <w:style w:type="paragraph" w:styleId="TableofFigures">
    <w:name w:val="table of figures"/>
    <w:basedOn w:val="Normal"/>
    <w:next w:val="Normal"/>
    <w:uiPriority w:val="99"/>
    <w:rsid w:val="00AC4800"/>
    <w:pPr>
      <w:tabs>
        <w:tab w:val="right" w:leader="dot" w:pos="8505"/>
      </w:tabs>
      <w:spacing w:before="60"/>
      <w:ind w:left="567" w:right="567" w:hanging="567"/>
    </w:pPr>
    <w:rPr>
      <w:szCs w:val="22"/>
    </w:rPr>
  </w:style>
  <w:style w:type="paragraph" w:customStyle="1" w:styleId="TabletextLeft">
    <w:name w:val="Table text Left"/>
    <w:basedOn w:val="Normal"/>
    <w:rsid w:val="00AC4800"/>
    <w:pPr>
      <w:spacing w:before="60"/>
    </w:pPr>
    <w:rPr>
      <w:sz w:val="20"/>
    </w:rPr>
  </w:style>
  <w:style w:type="table" w:customStyle="1" w:styleId="TableGridWithoutTotals">
    <w:name w:val="Table Grid Without Totals"/>
    <w:basedOn w:val="TableNormal"/>
    <w:rsid w:val="00AC4800"/>
    <w:pPr>
      <w:keepNext/>
      <w:keepLines/>
    </w:pPr>
    <w:rPr>
      <w:rFonts w:ascii="Arial" w:hAnsi="Arial"/>
    </w:rPr>
    <w:tblPr/>
    <w:trPr>
      <w:cantSplit/>
    </w:trPr>
    <w:tblStylePr w:type="firstRow">
      <w:pPr>
        <w:wordWrap/>
        <w:spacing w:beforeLines="0" w:beforeAutospacing="0" w:afterLines="0" w:afterAutospacing="0" w:line="240" w:lineRule="auto"/>
        <w:ind w:leftChars="0" w:left="0" w:rightChars="0" w:right="0"/>
        <w:contextualSpacing/>
        <w:outlineLvl w:val="9"/>
      </w:pPr>
      <w:tblPr/>
      <w:tcPr>
        <w:tcBorders>
          <w:top w:val="single" w:sz="18" w:space="0" w:color="931638"/>
          <w:left w:val="nil"/>
          <w:bottom w:val="single" w:sz="12" w:space="0" w:color="931638"/>
          <w:right w:val="nil"/>
          <w:insideH w:val="nil"/>
          <w:insideV w:val="nil"/>
          <w:tl2br w:val="nil"/>
          <w:tr2bl w:val="nil"/>
        </w:tcBorders>
      </w:tcPr>
    </w:tblStylePr>
    <w:tblStylePr w:type="lastRow">
      <w:pPr>
        <w:wordWrap/>
        <w:spacing w:beforeLines="0" w:beforeAutospacing="0" w:afterLines="0" w:afterAutospacing="0"/>
        <w:ind w:leftChars="0" w:left="0"/>
      </w:pPr>
      <w:tblPr/>
      <w:tcPr>
        <w:tcBorders>
          <w:top w:val="nil"/>
          <w:left w:val="nil"/>
          <w:bottom w:val="single" w:sz="12" w:space="0" w:color="931638"/>
          <w:right w:val="nil"/>
          <w:insideH w:val="nil"/>
          <w:insideV w:val="nil"/>
          <w:tl2br w:val="nil"/>
          <w:tr2bl w:val="nil"/>
        </w:tcBorders>
      </w:tcPr>
    </w:tblStylePr>
  </w:style>
  <w:style w:type="table" w:styleId="TableGrid">
    <w:name w:val="Table Grid"/>
    <w:basedOn w:val="TableNormal"/>
    <w:rsid w:val="00AC4800"/>
    <w:pPr>
      <w:jc w:val="both"/>
    </w:pPr>
    <w:tblPr/>
    <w:trPr>
      <w:cantSplit/>
    </w:trPr>
  </w:style>
  <w:style w:type="paragraph" w:customStyle="1" w:styleId="Tabletotals">
    <w:name w:val="Table totals"/>
    <w:basedOn w:val="Normal"/>
    <w:rsid w:val="00AC4800"/>
    <w:pPr>
      <w:keepNext/>
      <w:keepLines/>
      <w:ind w:left="142"/>
    </w:pPr>
  </w:style>
  <w:style w:type="table" w:customStyle="1" w:styleId="TableTwoHeadingRows">
    <w:name w:val="Table Two Heading Rows"/>
    <w:basedOn w:val="TableNormal"/>
    <w:rsid w:val="001D0FDF"/>
    <w:rPr>
      <w:rFonts w:ascii="Arial" w:hAnsi="Arial"/>
    </w:rPr>
    <w:tblPr/>
    <w:tblStylePr w:type="firstRow">
      <w:rPr>
        <w:rFonts w:ascii="Arial" w:hAnsi="Arial"/>
      </w:rPr>
      <w:tblPr/>
      <w:tcPr>
        <w:tcBorders>
          <w:top w:val="single" w:sz="12" w:space="0" w:color="002776"/>
          <w:left w:val="nil"/>
          <w:bottom w:val="nil"/>
          <w:right w:val="nil"/>
          <w:insideH w:val="nil"/>
          <w:insideV w:val="nil"/>
          <w:tl2br w:val="nil"/>
          <w:tr2bl w:val="nil"/>
        </w:tcBorders>
      </w:tcPr>
    </w:tblStylePr>
    <w:tblStylePr w:type="lastRow">
      <w:tblPr/>
      <w:tcPr>
        <w:tcBorders>
          <w:top w:val="nil"/>
          <w:left w:val="nil"/>
          <w:bottom w:val="single" w:sz="12" w:space="0" w:color="002776"/>
          <w:right w:val="nil"/>
          <w:insideH w:val="nil"/>
          <w:insideV w:val="nil"/>
          <w:tl2br w:val="nil"/>
          <w:tr2bl w:val="nil"/>
        </w:tcBorders>
      </w:tcPr>
    </w:tblStylePr>
  </w:style>
  <w:style w:type="paragraph" w:customStyle="1" w:styleId="FooterLeft">
    <w:name w:val="FooterLeft"/>
    <w:basedOn w:val="Normal"/>
    <w:rsid w:val="00F35BC0"/>
    <w:pPr>
      <w:ind w:left="-227" w:right="357"/>
    </w:pPr>
    <w:rPr>
      <w:sz w:val="18"/>
    </w:rPr>
  </w:style>
  <w:style w:type="paragraph" w:customStyle="1" w:styleId="Appendix">
    <w:name w:val="Appendix"/>
    <w:basedOn w:val="Normal"/>
    <w:next w:val="Normal"/>
    <w:rsid w:val="006B29A4"/>
    <w:pPr>
      <w:keepNext/>
      <w:pageBreakBefore/>
      <w:numPr>
        <w:numId w:val="12"/>
      </w:numPr>
      <w:spacing w:before="360" w:after="180"/>
      <w:ind w:left="710"/>
    </w:pPr>
    <w:rPr>
      <w:b/>
      <w:color w:val="002776"/>
      <w:sz w:val="56"/>
      <w:szCs w:val="28"/>
    </w:rPr>
  </w:style>
  <w:style w:type="paragraph" w:customStyle="1" w:styleId="Source">
    <w:name w:val="Source"/>
    <w:basedOn w:val="Note"/>
    <w:qFormat/>
    <w:rsid w:val="00A2029E"/>
    <w:pPr>
      <w:spacing w:before="0"/>
    </w:pPr>
    <w:rPr>
      <w:rFonts w:cs="Arial"/>
    </w:rPr>
  </w:style>
  <w:style w:type="paragraph" w:customStyle="1" w:styleId="HeaderLine2">
    <w:name w:val="Header Line 2"/>
    <w:basedOn w:val="Header"/>
    <w:qFormat/>
    <w:rsid w:val="002E1173"/>
  </w:style>
  <w:style w:type="paragraph" w:customStyle="1" w:styleId="DisclaimerText">
    <w:name w:val="DisclaimerText"/>
    <w:basedOn w:val="Normal"/>
    <w:rsid w:val="00A200CF"/>
    <w:pPr>
      <w:spacing w:before="20"/>
      <w:jc w:val="both"/>
    </w:pPr>
    <w:rPr>
      <w:rFonts w:ascii="Swis721 Md BT" w:hAnsi="Swis721 Md BT"/>
      <w:color w:val="000000"/>
      <w:sz w:val="16"/>
      <w:szCs w:val="16"/>
    </w:rPr>
  </w:style>
  <w:style w:type="paragraph" w:customStyle="1" w:styleId="FooterLandscape">
    <w:name w:val="FooterLandscape"/>
    <w:basedOn w:val="Normal"/>
    <w:rsid w:val="00F35BC0"/>
    <w:pPr>
      <w:tabs>
        <w:tab w:val="right" w:pos="14031"/>
      </w:tabs>
      <w:ind w:left="-454" w:right="142"/>
    </w:pPr>
    <w:rPr>
      <w:rFonts w:ascii="Swis721 LtCn BT" w:hAnsi="Swis721 LtCn BT"/>
      <w:sz w:val="18"/>
    </w:rPr>
  </w:style>
  <w:style w:type="paragraph" w:customStyle="1" w:styleId="ReportTitle">
    <w:name w:val="Report Title"/>
    <w:basedOn w:val="Normal"/>
    <w:qFormat/>
    <w:rsid w:val="0092257D"/>
    <w:pPr>
      <w:framePr w:hSpace="181" w:wrap="around" w:vAnchor="page" w:hAnchor="margin" w:y="3403"/>
      <w:suppressOverlap/>
    </w:pPr>
    <w:rPr>
      <w:color w:val="002776"/>
      <w:sz w:val="72"/>
      <w:szCs w:val="56"/>
    </w:rPr>
  </w:style>
  <w:style w:type="paragraph" w:customStyle="1" w:styleId="SubHeading">
    <w:name w:val="Sub Heading"/>
    <w:basedOn w:val="Normal"/>
    <w:qFormat/>
    <w:rsid w:val="00A200CF"/>
    <w:pPr>
      <w:keepNext/>
      <w:spacing w:before="360" w:after="60"/>
    </w:pPr>
    <w:rPr>
      <w:rFonts w:cs="Arial"/>
      <w:b/>
      <w:color w:val="931638"/>
    </w:rPr>
  </w:style>
  <w:style w:type="character" w:styleId="Strong">
    <w:name w:val="Strong"/>
    <w:basedOn w:val="DefaultParagraphFont"/>
    <w:qFormat/>
    <w:rsid w:val="00FA566F"/>
    <w:rPr>
      <w:b/>
      <w:bCs/>
    </w:rPr>
  </w:style>
  <w:style w:type="character" w:styleId="Emphasis">
    <w:name w:val="Emphasis"/>
    <w:basedOn w:val="DefaultParagraphFont"/>
    <w:qFormat/>
    <w:rsid w:val="008603FE"/>
    <w:rPr>
      <w:i/>
      <w:iCs/>
    </w:rPr>
  </w:style>
  <w:style w:type="paragraph" w:styleId="CommentSubject">
    <w:name w:val="annotation subject"/>
    <w:basedOn w:val="Normal"/>
    <w:semiHidden/>
    <w:rsid w:val="008F4249"/>
    <w:rPr>
      <w:b/>
      <w:bCs/>
      <w:sz w:val="20"/>
    </w:rPr>
  </w:style>
  <w:style w:type="paragraph" w:styleId="Revision">
    <w:name w:val="Revision"/>
    <w:hidden/>
    <w:uiPriority w:val="99"/>
    <w:semiHidden/>
    <w:rsid w:val="00721EC7"/>
    <w:pPr>
      <w:spacing w:before="240"/>
    </w:pPr>
    <w:rPr>
      <w:rFonts w:ascii="Arial" w:hAnsi="Arial"/>
      <w:sz w:val="22"/>
      <w:lang w:eastAsia="en-US"/>
    </w:rPr>
  </w:style>
  <w:style w:type="paragraph" w:customStyle="1" w:styleId="Bullet2">
    <w:name w:val="Bullet 2"/>
    <w:basedOn w:val="Normal"/>
    <w:qFormat/>
    <w:rsid w:val="00F0239F"/>
    <w:pPr>
      <w:numPr>
        <w:numId w:val="6"/>
      </w:numPr>
      <w:spacing w:before="60"/>
      <w:jc w:val="both"/>
    </w:pPr>
  </w:style>
  <w:style w:type="paragraph" w:customStyle="1" w:styleId="Bullet3">
    <w:name w:val="Bullet 3"/>
    <w:basedOn w:val="Normal"/>
    <w:qFormat/>
    <w:rsid w:val="00F0239F"/>
    <w:pPr>
      <w:numPr>
        <w:numId w:val="7"/>
      </w:numPr>
      <w:spacing w:before="60"/>
      <w:ind w:left="1134" w:firstLine="567"/>
      <w:jc w:val="both"/>
    </w:pPr>
  </w:style>
  <w:style w:type="paragraph" w:customStyle="1" w:styleId="FooterSecurity">
    <w:name w:val="Footer Security"/>
    <w:basedOn w:val="Normal"/>
    <w:qFormat/>
    <w:rsid w:val="00F35BC0"/>
    <w:pPr>
      <w:jc w:val="center"/>
    </w:pPr>
    <w:rPr>
      <w:rFonts w:cs="Arial"/>
      <w:color w:val="7A7A78"/>
      <w:sz w:val="24"/>
      <w:szCs w:val="16"/>
    </w:rPr>
  </w:style>
  <w:style w:type="paragraph" w:customStyle="1" w:styleId="ReportDate">
    <w:name w:val="Report Date"/>
    <w:basedOn w:val="Normal"/>
    <w:qFormat/>
    <w:rsid w:val="00042200"/>
    <w:rPr>
      <w:color w:val="92D400"/>
      <w:sz w:val="28"/>
      <w:szCs w:val="28"/>
    </w:rPr>
  </w:style>
  <w:style w:type="paragraph" w:customStyle="1" w:styleId="ReportBy">
    <w:name w:val="Report By"/>
    <w:basedOn w:val="Normal"/>
    <w:qFormat/>
    <w:rsid w:val="00AE49C0"/>
    <w:pPr>
      <w:spacing w:line="360" w:lineRule="auto"/>
    </w:pPr>
    <w:rPr>
      <w:rFonts w:cs="Arial"/>
      <w:color w:val="931638"/>
      <w:sz w:val="24"/>
      <w:szCs w:val="28"/>
    </w:rPr>
  </w:style>
  <w:style w:type="paragraph" w:customStyle="1" w:styleId="ReportCompany">
    <w:name w:val="Report Company"/>
    <w:basedOn w:val="Normal"/>
    <w:qFormat/>
    <w:rsid w:val="0092257D"/>
    <w:rPr>
      <w:rFonts w:cs="Arial"/>
      <w:color w:val="92D400"/>
      <w:sz w:val="56"/>
      <w:szCs w:val="56"/>
    </w:rPr>
  </w:style>
  <w:style w:type="paragraph" w:customStyle="1" w:styleId="BodyText-Centred">
    <w:name w:val="BodyText - Centred"/>
    <w:basedOn w:val="Normal"/>
    <w:qFormat/>
    <w:rsid w:val="002539EC"/>
    <w:pPr>
      <w:spacing w:before="240"/>
      <w:jc w:val="center"/>
    </w:pPr>
    <w:rPr>
      <w:noProof/>
      <w:sz w:val="24"/>
      <w:lang w:eastAsia="en-AU"/>
    </w:rPr>
  </w:style>
  <w:style w:type="paragraph" w:customStyle="1" w:styleId="FooterLine1">
    <w:name w:val="Footer Line 1"/>
    <w:basedOn w:val="Normal"/>
    <w:qFormat/>
    <w:rsid w:val="00F35BC0"/>
    <w:pPr>
      <w:jc w:val="right"/>
    </w:pPr>
    <w:rPr>
      <w:sz w:val="18"/>
    </w:rPr>
  </w:style>
  <w:style w:type="paragraph" w:customStyle="1" w:styleId="Glossarytext">
    <w:name w:val="Glossary text"/>
    <w:basedOn w:val="Normal"/>
    <w:qFormat/>
    <w:rsid w:val="00AC4800"/>
    <w:pPr>
      <w:spacing w:before="120"/>
      <w:contextualSpacing/>
    </w:pPr>
    <w:rPr>
      <w:rFonts w:cs="Arial"/>
    </w:rPr>
  </w:style>
  <w:style w:type="paragraph" w:customStyle="1" w:styleId="GlossaryAbbreviation">
    <w:name w:val="Glossary Abbreviation"/>
    <w:basedOn w:val="Normal"/>
    <w:qFormat/>
    <w:rsid w:val="00AC4800"/>
    <w:pPr>
      <w:spacing w:before="120"/>
    </w:pPr>
    <w:rPr>
      <w:rFonts w:cs="Arial"/>
      <w:caps/>
    </w:rPr>
  </w:style>
  <w:style w:type="table" w:customStyle="1" w:styleId="TableAEGrey">
    <w:name w:val="Table AE Grey"/>
    <w:basedOn w:val="TableAE"/>
    <w:rsid w:val="00A82926"/>
    <w:tblPr>
      <w:tblBorders>
        <w:top w:val="single" w:sz="12" w:space="0" w:color="002776"/>
        <w:bottom w:val="none" w:sz="0" w:space="0" w:color="auto"/>
        <w:insideH w:val="single" w:sz="4" w:space="0" w:color="A6A6A6"/>
        <w:insideV w:val="single" w:sz="4" w:space="0" w:color="A6A6A6"/>
      </w:tblBorders>
    </w:tblPr>
    <w:tblStylePr w:type="firstRow">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tblPr/>
      <w:tcPr>
        <w:tcBorders>
          <w:top w:val="nil"/>
          <w:bottom w:val="single" w:sz="12" w:space="0" w:color="002776"/>
        </w:tcBorders>
      </w:tcPr>
    </w:tblStylePr>
  </w:style>
  <w:style w:type="paragraph" w:customStyle="1" w:styleId="ReportFooterSecurity">
    <w:name w:val="Report Footer Security"/>
    <w:basedOn w:val="FooterSecurity"/>
    <w:qFormat/>
    <w:rsid w:val="00BE3FA6"/>
    <w:rPr>
      <w:color w:val="931638"/>
    </w:rPr>
  </w:style>
  <w:style w:type="table" w:customStyle="1" w:styleId="TableAEGreyTotals">
    <w:name w:val="Table AE Grey Totals"/>
    <w:basedOn w:val="TableAEGrey"/>
    <w:rsid w:val="00A82926"/>
    <w:tblPr/>
    <w:tblStylePr w:type="firstRow">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tblPr/>
      <w:tcPr>
        <w:tcBorders>
          <w:top w:val="single" w:sz="12" w:space="0" w:color="002776"/>
          <w:left w:val="nil"/>
          <w:bottom w:val="single" w:sz="12" w:space="0" w:color="002776"/>
          <w:right w:val="nil"/>
          <w:insideH w:val="nil"/>
          <w:insideV w:val="single" w:sz="4" w:space="0" w:color="A6A6A6"/>
          <w:tl2br w:val="nil"/>
          <w:tr2bl w:val="nil"/>
        </w:tcBorders>
      </w:tcPr>
    </w:tblStylePr>
  </w:style>
  <w:style w:type="paragraph" w:customStyle="1" w:styleId="Glossary">
    <w:name w:val="Glossary"/>
    <w:basedOn w:val="Normal"/>
    <w:next w:val="BodyText"/>
    <w:qFormat/>
    <w:rsid w:val="000175EC"/>
    <w:pPr>
      <w:keepNext/>
      <w:spacing w:after="200"/>
    </w:pPr>
    <w:rPr>
      <w:b/>
      <w:color w:val="002776"/>
      <w:sz w:val="56"/>
    </w:rPr>
  </w:style>
  <w:style w:type="table" w:customStyle="1" w:styleId="TableAEGlossary">
    <w:name w:val="Table AE Glossary"/>
    <w:basedOn w:val="TableNormal"/>
    <w:uiPriority w:val="99"/>
    <w:qFormat/>
    <w:rsid w:val="00C22E9A"/>
    <w:tblPr>
      <w:tblBorders>
        <w:top w:val="single" w:sz="4" w:space="0" w:color="931638"/>
        <w:bottom w:val="single" w:sz="4" w:space="0" w:color="931638"/>
      </w:tblBorders>
    </w:tblPr>
    <w:tblStylePr w:type="firstRow">
      <w:tblPr/>
      <w:tcPr>
        <w:tcBorders>
          <w:top w:val="single" w:sz="4" w:space="0" w:color="002776"/>
          <w:bottom w:val="nil"/>
        </w:tcBorders>
      </w:tcPr>
    </w:tblStylePr>
    <w:tblStylePr w:type="lastRow">
      <w:tblPr/>
      <w:tcPr>
        <w:tcBorders>
          <w:bottom w:val="single" w:sz="4" w:space="0" w:color="002776"/>
        </w:tcBorders>
      </w:tcPr>
    </w:tblStylePr>
  </w:style>
  <w:style w:type="paragraph" w:customStyle="1" w:styleId="Contents-Minor">
    <w:name w:val="Contents - Minor"/>
    <w:basedOn w:val="Contents-Major"/>
    <w:qFormat/>
    <w:rsid w:val="006B29A4"/>
    <w:pPr>
      <w:spacing w:before="400"/>
    </w:pPr>
  </w:style>
  <w:style w:type="paragraph" w:customStyle="1" w:styleId="ReportBy0">
    <w:name w:val="ReportBy"/>
    <w:basedOn w:val="Normal"/>
    <w:qFormat/>
    <w:rsid w:val="00A200CF"/>
    <w:pPr>
      <w:spacing w:line="360" w:lineRule="auto"/>
    </w:pPr>
    <w:rPr>
      <w:rFonts w:cs="Arial"/>
      <w:color w:val="000000"/>
      <w:sz w:val="28"/>
      <w:szCs w:val="28"/>
    </w:rPr>
  </w:style>
  <w:style w:type="paragraph" w:customStyle="1" w:styleId="ReportDate0">
    <w:name w:val="ReportDate"/>
    <w:basedOn w:val="Normal"/>
    <w:rsid w:val="0092257D"/>
    <w:pPr>
      <w:spacing w:before="300"/>
      <w:ind w:right="1429"/>
    </w:pPr>
    <w:rPr>
      <w:color w:val="92D400"/>
      <w:sz w:val="52"/>
      <w:szCs w:val="24"/>
    </w:rPr>
  </w:style>
  <w:style w:type="paragraph" w:customStyle="1" w:styleId="Security">
    <w:name w:val="Security"/>
    <w:basedOn w:val="Normal"/>
    <w:qFormat/>
    <w:rsid w:val="00A200CF"/>
    <w:pPr>
      <w:jc w:val="center"/>
    </w:pPr>
    <w:rPr>
      <w:rFonts w:cs="Arial"/>
      <w:color w:val="7A7A78"/>
      <w:sz w:val="16"/>
      <w:szCs w:val="16"/>
    </w:rPr>
  </w:style>
  <w:style w:type="paragraph" w:customStyle="1" w:styleId="TableofContents">
    <w:name w:val="Table of Contents"/>
    <w:basedOn w:val="Normal"/>
    <w:rsid w:val="00AC4800"/>
    <w:pPr>
      <w:keepNext/>
      <w:spacing w:before="400" w:after="200"/>
    </w:pPr>
    <w:rPr>
      <w:b/>
      <w:color w:val="002776"/>
      <w:sz w:val="32"/>
      <w:szCs w:val="32"/>
    </w:rPr>
  </w:style>
  <w:style w:type="paragraph" w:styleId="Footer">
    <w:name w:val="footer"/>
    <w:basedOn w:val="Normal"/>
    <w:link w:val="FooterChar"/>
    <w:rsid w:val="00F35BC0"/>
    <w:pPr>
      <w:tabs>
        <w:tab w:val="center" w:pos="4513"/>
        <w:tab w:val="right" w:pos="9026"/>
      </w:tabs>
    </w:pPr>
    <w:rPr>
      <w:sz w:val="18"/>
    </w:rPr>
  </w:style>
  <w:style w:type="character" w:customStyle="1" w:styleId="FooterChar">
    <w:name w:val="Footer Char"/>
    <w:basedOn w:val="DefaultParagraphFont"/>
    <w:link w:val="Footer"/>
    <w:rsid w:val="00F35BC0"/>
    <w:rPr>
      <w:rFonts w:ascii="Calibri" w:hAnsi="Calibri"/>
      <w:sz w:val="18"/>
      <w:lang w:eastAsia="en-US"/>
    </w:rPr>
  </w:style>
  <w:style w:type="paragraph" w:customStyle="1" w:styleId="HeadingA">
    <w:name w:val="Heading A"/>
    <w:next w:val="BodyText"/>
    <w:rsid w:val="00AC4800"/>
    <w:pPr>
      <w:keepNext/>
      <w:keepLines/>
      <w:spacing w:before="120" w:after="60"/>
    </w:pPr>
    <w:rPr>
      <w:rFonts w:ascii="Calibri" w:hAnsi="Calibri"/>
      <w:b/>
      <w:color w:val="002776"/>
      <w:sz w:val="32"/>
      <w:szCs w:val="28"/>
      <w:lang w:eastAsia="en-US"/>
    </w:rPr>
  </w:style>
  <w:style w:type="paragraph" w:customStyle="1" w:styleId="HeadingB">
    <w:name w:val="Heading B"/>
    <w:basedOn w:val="HeadingA"/>
    <w:next w:val="BodyText"/>
    <w:rsid w:val="00AC4800"/>
    <w:pPr>
      <w:spacing w:before="240" w:after="0"/>
    </w:pPr>
    <w:rPr>
      <w:sz w:val="28"/>
      <w:szCs w:val="26"/>
    </w:rPr>
  </w:style>
  <w:style w:type="paragraph" w:customStyle="1" w:styleId="HeadingC">
    <w:name w:val="Heading C"/>
    <w:basedOn w:val="Normal"/>
    <w:next w:val="BodyText"/>
    <w:rsid w:val="00AC4800"/>
    <w:pPr>
      <w:keepNext/>
      <w:keepLines/>
      <w:spacing w:before="240"/>
    </w:pPr>
    <w:rPr>
      <w:b/>
      <w:color w:val="002776"/>
      <w:sz w:val="24"/>
      <w:szCs w:val="28"/>
    </w:rPr>
  </w:style>
  <w:style w:type="paragraph" w:customStyle="1" w:styleId="AlphabeticList">
    <w:name w:val="Alphabetic List"/>
    <w:basedOn w:val="Normal"/>
    <w:rsid w:val="00F0239F"/>
    <w:pPr>
      <w:numPr>
        <w:numId w:val="2"/>
      </w:numPr>
      <w:spacing w:before="120"/>
      <w:jc w:val="both"/>
    </w:pPr>
  </w:style>
  <w:style w:type="paragraph" w:customStyle="1" w:styleId="DashList">
    <w:name w:val="Dash List"/>
    <w:basedOn w:val="Normal"/>
    <w:rsid w:val="005D7965"/>
    <w:pPr>
      <w:numPr>
        <w:ilvl w:val="1"/>
        <w:numId w:val="1"/>
      </w:numPr>
      <w:spacing w:before="60"/>
    </w:pPr>
  </w:style>
  <w:style w:type="paragraph" w:customStyle="1" w:styleId="IndentParaDarkGrey">
    <w:name w:val="Indent Para Dark Grey"/>
    <w:basedOn w:val="IndentPara"/>
    <w:next w:val="Normal"/>
    <w:rsid w:val="00AC4800"/>
    <w:pPr>
      <w:pBdr>
        <w:top w:val="single" w:sz="8" w:space="5" w:color="827F77"/>
        <w:left w:val="single" w:sz="8" w:space="5" w:color="827F77"/>
        <w:bottom w:val="single" w:sz="8" w:space="5" w:color="827F77"/>
        <w:right w:val="single" w:sz="8" w:space="5" w:color="827F77"/>
      </w:pBdr>
      <w:shd w:val="clear" w:color="808080" w:fill="827F77"/>
      <w:spacing w:after="240"/>
    </w:pPr>
    <w:rPr>
      <w:b/>
      <w:color w:val="FFFFFF"/>
      <w:szCs w:val="24"/>
    </w:rPr>
  </w:style>
  <w:style w:type="paragraph" w:customStyle="1" w:styleId="TableNote">
    <w:name w:val="Table Note"/>
    <w:basedOn w:val="Normal"/>
    <w:rsid w:val="00AC4800"/>
    <w:pPr>
      <w:tabs>
        <w:tab w:val="left" w:pos="425"/>
      </w:tabs>
      <w:spacing w:before="60"/>
      <w:jc w:val="center"/>
    </w:pPr>
    <w:rPr>
      <w:sz w:val="18"/>
    </w:rPr>
  </w:style>
  <w:style w:type="paragraph" w:customStyle="1" w:styleId="IndentNumberedList">
    <w:name w:val="Indent Numbered List"/>
    <w:basedOn w:val="Normal"/>
    <w:rsid w:val="002539EC"/>
    <w:pPr>
      <w:numPr>
        <w:numId w:val="4"/>
      </w:numPr>
      <w:spacing w:before="60"/>
      <w:jc w:val="both"/>
    </w:pPr>
  </w:style>
  <w:style w:type="paragraph" w:customStyle="1" w:styleId="IndentAlphabeticList">
    <w:name w:val="Indent Alphabetic List"/>
    <w:basedOn w:val="Normal"/>
    <w:rsid w:val="002539EC"/>
    <w:pPr>
      <w:numPr>
        <w:numId w:val="3"/>
      </w:numPr>
      <w:tabs>
        <w:tab w:val="left" w:pos="1134"/>
      </w:tabs>
      <w:spacing w:before="60"/>
      <w:ind w:left="1134" w:hanging="567"/>
      <w:jc w:val="both"/>
    </w:pPr>
  </w:style>
  <w:style w:type="paragraph" w:styleId="FootnoteText">
    <w:name w:val="footnote text"/>
    <w:aliases w:val="single space,ft,Footnote Text Char1 Char"/>
    <w:basedOn w:val="Normal"/>
    <w:link w:val="FootnoteTextChar"/>
    <w:rsid w:val="00D929F4"/>
    <w:pPr>
      <w:spacing w:before="120" w:after="60"/>
      <w:jc w:val="both"/>
    </w:pPr>
    <w:rPr>
      <w:rFonts w:asciiTheme="minorHAnsi" w:hAnsiTheme="minorHAnsi"/>
      <w:sz w:val="18"/>
    </w:rPr>
  </w:style>
  <w:style w:type="character" w:customStyle="1" w:styleId="FootnoteTextChar">
    <w:name w:val="Footnote Text Char"/>
    <w:aliases w:val="single space Char,ft Char,Footnote Text Char1 Char Char"/>
    <w:basedOn w:val="DefaultParagraphFont"/>
    <w:link w:val="FootnoteText"/>
    <w:rsid w:val="00D929F4"/>
    <w:rPr>
      <w:rFonts w:asciiTheme="minorHAnsi" w:hAnsiTheme="minorHAnsi"/>
      <w:sz w:val="18"/>
      <w:lang w:eastAsia="en-US"/>
    </w:rPr>
  </w:style>
  <w:style w:type="character" w:customStyle="1" w:styleId="HeaderChar">
    <w:name w:val="Header Char"/>
    <w:basedOn w:val="DefaultParagraphFont"/>
    <w:link w:val="Header"/>
    <w:rsid w:val="00F35BC0"/>
    <w:rPr>
      <w:rFonts w:ascii="Calibri" w:hAnsi="Calibri"/>
      <w:color w:val="595959"/>
      <w:sz w:val="22"/>
      <w:lang w:eastAsia="en-US"/>
    </w:rPr>
  </w:style>
  <w:style w:type="table" w:customStyle="1" w:styleId="TableAETotals">
    <w:name w:val="Table AE Totals"/>
    <w:basedOn w:val="TableNormal"/>
    <w:rsid w:val="00A82926"/>
    <w:rPr>
      <w:rFonts w:ascii="Arial" w:hAnsi="Arial"/>
    </w:rPr>
    <w:tblPr>
      <w:tblBorders>
        <w:top w:val="single" w:sz="12" w:space="0" w:color="002776"/>
        <w:bottom w:val="single" w:sz="12" w:space="0" w:color="002776"/>
      </w:tblBorders>
    </w:tblPr>
    <w:tblStylePr w:type="firstRow">
      <w:tblPr/>
      <w:tcPr>
        <w:tcBorders>
          <w:top w:val="single" w:sz="12" w:space="0" w:color="002776"/>
          <w:left w:val="nil"/>
          <w:bottom w:val="single" w:sz="8" w:space="0" w:color="002776"/>
          <w:right w:val="nil"/>
          <w:insideH w:val="nil"/>
          <w:insideV w:val="nil"/>
          <w:tl2br w:val="nil"/>
          <w:tr2bl w:val="nil"/>
        </w:tcBorders>
      </w:tcPr>
    </w:tblStylePr>
    <w:tblStylePr w:type="lastRow">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AppendixTableCaption">
    <w:name w:val="Appendix Table Caption"/>
    <w:basedOn w:val="CaptionAE"/>
    <w:next w:val="BodyText"/>
    <w:qFormat/>
    <w:rsid w:val="00AC4800"/>
    <w:pPr>
      <w:numPr>
        <w:ilvl w:val="1"/>
        <w:numId w:val="12"/>
      </w:numPr>
    </w:pPr>
    <w:rPr>
      <w:color w:val="002776"/>
    </w:rPr>
  </w:style>
  <w:style w:type="paragraph" w:customStyle="1" w:styleId="AppendixChartCaption">
    <w:name w:val="Appendix Chart Caption"/>
    <w:basedOn w:val="CaptionAE"/>
    <w:next w:val="BodyText"/>
    <w:qFormat/>
    <w:rsid w:val="00AC4800"/>
    <w:pPr>
      <w:numPr>
        <w:ilvl w:val="2"/>
        <w:numId w:val="12"/>
      </w:numPr>
    </w:pPr>
    <w:rPr>
      <w:color w:val="002776"/>
    </w:rPr>
  </w:style>
  <w:style w:type="paragraph" w:customStyle="1" w:styleId="AppendixFigureCaption">
    <w:name w:val="Appendix Figure Caption"/>
    <w:basedOn w:val="CaptionAE"/>
    <w:next w:val="BodyText"/>
    <w:qFormat/>
    <w:rsid w:val="00AC4800"/>
    <w:pPr>
      <w:numPr>
        <w:ilvl w:val="3"/>
        <w:numId w:val="12"/>
      </w:numPr>
    </w:pPr>
    <w:rPr>
      <w:color w:val="002776"/>
    </w:rPr>
  </w:style>
  <w:style w:type="paragraph" w:customStyle="1" w:styleId="CaptionTable">
    <w:name w:val="Caption_Table"/>
    <w:basedOn w:val="CaptionAE"/>
    <w:next w:val="BodyText"/>
    <w:qFormat/>
    <w:rsid w:val="00AC4800"/>
    <w:pPr>
      <w:numPr>
        <w:ilvl w:val="6"/>
        <w:numId w:val="17"/>
      </w:numPr>
    </w:pPr>
    <w:rPr>
      <w:color w:val="002776"/>
    </w:rPr>
  </w:style>
  <w:style w:type="paragraph" w:customStyle="1" w:styleId="CaptionFigure">
    <w:name w:val="Caption_Figure"/>
    <w:basedOn w:val="CaptionTable"/>
    <w:next w:val="BodyText"/>
    <w:qFormat/>
    <w:rsid w:val="00AC4800"/>
    <w:pPr>
      <w:numPr>
        <w:ilvl w:val="8"/>
      </w:numPr>
    </w:pPr>
    <w:rPr>
      <w:bCs/>
      <w:szCs w:val="22"/>
    </w:rPr>
  </w:style>
  <w:style w:type="paragraph" w:customStyle="1" w:styleId="CaptionChart">
    <w:name w:val="Caption_Chart"/>
    <w:basedOn w:val="CaptionFigure"/>
    <w:next w:val="BodyText"/>
    <w:qFormat/>
    <w:rsid w:val="00CF18B4"/>
    <w:pPr>
      <w:numPr>
        <w:ilvl w:val="7"/>
      </w:numPr>
      <w:ind w:left="0"/>
    </w:pPr>
  </w:style>
  <w:style w:type="paragraph" w:customStyle="1" w:styleId="ExecChartCaption">
    <w:name w:val="Exec Chart Caption"/>
    <w:basedOn w:val="CaptionAE"/>
    <w:next w:val="BodyText"/>
    <w:qFormat/>
    <w:rsid w:val="00AC4800"/>
    <w:pPr>
      <w:numPr>
        <w:ilvl w:val="2"/>
        <w:numId w:val="10"/>
      </w:numPr>
    </w:pPr>
    <w:rPr>
      <w:color w:val="002776"/>
    </w:rPr>
  </w:style>
  <w:style w:type="paragraph" w:customStyle="1" w:styleId="ExecFigureCaption">
    <w:name w:val="Exec Figure Caption"/>
    <w:basedOn w:val="CaptionAE"/>
    <w:next w:val="BodyText"/>
    <w:qFormat/>
    <w:rsid w:val="00AC4800"/>
    <w:pPr>
      <w:numPr>
        <w:ilvl w:val="3"/>
        <w:numId w:val="10"/>
      </w:numPr>
    </w:pPr>
    <w:rPr>
      <w:color w:val="002776"/>
    </w:rPr>
  </w:style>
  <w:style w:type="paragraph" w:customStyle="1" w:styleId="ExecTableCaption">
    <w:name w:val="Exec Table Caption"/>
    <w:basedOn w:val="CaptionAE"/>
    <w:next w:val="BodyText"/>
    <w:qFormat/>
    <w:rsid w:val="00AC4800"/>
    <w:pPr>
      <w:numPr>
        <w:ilvl w:val="1"/>
        <w:numId w:val="10"/>
      </w:numPr>
    </w:pPr>
    <w:rPr>
      <w:color w:val="002776"/>
    </w:rPr>
  </w:style>
  <w:style w:type="paragraph" w:customStyle="1" w:styleId="CaptionAE">
    <w:name w:val="Caption AE"/>
    <w:basedOn w:val="Normal"/>
    <w:next w:val="BodyText"/>
    <w:rsid w:val="00215E92"/>
    <w:pPr>
      <w:keepNext/>
      <w:keepLines/>
      <w:spacing w:before="240" w:after="240"/>
      <w:jc w:val="center"/>
    </w:pPr>
    <w:rPr>
      <w:b/>
      <w:color w:val="931638"/>
    </w:rPr>
  </w:style>
  <w:style w:type="paragraph" w:customStyle="1" w:styleId="CVaddress">
    <w:name w:val="CV address"/>
    <w:rsid w:val="00FD5CAC"/>
    <w:rPr>
      <w:rFonts w:ascii="Calibri" w:hAnsi="Calibri"/>
      <w:color w:val="404040" w:themeColor="text1" w:themeTint="BF"/>
      <w:lang w:eastAsia="en-US"/>
    </w:rPr>
  </w:style>
  <w:style w:type="paragraph" w:customStyle="1" w:styleId="CVbullet">
    <w:name w:val="CV bullet"/>
    <w:basedOn w:val="Normal"/>
    <w:qFormat/>
    <w:rsid w:val="00FD5CAC"/>
    <w:pPr>
      <w:spacing w:after="60"/>
      <w:jc w:val="both"/>
    </w:pPr>
  </w:style>
  <w:style w:type="paragraph" w:customStyle="1" w:styleId="CVbulletindent">
    <w:name w:val="CV bullet indent"/>
    <w:basedOn w:val="Normal"/>
    <w:qFormat/>
    <w:rsid w:val="00FD5CAC"/>
    <w:pPr>
      <w:spacing w:after="60"/>
      <w:jc w:val="both"/>
    </w:pPr>
  </w:style>
  <w:style w:type="paragraph" w:customStyle="1" w:styleId="CVDate">
    <w:name w:val="CV Date"/>
    <w:basedOn w:val="CVaddress"/>
    <w:next w:val="Normal"/>
    <w:rsid w:val="00FD5CAC"/>
    <w:pPr>
      <w:keepNext/>
      <w:spacing w:before="60" w:after="60"/>
    </w:pPr>
    <w:rPr>
      <w:b/>
      <w:color w:val="931638"/>
      <w:sz w:val="22"/>
    </w:rPr>
  </w:style>
  <w:style w:type="paragraph" w:customStyle="1" w:styleId="CVDateExperience">
    <w:name w:val="CV Date Experience"/>
    <w:basedOn w:val="CVDate"/>
    <w:rsid w:val="00FD5CAC"/>
    <w:pPr>
      <w:spacing w:before="120" w:after="0"/>
    </w:pPr>
    <w:rPr>
      <w:sz w:val="24"/>
    </w:rPr>
  </w:style>
  <w:style w:type="paragraph" w:customStyle="1" w:styleId="CVHeadingB">
    <w:name w:val="CV Heading B"/>
    <w:basedOn w:val="HeadingA"/>
    <w:next w:val="Normal"/>
    <w:rsid w:val="00FD5CAC"/>
    <w:rPr>
      <w:sz w:val="28"/>
      <w:szCs w:val="26"/>
    </w:rPr>
  </w:style>
  <w:style w:type="paragraph" w:customStyle="1" w:styleId="CVHeadingC">
    <w:name w:val="CV Heading C"/>
    <w:basedOn w:val="Normal"/>
    <w:next w:val="Normal"/>
    <w:rsid w:val="00FD5CAC"/>
    <w:pPr>
      <w:keepNext/>
      <w:keepLines/>
      <w:spacing w:before="180"/>
    </w:pPr>
    <w:rPr>
      <w:b/>
      <w:color w:val="931638"/>
      <w:sz w:val="24"/>
      <w:szCs w:val="28"/>
    </w:rPr>
  </w:style>
  <w:style w:type="paragraph" w:customStyle="1" w:styleId="CVHeadingExperience">
    <w:name w:val="CV Heading Experience"/>
    <w:basedOn w:val="CVDate"/>
    <w:rsid w:val="00FD5CAC"/>
    <w:pPr>
      <w:spacing w:before="120" w:after="0"/>
    </w:pPr>
    <w:rPr>
      <w:sz w:val="24"/>
    </w:rPr>
  </w:style>
  <w:style w:type="paragraph" w:customStyle="1" w:styleId="CVHeadingqualifications">
    <w:name w:val="CV Heading qualifications"/>
    <w:basedOn w:val="CVHeadingC"/>
    <w:rsid w:val="00FD5CAC"/>
    <w:pPr>
      <w:spacing w:before="0"/>
      <w:ind w:left="142"/>
    </w:pPr>
    <w:rPr>
      <w:bCs/>
      <w:szCs w:val="20"/>
    </w:rPr>
  </w:style>
  <w:style w:type="paragraph" w:customStyle="1" w:styleId="CVqualificationsawards">
    <w:name w:val="CV qualifications/awards"/>
    <w:basedOn w:val="CVaddress"/>
    <w:rsid w:val="00FD5CAC"/>
    <w:pPr>
      <w:ind w:left="142"/>
    </w:pPr>
    <w:rPr>
      <w:color w:val="auto"/>
    </w:rPr>
  </w:style>
  <w:style w:type="paragraph" w:customStyle="1" w:styleId="CVtabledate">
    <w:name w:val="CV table date"/>
    <w:basedOn w:val="Normal"/>
    <w:rsid w:val="00FD5CAC"/>
    <w:pPr>
      <w:jc w:val="both"/>
    </w:pPr>
    <w:rPr>
      <w:b/>
      <w:color w:val="262626" w:themeColor="text1" w:themeTint="D9"/>
    </w:rPr>
  </w:style>
  <w:style w:type="paragraph" w:customStyle="1" w:styleId="CVTableText">
    <w:name w:val="CV Table Text"/>
    <w:basedOn w:val="CVaddress"/>
    <w:rsid w:val="00FD5CAC"/>
    <w:rPr>
      <w:color w:val="auto"/>
      <w:sz w:val="22"/>
    </w:rPr>
  </w:style>
  <w:style w:type="character" w:customStyle="1" w:styleId="Boldword">
    <w:name w:val="Bold word"/>
    <w:basedOn w:val="DefaultParagraphFont"/>
    <w:uiPriority w:val="1"/>
    <w:qFormat/>
    <w:rsid w:val="00E843DD"/>
    <w:rPr>
      <w:rFonts w:ascii="Calibri" w:hAnsi="Calibri"/>
      <w:b/>
      <w:color w:val="002776"/>
      <w:sz w:val="22"/>
      <w:lang w:eastAsia="en-AU"/>
    </w:rPr>
  </w:style>
  <w:style w:type="paragraph" w:styleId="BalloonText">
    <w:name w:val="Balloon Text"/>
    <w:basedOn w:val="Normal"/>
    <w:link w:val="BalloonTextChar"/>
    <w:rsid w:val="00CB7948"/>
    <w:rPr>
      <w:rFonts w:ascii="Tahoma" w:hAnsi="Tahoma" w:cs="Tahoma"/>
      <w:sz w:val="16"/>
      <w:szCs w:val="16"/>
    </w:rPr>
  </w:style>
  <w:style w:type="character" w:customStyle="1" w:styleId="BalloonTextChar">
    <w:name w:val="Balloon Text Char"/>
    <w:basedOn w:val="DefaultParagraphFont"/>
    <w:link w:val="BalloonText"/>
    <w:rsid w:val="00CB7948"/>
    <w:rPr>
      <w:rFonts w:ascii="Tahoma" w:hAnsi="Tahoma" w:cs="Tahoma"/>
      <w:sz w:val="16"/>
      <w:szCs w:val="16"/>
      <w:lang w:eastAsia="en-US"/>
    </w:rPr>
  </w:style>
  <w:style w:type="character" w:customStyle="1" w:styleId="BodyTextChar">
    <w:name w:val="Body Text Char"/>
    <w:aliases w:val="bt Char,Body Text1 Char Char,t1 Char,Body Char,Body Text Char1 Char,Body Text Char Char Char,Body Text Char1 Char1 Char Char,Body Text Char Char Char Char Char,Body Text Char Char Char Char Char Char Char"/>
    <w:basedOn w:val="DefaultParagraphFont"/>
    <w:link w:val="BodyText"/>
    <w:rsid w:val="0034223A"/>
    <w:rPr>
      <w:rFonts w:ascii="Calibri" w:hAnsi="Calibri"/>
      <w:sz w:val="22"/>
      <w:lang w:eastAsia="en-US"/>
    </w:rPr>
  </w:style>
  <w:style w:type="character" w:customStyle="1" w:styleId="BoldParaChar">
    <w:name w:val="Bold Para Char"/>
    <w:basedOn w:val="DefaultParagraphFont"/>
    <w:link w:val="BoldPara"/>
    <w:locked/>
    <w:rsid w:val="0034223A"/>
    <w:rPr>
      <w:rFonts w:ascii="Calibri" w:hAnsi="Calibri"/>
      <w:b/>
      <w:color w:val="002776"/>
      <w:sz w:val="22"/>
      <w:szCs w:val="24"/>
      <w:lang w:eastAsia="en-US"/>
    </w:rPr>
  </w:style>
  <w:style w:type="paragraph" w:customStyle="1" w:styleId="Addressdetails">
    <w:name w:val="Address details"/>
    <w:basedOn w:val="Normal"/>
    <w:link w:val="AddressdetailsChar"/>
    <w:rsid w:val="00042200"/>
    <w:pPr>
      <w:spacing w:before="85" w:line="180" w:lineRule="atLeast"/>
    </w:pPr>
    <w:rPr>
      <w:rFonts w:ascii="Arial" w:hAnsi="Arial"/>
      <w:sz w:val="15"/>
      <w:szCs w:val="24"/>
    </w:rPr>
  </w:style>
  <w:style w:type="character" w:customStyle="1" w:styleId="AddressdetailsChar">
    <w:name w:val="Address details Char"/>
    <w:basedOn w:val="DefaultParagraphFont"/>
    <w:link w:val="Addressdetails"/>
    <w:rsid w:val="00042200"/>
    <w:rPr>
      <w:rFonts w:ascii="Arial" w:hAnsi="Arial"/>
      <w:sz w:val="15"/>
      <w:szCs w:val="24"/>
      <w:lang w:eastAsia="en-US"/>
    </w:rPr>
  </w:style>
  <w:style w:type="paragraph" w:customStyle="1" w:styleId="Bodycopy">
    <w:name w:val="Body copy"/>
    <w:basedOn w:val="Normal"/>
    <w:link w:val="BodycopyChar"/>
    <w:rsid w:val="00042200"/>
    <w:pPr>
      <w:spacing w:after="113" w:line="240" w:lineRule="atLeast"/>
      <w:jc w:val="both"/>
    </w:pPr>
    <w:rPr>
      <w:rFonts w:ascii="Arial" w:hAnsi="Arial"/>
      <w:sz w:val="20"/>
      <w:szCs w:val="24"/>
    </w:rPr>
  </w:style>
  <w:style w:type="paragraph" w:customStyle="1" w:styleId="BodycopyBold">
    <w:name w:val="Body copy Bold"/>
    <w:basedOn w:val="Normal"/>
    <w:semiHidden/>
    <w:rsid w:val="00042200"/>
    <w:pPr>
      <w:spacing w:after="113" w:line="240" w:lineRule="atLeast"/>
    </w:pPr>
    <w:rPr>
      <w:rFonts w:ascii="Times New Roman" w:hAnsi="Times New Roman"/>
      <w:b/>
      <w:sz w:val="20"/>
      <w:szCs w:val="24"/>
    </w:rPr>
  </w:style>
  <w:style w:type="character" w:customStyle="1" w:styleId="BodycopyChar">
    <w:name w:val="Body copy Char"/>
    <w:basedOn w:val="DefaultParagraphFont"/>
    <w:link w:val="Bodycopy"/>
    <w:rsid w:val="00042200"/>
    <w:rPr>
      <w:rFonts w:ascii="Arial" w:hAnsi="Arial"/>
      <w:szCs w:val="24"/>
      <w:lang w:eastAsia="en-US"/>
    </w:rPr>
  </w:style>
  <w:style w:type="paragraph" w:customStyle="1" w:styleId="SignOffTextwithImage">
    <w:name w:val="SignOff Text with Image"/>
    <w:basedOn w:val="Normal"/>
    <w:rsid w:val="00042200"/>
    <w:pPr>
      <w:spacing w:before="480"/>
    </w:pPr>
  </w:style>
  <w:style w:type="paragraph" w:customStyle="1" w:styleId="SignOffText">
    <w:name w:val="SignOff Text"/>
    <w:basedOn w:val="Normal"/>
    <w:next w:val="Normal"/>
    <w:rsid w:val="00042200"/>
    <w:pPr>
      <w:spacing w:before="480" w:after="1120"/>
    </w:pPr>
  </w:style>
  <w:style w:type="paragraph" w:customStyle="1" w:styleId="Table">
    <w:name w:val="Table"/>
    <w:basedOn w:val="Bodycopy"/>
    <w:next w:val="Bodycopy"/>
    <w:qFormat/>
    <w:rsid w:val="00AC4800"/>
    <w:pPr>
      <w:spacing w:before="240" w:after="0" w:line="240" w:lineRule="auto"/>
      <w:ind w:left="851"/>
    </w:pPr>
    <w:rPr>
      <w:rFonts w:ascii="Calibri" w:hAnsi="Calibri"/>
      <w:b/>
      <w:sz w:val="22"/>
    </w:rPr>
  </w:style>
  <w:style w:type="paragraph" w:customStyle="1" w:styleId="Box">
    <w:name w:val="Box"/>
    <w:basedOn w:val="Bodycopy"/>
    <w:next w:val="Bodycopy"/>
    <w:qFormat/>
    <w:rsid w:val="00AC4800"/>
    <w:pPr>
      <w:spacing w:before="240" w:after="0" w:line="240" w:lineRule="auto"/>
      <w:ind w:left="851"/>
    </w:pPr>
    <w:rPr>
      <w:rFonts w:ascii="Calibri" w:hAnsi="Calibri"/>
      <w:b/>
      <w:sz w:val="22"/>
    </w:rPr>
  </w:style>
  <w:style w:type="paragraph" w:customStyle="1" w:styleId="Keypoint">
    <w:name w:val="Keypoint"/>
    <w:basedOn w:val="Normal"/>
    <w:qFormat/>
    <w:rsid w:val="006B29A4"/>
    <w:pPr>
      <w:spacing w:before="600"/>
    </w:pPr>
    <w:rPr>
      <w:rFonts w:ascii="Times New Roman" w:hAnsi="Times New Roman"/>
      <w:color w:val="72C7E7"/>
      <w:sz w:val="32"/>
      <w:szCs w:val="24"/>
    </w:rPr>
  </w:style>
  <w:style w:type="paragraph" w:customStyle="1" w:styleId="BSubheading-Bluedk">
    <w:name w:val="B Subheading - Blue dk"/>
    <w:basedOn w:val="Normal"/>
    <w:qFormat/>
    <w:rsid w:val="006B29A4"/>
    <w:pPr>
      <w:spacing w:before="320" w:after="120"/>
      <w:outlineLvl w:val="1"/>
    </w:pPr>
    <w:rPr>
      <w:rFonts w:ascii="Arial" w:eastAsia="Times" w:hAnsi="Arial"/>
      <w:b/>
      <w:noProof/>
      <w:color w:val="002776"/>
      <w:sz w:val="24"/>
      <w:szCs w:val="24"/>
      <w:lang w:val="en-US"/>
    </w:rPr>
  </w:style>
  <w:style w:type="paragraph" w:customStyle="1" w:styleId="DHeading">
    <w:name w:val="DHeading"/>
    <w:basedOn w:val="Normal"/>
    <w:rsid w:val="006B29A4"/>
    <w:pPr>
      <w:autoSpaceDE w:val="0"/>
      <w:autoSpaceDN w:val="0"/>
      <w:adjustRightInd w:val="0"/>
      <w:spacing w:before="360" w:after="120"/>
      <w:ind w:firstLine="11"/>
    </w:pPr>
    <w:rPr>
      <w:rFonts w:eastAsia="Times"/>
      <w:color w:val="333F7F"/>
      <w:sz w:val="44"/>
      <w:szCs w:val="44"/>
      <w:lang w:val="en-GB"/>
    </w:rPr>
  </w:style>
  <w:style w:type="paragraph" w:customStyle="1" w:styleId="DBody">
    <w:name w:val="DBody"/>
    <w:basedOn w:val="Normal"/>
    <w:rsid w:val="006B29A4"/>
    <w:pPr>
      <w:spacing w:before="60" w:after="113"/>
    </w:pPr>
    <w:rPr>
      <w:rFonts w:ascii="Arial" w:eastAsia="Times" w:hAnsi="Arial"/>
      <w:color w:val="333F7F"/>
      <w:sz w:val="20"/>
      <w:lang w:val="en-GB"/>
    </w:rPr>
  </w:style>
  <w:style w:type="paragraph" w:customStyle="1" w:styleId="DBullet">
    <w:name w:val="DBullet"/>
    <w:basedOn w:val="ListBullet"/>
    <w:rsid w:val="006B29A4"/>
    <w:pPr>
      <w:numPr>
        <w:numId w:val="13"/>
      </w:numPr>
      <w:spacing w:before="40" w:after="40"/>
      <w:contextualSpacing w:val="0"/>
    </w:pPr>
    <w:rPr>
      <w:rFonts w:ascii="Arial" w:hAnsi="Arial"/>
      <w:color w:val="333D7F"/>
      <w:szCs w:val="24"/>
    </w:rPr>
  </w:style>
  <w:style w:type="paragraph" w:styleId="ListBullet">
    <w:name w:val="List Bullet"/>
    <w:basedOn w:val="Normal"/>
    <w:rsid w:val="006B29A4"/>
    <w:pPr>
      <w:numPr>
        <w:numId w:val="11"/>
      </w:numPr>
      <w:contextualSpacing/>
    </w:pPr>
  </w:style>
  <w:style w:type="paragraph" w:customStyle="1" w:styleId="DBluedk">
    <w:name w:val="D Blue dk"/>
    <w:basedOn w:val="Normal"/>
    <w:qFormat/>
    <w:rsid w:val="007257C4"/>
    <w:pPr>
      <w:spacing w:before="320" w:after="120"/>
      <w:outlineLvl w:val="1"/>
    </w:pPr>
    <w:rPr>
      <w:rFonts w:ascii="Arial" w:eastAsia="Times" w:hAnsi="Arial"/>
      <w:b/>
      <w:noProof/>
      <w:color w:val="002776"/>
      <w:sz w:val="24"/>
      <w:szCs w:val="24"/>
      <w:lang w:val="en-US"/>
    </w:rPr>
  </w:style>
  <w:style w:type="character" w:styleId="CommentReference">
    <w:name w:val="annotation reference"/>
    <w:basedOn w:val="DefaultParagraphFont"/>
    <w:rsid w:val="001D0FDF"/>
    <w:rPr>
      <w:sz w:val="16"/>
      <w:szCs w:val="16"/>
    </w:rPr>
  </w:style>
  <w:style w:type="paragraph" w:styleId="ListParagraph">
    <w:name w:val="List Paragraph"/>
    <w:aliases w:val="Report subheading"/>
    <w:basedOn w:val="Normal"/>
    <w:link w:val="ListParagraphChar"/>
    <w:uiPriority w:val="34"/>
    <w:qFormat/>
    <w:rsid w:val="001D0FDF"/>
    <w:pPr>
      <w:ind w:left="720"/>
      <w:contextualSpacing/>
    </w:pPr>
    <w:rPr>
      <w:rFonts w:ascii="Times New Roman" w:hAnsi="Times New Roman"/>
      <w:sz w:val="24"/>
      <w:szCs w:val="24"/>
    </w:rPr>
  </w:style>
  <w:style w:type="paragraph" w:customStyle="1" w:styleId="Legalstatement">
    <w:name w:val="Legal statement"/>
    <w:basedOn w:val="Footer"/>
    <w:rsid w:val="001D0FDF"/>
    <w:pPr>
      <w:tabs>
        <w:tab w:val="clear" w:pos="4513"/>
        <w:tab w:val="clear" w:pos="9026"/>
        <w:tab w:val="right" w:pos="9356"/>
      </w:tabs>
      <w:spacing w:before="120"/>
    </w:pPr>
    <w:rPr>
      <w:rFonts w:ascii="Arial" w:hAnsi="Arial" w:cs="Arial"/>
      <w:color w:val="000000"/>
      <w:sz w:val="14"/>
      <w:szCs w:val="16"/>
    </w:rPr>
  </w:style>
  <w:style w:type="paragraph" w:styleId="CommentText">
    <w:name w:val="annotation text"/>
    <w:basedOn w:val="Normal"/>
    <w:link w:val="CommentTextChar"/>
    <w:rsid w:val="005541DA"/>
    <w:rPr>
      <w:sz w:val="20"/>
    </w:rPr>
  </w:style>
  <w:style w:type="character" w:customStyle="1" w:styleId="CommentTextChar">
    <w:name w:val="Comment Text Char"/>
    <w:basedOn w:val="DefaultParagraphFont"/>
    <w:link w:val="CommentText"/>
    <w:rsid w:val="005541DA"/>
    <w:rPr>
      <w:rFonts w:ascii="Calibri" w:hAnsi="Calibri"/>
      <w:lang w:eastAsia="en-US"/>
    </w:rPr>
  </w:style>
  <w:style w:type="character" w:styleId="PlaceholderText">
    <w:name w:val="Placeholder Text"/>
    <w:basedOn w:val="DefaultParagraphFont"/>
    <w:uiPriority w:val="99"/>
    <w:semiHidden/>
    <w:rsid w:val="004B796D"/>
    <w:rPr>
      <w:color w:val="808080"/>
    </w:rPr>
  </w:style>
  <w:style w:type="paragraph" w:customStyle="1" w:styleId="Default">
    <w:name w:val="Default"/>
    <w:rsid w:val="00F0509C"/>
    <w:pPr>
      <w:autoSpaceDE w:val="0"/>
      <w:autoSpaceDN w:val="0"/>
      <w:adjustRightInd w:val="0"/>
    </w:pPr>
    <w:rPr>
      <w:rFonts w:ascii="Calibri" w:hAnsi="Calibri" w:cs="Calibri"/>
      <w:color w:val="000000"/>
      <w:sz w:val="24"/>
      <w:szCs w:val="24"/>
    </w:rPr>
  </w:style>
  <w:style w:type="character" w:customStyle="1" w:styleId="ListParagraphChar">
    <w:name w:val="List Paragraph Char"/>
    <w:aliases w:val="Report subheading Char"/>
    <w:basedOn w:val="DefaultParagraphFont"/>
    <w:link w:val="ListParagraph"/>
    <w:uiPriority w:val="34"/>
    <w:rsid w:val="00940E33"/>
    <w:rPr>
      <w:sz w:val="24"/>
      <w:szCs w:val="24"/>
      <w:lang w:eastAsia="en-US"/>
    </w:rPr>
  </w:style>
  <w:style w:type="character" w:customStyle="1" w:styleId="Bullet1Char">
    <w:name w:val="Bullet 1 Char"/>
    <w:basedOn w:val="DefaultParagraphFont"/>
    <w:link w:val="Bullet1"/>
    <w:rsid w:val="00683ECB"/>
    <w:rPr>
      <w:rFonts w:ascii="Calibri" w:hAnsi="Calibri" w:cs="Arial"/>
      <w:sz w:val="22"/>
    </w:rPr>
  </w:style>
  <w:style w:type="table" w:customStyle="1" w:styleId="TableAETotals1">
    <w:name w:val="Table AE Totals1"/>
    <w:basedOn w:val="TableNormal"/>
    <w:rsid w:val="00F56C48"/>
    <w:pPr>
      <w:spacing w:before="60"/>
      <w:ind w:left="567" w:hanging="567"/>
      <w:jc w:val="both"/>
    </w:pPr>
    <w:rPr>
      <w:rFonts w:ascii="Arial" w:hAnsi="Arial"/>
    </w:rPr>
    <w:tblPr>
      <w:tblBorders>
        <w:top w:val="single" w:sz="12" w:space="0" w:color="002776"/>
        <w:bottom w:val="single" w:sz="12" w:space="0" w:color="002776"/>
      </w:tblBorders>
    </w:tblPr>
    <w:tblStylePr w:type="firstRow">
      <w:tblPr/>
      <w:tcPr>
        <w:tcBorders>
          <w:top w:val="single" w:sz="12" w:space="0" w:color="002776"/>
          <w:left w:val="nil"/>
          <w:bottom w:val="single" w:sz="8" w:space="0" w:color="002776"/>
          <w:right w:val="nil"/>
          <w:insideH w:val="nil"/>
          <w:insideV w:val="nil"/>
          <w:tl2br w:val="nil"/>
          <w:tr2bl w:val="nil"/>
        </w:tcBorders>
      </w:tcPr>
    </w:tblStylePr>
    <w:tblStylePr w:type="lastRow">
      <w:tblPr/>
      <w:tcPr>
        <w:tcBorders>
          <w:top w:val="single" w:sz="12" w:space="0" w:color="002776"/>
          <w:left w:val="nil"/>
          <w:bottom w:val="single" w:sz="12" w:space="0" w:color="002776"/>
          <w:right w:val="nil"/>
          <w:insideH w:val="nil"/>
          <w:insideV w:val="nil"/>
          <w:tl2br w:val="nil"/>
          <w:tr2bl w:val="nil"/>
        </w:tcBorders>
      </w:tcPr>
    </w:tblStylePr>
  </w:style>
  <w:style w:type="character" w:customStyle="1" w:styleId="Heading3Char">
    <w:name w:val="Heading 3 Char"/>
    <w:aliases w:val="h3 Char,3 Char,Head 3 Char,C Sub-Sub/Italic Char,Head 31 Char,Head 32 Char,C Sub-Sub/Italic1 Char,Head 33 Char,C Sub-Sub/Italic2 Char,Head 311 Char,Head 321 Char,C Sub-Sub/Italic11 Char,h31 Char,h3 sub heading Char,Para3 Char,H3 Char"/>
    <w:basedOn w:val="DefaultParagraphFont"/>
    <w:link w:val="Heading3"/>
    <w:rsid w:val="00F05B65"/>
    <w:rPr>
      <w:rFonts w:ascii="Calibri" w:hAnsi="Calibri"/>
      <w:color w:val="00A1DE"/>
      <w:sz w:val="28"/>
      <w:lang w:eastAsia="en-US"/>
    </w:rPr>
  </w:style>
  <w:style w:type="paragraph" w:styleId="NormalWeb">
    <w:name w:val="Normal (Web)"/>
    <w:basedOn w:val="Normal"/>
    <w:uiPriority w:val="99"/>
    <w:unhideWhenUsed/>
    <w:rsid w:val="00E10762"/>
    <w:pPr>
      <w:spacing w:before="100" w:beforeAutospacing="1" w:after="100" w:afterAutospacing="1"/>
    </w:pPr>
    <w:rPr>
      <w:rFonts w:ascii="Times New Roman" w:eastAsiaTheme="minorEastAsia" w:hAnsi="Times New Roman"/>
      <w:sz w:val="24"/>
      <w:szCs w:val="24"/>
      <w:lang w:eastAsia="en-AU"/>
    </w:rPr>
  </w:style>
  <w:style w:type="paragraph" w:customStyle="1" w:styleId="numberedlist0">
    <w:name w:val="numberedlist"/>
    <w:basedOn w:val="Normal"/>
    <w:rsid w:val="00972EF6"/>
    <w:pPr>
      <w:spacing w:before="120" w:after="160" w:line="252" w:lineRule="auto"/>
      <w:ind w:left="567" w:hanging="567"/>
    </w:pPr>
    <w:rPr>
      <w:rFonts w:eastAsiaTheme="minorHAnsi"/>
      <w:szCs w:val="22"/>
      <w:lang w:eastAsia="en-AU"/>
    </w:rPr>
  </w:style>
  <w:style w:type="paragraph" w:customStyle="1" w:styleId="Documenttitle">
    <w:name w:val="Document title"/>
    <w:next w:val="Documentsubtitle"/>
    <w:qFormat/>
    <w:rsid w:val="007A6C35"/>
    <w:pPr>
      <w:spacing w:line="440" w:lineRule="atLeast"/>
    </w:pPr>
    <w:rPr>
      <w:rFonts w:ascii="Verdana" w:eastAsia="MingLiU" w:hAnsi="Verdana"/>
      <w:b/>
      <w:bCs/>
      <w:color w:val="000000"/>
      <w:sz w:val="36"/>
      <w:szCs w:val="28"/>
      <w:lang w:val="en-GB" w:eastAsia="en-US"/>
    </w:rPr>
  </w:style>
  <w:style w:type="paragraph" w:customStyle="1" w:styleId="Documentdate">
    <w:name w:val="Document date"/>
    <w:qFormat/>
    <w:rsid w:val="007A6C35"/>
    <w:pPr>
      <w:spacing w:line="240" w:lineRule="atLeast"/>
    </w:pPr>
    <w:rPr>
      <w:rFonts w:ascii="Verdana" w:eastAsia="Verdana" w:hAnsi="Verdana"/>
      <w:sz w:val="18"/>
      <w:szCs w:val="22"/>
      <w:lang w:val="en-US" w:eastAsia="en-US"/>
    </w:rPr>
  </w:style>
  <w:style w:type="paragraph" w:customStyle="1" w:styleId="Documentsubtitle">
    <w:name w:val="Document subtitle"/>
    <w:basedOn w:val="Normal"/>
    <w:qFormat/>
    <w:rsid w:val="007A6C35"/>
    <w:pPr>
      <w:spacing w:after="120" w:line="440" w:lineRule="atLeast"/>
    </w:pPr>
    <w:rPr>
      <w:rFonts w:ascii="Verdana" w:eastAsia="Verdana" w:hAnsi="Verdana"/>
      <w:sz w:val="36"/>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8003">
      <w:bodyDiv w:val="1"/>
      <w:marLeft w:val="0"/>
      <w:marRight w:val="0"/>
      <w:marTop w:val="0"/>
      <w:marBottom w:val="0"/>
      <w:divBdr>
        <w:top w:val="none" w:sz="0" w:space="0" w:color="auto"/>
        <w:left w:val="none" w:sz="0" w:space="0" w:color="auto"/>
        <w:bottom w:val="none" w:sz="0" w:space="0" w:color="auto"/>
        <w:right w:val="none" w:sz="0" w:space="0" w:color="auto"/>
      </w:divBdr>
    </w:div>
    <w:div w:id="77481951">
      <w:bodyDiv w:val="1"/>
      <w:marLeft w:val="0"/>
      <w:marRight w:val="0"/>
      <w:marTop w:val="0"/>
      <w:marBottom w:val="0"/>
      <w:divBdr>
        <w:top w:val="none" w:sz="0" w:space="0" w:color="auto"/>
        <w:left w:val="none" w:sz="0" w:space="0" w:color="auto"/>
        <w:bottom w:val="none" w:sz="0" w:space="0" w:color="auto"/>
        <w:right w:val="none" w:sz="0" w:space="0" w:color="auto"/>
      </w:divBdr>
    </w:div>
    <w:div w:id="87622417">
      <w:bodyDiv w:val="1"/>
      <w:marLeft w:val="0"/>
      <w:marRight w:val="0"/>
      <w:marTop w:val="0"/>
      <w:marBottom w:val="0"/>
      <w:divBdr>
        <w:top w:val="none" w:sz="0" w:space="0" w:color="auto"/>
        <w:left w:val="none" w:sz="0" w:space="0" w:color="auto"/>
        <w:bottom w:val="none" w:sz="0" w:space="0" w:color="auto"/>
        <w:right w:val="none" w:sz="0" w:space="0" w:color="auto"/>
      </w:divBdr>
    </w:div>
    <w:div w:id="92366908">
      <w:bodyDiv w:val="1"/>
      <w:marLeft w:val="0"/>
      <w:marRight w:val="0"/>
      <w:marTop w:val="0"/>
      <w:marBottom w:val="0"/>
      <w:divBdr>
        <w:top w:val="none" w:sz="0" w:space="0" w:color="auto"/>
        <w:left w:val="none" w:sz="0" w:space="0" w:color="auto"/>
        <w:bottom w:val="none" w:sz="0" w:space="0" w:color="auto"/>
        <w:right w:val="none" w:sz="0" w:space="0" w:color="auto"/>
      </w:divBdr>
    </w:div>
    <w:div w:id="121077587">
      <w:bodyDiv w:val="1"/>
      <w:marLeft w:val="0"/>
      <w:marRight w:val="0"/>
      <w:marTop w:val="0"/>
      <w:marBottom w:val="0"/>
      <w:divBdr>
        <w:top w:val="none" w:sz="0" w:space="0" w:color="auto"/>
        <w:left w:val="none" w:sz="0" w:space="0" w:color="auto"/>
        <w:bottom w:val="none" w:sz="0" w:space="0" w:color="auto"/>
        <w:right w:val="none" w:sz="0" w:space="0" w:color="auto"/>
      </w:divBdr>
    </w:div>
    <w:div w:id="152381721">
      <w:bodyDiv w:val="1"/>
      <w:marLeft w:val="0"/>
      <w:marRight w:val="0"/>
      <w:marTop w:val="0"/>
      <w:marBottom w:val="0"/>
      <w:divBdr>
        <w:top w:val="none" w:sz="0" w:space="0" w:color="auto"/>
        <w:left w:val="none" w:sz="0" w:space="0" w:color="auto"/>
        <w:bottom w:val="none" w:sz="0" w:space="0" w:color="auto"/>
        <w:right w:val="none" w:sz="0" w:space="0" w:color="auto"/>
      </w:divBdr>
      <w:divsChild>
        <w:div w:id="647244077">
          <w:marLeft w:val="274"/>
          <w:marRight w:val="0"/>
          <w:marTop w:val="120"/>
          <w:marBottom w:val="0"/>
          <w:divBdr>
            <w:top w:val="none" w:sz="0" w:space="0" w:color="auto"/>
            <w:left w:val="none" w:sz="0" w:space="0" w:color="auto"/>
            <w:bottom w:val="none" w:sz="0" w:space="0" w:color="auto"/>
            <w:right w:val="none" w:sz="0" w:space="0" w:color="auto"/>
          </w:divBdr>
        </w:div>
        <w:div w:id="813910859">
          <w:marLeft w:val="274"/>
          <w:marRight w:val="0"/>
          <w:marTop w:val="120"/>
          <w:marBottom w:val="0"/>
          <w:divBdr>
            <w:top w:val="none" w:sz="0" w:space="0" w:color="auto"/>
            <w:left w:val="none" w:sz="0" w:space="0" w:color="auto"/>
            <w:bottom w:val="none" w:sz="0" w:space="0" w:color="auto"/>
            <w:right w:val="none" w:sz="0" w:space="0" w:color="auto"/>
          </w:divBdr>
        </w:div>
        <w:div w:id="852454754">
          <w:marLeft w:val="274"/>
          <w:marRight w:val="0"/>
          <w:marTop w:val="120"/>
          <w:marBottom w:val="0"/>
          <w:divBdr>
            <w:top w:val="none" w:sz="0" w:space="0" w:color="auto"/>
            <w:left w:val="none" w:sz="0" w:space="0" w:color="auto"/>
            <w:bottom w:val="none" w:sz="0" w:space="0" w:color="auto"/>
            <w:right w:val="none" w:sz="0" w:space="0" w:color="auto"/>
          </w:divBdr>
        </w:div>
        <w:div w:id="954141387">
          <w:marLeft w:val="274"/>
          <w:marRight w:val="0"/>
          <w:marTop w:val="120"/>
          <w:marBottom w:val="0"/>
          <w:divBdr>
            <w:top w:val="none" w:sz="0" w:space="0" w:color="auto"/>
            <w:left w:val="none" w:sz="0" w:space="0" w:color="auto"/>
            <w:bottom w:val="none" w:sz="0" w:space="0" w:color="auto"/>
            <w:right w:val="none" w:sz="0" w:space="0" w:color="auto"/>
          </w:divBdr>
        </w:div>
        <w:div w:id="1051729809">
          <w:marLeft w:val="274"/>
          <w:marRight w:val="0"/>
          <w:marTop w:val="120"/>
          <w:marBottom w:val="0"/>
          <w:divBdr>
            <w:top w:val="none" w:sz="0" w:space="0" w:color="auto"/>
            <w:left w:val="none" w:sz="0" w:space="0" w:color="auto"/>
            <w:bottom w:val="none" w:sz="0" w:space="0" w:color="auto"/>
            <w:right w:val="none" w:sz="0" w:space="0" w:color="auto"/>
          </w:divBdr>
        </w:div>
        <w:div w:id="1215047087">
          <w:marLeft w:val="274"/>
          <w:marRight w:val="0"/>
          <w:marTop w:val="120"/>
          <w:marBottom w:val="0"/>
          <w:divBdr>
            <w:top w:val="none" w:sz="0" w:space="0" w:color="auto"/>
            <w:left w:val="none" w:sz="0" w:space="0" w:color="auto"/>
            <w:bottom w:val="none" w:sz="0" w:space="0" w:color="auto"/>
            <w:right w:val="none" w:sz="0" w:space="0" w:color="auto"/>
          </w:divBdr>
        </w:div>
        <w:div w:id="1219367042">
          <w:marLeft w:val="274"/>
          <w:marRight w:val="0"/>
          <w:marTop w:val="120"/>
          <w:marBottom w:val="0"/>
          <w:divBdr>
            <w:top w:val="none" w:sz="0" w:space="0" w:color="auto"/>
            <w:left w:val="none" w:sz="0" w:space="0" w:color="auto"/>
            <w:bottom w:val="none" w:sz="0" w:space="0" w:color="auto"/>
            <w:right w:val="none" w:sz="0" w:space="0" w:color="auto"/>
          </w:divBdr>
        </w:div>
        <w:div w:id="1350251394">
          <w:marLeft w:val="274"/>
          <w:marRight w:val="0"/>
          <w:marTop w:val="120"/>
          <w:marBottom w:val="0"/>
          <w:divBdr>
            <w:top w:val="none" w:sz="0" w:space="0" w:color="auto"/>
            <w:left w:val="none" w:sz="0" w:space="0" w:color="auto"/>
            <w:bottom w:val="none" w:sz="0" w:space="0" w:color="auto"/>
            <w:right w:val="none" w:sz="0" w:space="0" w:color="auto"/>
          </w:divBdr>
        </w:div>
        <w:div w:id="1535650917">
          <w:marLeft w:val="274"/>
          <w:marRight w:val="0"/>
          <w:marTop w:val="120"/>
          <w:marBottom w:val="0"/>
          <w:divBdr>
            <w:top w:val="none" w:sz="0" w:space="0" w:color="auto"/>
            <w:left w:val="none" w:sz="0" w:space="0" w:color="auto"/>
            <w:bottom w:val="none" w:sz="0" w:space="0" w:color="auto"/>
            <w:right w:val="none" w:sz="0" w:space="0" w:color="auto"/>
          </w:divBdr>
        </w:div>
        <w:div w:id="1876459136">
          <w:marLeft w:val="274"/>
          <w:marRight w:val="0"/>
          <w:marTop w:val="120"/>
          <w:marBottom w:val="0"/>
          <w:divBdr>
            <w:top w:val="none" w:sz="0" w:space="0" w:color="auto"/>
            <w:left w:val="none" w:sz="0" w:space="0" w:color="auto"/>
            <w:bottom w:val="none" w:sz="0" w:space="0" w:color="auto"/>
            <w:right w:val="none" w:sz="0" w:space="0" w:color="auto"/>
          </w:divBdr>
        </w:div>
        <w:div w:id="1933391564">
          <w:marLeft w:val="274"/>
          <w:marRight w:val="0"/>
          <w:marTop w:val="120"/>
          <w:marBottom w:val="0"/>
          <w:divBdr>
            <w:top w:val="none" w:sz="0" w:space="0" w:color="auto"/>
            <w:left w:val="none" w:sz="0" w:space="0" w:color="auto"/>
            <w:bottom w:val="none" w:sz="0" w:space="0" w:color="auto"/>
            <w:right w:val="none" w:sz="0" w:space="0" w:color="auto"/>
          </w:divBdr>
        </w:div>
        <w:div w:id="2063408721">
          <w:marLeft w:val="274"/>
          <w:marRight w:val="0"/>
          <w:marTop w:val="120"/>
          <w:marBottom w:val="0"/>
          <w:divBdr>
            <w:top w:val="none" w:sz="0" w:space="0" w:color="auto"/>
            <w:left w:val="none" w:sz="0" w:space="0" w:color="auto"/>
            <w:bottom w:val="none" w:sz="0" w:space="0" w:color="auto"/>
            <w:right w:val="none" w:sz="0" w:space="0" w:color="auto"/>
          </w:divBdr>
        </w:div>
      </w:divsChild>
    </w:div>
    <w:div w:id="175309971">
      <w:bodyDiv w:val="1"/>
      <w:marLeft w:val="0"/>
      <w:marRight w:val="0"/>
      <w:marTop w:val="0"/>
      <w:marBottom w:val="0"/>
      <w:divBdr>
        <w:top w:val="none" w:sz="0" w:space="0" w:color="auto"/>
        <w:left w:val="none" w:sz="0" w:space="0" w:color="auto"/>
        <w:bottom w:val="none" w:sz="0" w:space="0" w:color="auto"/>
        <w:right w:val="none" w:sz="0" w:space="0" w:color="auto"/>
      </w:divBdr>
    </w:div>
    <w:div w:id="193544637">
      <w:bodyDiv w:val="1"/>
      <w:marLeft w:val="0"/>
      <w:marRight w:val="0"/>
      <w:marTop w:val="0"/>
      <w:marBottom w:val="0"/>
      <w:divBdr>
        <w:top w:val="none" w:sz="0" w:space="0" w:color="auto"/>
        <w:left w:val="none" w:sz="0" w:space="0" w:color="auto"/>
        <w:bottom w:val="none" w:sz="0" w:space="0" w:color="auto"/>
        <w:right w:val="none" w:sz="0" w:space="0" w:color="auto"/>
      </w:divBdr>
    </w:div>
    <w:div w:id="196936748">
      <w:bodyDiv w:val="1"/>
      <w:marLeft w:val="0"/>
      <w:marRight w:val="0"/>
      <w:marTop w:val="0"/>
      <w:marBottom w:val="0"/>
      <w:divBdr>
        <w:top w:val="none" w:sz="0" w:space="0" w:color="auto"/>
        <w:left w:val="none" w:sz="0" w:space="0" w:color="auto"/>
        <w:bottom w:val="none" w:sz="0" w:space="0" w:color="auto"/>
        <w:right w:val="none" w:sz="0" w:space="0" w:color="auto"/>
      </w:divBdr>
    </w:div>
    <w:div w:id="225529680">
      <w:bodyDiv w:val="1"/>
      <w:marLeft w:val="0"/>
      <w:marRight w:val="0"/>
      <w:marTop w:val="0"/>
      <w:marBottom w:val="0"/>
      <w:divBdr>
        <w:top w:val="none" w:sz="0" w:space="0" w:color="auto"/>
        <w:left w:val="none" w:sz="0" w:space="0" w:color="auto"/>
        <w:bottom w:val="none" w:sz="0" w:space="0" w:color="auto"/>
        <w:right w:val="none" w:sz="0" w:space="0" w:color="auto"/>
      </w:divBdr>
    </w:div>
    <w:div w:id="229469010">
      <w:bodyDiv w:val="1"/>
      <w:marLeft w:val="0"/>
      <w:marRight w:val="0"/>
      <w:marTop w:val="0"/>
      <w:marBottom w:val="0"/>
      <w:divBdr>
        <w:top w:val="none" w:sz="0" w:space="0" w:color="auto"/>
        <w:left w:val="none" w:sz="0" w:space="0" w:color="auto"/>
        <w:bottom w:val="none" w:sz="0" w:space="0" w:color="auto"/>
        <w:right w:val="none" w:sz="0" w:space="0" w:color="auto"/>
      </w:divBdr>
    </w:div>
    <w:div w:id="248389204">
      <w:bodyDiv w:val="1"/>
      <w:marLeft w:val="0"/>
      <w:marRight w:val="0"/>
      <w:marTop w:val="0"/>
      <w:marBottom w:val="0"/>
      <w:divBdr>
        <w:top w:val="none" w:sz="0" w:space="0" w:color="auto"/>
        <w:left w:val="none" w:sz="0" w:space="0" w:color="auto"/>
        <w:bottom w:val="none" w:sz="0" w:space="0" w:color="auto"/>
        <w:right w:val="none" w:sz="0" w:space="0" w:color="auto"/>
      </w:divBdr>
      <w:divsChild>
        <w:div w:id="201987338">
          <w:marLeft w:val="274"/>
          <w:marRight w:val="0"/>
          <w:marTop w:val="120"/>
          <w:marBottom w:val="0"/>
          <w:divBdr>
            <w:top w:val="none" w:sz="0" w:space="0" w:color="auto"/>
            <w:left w:val="none" w:sz="0" w:space="0" w:color="auto"/>
            <w:bottom w:val="none" w:sz="0" w:space="0" w:color="auto"/>
            <w:right w:val="none" w:sz="0" w:space="0" w:color="auto"/>
          </w:divBdr>
        </w:div>
        <w:div w:id="286668862">
          <w:marLeft w:val="274"/>
          <w:marRight w:val="0"/>
          <w:marTop w:val="120"/>
          <w:marBottom w:val="0"/>
          <w:divBdr>
            <w:top w:val="none" w:sz="0" w:space="0" w:color="auto"/>
            <w:left w:val="none" w:sz="0" w:space="0" w:color="auto"/>
            <w:bottom w:val="none" w:sz="0" w:space="0" w:color="auto"/>
            <w:right w:val="none" w:sz="0" w:space="0" w:color="auto"/>
          </w:divBdr>
        </w:div>
        <w:div w:id="584993986">
          <w:marLeft w:val="274"/>
          <w:marRight w:val="0"/>
          <w:marTop w:val="120"/>
          <w:marBottom w:val="0"/>
          <w:divBdr>
            <w:top w:val="none" w:sz="0" w:space="0" w:color="auto"/>
            <w:left w:val="none" w:sz="0" w:space="0" w:color="auto"/>
            <w:bottom w:val="none" w:sz="0" w:space="0" w:color="auto"/>
            <w:right w:val="none" w:sz="0" w:space="0" w:color="auto"/>
          </w:divBdr>
        </w:div>
        <w:div w:id="585187528">
          <w:marLeft w:val="274"/>
          <w:marRight w:val="0"/>
          <w:marTop w:val="120"/>
          <w:marBottom w:val="0"/>
          <w:divBdr>
            <w:top w:val="none" w:sz="0" w:space="0" w:color="auto"/>
            <w:left w:val="none" w:sz="0" w:space="0" w:color="auto"/>
            <w:bottom w:val="none" w:sz="0" w:space="0" w:color="auto"/>
            <w:right w:val="none" w:sz="0" w:space="0" w:color="auto"/>
          </w:divBdr>
        </w:div>
        <w:div w:id="837379927">
          <w:marLeft w:val="274"/>
          <w:marRight w:val="0"/>
          <w:marTop w:val="120"/>
          <w:marBottom w:val="0"/>
          <w:divBdr>
            <w:top w:val="none" w:sz="0" w:space="0" w:color="auto"/>
            <w:left w:val="none" w:sz="0" w:space="0" w:color="auto"/>
            <w:bottom w:val="none" w:sz="0" w:space="0" w:color="auto"/>
            <w:right w:val="none" w:sz="0" w:space="0" w:color="auto"/>
          </w:divBdr>
        </w:div>
        <w:div w:id="981346018">
          <w:marLeft w:val="274"/>
          <w:marRight w:val="0"/>
          <w:marTop w:val="120"/>
          <w:marBottom w:val="0"/>
          <w:divBdr>
            <w:top w:val="none" w:sz="0" w:space="0" w:color="auto"/>
            <w:left w:val="none" w:sz="0" w:space="0" w:color="auto"/>
            <w:bottom w:val="none" w:sz="0" w:space="0" w:color="auto"/>
            <w:right w:val="none" w:sz="0" w:space="0" w:color="auto"/>
          </w:divBdr>
        </w:div>
        <w:div w:id="1162047383">
          <w:marLeft w:val="274"/>
          <w:marRight w:val="0"/>
          <w:marTop w:val="120"/>
          <w:marBottom w:val="0"/>
          <w:divBdr>
            <w:top w:val="none" w:sz="0" w:space="0" w:color="auto"/>
            <w:left w:val="none" w:sz="0" w:space="0" w:color="auto"/>
            <w:bottom w:val="none" w:sz="0" w:space="0" w:color="auto"/>
            <w:right w:val="none" w:sz="0" w:space="0" w:color="auto"/>
          </w:divBdr>
        </w:div>
        <w:div w:id="1244100021">
          <w:marLeft w:val="274"/>
          <w:marRight w:val="0"/>
          <w:marTop w:val="120"/>
          <w:marBottom w:val="0"/>
          <w:divBdr>
            <w:top w:val="none" w:sz="0" w:space="0" w:color="auto"/>
            <w:left w:val="none" w:sz="0" w:space="0" w:color="auto"/>
            <w:bottom w:val="none" w:sz="0" w:space="0" w:color="auto"/>
            <w:right w:val="none" w:sz="0" w:space="0" w:color="auto"/>
          </w:divBdr>
        </w:div>
        <w:div w:id="1320187392">
          <w:marLeft w:val="274"/>
          <w:marRight w:val="0"/>
          <w:marTop w:val="120"/>
          <w:marBottom w:val="0"/>
          <w:divBdr>
            <w:top w:val="none" w:sz="0" w:space="0" w:color="auto"/>
            <w:left w:val="none" w:sz="0" w:space="0" w:color="auto"/>
            <w:bottom w:val="none" w:sz="0" w:space="0" w:color="auto"/>
            <w:right w:val="none" w:sz="0" w:space="0" w:color="auto"/>
          </w:divBdr>
        </w:div>
        <w:div w:id="1532307054">
          <w:marLeft w:val="274"/>
          <w:marRight w:val="0"/>
          <w:marTop w:val="120"/>
          <w:marBottom w:val="0"/>
          <w:divBdr>
            <w:top w:val="none" w:sz="0" w:space="0" w:color="auto"/>
            <w:left w:val="none" w:sz="0" w:space="0" w:color="auto"/>
            <w:bottom w:val="none" w:sz="0" w:space="0" w:color="auto"/>
            <w:right w:val="none" w:sz="0" w:space="0" w:color="auto"/>
          </w:divBdr>
        </w:div>
        <w:div w:id="1931422924">
          <w:marLeft w:val="274"/>
          <w:marRight w:val="0"/>
          <w:marTop w:val="120"/>
          <w:marBottom w:val="0"/>
          <w:divBdr>
            <w:top w:val="none" w:sz="0" w:space="0" w:color="auto"/>
            <w:left w:val="none" w:sz="0" w:space="0" w:color="auto"/>
            <w:bottom w:val="none" w:sz="0" w:space="0" w:color="auto"/>
            <w:right w:val="none" w:sz="0" w:space="0" w:color="auto"/>
          </w:divBdr>
        </w:div>
        <w:div w:id="2039351361">
          <w:marLeft w:val="274"/>
          <w:marRight w:val="0"/>
          <w:marTop w:val="120"/>
          <w:marBottom w:val="0"/>
          <w:divBdr>
            <w:top w:val="none" w:sz="0" w:space="0" w:color="auto"/>
            <w:left w:val="none" w:sz="0" w:space="0" w:color="auto"/>
            <w:bottom w:val="none" w:sz="0" w:space="0" w:color="auto"/>
            <w:right w:val="none" w:sz="0" w:space="0" w:color="auto"/>
          </w:divBdr>
        </w:div>
      </w:divsChild>
    </w:div>
    <w:div w:id="277376587">
      <w:bodyDiv w:val="1"/>
      <w:marLeft w:val="0"/>
      <w:marRight w:val="0"/>
      <w:marTop w:val="0"/>
      <w:marBottom w:val="0"/>
      <w:divBdr>
        <w:top w:val="none" w:sz="0" w:space="0" w:color="auto"/>
        <w:left w:val="none" w:sz="0" w:space="0" w:color="auto"/>
        <w:bottom w:val="none" w:sz="0" w:space="0" w:color="auto"/>
        <w:right w:val="none" w:sz="0" w:space="0" w:color="auto"/>
      </w:divBdr>
    </w:div>
    <w:div w:id="304507780">
      <w:bodyDiv w:val="1"/>
      <w:marLeft w:val="0"/>
      <w:marRight w:val="0"/>
      <w:marTop w:val="0"/>
      <w:marBottom w:val="0"/>
      <w:divBdr>
        <w:top w:val="none" w:sz="0" w:space="0" w:color="auto"/>
        <w:left w:val="none" w:sz="0" w:space="0" w:color="auto"/>
        <w:bottom w:val="none" w:sz="0" w:space="0" w:color="auto"/>
        <w:right w:val="none" w:sz="0" w:space="0" w:color="auto"/>
      </w:divBdr>
    </w:div>
    <w:div w:id="334963713">
      <w:bodyDiv w:val="1"/>
      <w:marLeft w:val="0"/>
      <w:marRight w:val="0"/>
      <w:marTop w:val="0"/>
      <w:marBottom w:val="0"/>
      <w:divBdr>
        <w:top w:val="none" w:sz="0" w:space="0" w:color="auto"/>
        <w:left w:val="none" w:sz="0" w:space="0" w:color="auto"/>
        <w:bottom w:val="none" w:sz="0" w:space="0" w:color="auto"/>
        <w:right w:val="none" w:sz="0" w:space="0" w:color="auto"/>
      </w:divBdr>
    </w:div>
    <w:div w:id="398752829">
      <w:bodyDiv w:val="1"/>
      <w:marLeft w:val="0"/>
      <w:marRight w:val="0"/>
      <w:marTop w:val="0"/>
      <w:marBottom w:val="0"/>
      <w:divBdr>
        <w:top w:val="none" w:sz="0" w:space="0" w:color="auto"/>
        <w:left w:val="none" w:sz="0" w:space="0" w:color="auto"/>
        <w:bottom w:val="none" w:sz="0" w:space="0" w:color="auto"/>
        <w:right w:val="none" w:sz="0" w:space="0" w:color="auto"/>
      </w:divBdr>
    </w:div>
    <w:div w:id="440228894">
      <w:bodyDiv w:val="1"/>
      <w:marLeft w:val="0"/>
      <w:marRight w:val="0"/>
      <w:marTop w:val="0"/>
      <w:marBottom w:val="0"/>
      <w:divBdr>
        <w:top w:val="none" w:sz="0" w:space="0" w:color="auto"/>
        <w:left w:val="none" w:sz="0" w:space="0" w:color="auto"/>
        <w:bottom w:val="none" w:sz="0" w:space="0" w:color="auto"/>
        <w:right w:val="none" w:sz="0" w:space="0" w:color="auto"/>
      </w:divBdr>
    </w:div>
    <w:div w:id="455178486">
      <w:bodyDiv w:val="1"/>
      <w:marLeft w:val="0"/>
      <w:marRight w:val="0"/>
      <w:marTop w:val="0"/>
      <w:marBottom w:val="0"/>
      <w:divBdr>
        <w:top w:val="none" w:sz="0" w:space="0" w:color="auto"/>
        <w:left w:val="none" w:sz="0" w:space="0" w:color="auto"/>
        <w:bottom w:val="none" w:sz="0" w:space="0" w:color="auto"/>
        <w:right w:val="none" w:sz="0" w:space="0" w:color="auto"/>
      </w:divBdr>
    </w:div>
    <w:div w:id="470248920">
      <w:bodyDiv w:val="1"/>
      <w:marLeft w:val="0"/>
      <w:marRight w:val="0"/>
      <w:marTop w:val="0"/>
      <w:marBottom w:val="0"/>
      <w:divBdr>
        <w:top w:val="none" w:sz="0" w:space="0" w:color="auto"/>
        <w:left w:val="none" w:sz="0" w:space="0" w:color="auto"/>
        <w:bottom w:val="none" w:sz="0" w:space="0" w:color="auto"/>
        <w:right w:val="none" w:sz="0" w:space="0" w:color="auto"/>
      </w:divBdr>
    </w:div>
    <w:div w:id="492600937">
      <w:bodyDiv w:val="1"/>
      <w:marLeft w:val="0"/>
      <w:marRight w:val="0"/>
      <w:marTop w:val="0"/>
      <w:marBottom w:val="0"/>
      <w:divBdr>
        <w:top w:val="none" w:sz="0" w:space="0" w:color="auto"/>
        <w:left w:val="none" w:sz="0" w:space="0" w:color="auto"/>
        <w:bottom w:val="none" w:sz="0" w:space="0" w:color="auto"/>
        <w:right w:val="none" w:sz="0" w:space="0" w:color="auto"/>
      </w:divBdr>
    </w:div>
    <w:div w:id="502819571">
      <w:bodyDiv w:val="1"/>
      <w:marLeft w:val="0"/>
      <w:marRight w:val="0"/>
      <w:marTop w:val="0"/>
      <w:marBottom w:val="0"/>
      <w:divBdr>
        <w:top w:val="none" w:sz="0" w:space="0" w:color="auto"/>
        <w:left w:val="none" w:sz="0" w:space="0" w:color="auto"/>
        <w:bottom w:val="none" w:sz="0" w:space="0" w:color="auto"/>
        <w:right w:val="none" w:sz="0" w:space="0" w:color="auto"/>
      </w:divBdr>
    </w:div>
    <w:div w:id="506217740">
      <w:bodyDiv w:val="1"/>
      <w:marLeft w:val="0"/>
      <w:marRight w:val="0"/>
      <w:marTop w:val="0"/>
      <w:marBottom w:val="0"/>
      <w:divBdr>
        <w:top w:val="none" w:sz="0" w:space="0" w:color="auto"/>
        <w:left w:val="none" w:sz="0" w:space="0" w:color="auto"/>
        <w:bottom w:val="none" w:sz="0" w:space="0" w:color="auto"/>
        <w:right w:val="none" w:sz="0" w:space="0" w:color="auto"/>
      </w:divBdr>
    </w:div>
    <w:div w:id="537743269">
      <w:bodyDiv w:val="1"/>
      <w:marLeft w:val="0"/>
      <w:marRight w:val="0"/>
      <w:marTop w:val="0"/>
      <w:marBottom w:val="0"/>
      <w:divBdr>
        <w:top w:val="none" w:sz="0" w:space="0" w:color="auto"/>
        <w:left w:val="none" w:sz="0" w:space="0" w:color="auto"/>
        <w:bottom w:val="none" w:sz="0" w:space="0" w:color="auto"/>
        <w:right w:val="none" w:sz="0" w:space="0" w:color="auto"/>
      </w:divBdr>
    </w:div>
    <w:div w:id="543174424">
      <w:bodyDiv w:val="1"/>
      <w:marLeft w:val="0"/>
      <w:marRight w:val="0"/>
      <w:marTop w:val="0"/>
      <w:marBottom w:val="0"/>
      <w:divBdr>
        <w:top w:val="none" w:sz="0" w:space="0" w:color="auto"/>
        <w:left w:val="none" w:sz="0" w:space="0" w:color="auto"/>
        <w:bottom w:val="none" w:sz="0" w:space="0" w:color="auto"/>
        <w:right w:val="none" w:sz="0" w:space="0" w:color="auto"/>
      </w:divBdr>
    </w:div>
    <w:div w:id="618221351">
      <w:bodyDiv w:val="1"/>
      <w:marLeft w:val="0"/>
      <w:marRight w:val="0"/>
      <w:marTop w:val="0"/>
      <w:marBottom w:val="0"/>
      <w:divBdr>
        <w:top w:val="none" w:sz="0" w:space="0" w:color="auto"/>
        <w:left w:val="none" w:sz="0" w:space="0" w:color="auto"/>
        <w:bottom w:val="none" w:sz="0" w:space="0" w:color="auto"/>
        <w:right w:val="none" w:sz="0" w:space="0" w:color="auto"/>
      </w:divBdr>
      <w:divsChild>
        <w:div w:id="1721897989">
          <w:marLeft w:val="1296"/>
          <w:marRight w:val="0"/>
          <w:marTop w:val="240"/>
          <w:marBottom w:val="0"/>
          <w:divBdr>
            <w:top w:val="none" w:sz="0" w:space="0" w:color="auto"/>
            <w:left w:val="none" w:sz="0" w:space="0" w:color="auto"/>
            <w:bottom w:val="none" w:sz="0" w:space="0" w:color="auto"/>
            <w:right w:val="none" w:sz="0" w:space="0" w:color="auto"/>
          </w:divBdr>
        </w:div>
      </w:divsChild>
    </w:div>
    <w:div w:id="643894628">
      <w:bodyDiv w:val="1"/>
      <w:marLeft w:val="0"/>
      <w:marRight w:val="0"/>
      <w:marTop w:val="0"/>
      <w:marBottom w:val="0"/>
      <w:divBdr>
        <w:top w:val="none" w:sz="0" w:space="0" w:color="auto"/>
        <w:left w:val="none" w:sz="0" w:space="0" w:color="auto"/>
        <w:bottom w:val="none" w:sz="0" w:space="0" w:color="auto"/>
        <w:right w:val="none" w:sz="0" w:space="0" w:color="auto"/>
      </w:divBdr>
    </w:div>
    <w:div w:id="677465310">
      <w:bodyDiv w:val="1"/>
      <w:marLeft w:val="0"/>
      <w:marRight w:val="0"/>
      <w:marTop w:val="0"/>
      <w:marBottom w:val="0"/>
      <w:divBdr>
        <w:top w:val="none" w:sz="0" w:space="0" w:color="auto"/>
        <w:left w:val="none" w:sz="0" w:space="0" w:color="auto"/>
        <w:bottom w:val="none" w:sz="0" w:space="0" w:color="auto"/>
        <w:right w:val="none" w:sz="0" w:space="0" w:color="auto"/>
      </w:divBdr>
    </w:div>
    <w:div w:id="678896775">
      <w:bodyDiv w:val="1"/>
      <w:marLeft w:val="0"/>
      <w:marRight w:val="0"/>
      <w:marTop w:val="0"/>
      <w:marBottom w:val="0"/>
      <w:divBdr>
        <w:top w:val="none" w:sz="0" w:space="0" w:color="auto"/>
        <w:left w:val="none" w:sz="0" w:space="0" w:color="auto"/>
        <w:bottom w:val="none" w:sz="0" w:space="0" w:color="auto"/>
        <w:right w:val="none" w:sz="0" w:space="0" w:color="auto"/>
      </w:divBdr>
    </w:div>
    <w:div w:id="705519608">
      <w:bodyDiv w:val="1"/>
      <w:marLeft w:val="0"/>
      <w:marRight w:val="0"/>
      <w:marTop w:val="0"/>
      <w:marBottom w:val="0"/>
      <w:divBdr>
        <w:top w:val="none" w:sz="0" w:space="0" w:color="auto"/>
        <w:left w:val="none" w:sz="0" w:space="0" w:color="auto"/>
        <w:bottom w:val="none" w:sz="0" w:space="0" w:color="auto"/>
        <w:right w:val="none" w:sz="0" w:space="0" w:color="auto"/>
      </w:divBdr>
    </w:div>
    <w:div w:id="760024373">
      <w:bodyDiv w:val="1"/>
      <w:marLeft w:val="0"/>
      <w:marRight w:val="0"/>
      <w:marTop w:val="0"/>
      <w:marBottom w:val="0"/>
      <w:divBdr>
        <w:top w:val="none" w:sz="0" w:space="0" w:color="auto"/>
        <w:left w:val="none" w:sz="0" w:space="0" w:color="auto"/>
        <w:bottom w:val="none" w:sz="0" w:space="0" w:color="auto"/>
        <w:right w:val="none" w:sz="0" w:space="0" w:color="auto"/>
      </w:divBdr>
    </w:div>
    <w:div w:id="768350489">
      <w:bodyDiv w:val="1"/>
      <w:marLeft w:val="0"/>
      <w:marRight w:val="0"/>
      <w:marTop w:val="0"/>
      <w:marBottom w:val="0"/>
      <w:divBdr>
        <w:top w:val="none" w:sz="0" w:space="0" w:color="auto"/>
        <w:left w:val="none" w:sz="0" w:space="0" w:color="auto"/>
        <w:bottom w:val="none" w:sz="0" w:space="0" w:color="auto"/>
        <w:right w:val="none" w:sz="0" w:space="0" w:color="auto"/>
      </w:divBdr>
    </w:div>
    <w:div w:id="776676827">
      <w:bodyDiv w:val="1"/>
      <w:marLeft w:val="0"/>
      <w:marRight w:val="0"/>
      <w:marTop w:val="0"/>
      <w:marBottom w:val="0"/>
      <w:divBdr>
        <w:top w:val="none" w:sz="0" w:space="0" w:color="auto"/>
        <w:left w:val="none" w:sz="0" w:space="0" w:color="auto"/>
        <w:bottom w:val="none" w:sz="0" w:space="0" w:color="auto"/>
        <w:right w:val="none" w:sz="0" w:space="0" w:color="auto"/>
      </w:divBdr>
    </w:div>
    <w:div w:id="801119813">
      <w:bodyDiv w:val="1"/>
      <w:marLeft w:val="0"/>
      <w:marRight w:val="0"/>
      <w:marTop w:val="0"/>
      <w:marBottom w:val="0"/>
      <w:divBdr>
        <w:top w:val="none" w:sz="0" w:space="0" w:color="auto"/>
        <w:left w:val="none" w:sz="0" w:space="0" w:color="auto"/>
        <w:bottom w:val="none" w:sz="0" w:space="0" w:color="auto"/>
        <w:right w:val="none" w:sz="0" w:space="0" w:color="auto"/>
      </w:divBdr>
    </w:div>
    <w:div w:id="820079039">
      <w:bodyDiv w:val="1"/>
      <w:marLeft w:val="0"/>
      <w:marRight w:val="0"/>
      <w:marTop w:val="0"/>
      <w:marBottom w:val="0"/>
      <w:divBdr>
        <w:top w:val="none" w:sz="0" w:space="0" w:color="auto"/>
        <w:left w:val="none" w:sz="0" w:space="0" w:color="auto"/>
        <w:bottom w:val="none" w:sz="0" w:space="0" w:color="auto"/>
        <w:right w:val="none" w:sz="0" w:space="0" w:color="auto"/>
      </w:divBdr>
    </w:div>
    <w:div w:id="859126995">
      <w:bodyDiv w:val="1"/>
      <w:marLeft w:val="0"/>
      <w:marRight w:val="0"/>
      <w:marTop w:val="0"/>
      <w:marBottom w:val="0"/>
      <w:divBdr>
        <w:top w:val="none" w:sz="0" w:space="0" w:color="auto"/>
        <w:left w:val="none" w:sz="0" w:space="0" w:color="auto"/>
        <w:bottom w:val="none" w:sz="0" w:space="0" w:color="auto"/>
        <w:right w:val="none" w:sz="0" w:space="0" w:color="auto"/>
      </w:divBdr>
    </w:div>
    <w:div w:id="865485428">
      <w:bodyDiv w:val="1"/>
      <w:marLeft w:val="0"/>
      <w:marRight w:val="0"/>
      <w:marTop w:val="0"/>
      <w:marBottom w:val="0"/>
      <w:divBdr>
        <w:top w:val="none" w:sz="0" w:space="0" w:color="auto"/>
        <w:left w:val="none" w:sz="0" w:space="0" w:color="auto"/>
        <w:bottom w:val="none" w:sz="0" w:space="0" w:color="auto"/>
        <w:right w:val="none" w:sz="0" w:space="0" w:color="auto"/>
      </w:divBdr>
    </w:div>
    <w:div w:id="875584344">
      <w:bodyDiv w:val="1"/>
      <w:marLeft w:val="0"/>
      <w:marRight w:val="0"/>
      <w:marTop w:val="0"/>
      <w:marBottom w:val="0"/>
      <w:divBdr>
        <w:top w:val="none" w:sz="0" w:space="0" w:color="auto"/>
        <w:left w:val="none" w:sz="0" w:space="0" w:color="auto"/>
        <w:bottom w:val="none" w:sz="0" w:space="0" w:color="auto"/>
        <w:right w:val="none" w:sz="0" w:space="0" w:color="auto"/>
      </w:divBdr>
    </w:div>
    <w:div w:id="926115052">
      <w:bodyDiv w:val="1"/>
      <w:marLeft w:val="0"/>
      <w:marRight w:val="0"/>
      <w:marTop w:val="0"/>
      <w:marBottom w:val="0"/>
      <w:divBdr>
        <w:top w:val="none" w:sz="0" w:space="0" w:color="auto"/>
        <w:left w:val="none" w:sz="0" w:space="0" w:color="auto"/>
        <w:bottom w:val="none" w:sz="0" w:space="0" w:color="auto"/>
        <w:right w:val="none" w:sz="0" w:space="0" w:color="auto"/>
      </w:divBdr>
    </w:div>
    <w:div w:id="1065764746">
      <w:bodyDiv w:val="1"/>
      <w:marLeft w:val="0"/>
      <w:marRight w:val="0"/>
      <w:marTop w:val="0"/>
      <w:marBottom w:val="0"/>
      <w:divBdr>
        <w:top w:val="none" w:sz="0" w:space="0" w:color="auto"/>
        <w:left w:val="none" w:sz="0" w:space="0" w:color="auto"/>
        <w:bottom w:val="none" w:sz="0" w:space="0" w:color="auto"/>
        <w:right w:val="none" w:sz="0" w:space="0" w:color="auto"/>
      </w:divBdr>
    </w:div>
    <w:div w:id="1086852276">
      <w:bodyDiv w:val="1"/>
      <w:marLeft w:val="0"/>
      <w:marRight w:val="0"/>
      <w:marTop w:val="0"/>
      <w:marBottom w:val="0"/>
      <w:divBdr>
        <w:top w:val="none" w:sz="0" w:space="0" w:color="auto"/>
        <w:left w:val="none" w:sz="0" w:space="0" w:color="auto"/>
        <w:bottom w:val="none" w:sz="0" w:space="0" w:color="auto"/>
        <w:right w:val="none" w:sz="0" w:space="0" w:color="auto"/>
      </w:divBdr>
    </w:div>
    <w:div w:id="1089816146">
      <w:bodyDiv w:val="1"/>
      <w:marLeft w:val="0"/>
      <w:marRight w:val="0"/>
      <w:marTop w:val="0"/>
      <w:marBottom w:val="0"/>
      <w:divBdr>
        <w:top w:val="none" w:sz="0" w:space="0" w:color="auto"/>
        <w:left w:val="none" w:sz="0" w:space="0" w:color="auto"/>
        <w:bottom w:val="none" w:sz="0" w:space="0" w:color="auto"/>
        <w:right w:val="none" w:sz="0" w:space="0" w:color="auto"/>
      </w:divBdr>
    </w:div>
    <w:div w:id="1106541221">
      <w:bodyDiv w:val="1"/>
      <w:marLeft w:val="0"/>
      <w:marRight w:val="0"/>
      <w:marTop w:val="0"/>
      <w:marBottom w:val="0"/>
      <w:divBdr>
        <w:top w:val="none" w:sz="0" w:space="0" w:color="auto"/>
        <w:left w:val="none" w:sz="0" w:space="0" w:color="auto"/>
        <w:bottom w:val="none" w:sz="0" w:space="0" w:color="auto"/>
        <w:right w:val="none" w:sz="0" w:space="0" w:color="auto"/>
      </w:divBdr>
    </w:div>
    <w:div w:id="1127626221">
      <w:bodyDiv w:val="1"/>
      <w:marLeft w:val="0"/>
      <w:marRight w:val="0"/>
      <w:marTop w:val="0"/>
      <w:marBottom w:val="0"/>
      <w:divBdr>
        <w:top w:val="none" w:sz="0" w:space="0" w:color="auto"/>
        <w:left w:val="none" w:sz="0" w:space="0" w:color="auto"/>
        <w:bottom w:val="none" w:sz="0" w:space="0" w:color="auto"/>
        <w:right w:val="none" w:sz="0" w:space="0" w:color="auto"/>
      </w:divBdr>
    </w:div>
    <w:div w:id="1155225375">
      <w:bodyDiv w:val="1"/>
      <w:marLeft w:val="0"/>
      <w:marRight w:val="0"/>
      <w:marTop w:val="0"/>
      <w:marBottom w:val="0"/>
      <w:divBdr>
        <w:top w:val="none" w:sz="0" w:space="0" w:color="auto"/>
        <w:left w:val="none" w:sz="0" w:space="0" w:color="auto"/>
        <w:bottom w:val="none" w:sz="0" w:space="0" w:color="auto"/>
        <w:right w:val="none" w:sz="0" w:space="0" w:color="auto"/>
      </w:divBdr>
    </w:div>
    <w:div w:id="1166899109">
      <w:bodyDiv w:val="1"/>
      <w:marLeft w:val="0"/>
      <w:marRight w:val="0"/>
      <w:marTop w:val="0"/>
      <w:marBottom w:val="0"/>
      <w:divBdr>
        <w:top w:val="none" w:sz="0" w:space="0" w:color="auto"/>
        <w:left w:val="none" w:sz="0" w:space="0" w:color="auto"/>
        <w:bottom w:val="none" w:sz="0" w:space="0" w:color="auto"/>
        <w:right w:val="none" w:sz="0" w:space="0" w:color="auto"/>
      </w:divBdr>
    </w:div>
    <w:div w:id="1167405000">
      <w:bodyDiv w:val="1"/>
      <w:marLeft w:val="0"/>
      <w:marRight w:val="0"/>
      <w:marTop w:val="0"/>
      <w:marBottom w:val="0"/>
      <w:divBdr>
        <w:top w:val="none" w:sz="0" w:space="0" w:color="auto"/>
        <w:left w:val="none" w:sz="0" w:space="0" w:color="auto"/>
        <w:bottom w:val="none" w:sz="0" w:space="0" w:color="auto"/>
        <w:right w:val="none" w:sz="0" w:space="0" w:color="auto"/>
      </w:divBdr>
    </w:div>
    <w:div w:id="1223640330">
      <w:bodyDiv w:val="1"/>
      <w:marLeft w:val="0"/>
      <w:marRight w:val="0"/>
      <w:marTop w:val="0"/>
      <w:marBottom w:val="0"/>
      <w:divBdr>
        <w:top w:val="none" w:sz="0" w:space="0" w:color="auto"/>
        <w:left w:val="none" w:sz="0" w:space="0" w:color="auto"/>
        <w:bottom w:val="none" w:sz="0" w:space="0" w:color="auto"/>
        <w:right w:val="none" w:sz="0" w:space="0" w:color="auto"/>
      </w:divBdr>
    </w:div>
    <w:div w:id="1229533280">
      <w:bodyDiv w:val="1"/>
      <w:marLeft w:val="0"/>
      <w:marRight w:val="0"/>
      <w:marTop w:val="0"/>
      <w:marBottom w:val="0"/>
      <w:divBdr>
        <w:top w:val="none" w:sz="0" w:space="0" w:color="auto"/>
        <w:left w:val="none" w:sz="0" w:space="0" w:color="auto"/>
        <w:bottom w:val="none" w:sz="0" w:space="0" w:color="auto"/>
        <w:right w:val="none" w:sz="0" w:space="0" w:color="auto"/>
      </w:divBdr>
    </w:div>
    <w:div w:id="1239437923">
      <w:bodyDiv w:val="1"/>
      <w:marLeft w:val="0"/>
      <w:marRight w:val="0"/>
      <w:marTop w:val="0"/>
      <w:marBottom w:val="0"/>
      <w:divBdr>
        <w:top w:val="none" w:sz="0" w:space="0" w:color="auto"/>
        <w:left w:val="none" w:sz="0" w:space="0" w:color="auto"/>
        <w:bottom w:val="none" w:sz="0" w:space="0" w:color="auto"/>
        <w:right w:val="none" w:sz="0" w:space="0" w:color="auto"/>
      </w:divBdr>
    </w:div>
    <w:div w:id="1251886128">
      <w:bodyDiv w:val="1"/>
      <w:marLeft w:val="0"/>
      <w:marRight w:val="0"/>
      <w:marTop w:val="0"/>
      <w:marBottom w:val="0"/>
      <w:divBdr>
        <w:top w:val="none" w:sz="0" w:space="0" w:color="auto"/>
        <w:left w:val="none" w:sz="0" w:space="0" w:color="auto"/>
        <w:bottom w:val="none" w:sz="0" w:space="0" w:color="auto"/>
        <w:right w:val="none" w:sz="0" w:space="0" w:color="auto"/>
      </w:divBdr>
    </w:div>
    <w:div w:id="1262224738">
      <w:bodyDiv w:val="1"/>
      <w:marLeft w:val="0"/>
      <w:marRight w:val="0"/>
      <w:marTop w:val="0"/>
      <w:marBottom w:val="0"/>
      <w:divBdr>
        <w:top w:val="none" w:sz="0" w:space="0" w:color="auto"/>
        <w:left w:val="none" w:sz="0" w:space="0" w:color="auto"/>
        <w:bottom w:val="none" w:sz="0" w:space="0" w:color="auto"/>
        <w:right w:val="none" w:sz="0" w:space="0" w:color="auto"/>
      </w:divBdr>
    </w:div>
    <w:div w:id="1262756514">
      <w:bodyDiv w:val="1"/>
      <w:marLeft w:val="0"/>
      <w:marRight w:val="0"/>
      <w:marTop w:val="0"/>
      <w:marBottom w:val="0"/>
      <w:divBdr>
        <w:top w:val="none" w:sz="0" w:space="0" w:color="auto"/>
        <w:left w:val="none" w:sz="0" w:space="0" w:color="auto"/>
        <w:bottom w:val="none" w:sz="0" w:space="0" w:color="auto"/>
        <w:right w:val="none" w:sz="0" w:space="0" w:color="auto"/>
      </w:divBdr>
    </w:div>
    <w:div w:id="1265530080">
      <w:bodyDiv w:val="1"/>
      <w:marLeft w:val="0"/>
      <w:marRight w:val="0"/>
      <w:marTop w:val="0"/>
      <w:marBottom w:val="0"/>
      <w:divBdr>
        <w:top w:val="none" w:sz="0" w:space="0" w:color="auto"/>
        <w:left w:val="none" w:sz="0" w:space="0" w:color="auto"/>
        <w:bottom w:val="none" w:sz="0" w:space="0" w:color="auto"/>
        <w:right w:val="none" w:sz="0" w:space="0" w:color="auto"/>
      </w:divBdr>
    </w:div>
    <w:div w:id="1276521712">
      <w:bodyDiv w:val="1"/>
      <w:marLeft w:val="0"/>
      <w:marRight w:val="0"/>
      <w:marTop w:val="0"/>
      <w:marBottom w:val="0"/>
      <w:divBdr>
        <w:top w:val="none" w:sz="0" w:space="0" w:color="auto"/>
        <w:left w:val="none" w:sz="0" w:space="0" w:color="auto"/>
        <w:bottom w:val="none" w:sz="0" w:space="0" w:color="auto"/>
        <w:right w:val="none" w:sz="0" w:space="0" w:color="auto"/>
      </w:divBdr>
    </w:div>
    <w:div w:id="1343360925">
      <w:bodyDiv w:val="1"/>
      <w:marLeft w:val="0"/>
      <w:marRight w:val="0"/>
      <w:marTop w:val="0"/>
      <w:marBottom w:val="0"/>
      <w:divBdr>
        <w:top w:val="none" w:sz="0" w:space="0" w:color="auto"/>
        <w:left w:val="none" w:sz="0" w:space="0" w:color="auto"/>
        <w:bottom w:val="none" w:sz="0" w:space="0" w:color="auto"/>
        <w:right w:val="none" w:sz="0" w:space="0" w:color="auto"/>
      </w:divBdr>
    </w:div>
    <w:div w:id="1349596788">
      <w:bodyDiv w:val="1"/>
      <w:marLeft w:val="0"/>
      <w:marRight w:val="0"/>
      <w:marTop w:val="0"/>
      <w:marBottom w:val="0"/>
      <w:divBdr>
        <w:top w:val="none" w:sz="0" w:space="0" w:color="auto"/>
        <w:left w:val="none" w:sz="0" w:space="0" w:color="auto"/>
        <w:bottom w:val="none" w:sz="0" w:space="0" w:color="auto"/>
        <w:right w:val="none" w:sz="0" w:space="0" w:color="auto"/>
      </w:divBdr>
    </w:div>
    <w:div w:id="1370837554">
      <w:bodyDiv w:val="1"/>
      <w:marLeft w:val="0"/>
      <w:marRight w:val="0"/>
      <w:marTop w:val="0"/>
      <w:marBottom w:val="0"/>
      <w:divBdr>
        <w:top w:val="none" w:sz="0" w:space="0" w:color="auto"/>
        <w:left w:val="none" w:sz="0" w:space="0" w:color="auto"/>
        <w:bottom w:val="none" w:sz="0" w:space="0" w:color="auto"/>
        <w:right w:val="none" w:sz="0" w:space="0" w:color="auto"/>
      </w:divBdr>
      <w:divsChild>
        <w:div w:id="2022850263">
          <w:marLeft w:val="878"/>
          <w:marRight w:val="0"/>
          <w:marTop w:val="240"/>
          <w:marBottom w:val="0"/>
          <w:divBdr>
            <w:top w:val="none" w:sz="0" w:space="0" w:color="auto"/>
            <w:left w:val="none" w:sz="0" w:space="0" w:color="auto"/>
            <w:bottom w:val="none" w:sz="0" w:space="0" w:color="auto"/>
            <w:right w:val="none" w:sz="0" w:space="0" w:color="auto"/>
          </w:divBdr>
        </w:div>
        <w:div w:id="2134714947">
          <w:marLeft w:val="1296"/>
          <w:marRight w:val="0"/>
          <w:marTop w:val="240"/>
          <w:marBottom w:val="0"/>
          <w:divBdr>
            <w:top w:val="none" w:sz="0" w:space="0" w:color="auto"/>
            <w:left w:val="none" w:sz="0" w:space="0" w:color="auto"/>
            <w:bottom w:val="none" w:sz="0" w:space="0" w:color="auto"/>
            <w:right w:val="none" w:sz="0" w:space="0" w:color="auto"/>
          </w:divBdr>
        </w:div>
      </w:divsChild>
    </w:div>
    <w:div w:id="1398626145">
      <w:bodyDiv w:val="1"/>
      <w:marLeft w:val="0"/>
      <w:marRight w:val="0"/>
      <w:marTop w:val="0"/>
      <w:marBottom w:val="0"/>
      <w:divBdr>
        <w:top w:val="none" w:sz="0" w:space="0" w:color="auto"/>
        <w:left w:val="none" w:sz="0" w:space="0" w:color="auto"/>
        <w:bottom w:val="none" w:sz="0" w:space="0" w:color="auto"/>
        <w:right w:val="none" w:sz="0" w:space="0" w:color="auto"/>
      </w:divBdr>
    </w:div>
    <w:div w:id="1406954864">
      <w:bodyDiv w:val="1"/>
      <w:marLeft w:val="0"/>
      <w:marRight w:val="0"/>
      <w:marTop w:val="0"/>
      <w:marBottom w:val="0"/>
      <w:divBdr>
        <w:top w:val="none" w:sz="0" w:space="0" w:color="auto"/>
        <w:left w:val="none" w:sz="0" w:space="0" w:color="auto"/>
        <w:bottom w:val="none" w:sz="0" w:space="0" w:color="auto"/>
        <w:right w:val="none" w:sz="0" w:space="0" w:color="auto"/>
      </w:divBdr>
    </w:div>
    <w:div w:id="1425102697">
      <w:bodyDiv w:val="1"/>
      <w:marLeft w:val="0"/>
      <w:marRight w:val="0"/>
      <w:marTop w:val="0"/>
      <w:marBottom w:val="0"/>
      <w:divBdr>
        <w:top w:val="none" w:sz="0" w:space="0" w:color="auto"/>
        <w:left w:val="none" w:sz="0" w:space="0" w:color="auto"/>
        <w:bottom w:val="none" w:sz="0" w:space="0" w:color="auto"/>
        <w:right w:val="none" w:sz="0" w:space="0" w:color="auto"/>
      </w:divBdr>
    </w:div>
    <w:div w:id="1425149694">
      <w:bodyDiv w:val="1"/>
      <w:marLeft w:val="0"/>
      <w:marRight w:val="0"/>
      <w:marTop w:val="0"/>
      <w:marBottom w:val="0"/>
      <w:divBdr>
        <w:top w:val="none" w:sz="0" w:space="0" w:color="auto"/>
        <w:left w:val="none" w:sz="0" w:space="0" w:color="auto"/>
        <w:bottom w:val="none" w:sz="0" w:space="0" w:color="auto"/>
        <w:right w:val="none" w:sz="0" w:space="0" w:color="auto"/>
      </w:divBdr>
    </w:div>
    <w:div w:id="1437097951">
      <w:bodyDiv w:val="1"/>
      <w:marLeft w:val="0"/>
      <w:marRight w:val="0"/>
      <w:marTop w:val="0"/>
      <w:marBottom w:val="0"/>
      <w:divBdr>
        <w:top w:val="none" w:sz="0" w:space="0" w:color="auto"/>
        <w:left w:val="none" w:sz="0" w:space="0" w:color="auto"/>
        <w:bottom w:val="none" w:sz="0" w:space="0" w:color="auto"/>
        <w:right w:val="none" w:sz="0" w:space="0" w:color="auto"/>
      </w:divBdr>
    </w:div>
    <w:div w:id="1459570368">
      <w:bodyDiv w:val="1"/>
      <w:marLeft w:val="0"/>
      <w:marRight w:val="0"/>
      <w:marTop w:val="0"/>
      <w:marBottom w:val="0"/>
      <w:divBdr>
        <w:top w:val="none" w:sz="0" w:space="0" w:color="auto"/>
        <w:left w:val="none" w:sz="0" w:space="0" w:color="auto"/>
        <w:bottom w:val="none" w:sz="0" w:space="0" w:color="auto"/>
        <w:right w:val="none" w:sz="0" w:space="0" w:color="auto"/>
      </w:divBdr>
    </w:div>
    <w:div w:id="1491019958">
      <w:bodyDiv w:val="1"/>
      <w:marLeft w:val="0"/>
      <w:marRight w:val="0"/>
      <w:marTop w:val="0"/>
      <w:marBottom w:val="0"/>
      <w:divBdr>
        <w:top w:val="none" w:sz="0" w:space="0" w:color="auto"/>
        <w:left w:val="none" w:sz="0" w:space="0" w:color="auto"/>
        <w:bottom w:val="none" w:sz="0" w:space="0" w:color="auto"/>
        <w:right w:val="none" w:sz="0" w:space="0" w:color="auto"/>
      </w:divBdr>
    </w:div>
    <w:div w:id="1513105982">
      <w:bodyDiv w:val="1"/>
      <w:marLeft w:val="0"/>
      <w:marRight w:val="0"/>
      <w:marTop w:val="0"/>
      <w:marBottom w:val="0"/>
      <w:divBdr>
        <w:top w:val="none" w:sz="0" w:space="0" w:color="auto"/>
        <w:left w:val="none" w:sz="0" w:space="0" w:color="auto"/>
        <w:bottom w:val="none" w:sz="0" w:space="0" w:color="auto"/>
        <w:right w:val="none" w:sz="0" w:space="0" w:color="auto"/>
      </w:divBdr>
    </w:div>
    <w:div w:id="1526358010">
      <w:bodyDiv w:val="1"/>
      <w:marLeft w:val="0"/>
      <w:marRight w:val="0"/>
      <w:marTop w:val="0"/>
      <w:marBottom w:val="0"/>
      <w:divBdr>
        <w:top w:val="none" w:sz="0" w:space="0" w:color="auto"/>
        <w:left w:val="none" w:sz="0" w:space="0" w:color="auto"/>
        <w:bottom w:val="none" w:sz="0" w:space="0" w:color="auto"/>
        <w:right w:val="none" w:sz="0" w:space="0" w:color="auto"/>
      </w:divBdr>
    </w:div>
    <w:div w:id="1551109576">
      <w:bodyDiv w:val="1"/>
      <w:marLeft w:val="0"/>
      <w:marRight w:val="0"/>
      <w:marTop w:val="0"/>
      <w:marBottom w:val="0"/>
      <w:divBdr>
        <w:top w:val="none" w:sz="0" w:space="0" w:color="auto"/>
        <w:left w:val="none" w:sz="0" w:space="0" w:color="auto"/>
        <w:bottom w:val="none" w:sz="0" w:space="0" w:color="auto"/>
        <w:right w:val="none" w:sz="0" w:space="0" w:color="auto"/>
      </w:divBdr>
    </w:div>
    <w:div w:id="1570262660">
      <w:bodyDiv w:val="1"/>
      <w:marLeft w:val="0"/>
      <w:marRight w:val="0"/>
      <w:marTop w:val="0"/>
      <w:marBottom w:val="0"/>
      <w:divBdr>
        <w:top w:val="none" w:sz="0" w:space="0" w:color="auto"/>
        <w:left w:val="none" w:sz="0" w:space="0" w:color="auto"/>
        <w:bottom w:val="none" w:sz="0" w:space="0" w:color="auto"/>
        <w:right w:val="none" w:sz="0" w:space="0" w:color="auto"/>
      </w:divBdr>
    </w:div>
    <w:div w:id="1589928027">
      <w:bodyDiv w:val="1"/>
      <w:marLeft w:val="0"/>
      <w:marRight w:val="0"/>
      <w:marTop w:val="0"/>
      <w:marBottom w:val="0"/>
      <w:divBdr>
        <w:top w:val="none" w:sz="0" w:space="0" w:color="auto"/>
        <w:left w:val="none" w:sz="0" w:space="0" w:color="auto"/>
        <w:bottom w:val="none" w:sz="0" w:space="0" w:color="auto"/>
        <w:right w:val="none" w:sz="0" w:space="0" w:color="auto"/>
      </w:divBdr>
    </w:div>
    <w:div w:id="1604071165">
      <w:bodyDiv w:val="1"/>
      <w:marLeft w:val="0"/>
      <w:marRight w:val="0"/>
      <w:marTop w:val="0"/>
      <w:marBottom w:val="0"/>
      <w:divBdr>
        <w:top w:val="none" w:sz="0" w:space="0" w:color="auto"/>
        <w:left w:val="none" w:sz="0" w:space="0" w:color="auto"/>
        <w:bottom w:val="none" w:sz="0" w:space="0" w:color="auto"/>
        <w:right w:val="none" w:sz="0" w:space="0" w:color="auto"/>
      </w:divBdr>
    </w:div>
    <w:div w:id="1619099362">
      <w:bodyDiv w:val="1"/>
      <w:marLeft w:val="0"/>
      <w:marRight w:val="0"/>
      <w:marTop w:val="0"/>
      <w:marBottom w:val="0"/>
      <w:divBdr>
        <w:top w:val="none" w:sz="0" w:space="0" w:color="auto"/>
        <w:left w:val="none" w:sz="0" w:space="0" w:color="auto"/>
        <w:bottom w:val="none" w:sz="0" w:space="0" w:color="auto"/>
        <w:right w:val="none" w:sz="0" w:space="0" w:color="auto"/>
      </w:divBdr>
    </w:div>
    <w:div w:id="1656832064">
      <w:bodyDiv w:val="1"/>
      <w:marLeft w:val="0"/>
      <w:marRight w:val="0"/>
      <w:marTop w:val="0"/>
      <w:marBottom w:val="0"/>
      <w:divBdr>
        <w:top w:val="none" w:sz="0" w:space="0" w:color="auto"/>
        <w:left w:val="none" w:sz="0" w:space="0" w:color="auto"/>
        <w:bottom w:val="none" w:sz="0" w:space="0" w:color="auto"/>
        <w:right w:val="none" w:sz="0" w:space="0" w:color="auto"/>
      </w:divBdr>
    </w:div>
    <w:div w:id="1758743331">
      <w:bodyDiv w:val="1"/>
      <w:marLeft w:val="0"/>
      <w:marRight w:val="0"/>
      <w:marTop w:val="0"/>
      <w:marBottom w:val="0"/>
      <w:divBdr>
        <w:top w:val="none" w:sz="0" w:space="0" w:color="auto"/>
        <w:left w:val="none" w:sz="0" w:space="0" w:color="auto"/>
        <w:bottom w:val="none" w:sz="0" w:space="0" w:color="auto"/>
        <w:right w:val="none" w:sz="0" w:space="0" w:color="auto"/>
      </w:divBdr>
    </w:div>
    <w:div w:id="1775593754">
      <w:bodyDiv w:val="1"/>
      <w:marLeft w:val="0"/>
      <w:marRight w:val="0"/>
      <w:marTop w:val="0"/>
      <w:marBottom w:val="0"/>
      <w:divBdr>
        <w:top w:val="none" w:sz="0" w:space="0" w:color="auto"/>
        <w:left w:val="none" w:sz="0" w:space="0" w:color="auto"/>
        <w:bottom w:val="none" w:sz="0" w:space="0" w:color="auto"/>
        <w:right w:val="none" w:sz="0" w:space="0" w:color="auto"/>
      </w:divBdr>
    </w:div>
    <w:div w:id="1787193558">
      <w:bodyDiv w:val="1"/>
      <w:marLeft w:val="0"/>
      <w:marRight w:val="0"/>
      <w:marTop w:val="0"/>
      <w:marBottom w:val="0"/>
      <w:divBdr>
        <w:top w:val="none" w:sz="0" w:space="0" w:color="auto"/>
        <w:left w:val="none" w:sz="0" w:space="0" w:color="auto"/>
        <w:bottom w:val="none" w:sz="0" w:space="0" w:color="auto"/>
        <w:right w:val="none" w:sz="0" w:space="0" w:color="auto"/>
      </w:divBdr>
    </w:div>
    <w:div w:id="1801805725">
      <w:bodyDiv w:val="1"/>
      <w:marLeft w:val="0"/>
      <w:marRight w:val="0"/>
      <w:marTop w:val="0"/>
      <w:marBottom w:val="0"/>
      <w:divBdr>
        <w:top w:val="none" w:sz="0" w:space="0" w:color="auto"/>
        <w:left w:val="none" w:sz="0" w:space="0" w:color="auto"/>
        <w:bottom w:val="none" w:sz="0" w:space="0" w:color="auto"/>
        <w:right w:val="none" w:sz="0" w:space="0" w:color="auto"/>
      </w:divBdr>
    </w:div>
    <w:div w:id="1809393203">
      <w:bodyDiv w:val="1"/>
      <w:marLeft w:val="0"/>
      <w:marRight w:val="0"/>
      <w:marTop w:val="0"/>
      <w:marBottom w:val="0"/>
      <w:divBdr>
        <w:top w:val="none" w:sz="0" w:space="0" w:color="auto"/>
        <w:left w:val="none" w:sz="0" w:space="0" w:color="auto"/>
        <w:bottom w:val="none" w:sz="0" w:space="0" w:color="auto"/>
        <w:right w:val="none" w:sz="0" w:space="0" w:color="auto"/>
      </w:divBdr>
    </w:div>
    <w:div w:id="1835337360">
      <w:bodyDiv w:val="1"/>
      <w:marLeft w:val="0"/>
      <w:marRight w:val="0"/>
      <w:marTop w:val="0"/>
      <w:marBottom w:val="0"/>
      <w:divBdr>
        <w:top w:val="none" w:sz="0" w:space="0" w:color="auto"/>
        <w:left w:val="none" w:sz="0" w:space="0" w:color="auto"/>
        <w:bottom w:val="none" w:sz="0" w:space="0" w:color="auto"/>
        <w:right w:val="none" w:sz="0" w:space="0" w:color="auto"/>
      </w:divBdr>
    </w:div>
    <w:div w:id="1863005810">
      <w:bodyDiv w:val="1"/>
      <w:marLeft w:val="0"/>
      <w:marRight w:val="0"/>
      <w:marTop w:val="0"/>
      <w:marBottom w:val="0"/>
      <w:divBdr>
        <w:top w:val="none" w:sz="0" w:space="0" w:color="auto"/>
        <w:left w:val="none" w:sz="0" w:space="0" w:color="auto"/>
        <w:bottom w:val="none" w:sz="0" w:space="0" w:color="auto"/>
        <w:right w:val="none" w:sz="0" w:space="0" w:color="auto"/>
      </w:divBdr>
    </w:div>
    <w:div w:id="1907255879">
      <w:bodyDiv w:val="1"/>
      <w:marLeft w:val="0"/>
      <w:marRight w:val="0"/>
      <w:marTop w:val="0"/>
      <w:marBottom w:val="0"/>
      <w:divBdr>
        <w:top w:val="none" w:sz="0" w:space="0" w:color="auto"/>
        <w:left w:val="none" w:sz="0" w:space="0" w:color="auto"/>
        <w:bottom w:val="none" w:sz="0" w:space="0" w:color="auto"/>
        <w:right w:val="none" w:sz="0" w:space="0" w:color="auto"/>
      </w:divBdr>
    </w:div>
    <w:div w:id="1957715657">
      <w:bodyDiv w:val="1"/>
      <w:marLeft w:val="0"/>
      <w:marRight w:val="0"/>
      <w:marTop w:val="0"/>
      <w:marBottom w:val="0"/>
      <w:divBdr>
        <w:top w:val="none" w:sz="0" w:space="0" w:color="auto"/>
        <w:left w:val="none" w:sz="0" w:space="0" w:color="auto"/>
        <w:bottom w:val="none" w:sz="0" w:space="0" w:color="auto"/>
        <w:right w:val="none" w:sz="0" w:space="0" w:color="auto"/>
      </w:divBdr>
      <w:divsChild>
        <w:div w:id="1268805372">
          <w:marLeft w:val="1296"/>
          <w:marRight w:val="0"/>
          <w:marTop w:val="240"/>
          <w:marBottom w:val="0"/>
          <w:divBdr>
            <w:top w:val="none" w:sz="0" w:space="0" w:color="auto"/>
            <w:left w:val="none" w:sz="0" w:space="0" w:color="auto"/>
            <w:bottom w:val="none" w:sz="0" w:space="0" w:color="auto"/>
            <w:right w:val="none" w:sz="0" w:space="0" w:color="auto"/>
          </w:divBdr>
        </w:div>
        <w:div w:id="2042582929">
          <w:marLeft w:val="878"/>
          <w:marRight w:val="0"/>
          <w:marTop w:val="240"/>
          <w:marBottom w:val="0"/>
          <w:divBdr>
            <w:top w:val="none" w:sz="0" w:space="0" w:color="auto"/>
            <w:left w:val="none" w:sz="0" w:space="0" w:color="auto"/>
            <w:bottom w:val="none" w:sz="0" w:space="0" w:color="auto"/>
            <w:right w:val="none" w:sz="0" w:space="0" w:color="auto"/>
          </w:divBdr>
        </w:div>
      </w:divsChild>
    </w:div>
    <w:div w:id="1958557104">
      <w:bodyDiv w:val="1"/>
      <w:marLeft w:val="0"/>
      <w:marRight w:val="0"/>
      <w:marTop w:val="0"/>
      <w:marBottom w:val="0"/>
      <w:divBdr>
        <w:top w:val="none" w:sz="0" w:space="0" w:color="auto"/>
        <w:left w:val="none" w:sz="0" w:space="0" w:color="auto"/>
        <w:bottom w:val="none" w:sz="0" w:space="0" w:color="auto"/>
        <w:right w:val="none" w:sz="0" w:space="0" w:color="auto"/>
      </w:divBdr>
    </w:div>
    <w:div w:id="1977878883">
      <w:bodyDiv w:val="1"/>
      <w:marLeft w:val="0"/>
      <w:marRight w:val="0"/>
      <w:marTop w:val="0"/>
      <w:marBottom w:val="0"/>
      <w:divBdr>
        <w:top w:val="none" w:sz="0" w:space="0" w:color="auto"/>
        <w:left w:val="none" w:sz="0" w:space="0" w:color="auto"/>
        <w:bottom w:val="none" w:sz="0" w:space="0" w:color="auto"/>
        <w:right w:val="none" w:sz="0" w:space="0" w:color="auto"/>
      </w:divBdr>
    </w:div>
    <w:div w:id="1978413588">
      <w:bodyDiv w:val="1"/>
      <w:marLeft w:val="0"/>
      <w:marRight w:val="0"/>
      <w:marTop w:val="0"/>
      <w:marBottom w:val="0"/>
      <w:divBdr>
        <w:top w:val="none" w:sz="0" w:space="0" w:color="auto"/>
        <w:left w:val="none" w:sz="0" w:space="0" w:color="auto"/>
        <w:bottom w:val="none" w:sz="0" w:space="0" w:color="auto"/>
        <w:right w:val="none" w:sz="0" w:space="0" w:color="auto"/>
      </w:divBdr>
    </w:div>
    <w:div w:id="1982996244">
      <w:bodyDiv w:val="1"/>
      <w:marLeft w:val="0"/>
      <w:marRight w:val="0"/>
      <w:marTop w:val="0"/>
      <w:marBottom w:val="0"/>
      <w:divBdr>
        <w:top w:val="none" w:sz="0" w:space="0" w:color="auto"/>
        <w:left w:val="none" w:sz="0" w:space="0" w:color="auto"/>
        <w:bottom w:val="none" w:sz="0" w:space="0" w:color="auto"/>
        <w:right w:val="none" w:sz="0" w:space="0" w:color="auto"/>
      </w:divBdr>
    </w:div>
    <w:div w:id="2073888983">
      <w:bodyDiv w:val="1"/>
      <w:marLeft w:val="0"/>
      <w:marRight w:val="0"/>
      <w:marTop w:val="0"/>
      <w:marBottom w:val="0"/>
      <w:divBdr>
        <w:top w:val="none" w:sz="0" w:space="0" w:color="auto"/>
        <w:left w:val="none" w:sz="0" w:space="0" w:color="auto"/>
        <w:bottom w:val="none" w:sz="0" w:space="0" w:color="auto"/>
        <w:right w:val="none" w:sz="0" w:space="0" w:color="auto"/>
      </w:divBdr>
    </w:div>
    <w:div w:id="2080783416">
      <w:bodyDiv w:val="1"/>
      <w:marLeft w:val="0"/>
      <w:marRight w:val="0"/>
      <w:marTop w:val="0"/>
      <w:marBottom w:val="0"/>
      <w:divBdr>
        <w:top w:val="none" w:sz="0" w:space="0" w:color="auto"/>
        <w:left w:val="none" w:sz="0" w:space="0" w:color="auto"/>
        <w:bottom w:val="none" w:sz="0" w:space="0" w:color="auto"/>
        <w:right w:val="none" w:sz="0" w:space="0" w:color="auto"/>
      </w:divBdr>
    </w:div>
    <w:div w:id="2102875786">
      <w:bodyDiv w:val="1"/>
      <w:marLeft w:val="0"/>
      <w:marRight w:val="0"/>
      <w:marTop w:val="0"/>
      <w:marBottom w:val="0"/>
      <w:divBdr>
        <w:top w:val="none" w:sz="0" w:space="0" w:color="auto"/>
        <w:left w:val="none" w:sz="0" w:space="0" w:color="auto"/>
        <w:bottom w:val="none" w:sz="0" w:space="0" w:color="auto"/>
        <w:right w:val="none" w:sz="0" w:space="0" w:color="auto"/>
      </w:divBdr>
    </w:div>
    <w:div w:id="2107652362">
      <w:bodyDiv w:val="1"/>
      <w:marLeft w:val="0"/>
      <w:marRight w:val="0"/>
      <w:marTop w:val="0"/>
      <w:marBottom w:val="0"/>
      <w:divBdr>
        <w:top w:val="none" w:sz="0" w:space="0" w:color="auto"/>
        <w:left w:val="none" w:sz="0" w:space="0" w:color="auto"/>
        <w:bottom w:val="none" w:sz="0" w:space="0" w:color="auto"/>
        <w:right w:val="none" w:sz="0" w:space="0" w:color="auto"/>
      </w:divBdr>
    </w:div>
    <w:div w:id="2110195848">
      <w:bodyDiv w:val="1"/>
      <w:marLeft w:val="0"/>
      <w:marRight w:val="0"/>
      <w:marTop w:val="0"/>
      <w:marBottom w:val="0"/>
      <w:divBdr>
        <w:top w:val="none" w:sz="0" w:space="0" w:color="auto"/>
        <w:left w:val="none" w:sz="0" w:space="0" w:color="auto"/>
        <w:bottom w:val="none" w:sz="0" w:space="0" w:color="auto"/>
        <w:right w:val="none" w:sz="0" w:space="0" w:color="auto"/>
      </w:divBdr>
    </w:div>
    <w:div w:id="2115904891">
      <w:bodyDiv w:val="1"/>
      <w:marLeft w:val="0"/>
      <w:marRight w:val="0"/>
      <w:marTop w:val="0"/>
      <w:marBottom w:val="0"/>
      <w:divBdr>
        <w:top w:val="none" w:sz="0" w:space="0" w:color="auto"/>
        <w:left w:val="none" w:sz="0" w:space="0" w:color="auto"/>
        <w:bottom w:val="none" w:sz="0" w:space="0" w:color="auto"/>
        <w:right w:val="none" w:sz="0" w:space="0" w:color="auto"/>
      </w:divBdr>
    </w:div>
    <w:div w:id="2121025623">
      <w:bodyDiv w:val="1"/>
      <w:marLeft w:val="0"/>
      <w:marRight w:val="0"/>
      <w:marTop w:val="0"/>
      <w:marBottom w:val="0"/>
      <w:divBdr>
        <w:top w:val="none" w:sz="0" w:space="0" w:color="auto"/>
        <w:left w:val="none" w:sz="0" w:space="0" w:color="auto"/>
        <w:bottom w:val="none" w:sz="0" w:space="0" w:color="auto"/>
        <w:right w:val="none" w:sz="0" w:space="0" w:color="auto"/>
      </w:divBdr>
    </w:div>
    <w:div w:id="2122914952">
      <w:bodyDiv w:val="1"/>
      <w:marLeft w:val="0"/>
      <w:marRight w:val="0"/>
      <w:marTop w:val="0"/>
      <w:marBottom w:val="0"/>
      <w:divBdr>
        <w:top w:val="none" w:sz="0" w:space="0" w:color="auto"/>
        <w:left w:val="none" w:sz="0" w:space="0" w:color="auto"/>
        <w:bottom w:val="none" w:sz="0" w:space="0" w:color="auto"/>
        <w:right w:val="none" w:sz="0" w:space="0" w:color="auto"/>
      </w:divBdr>
      <w:divsChild>
        <w:div w:id="1616403179">
          <w:marLeft w:val="878"/>
          <w:marRight w:val="0"/>
          <w:marTop w:val="240"/>
          <w:marBottom w:val="0"/>
          <w:divBdr>
            <w:top w:val="none" w:sz="0" w:space="0" w:color="auto"/>
            <w:left w:val="none" w:sz="0" w:space="0" w:color="auto"/>
            <w:bottom w:val="none" w:sz="0" w:space="0" w:color="auto"/>
            <w:right w:val="none" w:sz="0" w:space="0" w:color="auto"/>
          </w:divBdr>
        </w:div>
      </w:divsChild>
    </w:div>
    <w:div w:id="2127045961">
      <w:bodyDiv w:val="1"/>
      <w:marLeft w:val="0"/>
      <w:marRight w:val="0"/>
      <w:marTop w:val="0"/>
      <w:marBottom w:val="0"/>
      <w:divBdr>
        <w:top w:val="none" w:sz="0" w:space="0" w:color="auto"/>
        <w:left w:val="none" w:sz="0" w:space="0" w:color="auto"/>
        <w:bottom w:val="none" w:sz="0" w:space="0" w:color="auto"/>
        <w:right w:val="none" w:sz="0" w:space="0" w:color="auto"/>
      </w:divBdr>
    </w:div>
    <w:div w:id="21389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emf"/><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yperlink" Target="http://www.aph.gov.au/About_Parliament/Parliamentary_Departments/Parliamentary_Library/Publications_Archive/archive/hecs" TargetMode="External"/><Relationship Id="rId50" Type="http://schemas.openxmlformats.org/officeDocument/2006/relationships/header" Target="header3.xml"/><Relationship Id="rId55"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hyperlink" Target="http://www.deloitte.com/dtt/home/0%2C1044%2Csid%25253D5518%2C00.html"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hyperlink" Target="file:///\\ausydcl001\users$\NMongan\Kate\www.deloitte.com\au\about"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2.xml"/><Relationship Id="rId57" Type="http://schemas.openxmlformats.org/officeDocument/2006/relationships/image" Target="media/image42.emf"/><Relationship Id="rId61" Type="http://schemas.openxmlformats.org/officeDocument/2006/relationships/image" Target="media/image46.png"/><Relationship Id="rId10" Type="http://schemas.openxmlformats.org/officeDocument/2006/relationships/footer" Target="footer1.xml"/><Relationship Id="rId19" Type="http://schemas.openxmlformats.org/officeDocument/2006/relationships/image" Target="media/image9.emf"/><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hyperlink" Target="http://www.deloitteaccesseconomic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6.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footer" Target="footer5.xml"/><Relationship Id="rId8" Type="http://schemas.openxmlformats.org/officeDocument/2006/relationships/image" Target="media/image1.jpeg"/><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yperlink" Target="http://www.aph.gov.au/About_Parliament/Parliamentary_Departments/Parliamentary_Library/Publications_Archive/archive/hecs" TargetMode="External"/><Relationship Id="rId59" Type="http://schemas.openxmlformats.org/officeDocument/2006/relationships/image" Target="media/image44.png"/><Relationship Id="rId67" Type="http://schemas.openxmlformats.org/officeDocument/2006/relationships/hyperlink" Target="http://www.deloitte.com/dtt/home/0%2C1044%2Csid%25253D5518%2C00.html" TargetMode="External"/><Relationship Id="rId20" Type="http://schemas.openxmlformats.org/officeDocument/2006/relationships/image" Target="media/image10.emf"/><Relationship Id="rId41" Type="http://schemas.openxmlformats.org/officeDocument/2006/relationships/image" Target="media/image31.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Deloitte2">
      <a:dk1>
        <a:sysClr val="windowText" lastClr="000000"/>
      </a:dk1>
      <a:lt1>
        <a:srgbClr val="FFFFFF"/>
      </a:lt1>
      <a:dk2>
        <a:srgbClr val="1F497D"/>
      </a:dk2>
      <a:lt2>
        <a:srgbClr val="FFFFFF"/>
      </a:lt2>
      <a:accent1>
        <a:srgbClr val="002776"/>
      </a:accent1>
      <a:accent2>
        <a:srgbClr val="92D400"/>
      </a:accent2>
      <a:accent3>
        <a:srgbClr val="00A1DE"/>
      </a:accent3>
      <a:accent4>
        <a:srgbClr val="3C8A2E"/>
      </a:accent4>
      <a:accent5>
        <a:srgbClr val="72C7E7"/>
      </a:accent5>
      <a:accent6>
        <a:srgbClr val="C9DD03"/>
      </a:accent6>
      <a:hlink>
        <a:srgbClr val="00A1DE"/>
      </a:hlink>
      <a:folHlink>
        <a:srgbClr val="72C7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1CE6E-111C-4C31-AEDB-62E4D17AA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152</Pages>
  <Words>49323</Words>
  <Characters>294237</Characters>
  <Application>Microsoft Office Word</Application>
  <DocSecurity>0</DocSecurity>
  <Lines>2451</Lines>
  <Paragraphs>685</Paragraphs>
  <ScaleCrop>false</ScaleCrop>
  <HeadingPairs>
    <vt:vector size="2" baseType="variant">
      <vt:variant>
        <vt:lpstr>Title</vt:lpstr>
      </vt:variant>
      <vt:variant>
        <vt:i4>1</vt:i4>
      </vt:variant>
    </vt:vector>
  </HeadingPairs>
  <TitlesOfParts>
    <vt:vector size="1" baseType="lpstr">
      <vt:lpstr>Estimating the public and private benefits of higher education</vt:lpstr>
    </vt:vector>
  </TitlesOfParts>
  <Company/>
  <LinksUpToDate>false</LinksUpToDate>
  <CharactersWithSpaces>342875</CharactersWithSpaces>
  <SharedDoc>false</SharedDoc>
  <HLinks>
    <vt:vector size="24" baseType="variant">
      <vt:variant>
        <vt:i4>1769524</vt:i4>
      </vt:variant>
      <vt:variant>
        <vt:i4>26</vt:i4>
      </vt:variant>
      <vt:variant>
        <vt:i4>0</vt:i4>
      </vt:variant>
      <vt:variant>
        <vt:i4>5</vt:i4>
      </vt:variant>
      <vt:variant>
        <vt:lpwstr/>
      </vt:variant>
      <vt:variant>
        <vt:lpwstr>_Toc215906321</vt:lpwstr>
      </vt:variant>
      <vt:variant>
        <vt:i4>1769524</vt:i4>
      </vt:variant>
      <vt:variant>
        <vt:i4>20</vt:i4>
      </vt:variant>
      <vt:variant>
        <vt:i4>0</vt:i4>
      </vt:variant>
      <vt:variant>
        <vt:i4>5</vt:i4>
      </vt:variant>
      <vt:variant>
        <vt:lpwstr/>
      </vt:variant>
      <vt:variant>
        <vt:lpwstr>_Toc215906320</vt:lpwstr>
      </vt:variant>
      <vt:variant>
        <vt:i4>1572916</vt:i4>
      </vt:variant>
      <vt:variant>
        <vt:i4>14</vt:i4>
      </vt:variant>
      <vt:variant>
        <vt:i4>0</vt:i4>
      </vt:variant>
      <vt:variant>
        <vt:i4>5</vt:i4>
      </vt:variant>
      <vt:variant>
        <vt:lpwstr/>
      </vt:variant>
      <vt:variant>
        <vt:lpwstr>_Toc215906319</vt:lpwstr>
      </vt:variant>
      <vt:variant>
        <vt:i4>1572916</vt:i4>
      </vt:variant>
      <vt:variant>
        <vt:i4>8</vt:i4>
      </vt:variant>
      <vt:variant>
        <vt:i4>0</vt:i4>
      </vt:variant>
      <vt:variant>
        <vt:i4>5</vt:i4>
      </vt:variant>
      <vt:variant>
        <vt:lpwstr/>
      </vt:variant>
      <vt:variant>
        <vt:lpwstr>_Toc215906318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Estimating the public and private benefits of higher education</dc:title>
  <dc:subject/>
  <dc:creator/>
  <cp:keywords/>
  <dc:description/>
  <cp:lastModifiedBy/>
  <cp:revision>1</cp:revision>
  <dcterms:created xsi:type="dcterms:W3CDTF">2017-05-01T23:37:00Z</dcterms:created>
  <dcterms:modified xsi:type="dcterms:W3CDTF">2017-05-01T23:37:00Z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