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69" w:rsidRDefault="00E80A69" w:rsidP="00FD49B6">
      <w:pPr>
        <w:pStyle w:val="BodyText"/>
        <w:jc w:val="both"/>
      </w:pPr>
      <w:bookmarkStart w:id="0" w:name="_GoBack"/>
      <w:bookmarkEnd w:id="0"/>
    </w:p>
    <w:p w:rsidR="001414F3" w:rsidRDefault="0068490D" w:rsidP="00FD49B6">
      <w:pPr>
        <w:pStyle w:val="BodyText"/>
        <w:jc w:val="both"/>
      </w:pPr>
      <w:r>
        <w:rPr>
          <w:noProof/>
        </w:rPr>
        <w:drawing>
          <wp:inline distT="0" distB="0" distL="0" distR="0" wp14:anchorId="206C59EB" wp14:editId="77C2496F">
            <wp:extent cx="2880360" cy="560832"/>
            <wp:effectExtent l="0" t="0" r="0" b="0"/>
            <wp:docPr id="2" name="Picture 2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82D" w:rsidRPr="00647427" w:rsidRDefault="00647427" w:rsidP="009542FF">
      <w:pPr>
        <w:pStyle w:val="Title"/>
        <w:spacing w:before="1920"/>
        <w:ind w:left="1276" w:right="-23"/>
        <w:rPr>
          <w:sz w:val="56"/>
          <w:szCs w:val="56"/>
        </w:rPr>
      </w:pPr>
      <w:r w:rsidRPr="00647427">
        <w:rPr>
          <w:sz w:val="56"/>
          <w:szCs w:val="56"/>
        </w:rPr>
        <w:t xml:space="preserve">Digital </w:t>
      </w:r>
      <w:r w:rsidR="00F01F76">
        <w:rPr>
          <w:sz w:val="56"/>
          <w:szCs w:val="56"/>
        </w:rPr>
        <w:t>L</w:t>
      </w:r>
      <w:r w:rsidRPr="00647427">
        <w:rPr>
          <w:sz w:val="56"/>
          <w:szCs w:val="56"/>
        </w:rPr>
        <w:t xml:space="preserve">iteracy </w:t>
      </w:r>
      <w:r w:rsidR="00F01F76">
        <w:rPr>
          <w:sz w:val="56"/>
          <w:szCs w:val="56"/>
        </w:rPr>
        <w:t>S</w:t>
      </w:r>
      <w:r w:rsidRPr="00647427">
        <w:rPr>
          <w:sz w:val="56"/>
          <w:szCs w:val="56"/>
        </w:rPr>
        <w:t xml:space="preserve">chool </w:t>
      </w:r>
      <w:r w:rsidR="00F01F76">
        <w:rPr>
          <w:sz w:val="56"/>
          <w:szCs w:val="56"/>
        </w:rPr>
        <w:t>G</w:t>
      </w:r>
      <w:r w:rsidRPr="00647427">
        <w:rPr>
          <w:sz w:val="56"/>
          <w:szCs w:val="56"/>
        </w:rPr>
        <w:t xml:space="preserve">rants - </w:t>
      </w:r>
      <w:r w:rsidRPr="00647427">
        <w:rPr>
          <w:sz w:val="52"/>
        </w:rPr>
        <w:t>e</w:t>
      </w:r>
      <w:r w:rsidR="00E634B4" w:rsidRPr="00647427">
        <w:rPr>
          <w:sz w:val="52"/>
        </w:rPr>
        <w:t>nhancing digital literacy through a whole of school approach</w:t>
      </w:r>
    </w:p>
    <w:p w:rsidR="00BA282D" w:rsidRDefault="00E634B4" w:rsidP="00F80CFC">
      <w:pPr>
        <w:pStyle w:val="Subtitle"/>
        <w:ind w:left="1276" w:right="-22"/>
      </w:pPr>
      <w:r>
        <w:t>Grant Guidelines</w:t>
      </w:r>
    </w:p>
    <w:p w:rsidR="00130923" w:rsidRDefault="00F47193" w:rsidP="00E634B4">
      <w:pPr>
        <w:sectPr w:rsidR="00130923" w:rsidSect="00AD09E4">
          <w:headerReference w:type="default" r:id="rId13"/>
          <w:footerReference w:type="default" r:id="rId14"/>
          <w:pgSz w:w="11906" w:h="16838"/>
          <w:pgMar w:top="1418" w:right="1558" w:bottom="567" w:left="1440" w:header="708" w:footer="283" w:gutter="0"/>
          <w:cols w:space="708"/>
          <w:docGrid w:linePitch="360"/>
        </w:sect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D358AA7" wp14:editId="6A15014E">
            <wp:simplePos x="0" y="0"/>
            <wp:positionH relativeFrom="page">
              <wp:posOffset>0</wp:posOffset>
            </wp:positionH>
            <wp:positionV relativeFrom="page">
              <wp:align>bottom</wp:align>
            </wp:positionV>
            <wp:extent cx="7653020" cy="5392420"/>
            <wp:effectExtent l="0" t="0" r="5080" b="0"/>
            <wp:wrapNone/>
            <wp:docPr id="5" name="Picture 5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report cover_0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600" cy="53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5CB">
        <w:rPr>
          <w:rStyle w:val="Emphasis"/>
          <w:color w:val="FFFFFF" w:themeColor="background2"/>
        </w:rPr>
        <w:t>Opportunity through learning</w:t>
      </w:r>
      <w:r w:rsidR="00130923">
        <w:br w:type="page"/>
      </w:r>
    </w:p>
    <w:p w:rsidR="00130923" w:rsidRPr="008E4DA0" w:rsidRDefault="00130923" w:rsidP="007D58FB">
      <w:r w:rsidRPr="008E4DA0">
        <w:lastRenderedPageBreak/>
        <w:t>ISBN</w:t>
      </w:r>
    </w:p>
    <w:p w:rsidR="00E92D4B" w:rsidRDefault="00B803CA" w:rsidP="007D58FB">
      <w:pPr>
        <w:contextualSpacing/>
        <w:rPr>
          <w:szCs w:val="20"/>
        </w:rPr>
      </w:pPr>
      <w:r w:rsidRPr="00B803CA">
        <w:rPr>
          <w:szCs w:val="20"/>
        </w:rPr>
        <w:t>978-1-76028-839-6</w:t>
      </w:r>
      <w:r w:rsidR="00130923" w:rsidRPr="008E4DA0">
        <w:rPr>
          <w:szCs w:val="20"/>
        </w:rPr>
        <w:t xml:space="preserve"> [PDF]</w:t>
      </w:r>
    </w:p>
    <w:p w:rsidR="00130923" w:rsidRPr="007D58FB" w:rsidRDefault="00B803CA" w:rsidP="007D58FB">
      <w:pPr>
        <w:rPr>
          <w:szCs w:val="20"/>
        </w:rPr>
      </w:pPr>
      <w:r w:rsidRPr="00B803CA">
        <w:rPr>
          <w:szCs w:val="20"/>
        </w:rPr>
        <w:t>978-1-76028-840-2</w:t>
      </w:r>
      <w:r w:rsidR="00130923" w:rsidRPr="008E4DA0">
        <w:rPr>
          <w:szCs w:val="20"/>
        </w:rPr>
        <w:t xml:space="preserve"> [</w:t>
      </w:r>
      <w:proofErr w:type="spellStart"/>
      <w:r w:rsidR="00130923" w:rsidRPr="008E4DA0">
        <w:rPr>
          <w:szCs w:val="20"/>
        </w:rPr>
        <w:t>DOCX</w:t>
      </w:r>
      <w:proofErr w:type="spellEnd"/>
      <w:r w:rsidR="00130923" w:rsidRPr="008E4DA0">
        <w:rPr>
          <w:szCs w:val="20"/>
        </w:rPr>
        <w:t>]</w:t>
      </w:r>
    </w:p>
    <w:p w:rsidR="00130923" w:rsidRDefault="00130923" w:rsidP="00130923">
      <w:pPr>
        <w:pStyle w:val="numberedpara"/>
        <w:numPr>
          <w:ilvl w:val="0"/>
          <w:numId w:val="0"/>
        </w:numPr>
        <w:tabs>
          <w:tab w:val="left" w:pos="72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2E008F8" wp14:editId="27C4E0B2">
            <wp:extent cx="847725" cy="285750"/>
            <wp:effectExtent l="0" t="0" r="9525" b="0"/>
            <wp:docPr id="4" name="Picture 1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5B5E.C6C8499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23" w:rsidRPr="000462F1" w:rsidRDefault="00130923" w:rsidP="007D58FB">
      <w:r w:rsidRPr="000462F1">
        <w:t xml:space="preserve">With the exception of the Commonwealth Coat of Arms, the </w:t>
      </w:r>
      <w:r w:rsidR="00B015F1">
        <w:t>Department</w:t>
      </w:r>
      <w:r w:rsidRPr="000462F1">
        <w:t>’s logo, any material protected by a trade mark and where otherwise noted</w:t>
      </w:r>
      <w:r w:rsidR="009C032E">
        <w:t>,</w:t>
      </w:r>
      <w:r w:rsidRPr="000462F1">
        <w:t xml:space="preserve"> all material presented in this document is provided under a </w:t>
      </w:r>
      <w:hyperlink r:id="rId18" w:history="1">
        <w:r w:rsidR="00DC14D4" w:rsidRPr="00DC14D4">
          <w:rPr>
            <w:rStyle w:val="Hyperlink"/>
          </w:rPr>
          <w:t>Creative Commons Attribution 4.0 Australia</w:t>
        </w:r>
      </w:hyperlink>
      <w:r w:rsidR="007D58FB">
        <w:t xml:space="preserve"> </w:t>
      </w:r>
      <w:r w:rsidRPr="000462F1">
        <w:t>(</w:t>
      </w:r>
      <w:r w:rsidR="00035D82" w:rsidRPr="00035D82">
        <w:t>https://creativecommons.org/licenses/by/4.0/</w:t>
      </w:r>
      <w:r w:rsidRPr="000462F1">
        <w:t xml:space="preserve">) licence. </w:t>
      </w:r>
    </w:p>
    <w:p w:rsidR="00130923" w:rsidRPr="000462F1" w:rsidRDefault="00130923" w:rsidP="007D58FB">
      <w:r w:rsidRPr="000462F1">
        <w:t xml:space="preserve">The details of the relevant licence conditions are available on the Creative Commons website (accessible using the links provided) as is the full legal code for the </w:t>
      </w:r>
      <w:hyperlink r:id="rId19" w:history="1">
        <w:r w:rsidRPr="00210E3B">
          <w:rPr>
            <w:rStyle w:val="Hyperlink"/>
          </w:rPr>
          <w:t xml:space="preserve">CC BY </w:t>
        </w:r>
        <w:r w:rsidR="00210E3B" w:rsidRPr="00210E3B">
          <w:rPr>
            <w:rStyle w:val="Hyperlink"/>
          </w:rPr>
          <w:t>4</w:t>
        </w:r>
        <w:r w:rsidRPr="00210E3B">
          <w:rPr>
            <w:rStyle w:val="Hyperlink"/>
          </w:rPr>
          <w:t>.0 AU licence</w:t>
        </w:r>
      </w:hyperlink>
      <w:r w:rsidRPr="000462F1">
        <w:t xml:space="preserve"> (</w:t>
      </w:r>
      <w:r w:rsidRPr="00EC78E7">
        <w:t>http://creativecommons.org/licenses/by/</w:t>
      </w:r>
      <w:r w:rsidR="00210E3B">
        <w:t>4</w:t>
      </w:r>
      <w:r w:rsidRPr="00EC78E7">
        <w:t>.0/au/legalcode</w:t>
      </w:r>
      <w:r w:rsidRPr="000462F1">
        <w:t xml:space="preserve">). </w:t>
      </w:r>
    </w:p>
    <w:p w:rsidR="00130923" w:rsidRDefault="00130923" w:rsidP="00E634B4">
      <w:r w:rsidRPr="000462F1">
        <w:t>The document must be attributed as the</w:t>
      </w:r>
      <w:r>
        <w:t xml:space="preserve"> (</w:t>
      </w:r>
      <w:r w:rsidR="00D7277B">
        <w:t>Digital Literacy School Grants</w:t>
      </w:r>
      <w:r w:rsidR="00E634B4">
        <w:t xml:space="preserve"> - Grant Guidelines</w:t>
      </w:r>
      <w:r>
        <w:t>).</w:t>
      </w:r>
    </w:p>
    <w:p w:rsidR="00130923" w:rsidRDefault="00130923" w:rsidP="00130923">
      <w:pPr>
        <w:pStyle w:val="numberedpara"/>
        <w:numPr>
          <w:ilvl w:val="0"/>
          <w:numId w:val="0"/>
        </w:numPr>
        <w:tabs>
          <w:tab w:val="left" w:pos="720"/>
        </w:tabs>
        <w:spacing w:before="120" w:after="120"/>
        <w:rPr>
          <w:sz w:val="20"/>
          <w:szCs w:val="20"/>
        </w:rPr>
      </w:pPr>
    </w:p>
    <w:p w:rsidR="004806DA" w:rsidRDefault="004806DA" w:rsidP="00130923">
      <w:pPr>
        <w:pStyle w:val="numberedpara"/>
        <w:numPr>
          <w:ilvl w:val="0"/>
          <w:numId w:val="0"/>
        </w:numPr>
        <w:tabs>
          <w:tab w:val="left" w:pos="720"/>
        </w:tabs>
        <w:spacing w:before="120" w:after="120"/>
        <w:rPr>
          <w:sz w:val="20"/>
          <w:szCs w:val="20"/>
        </w:rPr>
      </w:pPr>
    </w:p>
    <w:p w:rsidR="00D7277B" w:rsidRDefault="00D7277B" w:rsidP="00130923">
      <w:pPr>
        <w:pStyle w:val="numberedpara"/>
        <w:numPr>
          <w:ilvl w:val="0"/>
          <w:numId w:val="0"/>
        </w:numPr>
        <w:tabs>
          <w:tab w:val="left" w:pos="720"/>
        </w:tabs>
        <w:spacing w:before="120" w:after="120"/>
        <w:rPr>
          <w:sz w:val="20"/>
          <w:szCs w:val="20"/>
        </w:rPr>
        <w:sectPr w:rsidR="00D7277B" w:rsidSect="00E634B4">
          <w:type w:val="continuous"/>
          <w:pgSz w:w="11906" w:h="16838"/>
          <w:pgMar w:top="9640" w:right="1440" w:bottom="1440" w:left="144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bidi="ar-SA"/>
        </w:rPr>
        <w:id w:val="-1392634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F4A38" w:rsidRPr="00591D9D" w:rsidRDefault="00EF4A38">
          <w:pPr>
            <w:pStyle w:val="TOCHeading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bidi="ar-SA"/>
            </w:rPr>
          </w:pPr>
          <w:r>
            <w:t>Contents</w:t>
          </w:r>
        </w:p>
        <w:p w:rsidR="00340A41" w:rsidRDefault="00EF4A38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6923350" w:history="1">
            <w:r w:rsidR="00340A41" w:rsidRPr="00A32611">
              <w:rPr>
                <w:rStyle w:val="Hyperlink"/>
                <w:noProof/>
              </w:rPr>
              <w:t>Introduction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_Toc486923350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 w:rsidR="00FE281E">
              <w:rPr>
                <w:noProof/>
                <w:webHidden/>
              </w:rPr>
              <w:t>4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1" w:history="1">
            <w:r w:rsidR="00340A41" w:rsidRPr="00A32611">
              <w:rPr>
                <w:rStyle w:val="Hyperlink"/>
                <w:noProof/>
              </w:rPr>
              <w:t>Program Overview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_Toc486923351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2" w:history="1">
            <w:r w:rsidR="00340A41" w:rsidRPr="00A32611">
              <w:rPr>
                <w:rStyle w:val="Hyperlink"/>
                <w:noProof/>
              </w:rPr>
              <w:t>Types of Projects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_Toc486923352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3" w:history="1">
            <w:r w:rsidR="00340A41" w:rsidRPr="00A32611">
              <w:rPr>
                <w:rStyle w:val="Hyperlink"/>
                <w:noProof/>
              </w:rPr>
              <w:t>Reporting and Monitoring Overview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_Toc486923353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4" w:history="1">
            <w:r w:rsidR="00340A41" w:rsidRPr="00A32611">
              <w:rPr>
                <w:rStyle w:val="Hyperlink"/>
                <w:rFonts w:eastAsiaTheme="minorHAnsi" w:cstheme="minorHAnsi"/>
                <w:noProof/>
              </w:rPr>
              <w:t>Additional information: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_Toc486923354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5" w:history="1">
            <w:r w:rsidR="00340A41" w:rsidRPr="00A32611">
              <w:rPr>
                <w:rStyle w:val="Hyperlink"/>
                <w:rFonts w:eastAsiaTheme="minorHAnsi"/>
                <w:noProof/>
              </w:rPr>
              <w:t>Managing Risk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_Toc486923355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6" w:history="1">
            <w:r w:rsidR="00340A41" w:rsidRPr="00A32611">
              <w:rPr>
                <w:rStyle w:val="Hyperlink"/>
                <w:rFonts w:eastAsiaTheme="minorHAnsi"/>
                <w:noProof/>
              </w:rPr>
              <w:t>Grant Categories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_Toc486923356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7" w:history="1">
            <w:r w:rsidR="00340A41" w:rsidRPr="00A32611">
              <w:rPr>
                <w:rStyle w:val="Hyperlink"/>
                <w:rFonts w:eastAsiaTheme="minorHAnsi"/>
                <w:noProof/>
              </w:rPr>
              <w:t>Category A grants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_Toc486923357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8" w:history="1">
            <w:r w:rsidR="00340A41" w:rsidRPr="00A32611">
              <w:rPr>
                <w:rStyle w:val="Hyperlink"/>
                <w:noProof/>
              </w:rPr>
              <w:t>Category B grants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_Toc486923358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59" w:history="1">
            <w:r w:rsidR="00340A41" w:rsidRPr="00A32611">
              <w:rPr>
                <w:rStyle w:val="Hyperlink"/>
                <w:rFonts w:eastAsiaTheme="minorHAnsi"/>
                <w:noProof/>
              </w:rPr>
              <w:t>Category C grants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_Toc486923359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0" w:history="1">
            <w:r w:rsidR="00340A41" w:rsidRPr="00A32611">
              <w:rPr>
                <w:rStyle w:val="Hyperlink"/>
                <w:rFonts w:eastAsiaTheme="minorHAnsi"/>
                <w:noProof/>
              </w:rPr>
              <w:t>Timing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_Toc486923360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1" w:history="1">
            <w:r w:rsidR="00340A41" w:rsidRPr="00A32611">
              <w:rPr>
                <w:rStyle w:val="Hyperlink"/>
                <w:noProof/>
              </w:rPr>
              <w:t>Funding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_Toc486923361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2" w:history="1">
            <w:r w:rsidR="00340A41" w:rsidRPr="00A32611">
              <w:rPr>
                <w:rStyle w:val="Hyperlink"/>
                <w:noProof/>
              </w:rPr>
              <w:t>Summary of Funding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_Toc486923362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3" w:history="1">
            <w:r w:rsidR="00340A41" w:rsidRPr="00A32611">
              <w:rPr>
                <w:rStyle w:val="Hyperlink"/>
                <w:noProof/>
              </w:rPr>
              <w:t>Allocation of Grants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_Toc486923363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4" w:history="1">
            <w:r w:rsidR="00340A41" w:rsidRPr="00A32611">
              <w:rPr>
                <w:rStyle w:val="Hyperlink"/>
                <w:noProof/>
              </w:rPr>
              <w:t>Eligibility to Apply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_Toc486923364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5" w:history="1">
            <w:r w:rsidR="00340A41" w:rsidRPr="00A32611">
              <w:rPr>
                <w:rStyle w:val="Hyperlink"/>
                <w:noProof/>
              </w:rPr>
              <w:t>Application Process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_Toc486923365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6" w:history="1">
            <w:r w:rsidR="00340A41" w:rsidRPr="00A32611">
              <w:rPr>
                <w:rStyle w:val="Hyperlink"/>
                <w:noProof/>
              </w:rPr>
              <w:t>Overview of the application process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_Toc486923366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7" w:history="1">
            <w:r w:rsidR="00340A41" w:rsidRPr="00A32611">
              <w:rPr>
                <w:rStyle w:val="Hyperlink"/>
                <w:noProof/>
              </w:rPr>
              <w:t>Commonwealth Grant Agreement template – with General Grant Conditions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_Toc486923367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8" w:history="1">
            <w:r w:rsidR="00340A41" w:rsidRPr="00A32611">
              <w:rPr>
                <w:rStyle w:val="Hyperlink"/>
                <w:noProof/>
              </w:rPr>
              <w:t>Selection Process and Notification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_Toc486923368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69" w:history="1">
            <w:r w:rsidR="00340A41" w:rsidRPr="00A32611">
              <w:rPr>
                <w:rStyle w:val="Hyperlink"/>
                <w:noProof/>
              </w:rPr>
              <w:t>Selection Criteria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_Toc486923369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0" w:history="1">
            <w:r w:rsidR="00340A41" w:rsidRPr="00A32611">
              <w:rPr>
                <w:rStyle w:val="Hyperlink"/>
                <w:rFonts w:eastAsia="Calibri"/>
                <w:noProof/>
              </w:rPr>
              <w:t>Endorsement requirements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_Toc486923370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1" w:history="1">
            <w:r w:rsidR="00340A41" w:rsidRPr="00A32611">
              <w:rPr>
                <w:rStyle w:val="Hyperlink"/>
                <w:rFonts w:eastAsia="Calibri"/>
                <w:noProof/>
              </w:rPr>
              <w:t>Assessment Panel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_Toc486923371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2" w:history="1">
            <w:r w:rsidR="00340A41" w:rsidRPr="00A32611">
              <w:rPr>
                <w:rStyle w:val="Hyperlink"/>
                <w:rFonts w:eastAsia="Calibri"/>
                <w:noProof/>
              </w:rPr>
              <w:t>Final Approval of Delegate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_Toc486923372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3" w:history="1">
            <w:r w:rsidR="00340A41" w:rsidRPr="00A32611">
              <w:rPr>
                <w:rStyle w:val="Hyperlink"/>
                <w:rFonts w:eastAsia="Calibri"/>
                <w:noProof/>
              </w:rPr>
              <w:t>Privacy Statement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_Toc486923373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4" w:history="1">
            <w:r w:rsidR="00340A41" w:rsidRPr="00A32611">
              <w:rPr>
                <w:rStyle w:val="Hyperlink"/>
                <w:noProof/>
              </w:rPr>
              <w:t>Freedom of Information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_Toc486923374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5" w:history="1">
            <w:r w:rsidR="00340A41" w:rsidRPr="00A32611">
              <w:rPr>
                <w:rStyle w:val="Hyperlink"/>
                <w:noProof/>
              </w:rPr>
              <w:t>Provision of false or misleading information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_Toc486923375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6" w:history="1">
            <w:r w:rsidR="00340A41" w:rsidRPr="00A32611">
              <w:rPr>
                <w:rStyle w:val="Hyperlink"/>
                <w:noProof/>
              </w:rPr>
              <w:t>Complaints Handling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_Toc486923376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7" w:history="1">
            <w:r w:rsidR="00340A41" w:rsidRPr="00A32611">
              <w:rPr>
                <w:rStyle w:val="Hyperlink"/>
                <w:noProof/>
              </w:rPr>
              <w:t>Working with Children Checks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_Toc486923377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8" w:history="1">
            <w:r w:rsidR="00340A41" w:rsidRPr="00A32611">
              <w:rPr>
                <w:rStyle w:val="Hyperlink"/>
                <w:noProof/>
              </w:rPr>
              <w:t>Insurance and Indemnity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_Toc486923378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340A41" w:rsidRDefault="00FE281E">
          <w:pPr>
            <w:pStyle w:val="TOC2"/>
            <w:tabs>
              <w:tab w:val="right" w:leader="dot" w:pos="9016"/>
            </w:tabs>
            <w:rPr>
              <w:noProof/>
              <w:lang w:eastAsia="en-AU"/>
            </w:rPr>
          </w:pPr>
          <w:hyperlink w:anchor="_Toc486923379" w:history="1">
            <w:r w:rsidR="00340A41" w:rsidRPr="00A32611">
              <w:rPr>
                <w:rStyle w:val="Hyperlink"/>
                <w:rFonts w:eastAsia="Calibri"/>
                <w:noProof/>
              </w:rPr>
              <w:t>Further Information and Contact</w:t>
            </w:r>
            <w:r w:rsidR="00340A41">
              <w:rPr>
                <w:noProof/>
                <w:webHidden/>
              </w:rPr>
              <w:tab/>
            </w:r>
            <w:r w:rsidR="00340A41">
              <w:rPr>
                <w:noProof/>
                <w:webHidden/>
              </w:rPr>
              <w:fldChar w:fldCharType="begin"/>
            </w:r>
            <w:r w:rsidR="00340A41">
              <w:rPr>
                <w:noProof/>
                <w:webHidden/>
              </w:rPr>
              <w:instrText xml:space="preserve"> PAGEREF _Toc486923379 \h </w:instrText>
            </w:r>
            <w:r w:rsidR="00340A41">
              <w:rPr>
                <w:noProof/>
                <w:webHidden/>
              </w:rPr>
            </w:r>
            <w:r w:rsidR="00340A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340A41">
              <w:rPr>
                <w:noProof/>
                <w:webHidden/>
              </w:rPr>
              <w:fldChar w:fldCharType="end"/>
            </w:r>
          </w:hyperlink>
        </w:p>
        <w:p w:rsidR="000A0277" w:rsidRPr="007A550F" w:rsidRDefault="00EF4A38" w:rsidP="007A550F">
          <w:pPr>
            <w:pStyle w:val="TOC2"/>
            <w:tabs>
              <w:tab w:val="right" w:leader="dot" w:pos="9016"/>
            </w:tabs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C10C19" w:rsidRPr="00481F02" w:rsidRDefault="001D12EF" w:rsidP="00591D9D">
      <w:pPr>
        <w:pStyle w:val="Title"/>
        <w:rPr>
          <w:sz w:val="52"/>
        </w:rPr>
      </w:pPr>
      <w:r>
        <w:rPr>
          <w:sz w:val="52"/>
        </w:rPr>
        <w:lastRenderedPageBreak/>
        <w:t>Grant Guidelines</w:t>
      </w:r>
    </w:p>
    <w:p w:rsidR="006C1E77" w:rsidRPr="0070691E" w:rsidRDefault="006C1E77" w:rsidP="006C1E77">
      <w:pPr>
        <w:pStyle w:val="Heading1"/>
      </w:pPr>
      <w:bookmarkStart w:id="1" w:name="_Toc445882117"/>
      <w:bookmarkStart w:id="2" w:name="_Toc486923350"/>
      <w:r w:rsidRPr="0070691E">
        <w:t>Introduction</w:t>
      </w:r>
      <w:bookmarkEnd w:id="1"/>
      <w:bookmarkEnd w:id="2"/>
    </w:p>
    <w:p w:rsidR="006B4A77" w:rsidRDefault="006B4A77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These Grant Guidelines provide an overview of the operation of the </w:t>
      </w:r>
      <w:r w:rsidRPr="002C0AE5">
        <w:rPr>
          <w:rFonts w:eastAsiaTheme="minorHAnsi" w:cstheme="minorHAnsi"/>
          <w:i/>
          <w:szCs w:val="24"/>
        </w:rPr>
        <w:t>Digital Literacy School Grants - enhancing digital lite</w:t>
      </w:r>
      <w:r w:rsidRPr="004B1723">
        <w:t xml:space="preserve">racy through a whole of school approach Program (‘the Program’). These Grant Guidelines may </w:t>
      </w:r>
      <w:r>
        <w:rPr>
          <w:rFonts w:eastAsiaTheme="minorHAnsi" w:cstheme="minorHAnsi"/>
          <w:szCs w:val="24"/>
        </w:rPr>
        <w:t xml:space="preserve">be updated during the course of the Program to reflect the further details of the Program as it evolves. </w:t>
      </w:r>
    </w:p>
    <w:p w:rsidR="006B4A77" w:rsidRDefault="006B4A77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These Grant Guidelines apply to the Department</w:t>
      </w:r>
      <w:r w:rsidR="002458E3">
        <w:rPr>
          <w:rFonts w:eastAsiaTheme="minorHAnsi" w:cstheme="minorHAnsi"/>
          <w:szCs w:val="24"/>
        </w:rPr>
        <w:t xml:space="preserve"> of Education and Training (‘the </w:t>
      </w:r>
      <w:r w:rsidR="00C80768">
        <w:rPr>
          <w:rFonts w:eastAsiaTheme="minorHAnsi" w:cstheme="minorHAnsi"/>
          <w:szCs w:val="24"/>
        </w:rPr>
        <w:t>D</w:t>
      </w:r>
      <w:r w:rsidR="00B015F1">
        <w:rPr>
          <w:rFonts w:eastAsiaTheme="minorHAnsi" w:cstheme="minorHAnsi"/>
          <w:szCs w:val="24"/>
        </w:rPr>
        <w:t>epartment</w:t>
      </w:r>
      <w:r w:rsidR="002458E3">
        <w:rPr>
          <w:rFonts w:eastAsiaTheme="minorHAnsi" w:cstheme="minorHAnsi"/>
          <w:szCs w:val="24"/>
        </w:rPr>
        <w:t>’)</w:t>
      </w:r>
      <w:r>
        <w:rPr>
          <w:rFonts w:eastAsiaTheme="minorHAnsi" w:cstheme="minorHAnsi"/>
          <w:szCs w:val="24"/>
        </w:rPr>
        <w:t>, Grant Applicants and Grant Recipients.</w:t>
      </w:r>
    </w:p>
    <w:p w:rsidR="006B4A77" w:rsidRDefault="006B4A77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A dictionary of defined terms is included at </w:t>
      </w:r>
      <w:r w:rsidR="002458E3">
        <w:rPr>
          <w:rFonts w:eastAsiaTheme="minorHAnsi" w:cstheme="minorHAnsi"/>
          <w:szCs w:val="24"/>
        </w:rPr>
        <w:t>page 1</w:t>
      </w:r>
      <w:r w:rsidR="00781239">
        <w:rPr>
          <w:rFonts w:eastAsiaTheme="minorHAnsi" w:cstheme="minorHAnsi"/>
          <w:szCs w:val="24"/>
        </w:rPr>
        <w:t>6</w:t>
      </w:r>
      <w:r w:rsidR="002458E3">
        <w:rPr>
          <w:rFonts w:eastAsiaTheme="minorHAnsi" w:cstheme="minorHAnsi"/>
          <w:szCs w:val="24"/>
        </w:rPr>
        <w:t xml:space="preserve"> of</w:t>
      </w:r>
      <w:r>
        <w:rPr>
          <w:rFonts w:eastAsiaTheme="minorHAnsi" w:cstheme="minorHAnsi"/>
          <w:szCs w:val="24"/>
        </w:rPr>
        <w:t xml:space="preserve"> these Grant Guidelines.</w:t>
      </w:r>
    </w:p>
    <w:p w:rsidR="006B4A77" w:rsidRPr="002C0AE5" w:rsidRDefault="006B4A77" w:rsidP="006C1E77">
      <w:pPr>
        <w:spacing w:before="120" w:after="120"/>
        <w:rPr>
          <w:rFonts w:eastAsiaTheme="minorHAnsi" w:cstheme="minorHAnsi"/>
          <w:b/>
          <w:i/>
          <w:szCs w:val="24"/>
        </w:rPr>
      </w:pPr>
      <w:r w:rsidRPr="002C0AE5">
        <w:rPr>
          <w:rFonts w:eastAsiaTheme="minorHAnsi" w:cstheme="minorHAnsi"/>
          <w:b/>
          <w:i/>
          <w:szCs w:val="24"/>
        </w:rPr>
        <w:t xml:space="preserve">National Innovation and Science Agenda </w:t>
      </w:r>
    </w:p>
    <w:p w:rsidR="006C1E77" w:rsidRDefault="006C1E77" w:rsidP="006C1E77">
      <w:pPr>
        <w:spacing w:before="120" w:after="120"/>
        <w:rPr>
          <w:rFonts w:eastAsiaTheme="minorHAnsi" w:cstheme="minorHAnsi"/>
          <w:szCs w:val="24"/>
        </w:rPr>
      </w:pPr>
      <w:r w:rsidRPr="0070691E">
        <w:rPr>
          <w:rFonts w:eastAsiaTheme="minorHAnsi" w:cstheme="minorHAnsi"/>
          <w:szCs w:val="24"/>
        </w:rPr>
        <w:t xml:space="preserve">The </w:t>
      </w:r>
      <w:r>
        <w:rPr>
          <w:rFonts w:eastAsiaTheme="minorHAnsi" w:cstheme="minorHAnsi"/>
          <w:szCs w:val="24"/>
        </w:rPr>
        <w:t xml:space="preserve">Australian Government, through its National Innovation and Science Agenda, </w:t>
      </w:r>
      <w:r w:rsidR="00F10E4F">
        <w:rPr>
          <w:rFonts w:eastAsiaTheme="minorHAnsi" w:cstheme="minorHAnsi"/>
          <w:szCs w:val="24"/>
        </w:rPr>
        <w:t>is</w:t>
      </w:r>
      <w:r>
        <w:rPr>
          <w:rFonts w:eastAsiaTheme="minorHAnsi" w:cstheme="minorHAnsi"/>
          <w:szCs w:val="24"/>
        </w:rPr>
        <w:t xml:space="preserve"> invest</w:t>
      </w:r>
      <w:r w:rsidR="00F10E4F">
        <w:rPr>
          <w:rFonts w:eastAsiaTheme="minorHAnsi" w:cstheme="minorHAnsi"/>
          <w:szCs w:val="24"/>
        </w:rPr>
        <w:t>ing</w:t>
      </w:r>
      <w:r w:rsidR="00B94CE8">
        <w:rPr>
          <w:rFonts w:eastAsiaTheme="minorHAnsi" w:cstheme="minorHAnsi"/>
          <w:szCs w:val="24"/>
        </w:rPr>
        <w:t xml:space="preserve"> </w:t>
      </w:r>
      <w:r w:rsidR="00B94CE8">
        <w:rPr>
          <w:rFonts w:eastAsiaTheme="minorHAnsi" w:cstheme="minorHAnsi"/>
          <w:szCs w:val="24"/>
        </w:rPr>
        <w:br/>
      </w:r>
      <w:r>
        <w:rPr>
          <w:rFonts w:eastAsiaTheme="minorHAnsi" w:cstheme="minorHAnsi"/>
          <w:szCs w:val="24"/>
        </w:rPr>
        <w:t xml:space="preserve">$50.6 million over four years </w:t>
      </w:r>
      <w:r w:rsidR="00345C4D">
        <w:rPr>
          <w:rFonts w:eastAsiaTheme="minorHAnsi" w:cstheme="minorHAnsi"/>
          <w:szCs w:val="24"/>
        </w:rPr>
        <w:t>(</w:t>
      </w:r>
      <w:r w:rsidR="0010688D">
        <w:rPr>
          <w:rFonts w:eastAsiaTheme="minorHAnsi" w:cstheme="minorHAnsi"/>
          <w:szCs w:val="24"/>
        </w:rPr>
        <w:t xml:space="preserve">1 July </w:t>
      </w:r>
      <w:r w:rsidR="00345C4D">
        <w:rPr>
          <w:rFonts w:eastAsiaTheme="minorHAnsi" w:cstheme="minorHAnsi"/>
          <w:szCs w:val="24"/>
        </w:rPr>
        <w:t>2016 –</w:t>
      </w:r>
      <w:r w:rsidR="0010688D">
        <w:rPr>
          <w:rFonts w:eastAsiaTheme="minorHAnsi" w:cstheme="minorHAnsi"/>
          <w:szCs w:val="24"/>
        </w:rPr>
        <w:t xml:space="preserve"> 30 June</w:t>
      </w:r>
      <w:r w:rsidR="00345C4D">
        <w:rPr>
          <w:rFonts w:eastAsiaTheme="minorHAnsi" w:cstheme="minorHAnsi"/>
          <w:szCs w:val="24"/>
        </w:rPr>
        <w:t xml:space="preserve"> 2020) </w:t>
      </w:r>
      <w:r w:rsidR="00754E75">
        <w:rPr>
          <w:rFonts w:eastAsiaTheme="minorHAnsi" w:cstheme="minorHAnsi"/>
          <w:szCs w:val="24"/>
        </w:rPr>
        <w:t>t</w:t>
      </w:r>
      <w:r>
        <w:rPr>
          <w:rFonts w:eastAsiaTheme="minorHAnsi" w:cstheme="minorHAnsi"/>
          <w:szCs w:val="24"/>
        </w:rPr>
        <w:t xml:space="preserve">o support all Australian teachers and students </w:t>
      </w:r>
      <w:r w:rsidR="00345C4D">
        <w:rPr>
          <w:rFonts w:eastAsiaTheme="minorHAnsi" w:cstheme="minorHAnsi"/>
          <w:szCs w:val="24"/>
        </w:rPr>
        <w:t>in</w:t>
      </w:r>
      <w:r>
        <w:rPr>
          <w:rFonts w:eastAsiaTheme="minorHAnsi" w:cstheme="minorHAnsi"/>
          <w:szCs w:val="24"/>
        </w:rPr>
        <w:t xml:space="preserve"> embrac</w:t>
      </w:r>
      <w:r w:rsidR="00345C4D">
        <w:rPr>
          <w:rFonts w:eastAsiaTheme="minorHAnsi" w:cstheme="minorHAnsi"/>
          <w:szCs w:val="24"/>
        </w:rPr>
        <w:t>ing</w:t>
      </w:r>
      <w:r w:rsidRPr="0070691E">
        <w:rPr>
          <w:rFonts w:eastAsiaTheme="minorHAnsi" w:cstheme="minorHAnsi"/>
          <w:szCs w:val="24"/>
        </w:rPr>
        <w:t xml:space="preserve"> th</w:t>
      </w:r>
      <w:r>
        <w:rPr>
          <w:rFonts w:eastAsiaTheme="minorHAnsi" w:cstheme="minorHAnsi"/>
          <w:szCs w:val="24"/>
        </w:rPr>
        <w:t xml:space="preserve">e digital age and </w:t>
      </w:r>
      <w:r w:rsidR="00345C4D">
        <w:rPr>
          <w:rFonts w:eastAsiaTheme="minorHAnsi" w:cstheme="minorHAnsi"/>
          <w:szCs w:val="24"/>
        </w:rPr>
        <w:t>in implementing</w:t>
      </w:r>
      <w:r>
        <w:rPr>
          <w:rFonts w:eastAsiaTheme="minorHAnsi" w:cstheme="minorHAnsi"/>
          <w:szCs w:val="24"/>
        </w:rPr>
        <w:t xml:space="preserve"> the Australian Curriculum: Digital Technologies.</w:t>
      </w:r>
      <w:r w:rsidR="0008633C">
        <w:rPr>
          <w:rFonts w:eastAsiaTheme="minorHAnsi" w:cstheme="minorHAnsi"/>
          <w:szCs w:val="24"/>
        </w:rPr>
        <w:t xml:space="preserve"> </w:t>
      </w:r>
    </w:p>
    <w:p w:rsidR="00754E75" w:rsidRDefault="006C1E77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This funding</w:t>
      </w:r>
      <w:r w:rsidRPr="0070691E">
        <w:rPr>
          <w:rFonts w:eastAsiaTheme="minorHAnsi" w:cstheme="minorHAnsi"/>
          <w:szCs w:val="24"/>
        </w:rPr>
        <w:t xml:space="preserve"> provide</w:t>
      </w:r>
      <w:r>
        <w:rPr>
          <w:rFonts w:eastAsiaTheme="minorHAnsi" w:cstheme="minorHAnsi"/>
          <w:szCs w:val="24"/>
        </w:rPr>
        <w:t>s</w:t>
      </w:r>
      <w:r w:rsidRPr="0070691E">
        <w:rPr>
          <w:rFonts w:eastAsiaTheme="minorHAnsi" w:cstheme="minorHAnsi"/>
          <w:szCs w:val="24"/>
        </w:rPr>
        <w:t xml:space="preserve"> support for:</w:t>
      </w:r>
    </w:p>
    <w:p w:rsidR="00345C4D" w:rsidRDefault="00B937FE" w:rsidP="00345C4D">
      <w:pPr>
        <w:pStyle w:val="ListParagraph"/>
        <w:numPr>
          <w:ilvl w:val="0"/>
          <w:numId w:val="31"/>
        </w:num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G</w:t>
      </w:r>
      <w:r w:rsidR="00345C4D">
        <w:rPr>
          <w:rFonts w:eastAsiaTheme="minorHAnsi" w:cstheme="minorHAnsi"/>
          <w:szCs w:val="24"/>
        </w:rPr>
        <w:t>rants to school</w:t>
      </w:r>
      <w:r w:rsidR="00783167">
        <w:rPr>
          <w:rFonts w:eastAsiaTheme="minorHAnsi" w:cstheme="minorHAnsi"/>
          <w:szCs w:val="24"/>
        </w:rPr>
        <w:t xml:space="preserve"> principals and I</w:t>
      </w:r>
      <w:r w:rsidR="00B94CE8">
        <w:rPr>
          <w:rFonts w:eastAsiaTheme="minorHAnsi" w:cstheme="minorHAnsi"/>
          <w:szCs w:val="24"/>
        </w:rPr>
        <w:t xml:space="preserve">nformation and </w:t>
      </w:r>
      <w:r w:rsidR="00783167">
        <w:rPr>
          <w:rFonts w:eastAsiaTheme="minorHAnsi" w:cstheme="minorHAnsi"/>
          <w:szCs w:val="24"/>
        </w:rPr>
        <w:t>C</w:t>
      </w:r>
      <w:r w:rsidR="000A0277">
        <w:rPr>
          <w:rFonts w:eastAsiaTheme="minorHAnsi" w:cstheme="minorHAnsi"/>
          <w:szCs w:val="24"/>
        </w:rPr>
        <w:t>ommunication</w:t>
      </w:r>
      <w:r w:rsidR="00B94CE8">
        <w:rPr>
          <w:rFonts w:eastAsiaTheme="minorHAnsi" w:cstheme="minorHAnsi"/>
          <w:szCs w:val="24"/>
        </w:rPr>
        <w:t xml:space="preserve"> </w:t>
      </w:r>
      <w:r w:rsidR="00783167">
        <w:rPr>
          <w:rFonts w:eastAsiaTheme="minorHAnsi" w:cstheme="minorHAnsi"/>
          <w:szCs w:val="24"/>
        </w:rPr>
        <w:t>T</w:t>
      </w:r>
      <w:r w:rsidR="00B94CE8">
        <w:rPr>
          <w:rFonts w:eastAsiaTheme="minorHAnsi" w:cstheme="minorHAnsi"/>
          <w:szCs w:val="24"/>
        </w:rPr>
        <w:t>echnology (ICT)</w:t>
      </w:r>
      <w:r w:rsidR="00783167">
        <w:rPr>
          <w:rFonts w:eastAsiaTheme="minorHAnsi" w:cstheme="minorHAnsi"/>
          <w:szCs w:val="24"/>
        </w:rPr>
        <w:t xml:space="preserve"> leaders </w:t>
      </w:r>
      <w:r w:rsidR="00444C9E">
        <w:rPr>
          <w:rFonts w:eastAsiaTheme="minorHAnsi" w:cstheme="minorHAnsi"/>
          <w:szCs w:val="24"/>
        </w:rPr>
        <w:t xml:space="preserve">for projects </w:t>
      </w:r>
      <w:r w:rsidR="00783167">
        <w:rPr>
          <w:rFonts w:eastAsiaTheme="minorHAnsi" w:cstheme="minorHAnsi"/>
          <w:szCs w:val="24"/>
        </w:rPr>
        <w:t xml:space="preserve">to </w:t>
      </w:r>
      <w:r w:rsidR="00F10E4F">
        <w:rPr>
          <w:rFonts w:eastAsiaTheme="minorHAnsi" w:cstheme="minorHAnsi"/>
          <w:szCs w:val="24"/>
        </w:rPr>
        <w:t>implement</w:t>
      </w:r>
      <w:r w:rsidR="00345C4D">
        <w:rPr>
          <w:rFonts w:eastAsiaTheme="minorHAnsi" w:cstheme="minorHAnsi"/>
          <w:szCs w:val="24"/>
        </w:rPr>
        <w:t xml:space="preserve"> the Australian Curriculum: Digital Technologies through a whole of school approach (the subject of these </w:t>
      </w:r>
      <w:r w:rsidR="00444C9E">
        <w:rPr>
          <w:rFonts w:eastAsiaTheme="minorHAnsi" w:cstheme="minorHAnsi"/>
          <w:szCs w:val="24"/>
        </w:rPr>
        <w:t>G</w:t>
      </w:r>
      <w:r w:rsidR="00345C4D">
        <w:rPr>
          <w:rFonts w:eastAsiaTheme="minorHAnsi" w:cstheme="minorHAnsi"/>
          <w:szCs w:val="24"/>
        </w:rPr>
        <w:t xml:space="preserve">rant </w:t>
      </w:r>
      <w:r w:rsidR="00444C9E">
        <w:rPr>
          <w:rFonts w:eastAsiaTheme="minorHAnsi" w:cstheme="minorHAnsi"/>
          <w:szCs w:val="24"/>
        </w:rPr>
        <w:t>G</w:t>
      </w:r>
      <w:r w:rsidR="00345C4D">
        <w:rPr>
          <w:rFonts w:eastAsiaTheme="minorHAnsi" w:cstheme="minorHAnsi"/>
          <w:szCs w:val="24"/>
        </w:rPr>
        <w:t>uidelines</w:t>
      </w:r>
      <w:r w:rsidR="00444C9E">
        <w:rPr>
          <w:rFonts w:eastAsiaTheme="minorHAnsi" w:cstheme="minorHAnsi"/>
          <w:szCs w:val="24"/>
        </w:rPr>
        <w:t>);</w:t>
      </w:r>
    </w:p>
    <w:p w:rsidR="00754E75" w:rsidRDefault="00B937FE" w:rsidP="00754E75">
      <w:pPr>
        <w:pStyle w:val="ListParagraph"/>
        <w:numPr>
          <w:ilvl w:val="0"/>
          <w:numId w:val="31"/>
        </w:num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O</w:t>
      </w:r>
      <w:r w:rsidR="006C1E77" w:rsidRPr="00754E75">
        <w:rPr>
          <w:rFonts w:eastAsiaTheme="minorHAnsi" w:cstheme="minorHAnsi"/>
          <w:szCs w:val="24"/>
        </w:rPr>
        <w:t xml:space="preserve">nline professional development courses for teachers </w:t>
      </w:r>
      <w:r w:rsidR="00345C4D">
        <w:rPr>
          <w:rFonts w:eastAsiaTheme="minorHAnsi" w:cstheme="minorHAnsi"/>
          <w:szCs w:val="24"/>
        </w:rPr>
        <w:t>through expansion of the University of Adelaide’s Digital Technologies Massive Open Online Courses (MOOCs)</w:t>
      </w:r>
      <w:r w:rsidR="00444C9E">
        <w:rPr>
          <w:rFonts w:eastAsiaTheme="minorHAnsi" w:cstheme="minorHAnsi"/>
          <w:szCs w:val="24"/>
        </w:rPr>
        <w:t>;</w:t>
      </w:r>
    </w:p>
    <w:p w:rsidR="00754E75" w:rsidRDefault="00B937FE" w:rsidP="00444C9E">
      <w:pPr>
        <w:pStyle w:val="ListParagraph"/>
        <w:numPr>
          <w:ilvl w:val="0"/>
          <w:numId w:val="31"/>
        </w:num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O</w:t>
      </w:r>
      <w:r w:rsidR="006C1E77" w:rsidRPr="00754E75">
        <w:rPr>
          <w:rFonts w:eastAsiaTheme="minorHAnsi" w:cstheme="minorHAnsi"/>
          <w:szCs w:val="24"/>
        </w:rPr>
        <w:t xml:space="preserve">nline computing challenges for all Year 5 and Year 7 students (aligned with </w:t>
      </w:r>
      <w:r w:rsidR="00444C9E" w:rsidRPr="00444C9E">
        <w:rPr>
          <w:rFonts w:eastAsiaTheme="minorHAnsi" w:cstheme="minorHAnsi"/>
          <w:szCs w:val="24"/>
        </w:rPr>
        <w:t>Australian Curriculum: Digital Technologies</w:t>
      </w:r>
      <w:r w:rsidR="006C1E77" w:rsidRPr="00754E75">
        <w:rPr>
          <w:rFonts w:eastAsiaTheme="minorHAnsi" w:cstheme="minorHAnsi"/>
          <w:szCs w:val="24"/>
        </w:rPr>
        <w:t>)</w:t>
      </w:r>
      <w:r w:rsidR="00345C4D">
        <w:rPr>
          <w:rFonts w:eastAsiaTheme="minorHAnsi" w:cstheme="minorHAnsi"/>
          <w:szCs w:val="24"/>
        </w:rPr>
        <w:t xml:space="preserve"> that provide structured teaching and learning modules to support the curriculum</w:t>
      </w:r>
      <w:r w:rsidR="00444C9E">
        <w:rPr>
          <w:rFonts w:eastAsiaTheme="minorHAnsi" w:cstheme="minorHAnsi"/>
          <w:szCs w:val="24"/>
        </w:rPr>
        <w:t>;</w:t>
      </w:r>
    </w:p>
    <w:p w:rsidR="00754E75" w:rsidRDefault="006C1E77" w:rsidP="00444C9E">
      <w:pPr>
        <w:pStyle w:val="ListParagraph"/>
        <w:numPr>
          <w:ilvl w:val="0"/>
          <w:numId w:val="31"/>
        </w:numPr>
        <w:spacing w:before="120" w:after="120"/>
        <w:rPr>
          <w:rFonts w:eastAsiaTheme="minorHAnsi" w:cstheme="minorHAnsi"/>
          <w:szCs w:val="24"/>
        </w:rPr>
      </w:pPr>
      <w:r w:rsidRPr="00754E75">
        <w:rPr>
          <w:rFonts w:eastAsiaTheme="minorHAnsi" w:cstheme="minorHAnsi"/>
          <w:szCs w:val="24"/>
        </w:rPr>
        <w:t>ICT summer schools to engage Year 9 and 10</w:t>
      </w:r>
      <w:r w:rsidR="00345C4D">
        <w:rPr>
          <w:rFonts w:eastAsiaTheme="minorHAnsi" w:cstheme="minorHAnsi"/>
          <w:szCs w:val="24"/>
        </w:rPr>
        <w:t xml:space="preserve"> students, with a focus on those from disadvantaged </w:t>
      </w:r>
      <w:r w:rsidR="003B6C66">
        <w:rPr>
          <w:rFonts w:eastAsiaTheme="minorHAnsi" w:cstheme="minorHAnsi"/>
          <w:szCs w:val="24"/>
        </w:rPr>
        <w:t>backgrounds</w:t>
      </w:r>
      <w:r w:rsidR="00444C9E">
        <w:rPr>
          <w:rFonts w:eastAsiaTheme="minorHAnsi" w:cstheme="minorHAnsi"/>
          <w:szCs w:val="24"/>
        </w:rPr>
        <w:t xml:space="preserve">, to </w:t>
      </w:r>
      <w:r w:rsidR="00444C9E" w:rsidRPr="00444C9E">
        <w:rPr>
          <w:rFonts w:eastAsiaTheme="minorHAnsi" w:cstheme="minorHAnsi"/>
          <w:szCs w:val="24"/>
        </w:rPr>
        <w:t xml:space="preserve">increase their participation in digital technologies </w:t>
      </w:r>
      <w:r w:rsidR="00444C9E">
        <w:rPr>
          <w:rFonts w:eastAsiaTheme="minorHAnsi" w:cstheme="minorHAnsi"/>
          <w:szCs w:val="24"/>
        </w:rPr>
        <w:t xml:space="preserve">and </w:t>
      </w:r>
      <w:r w:rsidR="00444C9E" w:rsidRPr="00444C9E">
        <w:rPr>
          <w:rFonts w:eastAsiaTheme="minorHAnsi" w:cstheme="minorHAnsi"/>
          <w:szCs w:val="24"/>
        </w:rPr>
        <w:t>STEM studies in school, post-secondary</w:t>
      </w:r>
      <w:r w:rsidR="00444C9E">
        <w:rPr>
          <w:rFonts w:eastAsiaTheme="minorHAnsi" w:cstheme="minorHAnsi"/>
          <w:szCs w:val="24"/>
        </w:rPr>
        <w:t xml:space="preserve"> school and the workforce;</w:t>
      </w:r>
      <w:r w:rsidR="00444C9E" w:rsidRPr="00754E75">
        <w:rPr>
          <w:rFonts w:eastAsiaTheme="minorHAnsi" w:cstheme="minorHAnsi"/>
          <w:szCs w:val="24"/>
        </w:rPr>
        <w:t xml:space="preserve"> </w:t>
      </w:r>
    </w:p>
    <w:p w:rsidR="00754E75" w:rsidRDefault="00345C4D" w:rsidP="00754E75">
      <w:pPr>
        <w:pStyle w:val="ListParagraph"/>
        <w:numPr>
          <w:ilvl w:val="0"/>
          <w:numId w:val="31"/>
        </w:numPr>
        <w:spacing w:before="120" w:after="120"/>
        <w:rPr>
          <w:rFonts w:eastAsiaTheme="minorHAnsi" w:cstheme="minorHAnsi"/>
          <w:szCs w:val="24"/>
          <w:u w:val="single"/>
        </w:rPr>
      </w:pPr>
      <w:r>
        <w:rPr>
          <w:rFonts w:eastAsiaTheme="minorHAnsi" w:cstheme="minorHAnsi"/>
          <w:szCs w:val="24"/>
        </w:rPr>
        <w:t>Cracking the Code - a series of fun and engaging computing and coding challenges</w:t>
      </w:r>
      <w:r w:rsidR="00444C9E">
        <w:rPr>
          <w:rFonts w:eastAsiaTheme="minorHAnsi" w:cstheme="minorHAnsi"/>
          <w:szCs w:val="24"/>
        </w:rPr>
        <w:t xml:space="preserve"> </w:t>
      </w:r>
      <w:r>
        <w:rPr>
          <w:rFonts w:eastAsiaTheme="minorHAnsi" w:cstheme="minorHAnsi"/>
          <w:szCs w:val="24"/>
        </w:rPr>
        <w:t xml:space="preserve">and </w:t>
      </w:r>
      <w:r w:rsidRPr="005F1A53">
        <w:rPr>
          <w:rFonts w:eastAsiaTheme="minorHAnsi" w:cstheme="minorHAnsi"/>
          <w:szCs w:val="24"/>
        </w:rPr>
        <w:t xml:space="preserve">activities </w:t>
      </w:r>
      <w:r w:rsidR="00444C9E">
        <w:rPr>
          <w:rFonts w:eastAsiaTheme="minorHAnsi" w:cstheme="minorHAnsi"/>
          <w:szCs w:val="24"/>
        </w:rPr>
        <w:t>for school students,</w:t>
      </w:r>
      <w:r w:rsidR="00444C9E" w:rsidRPr="005F1A53">
        <w:rPr>
          <w:rFonts w:eastAsiaTheme="minorHAnsi" w:cstheme="minorHAnsi"/>
          <w:szCs w:val="24"/>
        </w:rPr>
        <w:t xml:space="preserve"> </w:t>
      </w:r>
      <w:r w:rsidRPr="005F1A53">
        <w:rPr>
          <w:rFonts w:eastAsiaTheme="minorHAnsi" w:cstheme="minorHAnsi"/>
          <w:szCs w:val="24"/>
        </w:rPr>
        <w:t>to be held in National Literacy and Numeracy Week</w:t>
      </w:r>
      <w:r w:rsidR="00444C9E">
        <w:rPr>
          <w:rFonts w:eastAsiaTheme="minorHAnsi" w:cstheme="minorHAnsi"/>
          <w:szCs w:val="24"/>
        </w:rPr>
        <w:t>;</w:t>
      </w:r>
    </w:p>
    <w:p w:rsidR="005F1A53" w:rsidRPr="005F1A53" w:rsidRDefault="004B683E" w:rsidP="00444C9E">
      <w:pPr>
        <w:pStyle w:val="ListParagraph"/>
        <w:numPr>
          <w:ilvl w:val="0"/>
          <w:numId w:val="31"/>
        </w:num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Teacher support for digital technologies</w:t>
      </w:r>
      <w:r w:rsidR="005F1A53">
        <w:rPr>
          <w:rFonts w:eastAsiaTheme="minorHAnsi" w:cstheme="minorHAnsi"/>
          <w:szCs w:val="24"/>
        </w:rPr>
        <w:t xml:space="preserve"> to provide in-class support</w:t>
      </w:r>
      <w:r>
        <w:rPr>
          <w:rFonts w:eastAsiaTheme="minorHAnsi" w:cstheme="minorHAnsi"/>
          <w:szCs w:val="24"/>
        </w:rPr>
        <w:t xml:space="preserve"> and/or telepresence support</w:t>
      </w:r>
      <w:r w:rsidR="005F1A53">
        <w:rPr>
          <w:rFonts w:eastAsiaTheme="minorHAnsi" w:cstheme="minorHAnsi"/>
          <w:szCs w:val="24"/>
        </w:rPr>
        <w:t xml:space="preserve"> and follow-up</w:t>
      </w:r>
      <w:r>
        <w:rPr>
          <w:rFonts w:eastAsiaTheme="minorHAnsi" w:cstheme="minorHAnsi"/>
          <w:szCs w:val="24"/>
        </w:rPr>
        <w:t xml:space="preserve"> to schools in the early stages of implementing the </w:t>
      </w:r>
      <w:r w:rsidR="00444C9E" w:rsidRPr="00444C9E">
        <w:rPr>
          <w:rFonts w:eastAsiaTheme="minorHAnsi" w:cstheme="minorHAnsi"/>
          <w:szCs w:val="24"/>
        </w:rPr>
        <w:t>Australian Curriculum: Digital Technologies</w:t>
      </w:r>
      <w:r w:rsidR="00444C9E">
        <w:rPr>
          <w:rFonts w:eastAsiaTheme="minorHAnsi" w:cstheme="minorHAnsi"/>
          <w:szCs w:val="24"/>
        </w:rPr>
        <w:t>;</w:t>
      </w:r>
      <w:r w:rsidR="005F1A53">
        <w:rPr>
          <w:rFonts w:eastAsiaTheme="minorHAnsi" w:cstheme="minorHAnsi"/>
          <w:szCs w:val="24"/>
        </w:rPr>
        <w:t xml:space="preserve"> </w:t>
      </w:r>
      <w:r w:rsidR="00021718">
        <w:rPr>
          <w:rFonts w:eastAsiaTheme="minorHAnsi" w:cstheme="minorHAnsi"/>
          <w:szCs w:val="24"/>
        </w:rPr>
        <w:t>and</w:t>
      </w:r>
      <w:r w:rsidR="005F1A53">
        <w:rPr>
          <w:rFonts w:eastAsiaTheme="minorHAnsi" w:cstheme="minorHAnsi"/>
          <w:szCs w:val="24"/>
        </w:rPr>
        <w:t xml:space="preserve">  </w:t>
      </w:r>
    </w:p>
    <w:p w:rsidR="003C77D0" w:rsidRPr="003C77D0" w:rsidRDefault="000922B5" w:rsidP="003C77D0">
      <w:pPr>
        <w:pStyle w:val="ListParagraph"/>
        <w:numPr>
          <w:ilvl w:val="0"/>
          <w:numId w:val="31"/>
        </w:numPr>
        <w:spacing w:before="120" w:after="120"/>
        <w:rPr>
          <w:rFonts w:eastAsiaTheme="minorHAnsi" w:cstheme="minorHAnsi"/>
          <w:szCs w:val="24"/>
        </w:rPr>
      </w:pPr>
      <w:r w:rsidRPr="00955633">
        <w:rPr>
          <w:rFonts w:eastAsiaTheme="minorHAnsi" w:cstheme="minorHAnsi"/>
          <w:szCs w:val="24"/>
        </w:rPr>
        <w:t>Developing</w:t>
      </w:r>
      <w:r w:rsidR="00345C4D">
        <w:rPr>
          <w:rFonts w:eastAsiaTheme="minorHAnsi" w:cstheme="minorHAnsi"/>
          <w:szCs w:val="24"/>
        </w:rPr>
        <w:t xml:space="preserve"> effective</w:t>
      </w:r>
      <w:r w:rsidR="006C1E77" w:rsidRPr="00754E75">
        <w:rPr>
          <w:rFonts w:eastAsiaTheme="minorHAnsi" w:cstheme="minorHAnsi"/>
          <w:szCs w:val="24"/>
        </w:rPr>
        <w:t xml:space="preserve"> partnerships between S</w:t>
      </w:r>
      <w:r w:rsidR="00B94CE8">
        <w:rPr>
          <w:rFonts w:eastAsiaTheme="minorHAnsi" w:cstheme="minorHAnsi"/>
          <w:szCs w:val="24"/>
        </w:rPr>
        <w:t xml:space="preserve">cience, </w:t>
      </w:r>
      <w:r w:rsidR="006C1E77" w:rsidRPr="00754E75">
        <w:rPr>
          <w:rFonts w:eastAsiaTheme="minorHAnsi" w:cstheme="minorHAnsi"/>
          <w:szCs w:val="24"/>
        </w:rPr>
        <w:t>T</w:t>
      </w:r>
      <w:r w:rsidR="00B94CE8">
        <w:rPr>
          <w:rFonts w:eastAsiaTheme="minorHAnsi" w:cstheme="minorHAnsi"/>
          <w:szCs w:val="24"/>
        </w:rPr>
        <w:t xml:space="preserve">echnology, </w:t>
      </w:r>
      <w:r w:rsidR="006C1E77" w:rsidRPr="00754E75">
        <w:rPr>
          <w:rFonts w:eastAsiaTheme="minorHAnsi" w:cstheme="minorHAnsi"/>
          <w:szCs w:val="24"/>
        </w:rPr>
        <w:t>E</w:t>
      </w:r>
      <w:r w:rsidR="00B94CE8">
        <w:rPr>
          <w:rFonts w:eastAsiaTheme="minorHAnsi" w:cstheme="minorHAnsi"/>
          <w:szCs w:val="24"/>
        </w:rPr>
        <w:t xml:space="preserve">ngineering and </w:t>
      </w:r>
      <w:r w:rsidR="006C1E77" w:rsidRPr="00754E75">
        <w:rPr>
          <w:rFonts w:eastAsiaTheme="minorHAnsi" w:cstheme="minorHAnsi"/>
          <w:szCs w:val="24"/>
        </w:rPr>
        <w:t>M</w:t>
      </w:r>
      <w:r w:rsidR="00B94CE8">
        <w:rPr>
          <w:rFonts w:eastAsiaTheme="minorHAnsi" w:cstheme="minorHAnsi"/>
          <w:szCs w:val="24"/>
        </w:rPr>
        <w:t>athematics (STEM)</w:t>
      </w:r>
      <w:r w:rsidR="006C1E77" w:rsidRPr="00754E75">
        <w:rPr>
          <w:rFonts w:eastAsiaTheme="minorHAnsi" w:cstheme="minorHAnsi"/>
          <w:szCs w:val="24"/>
        </w:rPr>
        <w:t xml:space="preserve"> professionals and schools to build </w:t>
      </w:r>
      <w:r w:rsidR="00444C9E">
        <w:rPr>
          <w:rFonts w:eastAsiaTheme="minorHAnsi" w:cstheme="minorHAnsi"/>
          <w:szCs w:val="24"/>
        </w:rPr>
        <w:t xml:space="preserve">teachers’ and students’ </w:t>
      </w:r>
      <w:r w:rsidR="006C1E77" w:rsidRPr="00754E75">
        <w:rPr>
          <w:rFonts w:eastAsiaTheme="minorHAnsi" w:cstheme="minorHAnsi"/>
          <w:szCs w:val="24"/>
        </w:rPr>
        <w:t>understanding of STEM applied in the real world.</w:t>
      </w:r>
    </w:p>
    <w:p w:rsidR="003C77D0" w:rsidRDefault="003C77D0" w:rsidP="006C1E77">
      <w:pPr>
        <w:spacing w:before="120" w:after="120"/>
        <w:rPr>
          <w:rFonts w:eastAsiaTheme="minorHAnsi" w:cstheme="minorHAnsi"/>
          <w:szCs w:val="24"/>
        </w:rPr>
      </w:pPr>
      <w:r w:rsidRPr="003C77D0">
        <w:rPr>
          <w:rFonts w:eastAsiaTheme="minorHAnsi" w:cstheme="minorHAnsi"/>
          <w:szCs w:val="24"/>
        </w:rPr>
        <w:t xml:space="preserve">There will be a focus on tackling the digital divide </w:t>
      </w:r>
      <w:r w:rsidR="00F10E4F">
        <w:rPr>
          <w:rFonts w:eastAsiaTheme="minorHAnsi" w:cstheme="minorHAnsi"/>
          <w:szCs w:val="24"/>
        </w:rPr>
        <w:t>to</w:t>
      </w:r>
      <w:r w:rsidRPr="003C77D0">
        <w:rPr>
          <w:rFonts w:eastAsiaTheme="minorHAnsi" w:cstheme="minorHAnsi"/>
          <w:szCs w:val="24"/>
        </w:rPr>
        <w:t xml:space="preserve"> ensur</w:t>
      </w:r>
      <w:r w:rsidR="00F10E4F">
        <w:rPr>
          <w:rFonts w:eastAsiaTheme="minorHAnsi" w:cstheme="minorHAnsi"/>
          <w:szCs w:val="24"/>
        </w:rPr>
        <w:t>e</w:t>
      </w:r>
      <w:r w:rsidRPr="003C77D0">
        <w:rPr>
          <w:rFonts w:eastAsiaTheme="minorHAnsi" w:cstheme="minorHAnsi"/>
          <w:szCs w:val="24"/>
        </w:rPr>
        <w:t xml:space="preserve"> that students most at risk of falling behind in the digital age are given opportunities to participate and engage </w:t>
      </w:r>
      <w:r w:rsidR="0010688D" w:rsidRPr="003C77D0">
        <w:rPr>
          <w:rFonts w:eastAsiaTheme="minorHAnsi" w:cstheme="minorHAnsi"/>
          <w:szCs w:val="24"/>
        </w:rPr>
        <w:t>in</w:t>
      </w:r>
      <w:r w:rsidR="0010688D">
        <w:rPr>
          <w:rFonts w:eastAsiaTheme="minorHAnsi" w:cstheme="minorHAnsi"/>
          <w:szCs w:val="24"/>
        </w:rPr>
        <w:t xml:space="preserve"> digital literacy and </w:t>
      </w:r>
      <w:r w:rsidR="0010688D">
        <w:rPr>
          <w:rFonts w:eastAsiaTheme="minorHAnsi" w:cstheme="minorHAnsi"/>
          <w:szCs w:val="24"/>
        </w:rPr>
        <w:lastRenderedPageBreak/>
        <w:t xml:space="preserve">STEM in </w:t>
      </w:r>
      <w:r w:rsidRPr="003C77D0">
        <w:rPr>
          <w:rFonts w:eastAsiaTheme="minorHAnsi" w:cstheme="minorHAnsi"/>
          <w:szCs w:val="24"/>
        </w:rPr>
        <w:t xml:space="preserve">both primary and secondary school settings. More information about the above </w:t>
      </w:r>
      <w:r w:rsidR="005B328F">
        <w:rPr>
          <w:rFonts w:eastAsiaTheme="minorHAnsi" w:cstheme="minorHAnsi"/>
          <w:szCs w:val="24"/>
        </w:rPr>
        <w:t>program</w:t>
      </w:r>
      <w:r w:rsidRPr="003C77D0">
        <w:rPr>
          <w:rFonts w:eastAsiaTheme="minorHAnsi" w:cstheme="minorHAnsi"/>
          <w:szCs w:val="24"/>
        </w:rPr>
        <w:t xml:space="preserve">s can be found on the </w:t>
      </w:r>
      <w:hyperlink r:id="rId20" w:history="1">
        <w:r w:rsidRPr="00BC5335">
          <w:rPr>
            <w:rStyle w:val="Hyperlink"/>
            <w:rFonts w:eastAsiaTheme="minorHAnsi" w:cstheme="minorHAnsi"/>
            <w:i/>
            <w:szCs w:val="24"/>
          </w:rPr>
          <w:t>Inspiring all Australians in digital literacy and STEM</w:t>
        </w:r>
      </w:hyperlink>
      <w:r w:rsidRPr="003C77D0">
        <w:rPr>
          <w:rFonts w:eastAsiaTheme="minorHAnsi" w:cstheme="minorHAnsi"/>
          <w:szCs w:val="24"/>
        </w:rPr>
        <w:t xml:space="preserve"> webpage.</w:t>
      </w:r>
    </w:p>
    <w:p w:rsidR="00A91F6E" w:rsidRPr="00591D9D" w:rsidRDefault="00754E75" w:rsidP="00591D9D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Funding for a</w:t>
      </w:r>
      <w:r w:rsidR="006C1E77">
        <w:rPr>
          <w:rFonts w:eastAsiaTheme="minorHAnsi" w:cstheme="minorHAnsi"/>
          <w:szCs w:val="24"/>
        </w:rPr>
        <w:t xml:space="preserve">ll of these </w:t>
      </w:r>
      <w:r w:rsidR="005B328F">
        <w:rPr>
          <w:rFonts w:eastAsiaTheme="minorHAnsi" w:cstheme="minorHAnsi"/>
          <w:szCs w:val="24"/>
        </w:rPr>
        <w:t>program</w:t>
      </w:r>
      <w:r w:rsidR="006C1E77">
        <w:rPr>
          <w:rFonts w:eastAsiaTheme="minorHAnsi" w:cstheme="minorHAnsi"/>
          <w:szCs w:val="24"/>
        </w:rPr>
        <w:t>s commence</w:t>
      </w:r>
      <w:r w:rsidR="00F10E4F">
        <w:rPr>
          <w:rFonts w:eastAsiaTheme="minorHAnsi" w:cstheme="minorHAnsi"/>
          <w:szCs w:val="24"/>
        </w:rPr>
        <w:t>d</w:t>
      </w:r>
      <w:r w:rsidR="006C1E77">
        <w:rPr>
          <w:rFonts w:eastAsiaTheme="minorHAnsi" w:cstheme="minorHAnsi"/>
          <w:szCs w:val="24"/>
        </w:rPr>
        <w:t xml:space="preserve"> </w:t>
      </w:r>
      <w:r w:rsidR="00F10E4F">
        <w:rPr>
          <w:rFonts w:eastAsiaTheme="minorHAnsi" w:cstheme="minorHAnsi"/>
          <w:szCs w:val="24"/>
        </w:rPr>
        <w:t xml:space="preserve">on </w:t>
      </w:r>
      <w:r w:rsidR="006C1E77">
        <w:rPr>
          <w:rFonts w:eastAsiaTheme="minorHAnsi" w:cstheme="minorHAnsi"/>
          <w:szCs w:val="24"/>
        </w:rPr>
        <w:t>1 July 2016.</w:t>
      </w:r>
      <w:bookmarkStart w:id="3" w:name="_Toc445882118"/>
    </w:p>
    <w:p w:rsidR="006C1E77" w:rsidRPr="00D96C9D" w:rsidRDefault="006C1E77" w:rsidP="00D4626D">
      <w:pPr>
        <w:pStyle w:val="Heading2"/>
      </w:pPr>
      <w:bookmarkStart w:id="4" w:name="_Toc486923351"/>
      <w:r w:rsidRPr="00D96C9D">
        <w:t>Program Overview</w:t>
      </w:r>
      <w:bookmarkEnd w:id="3"/>
      <w:bookmarkEnd w:id="4"/>
    </w:p>
    <w:p w:rsidR="007B39E7" w:rsidRPr="00B06CBA" w:rsidRDefault="007B39E7" w:rsidP="00B94CE8">
      <w:pPr>
        <w:spacing w:before="120"/>
        <w:rPr>
          <w:rFonts w:eastAsiaTheme="minorHAnsi" w:cstheme="minorHAnsi"/>
          <w:b/>
          <w:i/>
          <w:szCs w:val="24"/>
        </w:rPr>
      </w:pPr>
      <w:r w:rsidRPr="00B06CBA">
        <w:rPr>
          <w:rFonts w:eastAsiaTheme="minorHAnsi" w:cstheme="minorHAnsi"/>
          <w:b/>
          <w:i/>
          <w:szCs w:val="24"/>
        </w:rPr>
        <w:t>Background</w:t>
      </w:r>
    </w:p>
    <w:p w:rsidR="006C1E77" w:rsidRDefault="006C1E77" w:rsidP="00B94CE8">
      <w:pPr>
        <w:spacing w:before="120"/>
        <w:rPr>
          <w:rFonts w:eastAsiaTheme="minorHAnsi" w:cstheme="minorHAnsi"/>
          <w:szCs w:val="24"/>
        </w:rPr>
      </w:pPr>
      <w:r w:rsidRPr="00D96C9D">
        <w:rPr>
          <w:rFonts w:eastAsiaTheme="minorHAnsi" w:cstheme="minorHAnsi"/>
          <w:szCs w:val="24"/>
        </w:rPr>
        <w:t>Much of the focus on ICT capabilities in schools</w:t>
      </w:r>
      <w:r w:rsidR="0046111D">
        <w:rPr>
          <w:rFonts w:eastAsiaTheme="minorHAnsi" w:cstheme="minorHAnsi"/>
          <w:szCs w:val="24"/>
        </w:rPr>
        <w:t xml:space="preserve"> to date</w:t>
      </w:r>
      <w:r w:rsidRPr="00D96C9D">
        <w:rPr>
          <w:rFonts w:eastAsiaTheme="minorHAnsi" w:cstheme="minorHAnsi"/>
          <w:szCs w:val="24"/>
        </w:rPr>
        <w:t xml:space="preserve"> has been on the functional aspects – such as the ability to create, edit and store documents/spreadsheets as well as general proficiency with computers, mobile devices and other consumer electronics. </w:t>
      </w:r>
      <w:r w:rsidR="00345C4D">
        <w:rPr>
          <w:rFonts w:eastAsiaTheme="minorHAnsi" w:cstheme="minorHAnsi"/>
          <w:szCs w:val="24"/>
        </w:rPr>
        <w:t xml:space="preserve">With the endorsement of the Australian Curriculum: Digital Technologies by all Education Ministers in 2015, </w:t>
      </w:r>
      <w:r w:rsidR="002D38A9">
        <w:rPr>
          <w:rFonts w:eastAsiaTheme="minorHAnsi" w:cstheme="minorHAnsi"/>
          <w:szCs w:val="24"/>
        </w:rPr>
        <w:t xml:space="preserve">the focus has expanded from these more functional skills to embrace the notion of ‘digital literacy’ – which includes skills such as algorithmic and computational thinking, coding, data synthesis and manipulation and the ability to design and use digital technologies. A </w:t>
      </w:r>
      <w:r w:rsidR="00F15BCA">
        <w:rPr>
          <w:rFonts w:eastAsiaTheme="minorHAnsi" w:cstheme="minorHAnsi"/>
          <w:szCs w:val="24"/>
        </w:rPr>
        <w:t xml:space="preserve">recent </w:t>
      </w:r>
      <w:r w:rsidR="002D38A9">
        <w:rPr>
          <w:rFonts w:eastAsiaTheme="minorHAnsi" w:cstheme="minorHAnsi"/>
          <w:szCs w:val="24"/>
        </w:rPr>
        <w:t>report from the U</w:t>
      </w:r>
      <w:r w:rsidR="00B94CE8">
        <w:rPr>
          <w:rFonts w:eastAsiaTheme="minorHAnsi" w:cstheme="minorHAnsi"/>
          <w:szCs w:val="24"/>
        </w:rPr>
        <w:t xml:space="preserve">nited </w:t>
      </w:r>
      <w:r w:rsidR="002D38A9">
        <w:rPr>
          <w:rFonts w:eastAsiaTheme="minorHAnsi" w:cstheme="minorHAnsi"/>
          <w:szCs w:val="24"/>
        </w:rPr>
        <w:t>K</w:t>
      </w:r>
      <w:r w:rsidR="00B94CE8">
        <w:rPr>
          <w:rFonts w:eastAsiaTheme="minorHAnsi" w:cstheme="minorHAnsi"/>
          <w:szCs w:val="24"/>
        </w:rPr>
        <w:t>ingdom</w:t>
      </w:r>
      <w:r w:rsidR="002D38A9">
        <w:rPr>
          <w:rFonts w:eastAsiaTheme="minorHAnsi" w:cstheme="minorHAnsi"/>
          <w:szCs w:val="24"/>
        </w:rPr>
        <w:t xml:space="preserve"> House of Lords </w:t>
      </w:r>
      <w:r w:rsidR="00F15BCA">
        <w:rPr>
          <w:rFonts w:eastAsiaTheme="minorHAnsi" w:cstheme="minorHAnsi"/>
          <w:szCs w:val="24"/>
        </w:rPr>
        <w:t xml:space="preserve">(Make or Break: The UK’s Digital Future) </w:t>
      </w:r>
      <w:r w:rsidR="002D38A9">
        <w:rPr>
          <w:rFonts w:eastAsiaTheme="minorHAnsi" w:cstheme="minorHAnsi"/>
          <w:szCs w:val="24"/>
        </w:rPr>
        <w:t xml:space="preserve">advocates </w:t>
      </w:r>
      <w:r w:rsidR="00F10E4F">
        <w:rPr>
          <w:rFonts w:eastAsiaTheme="minorHAnsi" w:cstheme="minorHAnsi"/>
          <w:szCs w:val="24"/>
        </w:rPr>
        <w:t xml:space="preserve">that </w:t>
      </w:r>
      <w:r w:rsidR="002D38A9">
        <w:rPr>
          <w:rFonts w:eastAsiaTheme="minorHAnsi" w:cstheme="minorHAnsi"/>
          <w:szCs w:val="24"/>
        </w:rPr>
        <w:t>digital literacy is about ‘future proofing’ young people through its fostering of creativity and innovation, underpinning job creation.</w:t>
      </w:r>
      <w:r w:rsidR="006505D1">
        <w:rPr>
          <w:rFonts w:eastAsiaTheme="minorHAnsi" w:cstheme="minorHAnsi"/>
          <w:szCs w:val="24"/>
        </w:rPr>
        <w:t xml:space="preserve"> Along with literacy and numeracy, digital literacy </w:t>
      </w:r>
      <w:r w:rsidR="003C77D0">
        <w:rPr>
          <w:rFonts w:eastAsiaTheme="minorHAnsi" w:cstheme="minorHAnsi"/>
          <w:szCs w:val="24"/>
        </w:rPr>
        <w:t>is critical to</w:t>
      </w:r>
      <w:r w:rsidR="006505D1">
        <w:rPr>
          <w:rFonts w:eastAsiaTheme="minorHAnsi" w:cstheme="minorHAnsi"/>
          <w:szCs w:val="24"/>
        </w:rPr>
        <w:t xml:space="preserve"> ensuring the students of today have the skills they need for the jobs of tomorrow.</w:t>
      </w:r>
    </w:p>
    <w:p w:rsidR="003C77D0" w:rsidRDefault="002D38A9" w:rsidP="00B94CE8">
      <w:pPr>
        <w:spacing w:before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Unlike other Australian Curriculum learn</w:t>
      </w:r>
      <w:r w:rsidR="005D5A4E">
        <w:rPr>
          <w:rFonts w:eastAsiaTheme="minorHAnsi" w:cstheme="minorHAnsi"/>
          <w:szCs w:val="24"/>
        </w:rPr>
        <w:t>ing areas such as mathematics</w:t>
      </w:r>
      <w:r w:rsidR="005D5A4E" w:rsidRPr="00955633">
        <w:rPr>
          <w:rFonts w:eastAsiaTheme="minorHAnsi" w:cstheme="minorHAnsi"/>
          <w:szCs w:val="24"/>
        </w:rPr>
        <w:t xml:space="preserve">, </w:t>
      </w:r>
      <w:r w:rsidR="00955633" w:rsidRPr="00955633">
        <w:rPr>
          <w:rFonts w:eastAsiaTheme="minorHAnsi" w:cstheme="minorHAnsi"/>
          <w:szCs w:val="24"/>
        </w:rPr>
        <w:t>English</w:t>
      </w:r>
      <w:r>
        <w:rPr>
          <w:rFonts w:eastAsiaTheme="minorHAnsi" w:cstheme="minorHAnsi"/>
          <w:szCs w:val="24"/>
        </w:rPr>
        <w:t xml:space="preserve"> and science</w:t>
      </w:r>
      <w:r w:rsidR="00C050B2">
        <w:rPr>
          <w:rFonts w:eastAsiaTheme="minorHAnsi" w:cstheme="minorHAnsi"/>
          <w:szCs w:val="24"/>
        </w:rPr>
        <w:t>,</w:t>
      </w:r>
      <w:r>
        <w:rPr>
          <w:rFonts w:eastAsiaTheme="minorHAnsi" w:cstheme="minorHAnsi"/>
          <w:szCs w:val="24"/>
        </w:rPr>
        <w:t xml:space="preserve"> where teachers have been immersed in these subjects for generation</w:t>
      </w:r>
      <w:r w:rsidR="00C050B2">
        <w:rPr>
          <w:rFonts w:eastAsiaTheme="minorHAnsi" w:cstheme="minorHAnsi"/>
          <w:szCs w:val="24"/>
        </w:rPr>
        <w:t>s, for the majority of teachers</w:t>
      </w:r>
      <w:r>
        <w:rPr>
          <w:rFonts w:eastAsiaTheme="minorHAnsi" w:cstheme="minorHAnsi"/>
          <w:szCs w:val="24"/>
        </w:rPr>
        <w:t xml:space="preserve"> the </w:t>
      </w:r>
      <w:r w:rsidR="00444C9E" w:rsidRPr="00444C9E">
        <w:rPr>
          <w:rFonts w:eastAsiaTheme="minorHAnsi" w:cstheme="minorHAnsi"/>
          <w:szCs w:val="24"/>
        </w:rPr>
        <w:t>Australian Curriculum: Digital Technologies</w:t>
      </w:r>
      <w:r w:rsidR="00444C9E" w:rsidRPr="00444C9E" w:rsidDel="00444C9E">
        <w:rPr>
          <w:rFonts w:eastAsiaTheme="minorHAnsi" w:cstheme="minorHAnsi"/>
          <w:szCs w:val="24"/>
        </w:rPr>
        <w:t xml:space="preserve"> </w:t>
      </w:r>
      <w:r w:rsidR="00025C66">
        <w:rPr>
          <w:rFonts w:eastAsiaTheme="minorHAnsi" w:cstheme="minorHAnsi"/>
          <w:szCs w:val="24"/>
        </w:rPr>
        <w:t xml:space="preserve">may be </w:t>
      </w:r>
      <w:r>
        <w:rPr>
          <w:rFonts w:eastAsiaTheme="minorHAnsi" w:cstheme="minorHAnsi"/>
          <w:szCs w:val="24"/>
        </w:rPr>
        <w:t xml:space="preserve">both unfamiliar and somewhat daunting in </w:t>
      </w:r>
      <w:r w:rsidR="007B39E7">
        <w:rPr>
          <w:rFonts w:eastAsiaTheme="minorHAnsi" w:cstheme="minorHAnsi"/>
          <w:szCs w:val="24"/>
        </w:rPr>
        <w:t xml:space="preserve">knowing </w:t>
      </w:r>
      <w:r>
        <w:rPr>
          <w:rFonts w:eastAsiaTheme="minorHAnsi" w:cstheme="minorHAnsi"/>
          <w:szCs w:val="24"/>
        </w:rPr>
        <w:t xml:space="preserve">where to start. </w:t>
      </w:r>
      <w:r w:rsidR="006505D1">
        <w:rPr>
          <w:rFonts w:eastAsiaTheme="minorHAnsi" w:cstheme="minorHAnsi"/>
          <w:szCs w:val="24"/>
        </w:rPr>
        <w:t xml:space="preserve">Teachers’ </w:t>
      </w:r>
      <w:r w:rsidR="0062737E">
        <w:rPr>
          <w:rFonts w:eastAsiaTheme="minorHAnsi" w:cstheme="minorHAnsi"/>
          <w:szCs w:val="24"/>
        </w:rPr>
        <w:t xml:space="preserve">familiarity with, and </w:t>
      </w:r>
      <w:r w:rsidR="006505D1">
        <w:rPr>
          <w:rFonts w:eastAsiaTheme="minorHAnsi" w:cstheme="minorHAnsi"/>
          <w:szCs w:val="24"/>
        </w:rPr>
        <w:t>skills in</w:t>
      </w:r>
      <w:r w:rsidR="0062737E">
        <w:rPr>
          <w:rFonts w:eastAsiaTheme="minorHAnsi" w:cstheme="minorHAnsi"/>
          <w:szCs w:val="24"/>
        </w:rPr>
        <w:t>,</w:t>
      </w:r>
      <w:r w:rsidR="006505D1">
        <w:rPr>
          <w:rFonts w:eastAsiaTheme="minorHAnsi" w:cstheme="minorHAnsi"/>
          <w:szCs w:val="24"/>
        </w:rPr>
        <w:t xml:space="preserve"> digital technologies </w:t>
      </w:r>
      <w:r w:rsidR="0062737E" w:rsidRPr="0008633C">
        <w:rPr>
          <w:rFonts w:eastAsiaTheme="minorHAnsi" w:cstheme="minorHAnsi"/>
          <w:szCs w:val="24"/>
        </w:rPr>
        <w:t xml:space="preserve">are </w:t>
      </w:r>
      <w:r w:rsidR="00B204D5">
        <w:rPr>
          <w:rFonts w:eastAsiaTheme="minorHAnsi" w:cstheme="minorHAnsi"/>
          <w:szCs w:val="24"/>
        </w:rPr>
        <w:t>quite</w:t>
      </w:r>
      <w:r w:rsidR="006505D1">
        <w:rPr>
          <w:rFonts w:eastAsiaTheme="minorHAnsi" w:cstheme="minorHAnsi"/>
          <w:szCs w:val="24"/>
        </w:rPr>
        <w:t xml:space="preserve"> varied.</w:t>
      </w:r>
    </w:p>
    <w:p w:rsidR="007B39E7" w:rsidRPr="002C0AE5" w:rsidRDefault="007B39E7" w:rsidP="00B94CE8">
      <w:pPr>
        <w:spacing w:before="120"/>
        <w:rPr>
          <w:rFonts w:eastAsiaTheme="minorHAnsi" w:cstheme="minorHAnsi"/>
          <w:b/>
          <w:i/>
          <w:szCs w:val="24"/>
        </w:rPr>
      </w:pPr>
      <w:r w:rsidRPr="002C0AE5">
        <w:rPr>
          <w:rFonts w:eastAsiaTheme="minorHAnsi" w:cstheme="minorHAnsi"/>
          <w:b/>
          <w:i/>
          <w:szCs w:val="24"/>
        </w:rPr>
        <w:t xml:space="preserve">The Program purpose </w:t>
      </w:r>
    </w:p>
    <w:p w:rsidR="007B39E7" w:rsidRDefault="006505D1" w:rsidP="00B94CE8">
      <w:pPr>
        <w:spacing w:before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To this end, </w:t>
      </w:r>
      <w:r w:rsidR="00D10C4E">
        <w:rPr>
          <w:rFonts w:eastAsiaTheme="minorHAnsi" w:cstheme="minorHAnsi"/>
          <w:szCs w:val="24"/>
        </w:rPr>
        <w:t xml:space="preserve">under the Program, </w:t>
      </w:r>
      <w:r>
        <w:rPr>
          <w:rFonts w:eastAsiaTheme="minorHAnsi" w:cstheme="minorHAnsi"/>
          <w:szCs w:val="24"/>
        </w:rPr>
        <w:t>the Australian Government has committed $4 million over 2 years (</w:t>
      </w:r>
      <w:r w:rsidR="00CC0FCC">
        <w:rPr>
          <w:rFonts w:eastAsiaTheme="minorHAnsi" w:cstheme="minorHAnsi"/>
          <w:szCs w:val="24"/>
        </w:rPr>
        <w:t>1</w:t>
      </w:r>
      <w:r w:rsidR="0002336B">
        <w:rPr>
          <w:rFonts w:eastAsiaTheme="minorHAnsi" w:cstheme="minorHAnsi"/>
          <w:szCs w:val="24"/>
        </w:rPr>
        <w:t> </w:t>
      </w:r>
      <w:r w:rsidR="00CC0FCC">
        <w:rPr>
          <w:rFonts w:eastAsiaTheme="minorHAnsi" w:cstheme="minorHAnsi"/>
          <w:szCs w:val="24"/>
        </w:rPr>
        <w:t xml:space="preserve">July </w:t>
      </w:r>
      <w:r>
        <w:rPr>
          <w:rFonts w:eastAsiaTheme="minorHAnsi" w:cstheme="minorHAnsi"/>
          <w:szCs w:val="24"/>
        </w:rPr>
        <w:t xml:space="preserve">2016 – </w:t>
      </w:r>
      <w:r w:rsidR="00CC0FCC">
        <w:rPr>
          <w:rFonts w:eastAsiaTheme="minorHAnsi" w:cstheme="minorHAnsi"/>
          <w:szCs w:val="24"/>
        </w:rPr>
        <w:t xml:space="preserve">30 June </w:t>
      </w:r>
      <w:r>
        <w:rPr>
          <w:rFonts w:eastAsiaTheme="minorHAnsi" w:cstheme="minorHAnsi"/>
          <w:szCs w:val="24"/>
        </w:rPr>
        <w:t>2018) to provide schools with grants</w:t>
      </w:r>
      <w:r w:rsidR="007B39E7">
        <w:rPr>
          <w:rFonts w:eastAsiaTheme="minorHAnsi" w:cstheme="minorHAnsi"/>
          <w:szCs w:val="24"/>
        </w:rPr>
        <w:t xml:space="preserve"> for projects,</w:t>
      </w:r>
      <w:r>
        <w:rPr>
          <w:rFonts w:eastAsiaTheme="minorHAnsi" w:cstheme="minorHAnsi"/>
          <w:szCs w:val="24"/>
        </w:rPr>
        <w:t xml:space="preserve"> that will encourage</w:t>
      </w:r>
      <w:r w:rsidR="0003672B">
        <w:rPr>
          <w:rFonts w:eastAsiaTheme="minorHAnsi" w:cstheme="minorHAnsi"/>
          <w:szCs w:val="24"/>
        </w:rPr>
        <w:t>, facilitate</w:t>
      </w:r>
      <w:r>
        <w:rPr>
          <w:rFonts w:eastAsiaTheme="minorHAnsi" w:cstheme="minorHAnsi"/>
          <w:szCs w:val="24"/>
        </w:rPr>
        <w:t xml:space="preserve"> and inspire the </w:t>
      </w:r>
      <w:r w:rsidR="0003672B">
        <w:rPr>
          <w:rFonts w:eastAsiaTheme="minorHAnsi" w:cstheme="minorHAnsi"/>
          <w:szCs w:val="24"/>
        </w:rPr>
        <w:t xml:space="preserve">effective </w:t>
      </w:r>
      <w:r>
        <w:rPr>
          <w:rFonts w:eastAsiaTheme="minorHAnsi" w:cstheme="minorHAnsi"/>
          <w:szCs w:val="24"/>
        </w:rPr>
        <w:t xml:space="preserve">implementation of the </w:t>
      </w:r>
      <w:r w:rsidR="00444C9E" w:rsidRPr="00444C9E">
        <w:rPr>
          <w:rFonts w:eastAsiaTheme="minorHAnsi" w:cstheme="minorHAnsi"/>
          <w:szCs w:val="24"/>
        </w:rPr>
        <w:t>Australian Curriculum: Digital Technologies</w:t>
      </w:r>
      <w:r>
        <w:rPr>
          <w:rFonts w:eastAsiaTheme="minorHAnsi" w:cstheme="minorHAnsi"/>
          <w:szCs w:val="24"/>
        </w:rPr>
        <w:t xml:space="preserve"> on a whole of school basis. Through these grants, the aim </w:t>
      </w:r>
      <w:r w:rsidR="007B39E7">
        <w:rPr>
          <w:rFonts w:eastAsiaTheme="minorHAnsi" w:cstheme="minorHAnsi"/>
          <w:szCs w:val="24"/>
        </w:rPr>
        <w:t xml:space="preserve">of the Program </w:t>
      </w:r>
      <w:r>
        <w:rPr>
          <w:rFonts w:eastAsiaTheme="minorHAnsi" w:cstheme="minorHAnsi"/>
          <w:szCs w:val="24"/>
        </w:rPr>
        <w:t>is</w:t>
      </w:r>
      <w:r w:rsidR="007B39E7">
        <w:rPr>
          <w:rFonts w:eastAsiaTheme="minorHAnsi" w:cstheme="minorHAnsi"/>
          <w:szCs w:val="24"/>
        </w:rPr>
        <w:t>:</w:t>
      </w:r>
    </w:p>
    <w:p w:rsidR="007B39E7" w:rsidRDefault="006505D1" w:rsidP="002C0AE5">
      <w:pPr>
        <w:pStyle w:val="ListParagraph"/>
        <w:numPr>
          <w:ilvl w:val="0"/>
          <w:numId w:val="39"/>
        </w:numPr>
        <w:spacing w:before="120"/>
        <w:rPr>
          <w:rFonts w:eastAsiaTheme="minorHAnsi" w:cstheme="minorHAnsi"/>
          <w:szCs w:val="24"/>
        </w:rPr>
      </w:pPr>
      <w:r w:rsidRPr="007B39E7">
        <w:rPr>
          <w:rFonts w:eastAsiaTheme="minorHAnsi" w:cstheme="minorHAnsi"/>
          <w:szCs w:val="24"/>
        </w:rPr>
        <w:t>to stimulate best practice models of implementation</w:t>
      </w:r>
      <w:r w:rsidR="007B39E7">
        <w:rPr>
          <w:rFonts w:eastAsiaTheme="minorHAnsi" w:cstheme="minorHAnsi"/>
          <w:szCs w:val="24"/>
        </w:rPr>
        <w:t xml:space="preserve"> of,</w:t>
      </w:r>
      <w:r w:rsidRPr="007B39E7">
        <w:rPr>
          <w:rFonts w:eastAsiaTheme="minorHAnsi" w:cstheme="minorHAnsi"/>
          <w:szCs w:val="24"/>
        </w:rPr>
        <w:t xml:space="preserve"> and student and teacher engagement</w:t>
      </w:r>
      <w:r w:rsidR="007B39E7">
        <w:rPr>
          <w:rFonts w:eastAsiaTheme="minorHAnsi" w:cstheme="minorHAnsi"/>
          <w:szCs w:val="24"/>
        </w:rPr>
        <w:t xml:space="preserve"> in</w:t>
      </w:r>
      <w:r w:rsidR="0003672B">
        <w:rPr>
          <w:rFonts w:eastAsiaTheme="minorHAnsi" w:cstheme="minorHAnsi"/>
          <w:szCs w:val="24"/>
        </w:rPr>
        <w:t>,</w:t>
      </w:r>
      <w:r w:rsidR="007B39E7">
        <w:rPr>
          <w:rFonts w:eastAsiaTheme="minorHAnsi" w:cstheme="minorHAnsi"/>
          <w:szCs w:val="24"/>
        </w:rPr>
        <w:t xml:space="preserve"> the </w:t>
      </w:r>
      <w:r w:rsidR="007B39E7" w:rsidRPr="007B39E7">
        <w:rPr>
          <w:rFonts w:eastAsiaTheme="minorHAnsi" w:cstheme="minorHAnsi"/>
          <w:szCs w:val="24"/>
        </w:rPr>
        <w:t>Australian Curriculum: Digital Technologie</w:t>
      </w:r>
      <w:r w:rsidR="007B39E7">
        <w:rPr>
          <w:rFonts w:eastAsiaTheme="minorHAnsi" w:cstheme="minorHAnsi"/>
          <w:szCs w:val="24"/>
        </w:rPr>
        <w:t>s</w:t>
      </w:r>
      <w:r w:rsidRPr="007B39E7">
        <w:rPr>
          <w:rFonts w:eastAsiaTheme="minorHAnsi" w:cstheme="minorHAnsi"/>
          <w:szCs w:val="24"/>
        </w:rPr>
        <w:t xml:space="preserve">; </w:t>
      </w:r>
    </w:p>
    <w:p w:rsidR="007B39E7" w:rsidRDefault="007B39E7" w:rsidP="002C0AE5">
      <w:pPr>
        <w:pStyle w:val="ListParagraph"/>
        <w:numPr>
          <w:ilvl w:val="0"/>
          <w:numId w:val="39"/>
        </w:numPr>
        <w:spacing w:before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encourage </w:t>
      </w:r>
      <w:r w:rsidR="006505D1" w:rsidRPr="007B39E7">
        <w:rPr>
          <w:rFonts w:eastAsiaTheme="minorHAnsi" w:cstheme="minorHAnsi"/>
          <w:szCs w:val="24"/>
        </w:rPr>
        <w:t xml:space="preserve">sharing of ideas and experiences </w:t>
      </w:r>
      <w:r>
        <w:rPr>
          <w:rFonts w:eastAsiaTheme="minorHAnsi" w:cstheme="minorHAnsi"/>
          <w:szCs w:val="24"/>
        </w:rPr>
        <w:t xml:space="preserve">in relation to the </w:t>
      </w:r>
      <w:r w:rsidRPr="007B39E7">
        <w:rPr>
          <w:rFonts w:eastAsiaTheme="minorHAnsi" w:cstheme="minorHAnsi"/>
          <w:szCs w:val="24"/>
        </w:rPr>
        <w:t>Australian Curriculum: Digital Technologies</w:t>
      </w:r>
      <w:r>
        <w:rPr>
          <w:rFonts w:eastAsiaTheme="minorHAnsi" w:cstheme="minorHAnsi"/>
          <w:szCs w:val="24"/>
        </w:rPr>
        <w:t>,</w:t>
      </w:r>
      <w:r w:rsidRPr="007B39E7">
        <w:rPr>
          <w:rFonts w:eastAsiaTheme="minorHAnsi" w:cstheme="minorHAnsi"/>
          <w:szCs w:val="24"/>
        </w:rPr>
        <w:t xml:space="preserve"> </w:t>
      </w:r>
      <w:r w:rsidR="006505D1" w:rsidRPr="007B39E7">
        <w:rPr>
          <w:rFonts w:eastAsiaTheme="minorHAnsi" w:cstheme="minorHAnsi"/>
          <w:szCs w:val="24"/>
        </w:rPr>
        <w:t xml:space="preserve">within and among schools; </w:t>
      </w:r>
    </w:p>
    <w:p w:rsidR="007B39E7" w:rsidRDefault="007B39E7" w:rsidP="002C0AE5">
      <w:pPr>
        <w:pStyle w:val="ListParagraph"/>
        <w:numPr>
          <w:ilvl w:val="0"/>
          <w:numId w:val="39"/>
        </w:numPr>
        <w:spacing w:before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facilitate the development, implementation and sharing of </w:t>
      </w:r>
      <w:r w:rsidR="006505D1" w:rsidRPr="007B39E7">
        <w:rPr>
          <w:rFonts w:eastAsiaTheme="minorHAnsi" w:cstheme="minorHAnsi"/>
          <w:szCs w:val="24"/>
        </w:rPr>
        <w:t xml:space="preserve">demonstration projects that can be used by other schools to implement the </w:t>
      </w:r>
      <w:r w:rsidRPr="007B39E7">
        <w:rPr>
          <w:rFonts w:eastAsiaTheme="minorHAnsi" w:cstheme="minorHAnsi"/>
          <w:szCs w:val="24"/>
        </w:rPr>
        <w:t>Australian Curriculum: Digital Technologies</w:t>
      </w:r>
      <w:r w:rsidR="006505D1" w:rsidRPr="007B39E7">
        <w:rPr>
          <w:rFonts w:eastAsiaTheme="minorHAnsi" w:cstheme="minorHAnsi"/>
          <w:szCs w:val="24"/>
        </w:rPr>
        <w:t xml:space="preserve">; </w:t>
      </w:r>
      <w:r>
        <w:rPr>
          <w:rFonts w:eastAsiaTheme="minorHAnsi" w:cstheme="minorHAnsi"/>
          <w:szCs w:val="24"/>
        </w:rPr>
        <w:t>and</w:t>
      </w:r>
    </w:p>
    <w:p w:rsidR="00B94CE8" w:rsidRPr="007B39E7" w:rsidRDefault="007B39E7" w:rsidP="002C0AE5">
      <w:pPr>
        <w:pStyle w:val="ListParagraph"/>
        <w:numPr>
          <w:ilvl w:val="0"/>
          <w:numId w:val="39"/>
        </w:numPr>
        <w:spacing w:before="120"/>
        <w:rPr>
          <w:rFonts w:eastAsiaTheme="minorHAnsi" w:cstheme="minorHAnsi"/>
          <w:szCs w:val="24"/>
        </w:rPr>
      </w:pPr>
      <w:proofErr w:type="gramStart"/>
      <w:r>
        <w:rPr>
          <w:rFonts w:eastAsiaTheme="minorHAnsi" w:cstheme="minorHAnsi"/>
          <w:szCs w:val="24"/>
        </w:rPr>
        <w:t>facilitate</w:t>
      </w:r>
      <w:proofErr w:type="gramEnd"/>
      <w:r>
        <w:rPr>
          <w:rFonts w:eastAsiaTheme="minorHAnsi" w:cstheme="minorHAnsi"/>
          <w:szCs w:val="24"/>
        </w:rPr>
        <w:t xml:space="preserve"> effective </w:t>
      </w:r>
      <w:r w:rsidR="006505D1" w:rsidRPr="007B39E7">
        <w:rPr>
          <w:rFonts w:eastAsiaTheme="minorHAnsi" w:cstheme="minorHAnsi"/>
          <w:szCs w:val="24"/>
        </w:rPr>
        <w:t>ways that leaders can inspire their teachers and students to extend</w:t>
      </w:r>
      <w:r>
        <w:rPr>
          <w:rFonts w:eastAsiaTheme="minorHAnsi" w:cstheme="minorHAnsi"/>
          <w:szCs w:val="24"/>
        </w:rPr>
        <w:t xml:space="preserve"> and apply</w:t>
      </w:r>
      <w:r w:rsidR="006505D1" w:rsidRPr="007B39E7">
        <w:rPr>
          <w:rFonts w:eastAsiaTheme="minorHAnsi" w:cstheme="minorHAnsi"/>
          <w:szCs w:val="24"/>
        </w:rPr>
        <w:t xml:space="preserve"> </w:t>
      </w:r>
      <w:r>
        <w:rPr>
          <w:rFonts w:eastAsiaTheme="minorHAnsi" w:cstheme="minorHAnsi"/>
          <w:szCs w:val="24"/>
        </w:rPr>
        <w:t xml:space="preserve">their learning </w:t>
      </w:r>
      <w:r w:rsidR="006505D1" w:rsidRPr="007B39E7">
        <w:rPr>
          <w:rFonts w:eastAsiaTheme="minorHAnsi" w:cstheme="minorHAnsi"/>
          <w:szCs w:val="24"/>
        </w:rPr>
        <w:t xml:space="preserve">across other learning areas through the </w:t>
      </w:r>
      <w:r w:rsidR="00444C9E" w:rsidRPr="007B39E7">
        <w:rPr>
          <w:rFonts w:eastAsiaTheme="minorHAnsi" w:cstheme="minorHAnsi"/>
          <w:szCs w:val="24"/>
        </w:rPr>
        <w:t>Australian Curriculum: Digital Technologies</w:t>
      </w:r>
      <w:r w:rsidR="006505D1" w:rsidRPr="007B39E7">
        <w:rPr>
          <w:rFonts w:eastAsiaTheme="minorHAnsi" w:cstheme="minorHAnsi"/>
          <w:szCs w:val="24"/>
        </w:rPr>
        <w:t>.</w:t>
      </w:r>
    </w:p>
    <w:p w:rsidR="0003672B" w:rsidRDefault="0003672B" w:rsidP="00B94CE8">
      <w:pPr>
        <w:spacing w:before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The Program will be administered by the </w:t>
      </w:r>
      <w:r w:rsidR="00C80768">
        <w:rPr>
          <w:rFonts w:eastAsiaTheme="minorHAnsi" w:cstheme="minorHAnsi"/>
          <w:szCs w:val="24"/>
        </w:rPr>
        <w:t>D</w:t>
      </w:r>
      <w:r w:rsidR="00B015F1">
        <w:rPr>
          <w:rFonts w:eastAsiaTheme="minorHAnsi" w:cstheme="minorHAnsi"/>
          <w:szCs w:val="24"/>
        </w:rPr>
        <w:t>epartment</w:t>
      </w:r>
      <w:r>
        <w:rPr>
          <w:rFonts w:eastAsiaTheme="minorHAnsi" w:cstheme="minorHAnsi"/>
          <w:szCs w:val="24"/>
        </w:rPr>
        <w:t>.</w:t>
      </w:r>
    </w:p>
    <w:p w:rsidR="00B94CE8" w:rsidRPr="0003672B" w:rsidRDefault="0003672B" w:rsidP="00B94CE8">
      <w:pPr>
        <w:spacing w:before="120"/>
        <w:rPr>
          <w:rFonts w:eastAsiaTheme="minorHAnsi" w:cstheme="minorHAnsi"/>
          <w:szCs w:val="24"/>
        </w:rPr>
      </w:pPr>
      <w:r w:rsidRPr="00CC0FCC">
        <w:rPr>
          <w:rFonts w:eastAsiaTheme="minorHAnsi" w:cstheme="minorHAnsi"/>
          <w:szCs w:val="24"/>
        </w:rPr>
        <w:t xml:space="preserve">The </w:t>
      </w:r>
      <w:r w:rsidR="00C80768">
        <w:rPr>
          <w:rFonts w:eastAsiaTheme="minorHAnsi" w:cstheme="minorHAnsi"/>
          <w:szCs w:val="24"/>
        </w:rPr>
        <w:t>D</w:t>
      </w:r>
      <w:r w:rsidR="00B015F1">
        <w:rPr>
          <w:rFonts w:eastAsiaTheme="minorHAnsi" w:cstheme="minorHAnsi"/>
          <w:szCs w:val="24"/>
        </w:rPr>
        <w:t>epartment</w:t>
      </w:r>
      <w:r w:rsidRPr="00CC0FCC">
        <w:rPr>
          <w:rFonts w:eastAsiaTheme="minorHAnsi" w:cstheme="minorHAnsi"/>
          <w:szCs w:val="24"/>
        </w:rPr>
        <w:t xml:space="preserve"> acknowledges that</w:t>
      </w:r>
      <w:r w:rsidR="000F16A5" w:rsidRPr="00CC0FCC">
        <w:rPr>
          <w:rFonts w:eastAsiaTheme="minorHAnsi" w:cstheme="minorHAnsi"/>
          <w:szCs w:val="24"/>
        </w:rPr>
        <w:t>,</w:t>
      </w:r>
      <w:r w:rsidR="003C77D0" w:rsidRPr="00CC0FCC">
        <w:rPr>
          <w:rFonts w:eastAsiaTheme="minorHAnsi" w:cstheme="minorHAnsi"/>
          <w:szCs w:val="24"/>
        </w:rPr>
        <w:t xml:space="preserve"> i</w:t>
      </w:r>
      <w:r w:rsidR="0062737E" w:rsidRPr="00CC0FCC">
        <w:rPr>
          <w:rFonts w:eastAsiaTheme="minorHAnsi" w:cstheme="minorHAnsi"/>
          <w:szCs w:val="24"/>
        </w:rPr>
        <w:t xml:space="preserve">n funding these projects, there </w:t>
      </w:r>
      <w:r w:rsidRPr="00CC0FCC">
        <w:rPr>
          <w:rFonts w:eastAsiaTheme="minorHAnsi" w:cstheme="minorHAnsi"/>
          <w:szCs w:val="24"/>
        </w:rPr>
        <w:t xml:space="preserve">may </w:t>
      </w:r>
      <w:r w:rsidR="0062737E" w:rsidRPr="00CC0FCC">
        <w:rPr>
          <w:rFonts w:eastAsiaTheme="minorHAnsi" w:cstheme="minorHAnsi"/>
          <w:szCs w:val="24"/>
        </w:rPr>
        <w:t xml:space="preserve">be new challenges and hurdles for schools to overcome and that many excellent lessons will be </w:t>
      </w:r>
      <w:r w:rsidR="000F16A5" w:rsidRPr="0002779A">
        <w:rPr>
          <w:rFonts w:eastAsiaTheme="minorHAnsi" w:cstheme="minorHAnsi"/>
          <w:szCs w:val="24"/>
        </w:rPr>
        <w:t>learned</w:t>
      </w:r>
      <w:r w:rsidR="0062737E" w:rsidRPr="005A057D">
        <w:rPr>
          <w:rFonts w:eastAsiaTheme="minorHAnsi" w:cstheme="minorHAnsi"/>
          <w:szCs w:val="24"/>
        </w:rPr>
        <w:t xml:space="preserve"> throughout and </w:t>
      </w:r>
      <w:r w:rsidR="0062737E" w:rsidRPr="005A057D">
        <w:rPr>
          <w:rFonts w:eastAsiaTheme="minorHAnsi" w:cstheme="minorHAnsi"/>
          <w:szCs w:val="24"/>
        </w:rPr>
        <w:lastRenderedPageBreak/>
        <w:t xml:space="preserve">after the </w:t>
      </w:r>
      <w:r w:rsidR="0062737E" w:rsidRPr="00364FCD">
        <w:rPr>
          <w:rFonts w:eastAsiaTheme="minorHAnsi" w:cstheme="minorHAnsi"/>
          <w:szCs w:val="24"/>
        </w:rPr>
        <w:t xml:space="preserve">projects. It is a great opportunity in implementing a new curriculum to gather these collective experiences and share best practice and learnings with others – thereby assisting leaders and teachers to gain confidence and skills in the </w:t>
      </w:r>
      <w:r w:rsidR="00444C9E" w:rsidRPr="0002779A">
        <w:rPr>
          <w:rFonts w:eastAsiaTheme="minorHAnsi" w:cstheme="minorHAnsi"/>
          <w:szCs w:val="24"/>
        </w:rPr>
        <w:t>Australian Curriculum: Digital Technologies</w:t>
      </w:r>
      <w:r w:rsidR="0062737E" w:rsidRPr="005A057D">
        <w:rPr>
          <w:rFonts w:eastAsiaTheme="minorHAnsi" w:cstheme="minorHAnsi"/>
          <w:szCs w:val="24"/>
        </w:rPr>
        <w:t>.</w:t>
      </w:r>
      <w:r w:rsidR="0062737E" w:rsidRPr="0003672B">
        <w:rPr>
          <w:rFonts w:eastAsiaTheme="minorHAnsi" w:cstheme="minorHAnsi"/>
          <w:szCs w:val="24"/>
        </w:rPr>
        <w:t xml:space="preserve"> </w:t>
      </w:r>
    </w:p>
    <w:p w:rsidR="00BD3284" w:rsidRDefault="006435B6" w:rsidP="00B94CE8">
      <w:pPr>
        <w:spacing w:before="120"/>
        <w:rPr>
          <w:rFonts w:eastAsiaTheme="minorHAnsi" w:cstheme="minorHAnsi"/>
          <w:szCs w:val="24"/>
        </w:rPr>
      </w:pPr>
      <w:r w:rsidRPr="0003672B">
        <w:rPr>
          <w:rFonts w:eastAsiaTheme="minorHAnsi" w:cstheme="minorHAnsi"/>
          <w:szCs w:val="24"/>
        </w:rPr>
        <w:t>T</w:t>
      </w:r>
      <w:r w:rsidR="006505D1" w:rsidRPr="0003672B">
        <w:rPr>
          <w:rFonts w:eastAsiaTheme="minorHAnsi" w:cstheme="minorHAnsi"/>
          <w:szCs w:val="24"/>
        </w:rPr>
        <w:t>he role of school leaders - such as principals, ICT leaders, executive teachers</w:t>
      </w:r>
      <w:r w:rsidR="0003672B" w:rsidRPr="0003672B">
        <w:rPr>
          <w:rFonts w:eastAsiaTheme="minorHAnsi" w:cstheme="minorHAnsi"/>
          <w:szCs w:val="24"/>
        </w:rPr>
        <w:t xml:space="preserve"> and </w:t>
      </w:r>
      <w:r w:rsidR="006505D1" w:rsidRPr="0003672B">
        <w:rPr>
          <w:rFonts w:eastAsiaTheme="minorHAnsi" w:cstheme="minorHAnsi"/>
          <w:szCs w:val="24"/>
        </w:rPr>
        <w:t xml:space="preserve">professional bodies – </w:t>
      </w:r>
      <w:r w:rsidR="006C1E77" w:rsidRPr="0003672B">
        <w:rPr>
          <w:rFonts w:eastAsiaTheme="minorHAnsi" w:cstheme="minorHAnsi"/>
          <w:szCs w:val="24"/>
        </w:rPr>
        <w:t xml:space="preserve">as champions of </w:t>
      </w:r>
      <w:r w:rsidR="00BD3284" w:rsidRPr="0003672B">
        <w:rPr>
          <w:rFonts w:eastAsiaTheme="minorHAnsi" w:cstheme="minorHAnsi"/>
          <w:szCs w:val="24"/>
        </w:rPr>
        <w:t>change cannot be overestimated</w:t>
      </w:r>
      <w:r w:rsidR="00C050B2" w:rsidRPr="0003672B">
        <w:rPr>
          <w:rFonts w:eastAsiaTheme="minorHAnsi" w:cstheme="minorHAnsi"/>
          <w:szCs w:val="24"/>
        </w:rPr>
        <w:t>.</w:t>
      </w:r>
      <w:r w:rsidR="006505D1" w:rsidRPr="0003672B">
        <w:rPr>
          <w:rFonts w:eastAsiaTheme="minorHAnsi" w:cstheme="minorHAnsi"/>
          <w:szCs w:val="24"/>
        </w:rPr>
        <w:t xml:space="preserve"> </w:t>
      </w:r>
      <w:r w:rsidR="00C050B2" w:rsidRPr="0003672B">
        <w:rPr>
          <w:rFonts w:eastAsiaTheme="minorHAnsi" w:cstheme="minorHAnsi"/>
          <w:szCs w:val="24"/>
        </w:rPr>
        <w:t>T</w:t>
      </w:r>
      <w:r w:rsidR="00BD3284" w:rsidRPr="0003672B">
        <w:rPr>
          <w:rFonts w:eastAsiaTheme="minorHAnsi" w:cstheme="minorHAnsi"/>
          <w:szCs w:val="24"/>
        </w:rPr>
        <w:t xml:space="preserve">his </w:t>
      </w:r>
      <w:r w:rsidR="00B569E8" w:rsidRPr="0003672B">
        <w:rPr>
          <w:rFonts w:eastAsiaTheme="minorHAnsi" w:cstheme="minorHAnsi"/>
          <w:szCs w:val="24"/>
        </w:rPr>
        <w:t>P</w:t>
      </w:r>
      <w:r w:rsidR="005B328F" w:rsidRPr="0003672B">
        <w:rPr>
          <w:rFonts w:eastAsiaTheme="minorHAnsi" w:cstheme="minorHAnsi"/>
          <w:szCs w:val="24"/>
        </w:rPr>
        <w:t>rogram</w:t>
      </w:r>
      <w:r w:rsidR="00BD3284" w:rsidRPr="0003672B">
        <w:rPr>
          <w:rFonts w:eastAsiaTheme="minorHAnsi" w:cstheme="minorHAnsi"/>
          <w:szCs w:val="24"/>
        </w:rPr>
        <w:t xml:space="preserve"> seeks to </w:t>
      </w:r>
      <w:r w:rsidR="006505D1" w:rsidRPr="0003672B">
        <w:rPr>
          <w:rFonts w:eastAsiaTheme="minorHAnsi" w:cstheme="minorHAnsi"/>
          <w:szCs w:val="24"/>
        </w:rPr>
        <w:t xml:space="preserve">specifically </w:t>
      </w:r>
      <w:r w:rsidR="00BD3284" w:rsidRPr="0003672B">
        <w:rPr>
          <w:rFonts w:eastAsiaTheme="minorHAnsi" w:cstheme="minorHAnsi"/>
          <w:szCs w:val="24"/>
        </w:rPr>
        <w:t>engage these individuals in an effort to drive increased digital literacy in schools and support the implementation of the Australian Curriculum: Digital Technologies</w:t>
      </w:r>
      <w:r w:rsidR="00781239">
        <w:rPr>
          <w:rFonts w:eastAsiaTheme="minorHAnsi" w:cstheme="minorHAnsi"/>
          <w:szCs w:val="24"/>
        </w:rPr>
        <w:t>, therefore these school leaders also have the opportunity to submit Grant Applications, as appropriate</w:t>
      </w:r>
      <w:r w:rsidR="00BD3284" w:rsidRPr="0003672B">
        <w:rPr>
          <w:rFonts w:eastAsiaTheme="minorHAnsi" w:cstheme="minorHAnsi"/>
          <w:szCs w:val="24"/>
        </w:rPr>
        <w:t>.</w:t>
      </w:r>
    </w:p>
    <w:p w:rsidR="0003672B" w:rsidRPr="002C0AE5" w:rsidRDefault="0003672B" w:rsidP="00B94CE8">
      <w:pPr>
        <w:spacing w:before="120"/>
        <w:rPr>
          <w:rFonts w:eastAsiaTheme="minorHAnsi" w:cstheme="minorHAnsi"/>
          <w:b/>
          <w:i/>
          <w:szCs w:val="24"/>
        </w:rPr>
      </w:pPr>
      <w:r w:rsidRPr="002C0AE5">
        <w:rPr>
          <w:rFonts w:eastAsiaTheme="minorHAnsi" w:cstheme="minorHAnsi"/>
          <w:b/>
          <w:i/>
          <w:szCs w:val="24"/>
        </w:rPr>
        <w:t>The Program funding and scope</w:t>
      </w:r>
    </w:p>
    <w:p w:rsidR="00B94CE8" w:rsidRDefault="0003672B" w:rsidP="00B94CE8">
      <w:pPr>
        <w:spacing w:before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G</w:t>
      </w:r>
      <w:r w:rsidR="006C1E77">
        <w:rPr>
          <w:rFonts w:eastAsiaTheme="minorHAnsi" w:cstheme="minorHAnsi"/>
          <w:szCs w:val="24"/>
        </w:rPr>
        <w:t>rants</w:t>
      </w:r>
      <w:r>
        <w:rPr>
          <w:rFonts w:eastAsiaTheme="minorHAnsi" w:cstheme="minorHAnsi"/>
          <w:szCs w:val="24"/>
        </w:rPr>
        <w:t xml:space="preserve"> for </w:t>
      </w:r>
      <w:r w:rsidR="00013173">
        <w:rPr>
          <w:rFonts w:eastAsiaTheme="minorHAnsi" w:cstheme="minorHAnsi"/>
          <w:szCs w:val="24"/>
        </w:rPr>
        <w:t>p</w:t>
      </w:r>
      <w:r>
        <w:rPr>
          <w:rFonts w:eastAsiaTheme="minorHAnsi" w:cstheme="minorHAnsi"/>
          <w:szCs w:val="24"/>
        </w:rPr>
        <w:t>rojects under the Program</w:t>
      </w:r>
      <w:r w:rsidR="006C1E77">
        <w:rPr>
          <w:rFonts w:eastAsiaTheme="minorHAnsi" w:cstheme="minorHAnsi"/>
          <w:szCs w:val="24"/>
        </w:rPr>
        <w:t xml:space="preserve"> are applicat</w:t>
      </w:r>
      <w:r w:rsidR="00BD3284">
        <w:rPr>
          <w:rFonts w:eastAsiaTheme="minorHAnsi" w:cstheme="minorHAnsi"/>
          <w:szCs w:val="24"/>
        </w:rPr>
        <w:t xml:space="preserve">ion based </w:t>
      </w:r>
      <w:r>
        <w:rPr>
          <w:rFonts w:eastAsiaTheme="minorHAnsi" w:cstheme="minorHAnsi"/>
          <w:szCs w:val="24"/>
        </w:rPr>
        <w:t xml:space="preserve">and will be subject to a competitive assessment process. The grants </w:t>
      </w:r>
      <w:r w:rsidR="00BD3284">
        <w:rPr>
          <w:rFonts w:eastAsiaTheme="minorHAnsi" w:cstheme="minorHAnsi"/>
          <w:szCs w:val="24"/>
        </w:rPr>
        <w:t>are split into three</w:t>
      </w:r>
      <w:r w:rsidR="00B94CE8">
        <w:rPr>
          <w:rFonts w:eastAsiaTheme="minorHAnsi" w:cstheme="minorHAnsi"/>
          <w:szCs w:val="24"/>
        </w:rPr>
        <w:t xml:space="preserve"> categories:</w:t>
      </w:r>
      <w:r w:rsidR="006C1E77">
        <w:rPr>
          <w:rFonts w:eastAsiaTheme="minorHAnsi" w:cstheme="minorHAnsi"/>
          <w:szCs w:val="24"/>
        </w:rPr>
        <w:t xml:space="preserve"> </w:t>
      </w:r>
    </w:p>
    <w:p w:rsidR="00B94CE8" w:rsidRDefault="006C1E77" w:rsidP="00B94CE8">
      <w:pPr>
        <w:pStyle w:val="ListParagraph"/>
        <w:numPr>
          <w:ilvl w:val="0"/>
          <w:numId w:val="38"/>
        </w:numPr>
        <w:spacing w:before="120"/>
        <w:rPr>
          <w:rFonts w:eastAsiaTheme="minorHAnsi" w:cstheme="minorHAnsi"/>
          <w:szCs w:val="24"/>
        </w:rPr>
      </w:pPr>
      <w:r w:rsidRPr="00B94CE8">
        <w:rPr>
          <w:rFonts w:eastAsiaTheme="minorHAnsi" w:cstheme="minorHAnsi"/>
          <w:szCs w:val="24"/>
        </w:rPr>
        <w:t xml:space="preserve">Category A </w:t>
      </w:r>
      <w:r w:rsidR="000F16A5" w:rsidRPr="00B94CE8">
        <w:rPr>
          <w:rFonts w:eastAsiaTheme="minorHAnsi" w:cstheme="minorHAnsi"/>
          <w:szCs w:val="24"/>
        </w:rPr>
        <w:t xml:space="preserve">- </w:t>
      </w:r>
      <w:r w:rsidRPr="00B94CE8">
        <w:rPr>
          <w:rFonts w:eastAsiaTheme="minorHAnsi" w:cstheme="minorHAnsi"/>
          <w:szCs w:val="24"/>
        </w:rPr>
        <w:t>grants of between $10,000 and</w:t>
      </w:r>
      <w:r w:rsidR="002F175B">
        <w:rPr>
          <w:rFonts w:eastAsiaTheme="minorHAnsi" w:cstheme="minorHAnsi"/>
          <w:szCs w:val="24"/>
        </w:rPr>
        <w:t xml:space="preserve"> </w:t>
      </w:r>
      <w:r w:rsidRPr="00B94CE8">
        <w:rPr>
          <w:rFonts w:eastAsiaTheme="minorHAnsi" w:cstheme="minorHAnsi"/>
          <w:szCs w:val="24"/>
        </w:rPr>
        <w:t>$20,000 for single year projects</w:t>
      </w:r>
      <w:r w:rsidR="00D806F7">
        <w:rPr>
          <w:rFonts w:eastAsiaTheme="minorHAnsi" w:cstheme="minorHAnsi"/>
          <w:szCs w:val="24"/>
        </w:rPr>
        <w:t>;</w:t>
      </w:r>
    </w:p>
    <w:p w:rsidR="00B94CE8" w:rsidRDefault="006C1E77" w:rsidP="00B94CE8">
      <w:pPr>
        <w:pStyle w:val="ListParagraph"/>
        <w:numPr>
          <w:ilvl w:val="0"/>
          <w:numId w:val="38"/>
        </w:numPr>
        <w:spacing w:before="120"/>
        <w:rPr>
          <w:rFonts w:eastAsiaTheme="minorHAnsi" w:cstheme="minorHAnsi"/>
          <w:szCs w:val="24"/>
        </w:rPr>
      </w:pPr>
      <w:r w:rsidRPr="00B94CE8">
        <w:rPr>
          <w:rFonts w:eastAsiaTheme="minorHAnsi" w:cstheme="minorHAnsi"/>
          <w:szCs w:val="24"/>
        </w:rPr>
        <w:t xml:space="preserve">Category B </w:t>
      </w:r>
      <w:r w:rsidR="000F16A5" w:rsidRPr="00B94CE8">
        <w:rPr>
          <w:rFonts w:eastAsiaTheme="minorHAnsi" w:cstheme="minorHAnsi"/>
          <w:szCs w:val="24"/>
        </w:rPr>
        <w:t xml:space="preserve">- </w:t>
      </w:r>
      <w:r w:rsidRPr="00B94CE8">
        <w:rPr>
          <w:rFonts w:eastAsiaTheme="minorHAnsi" w:cstheme="minorHAnsi"/>
          <w:szCs w:val="24"/>
        </w:rPr>
        <w:t>grants of between $20,</w:t>
      </w:r>
      <w:r w:rsidR="00781239" w:rsidRPr="00B94CE8">
        <w:rPr>
          <w:rFonts w:eastAsiaTheme="minorHAnsi" w:cstheme="minorHAnsi"/>
          <w:szCs w:val="24"/>
        </w:rPr>
        <w:t>00</w:t>
      </w:r>
      <w:r w:rsidR="00781239">
        <w:rPr>
          <w:rFonts w:eastAsiaTheme="minorHAnsi" w:cstheme="minorHAnsi"/>
          <w:szCs w:val="24"/>
        </w:rPr>
        <w:t>1</w:t>
      </w:r>
      <w:r w:rsidR="00781239" w:rsidRPr="00B94CE8">
        <w:rPr>
          <w:rFonts w:eastAsiaTheme="minorHAnsi" w:cstheme="minorHAnsi"/>
          <w:szCs w:val="24"/>
        </w:rPr>
        <w:t xml:space="preserve"> </w:t>
      </w:r>
      <w:r w:rsidRPr="00B94CE8">
        <w:rPr>
          <w:rFonts w:eastAsiaTheme="minorHAnsi" w:cstheme="minorHAnsi"/>
          <w:szCs w:val="24"/>
        </w:rPr>
        <w:t>and $50,000 for projects of larger scale lasting up to two years</w:t>
      </w:r>
      <w:r w:rsidR="00D806F7">
        <w:rPr>
          <w:rFonts w:eastAsiaTheme="minorHAnsi" w:cstheme="minorHAnsi"/>
          <w:szCs w:val="24"/>
        </w:rPr>
        <w:t>; and</w:t>
      </w:r>
      <w:r w:rsidR="00D806F7" w:rsidRPr="00B94CE8">
        <w:rPr>
          <w:rFonts w:eastAsiaTheme="minorHAnsi" w:cstheme="minorHAnsi"/>
          <w:szCs w:val="24"/>
        </w:rPr>
        <w:t xml:space="preserve"> </w:t>
      </w:r>
    </w:p>
    <w:p w:rsidR="009C73C5" w:rsidRPr="00B94CE8" w:rsidRDefault="006435B6" w:rsidP="00B94CE8">
      <w:pPr>
        <w:pStyle w:val="ListParagraph"/>
        <w:numPr>
          <w:ilvl w:val="0"/>
          <w:numId w:val="38"/>
        </w:numPr>
        <w:spacing w:before="120"/>
        <w:rPr>
          <w:rFonts w:eastAsiaTheme="minorHAnsi" w:cstheme="minorHAnsi"/>
          <w:szCs w:val="24"/>
        </w:rPr>
      </w:pPr>
      <w:r w:rsidRPr="00B94CE8">
        <w:rPr>
          <w:rFonts w:eastAsiaTheme="minorHAnsi" w:cstheme="minorHAnsi"/>
          <w:szCs w:val="24"/>
        </w:rPr>
        <w:t xml:space="preserve">Category C </w:t>
      </w:r>
      <w:r w:rsidR="0003672B">
        <w:rPr>
          <w:rFonts w:eastAsiaTheme="minorHAnsi" w:cstheme="minorHAnsi"/>
          <w:szCs w:val="24"/>
        </w:rPr>
        <w:t xml:space="preserve">- </w:t>
      </w:r>
      <w:r w:rsidRPr="00B94CE8">
        <w:rPr>
          <w:rFonts w:eastAsiaTheme="minorHAnsi" w:cstheme="minorHAnsi"/>
          <w:szCs w:val="24"/>
        </w:rPr>
        <w:t>includes grants greater than $50</w:t>
      </w:r>
      <w:r w:rsidR="000F16A5" w:rsidRPr="00B94CE8">
        <w:rPr>
          <w:rFonts w:eastAsiaTheme="minorHAnsi" w:cstheme="minorHAnsi"/>
          <w:szCs w:val="24"/>
        </w:rPr>
        <w:t>,</w:t>
      </w:r>
      <w:r w:rsidRPr="00B94CE8">
        <w:rPr>
          <w:rFonts w:eastAsiaTheme="minorHAnsi" w:cstheme="minorHAnsi"/>
          <w:szCs w:val="24"/>
        </w:rPr>
        <w:t xml:space="preserve">000 where </w:t>
      </w:r>
      <w:r w:rsidR="00955633" w:rsidRPr="00B94CE8">
        <w:rPr>
          <w:rFonts w:eastAsiaTheme="minorHAnsi" w:cstheme="minorHAnsi"/>
          <w:szCs w:val="24"/>
        </w:rPr>
        <w:t xml:space="preserve">a </w:t>
      </w:r>
      <w:r w:rsidR="00013173">
        <w:rPr>
          <w:rFonts w:eastAsiaTheme="minorHAnsi" w:cstheme="minorHAnsi"/>
          <w:szCs w:val="24"/>
        </w:rPr>
        <w:t>p</w:t>
      </w:r>
      <w:r w:rsidR="00095ED6" w:rsidRPr="00B94CE8">
        <w:rPr>
          <w:rFonts w:eastAsiaTheme="minorHAnsi" w:cstheme="minorHAnsi"/>
          <w:szCs w:val="24"/>
        </w:rPr>
        <w:t>ro</w:t>
      </w:r>
      <w:r w:rsidR="00095ED6">
        <w:rPr>
          <w:rFonts w:eastAsiaTheme="minorHAnsi" w:cstheme="minorHAnsi"/>
          <w:szCs w:val="24"/>
        </w:rPr>
        <w:t>ject</w:t>
      </w:r>
      <w:r w:rsidR="00095ED6" w:rsidRPr="00B94CE8">
        <w:rPr>
          <w:rFonts w:eastAsiaTheme="minorHAnsi" w:cstheme="minorHAnsi"/>
          <w:szCs w:val="24"/>
        </w:rPr>
        <w:t xml:space="preserve"> ha</w:t>
      </w:r>
      <w:r w:rsidR="00095ED6">
        <w:rPr>
          <w:rFonts w:eastAsiaTheme="minorHAnsi" w:cstheme="minorHAnsi"/>
          <w:szCs w:val="24"/>
        </w:rPr>
        <w:t>s</w:t>
      </w:r>
      <w:r w:rsidR="00095ED6" w:rsidRPr="00B94CE8">
        <w:rPr>
          <w:rFonts w:eastAsiaTheme="minorHAnsi" w:cstheme="minorHAnsi"/>
          <w:szCs w:val="24"/>
        </w:rPr>
        <w:t xml:space="preserve"> </w:t>
      </w:r>
      <w:r w:rsidRPr="00B94CE8">
        <w:rPr>
          <w:rFonts w:eastAsiaTheme="minorHAnsi" w:cstheme="minorHAnsi"/>
          <w:szCs w:val="24"/>
        </w:rPr>
        <w:t xml:space="preserve">demonstrated capacity to </w:t>
      </w:r>
      <w:r w:rsidR="00CD5F6D" w:rsidRPr="00B94CE8">
        <w:rPr>
          <w:rFonts w:eastAsiaTheme="minorHAnsi" w:cstheme="minorHAnsi"/>
          <w:szCs w:val="24"/>
        </w:rPr>
        <w:t>reach regional, national or sectoral scalabilities such as projects involving clusters of schools and/or peak bodies/professional associations</w:t>
      </w:r>
      <w:r w:rsidR="009C73C5" w:rsidRPr="00B94CE8">
        <w:rPr>
          <w:rFonts w:eastAsiaTheme="minorHAnsi" w:cstheme="minorHAnsi"/>
          <w:szCs w:val="24"/>
        </w:rPr>
        <w:t>.</w:t>
      </w:r>
    </w:p>
    <w:p w:rsidR="006C1E77" w:rsidRDefault="00CA1A33" w:rsidP="00D4626D">
      <w:pPr>
        <w:pStyle w:val="Heading2"/>
      </w:pPr>
      <w:bookmarkStart w:id="5" w:name="_Toc486923352"/>
      <w:r>
        <w:t>Types of Projects</w:t>
      </w:r>
      <w:bookmarkEnd w:id="5"/>
      <w:r>
        <w:t xml:space="preserve"> </w:t>
      </w:r>
    </w:p>
    <w:p w:rsidR="000F16A5" w:rsidRDefault="00D10C4E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Grant Application </w:t>
      </w:r>
      <w:r w:rsidR="00013173">
        <w:rPr>
          <w:rFonts w:eastAsiaTheme="minorHAnsi" w:cstheme="minorHAnsi"/>
          <w:szCs w:val="24"/>
        </w:rPr>
        <w:t>p</w:t>
      </w:r>
      <w:r>
        <w:rPr>
          <w:rFonts w:eastAsiaTheme="minorHAnsi" w:cstheme="minorHAnsi"/>
          <w:szCs w:val="24"/>
        </w:rPr>
        <w:t>roject</w:t>
      </w:r>
      <w:r w:rsidRPr="000F16A5">
        <w:rPr>
          <w:rFonts w:eastAsiaTheme="minorHAnsi" w:cstheme="minorHAnsi"/>
          <w:szCs w:val="24"/>
        </w:rPr>
        <w:t xml:space="preserve"> </w:t>
      </w:r>
      <w:r w:rsidR="006C1E77" w:rsidRPr="000F16A5">
        <w:rPr>
          <w:rFonts w:eastAsiaTheme="minorHAnsi" w:cstheme="minorHAnsi"/>
          <w:szCs w:val="24"/>
        </w:rPr>
        <w:t>proposals must</w:t>
      </w:r>
      <w:r w:rsidR="000F16A5">
        <w:rPr>
          <w:rFonts w:eastAsiaTheme="minorHAnsi" w:cstheme="minorHAnsi"/>
          <w:szCs w:val="24"/>
        </w:rPr>
        <w:t>:</w:t>
      </w:r>
    </w:p>
    <w:p w:rsidR="000F16A5" w:rsidRDefault="000F16A5" w:rsidP="00B94CE8">
      <w:pPr>
        <w:numPr>
          <w:ilvl w:val="0"/>
          <w:numId w:val="23"/>
        </w:numPr>
        <w:spacing w:before="120" w:after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F</w:t>
      </w:r>
      <w:r w:rsidR="006C1E77" w:rsidRPr="000F16A5">
        <w:rPr>
          <w:rFonts w:eastAsiaTheme="minorHAnsi" w:cstheme="minorHAnsi"/>
          <w:szCs w:val="24"/>
        </w:rPr>
        <w:t xml:space="preserve">ocus on school-based activities or </w:t>
      </w:r>
      <w:r w:rsidR="005B328F">
        <w:rPr>
          <w:rFonts w:eastAsiaTheme="minorHAnsi" w:cstheme="minorHAnsi"/>
          <w:szCs w:val="24"/>
        </w:rPr>
        <w:t>program</w:t>
      </w:r>
      <w:r w:rsidR="006C1E77" w:rsidRPr="000F16A5">
        <w:rPr>
          <w:rFonts w:eastAsiaTheme="minorHAnsi" w:cstheme="minorHAnsi"/>
          <w:szCs w:val="24"/>
        </w:rPr>
        <w:t xml:space="preserve">s </w:t>
      </w:r>
      <w:r w:rsidR="006505D1" w:rsidRPr="000F16A5">
        <w:rPr>
          <w:rFonts w:eastAsiaTheme="minorHAnsi" w:cstheme="minorHAnsi"/>
          <w:szCs w:val="24"/>
        </w:rPr>
        <w:t xml:space="preserve">that support school leaders </w:t>
      </w:r>
      <w:r>
        <w:rPr>
          <w:rFonts w:eastAsiaTheme="minorHAnsi" w:cstheme="minorHAnsi"/>
          <w:szCs w:val="24"/>
        </w:rPr>
        <w:t xml:space="preserve">and </w:t>
      </w:r>
      <w:r w:rsidR="006C1E77" w:rsidRPr="000F16A5">
        <w:rPr>
          <w:rFonts w:eastAsiaTheme="minorHAnsi" w:cstheme="minorHAnsi"/>
          <w:szCs w:val="24"/>
        </w:rPr>
        <w:t>teachers to understand and implement the Australian Curriculum: Digital Technologies</w:t>
      </w:r>
      <w:r w:rsidR="00F92D14" w:rsidRPr="000F16A5">
        <w:rPr>
          <w:rFonts w:eastAsiaTheme="minorHAnsi" w:cstheme="minorHAnsi"/>
          <w:szCs w:val="24"/>
        </w:rPr>
        <w:t xml:space="preserve"> on a whole of school basis</w:t>
      </w:r>
      <w:r w:rsidR="00D56866">
        <w:rPr>
          <w:rFonts w:eastAsiaTheme="minorHAnsi" w:cstheme="minorHAnsi"/>
          <w:szCs w:val="24"/>
        </w:rPr>
        <w:t>;</w:t>
      </w:r>
      <w:r w:rsidR="00B64452">
        <w:rPr>
          <w:rFonts w:eastAsiaTheme="minorHAnsi" w:cstheme="minorHAnsi"/>
          <w:szCs w:val="24"/>
        </w:rPr>
        <w:t xml:space="preserve"> </w:t>
      </w:r>
      <w:r w:rsidR="004856C5">
        <w:rPr>
          <w:rFonts w:eastAsiaTheme="minorHAnsi" w:cstheme="minorHAnsi"/>
          <w:szCs w:val="24"/>
        </w:rPr>
        <w:t>and/</w:t>
      </w:r>
      <w:r w:rsidR="00B64452">
        <w:rPr>
          <w:rFonts w:eastAsiaTheme="minorHAnsi" w:cstheme="minorHAnsi"/>
          <w:szCs w:val="24"/>
        </w:rPr>
        <w:t xml:space="preserve">or </w:t>
      </w:r>
      <w:r w:rsidR="006C1E77" w:rsidRPr="000F16A5">
        <w:rPr>
          <w:rFonts w:eastAsiaTheme="minorHAnsi" w:cstheme="minorHAnsi"/>
          <w:szCs w:val="24"/>
        </w:rPr>
        <w:t xml:space="preserve"> </w:t>
      </w:r>
    </w:p>
    <w:p w:rsidR="006C1E77" w:rsidRPr="000F16A5" w:rsidRDefault="00B64452" w:rsidP="00B94CE8">
      <w:pPr>
        <w:numPr>
          <w:ilvl w:val="0"/>
          <w:numId w:val="23"/>
        </w:numPr>
        <w:spacing w:before="120" w:after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Engage students with</w:t>
      </w:r>
      <w:r w:rsidR="00D56866">
        <w:rPr>
          <w:rFonts w:eastAsiaTheme="minorHAnsi" w:cstheme="minorHAnsi"/>
          <w:szCs w:val="24"/>
        </w:rPr>
        <w:t xml:space="preserve"> the</w:t>
      </w:r>
      <w:r>
        <w:rPr>
          <w:rFonts w:eastAsiaTheme="minorHAnsi" w:cstheme="minorHAnsi"/>
          <w:szCs w:val="24"/>
        </w:rPr>
        <w:t xml:space="preserve"> </w:t>
      </w:r>
      <w:r w:rsidRPr="000F16A5">
        <w:rPr>
          <w:rFonts w:eastAsiaTheme="minorHAnsi" w:cstheme="minorHAnsi"/>
          <w:szCs w:val="24"/>
        </w:rPr>
        <w:t>Australian Curriculum: Digital Technologies</w:t>
      </w:r>
      <w:r>
        <w:rPr>
          <w:rFonts w:eastAsiaTheme="minorHAnsi" w:cstheme="minorHAnsi"/>
          <w:szCs w:val="24"/>
        </w:rPr>
        <w:t xml:space="preserve">. </w:t>
      </w:r>
    </w:p>
    <w:p w:rsidR="006C1E77" w:rsidRPr="00D96C9D" w:rsidRDefault="006C1E77" w:rsidP="006C1E77">
      <w:pPr>
        <w:spacing w:before="120" w:after="120"/>
        <w:rPr>
          <w:rFonts w:eastAsiaTheme="minorHAnsi" w:cstheme="minorHAnsi"/>
          <w:szCs w:val="24"/>
        </w:rPr>
      </w:pPr>
      <w:r w:rsidRPr="00D96C9D">
        <w:rPr>
          <w:rFonts w:eastAsiaTheme="minorHAnsi" w:cstheme="minorHAnsi"/>
          <w:szCs w:val="24"/>
        </w:rPr>
        <w:t xml:space="preserve">Grants </w:t>
      </w:r>
      <w:r w:rsidR="00D56866" w:rsidRPr="00D10C4E">
        <w:rPr>
          <w:rFonts w:eastAsiaTheme="minorHAnsi" w:cstheme="minorHAnsi"/>
          <w:szCs w:val="24"/>
        </w:rPr>
        <w:t>are intended to</w:t>
      </w:r>
      <w:r w:rsidR="00D56866">
        <w:rPr>
          <w:rFonts w:eastAsiaTheme="minorHAnsi" w:cstheme="minorHAnsi"/>
          <w:szCs w:val="24"/>
        </w:rPr>
        <w:t xml:space="preserve"> </w:t>
      </w:r>
      <w:r w:rsidRPr="00D96C9D">
        <w:rPr>
          <w:rFonts w:eastAsiaTheme="minorHAnsi" w:cstheme="minorHAnsi"/>
          <w:szCs w:val="24"/>
        </w:rPr>
        <w:t>be provided for projects which</w:t>
      </w:r>
      <w:r w:rsidRPr="0016550B">
        <w:rPr>
          <w:rFonts w:eastAsiaTheme="minorHAnsi" w:cstheme="minorHAnsi"/>
          <w:szCs w:val="24"/>
        </w:rPr>
        <w:t xml:space="preserve"> </w:t>
      </w:r>
      <w:r>
        <w:rPr>
          <w:rFonts w:eastAsiaTheme="minorHAnsi" w:cstheme="minorHAnsi"/>
          <w:szCs w:val="24"/>
        </w:rPr>
        <w:t xml:space="preserve">propose innovative methods </w:t>
      </w:r>
      <w:r w:rsidRPr="00D96C9D">
        <w:rPr>
          <w:rFonts w:eastAsiaTheme="minorHAnsi" w:cstheme="minorHAnsi"/>
          <w:szCs w:val="24"/>
        </w:rPr>
        <w:t>f</w:t>
      </w:r>
      <w:r>
        <w:rPr>
          <w:rFonts w:eastAsiaTheme="minorHAnsi" w:cstheme="minorHAnsi"/>
          <w:szCs w:val="24"/>
        </w:rPr>
        <w:t>or</w:t>
      </w:r>
      <w:r w:rsidRPr="00D96C9D">
        <w:rPr>
          <w:rFonts w:eastAsiaTheme="minorHAnsi" w:cstheme="minorHAnsi"/>
          <w:szCs w:val="24"/>
        </w:rPr>
        <w:t xml:space="preserve"> driving enhanced digital l</w:t>
      </w:r>
      <w:r>
        <w:rPr>
          <w:rFonts w:eastAsiaTheme="minorHAnsi" w:cstheme="minorHAnsi"/>
          <w:szCs w:val="24"/>
        </w:rPr>
        <w:t xml:space="preserve">iteracy throughout schools </w:t>
      </w:r>
      <w:r w:rsidR="00F92D14">
        <w:rPr>
          <w:rFonts w:eastAsiaTheme="minorHAnsi" w:cstheme="minorHAnsi"/>
          <w:szCs w:val="24"/>
        </w:rPr>
        <w:t>such as</w:t>
      </w:r>
      <w:r w:rsidR="00D56866">
        <w:rPr>
          <w:rFonts w:eastAsiaTheme="minorHAnsi" w:cstheme="minorHAnsi"/>
          <w:szCs w:val="24"/>
        </w:rPr>
        <w:t xml:space="preserve"> through</w:t>
      </w:r>
      <w:r>
        <w:rPr>
          <w:rFonts w:eastAsiaTheme="minorHAnsi" w:cstheme="minorHAnsi"/>
          <w:szCs w:val="24"/>
        </w:rPr>
        <w:t>:</w:t>
      </w:r>
    </w:p>
    <w:p w:rsidR="006C1E77" w:rsidRDefault="00F92D14" w:rsidP="006C1E77">
      <w:pPr>
        <w:numPr>
          <w:ilvl w:val="0"/>
          <w:numId w:val="23"/>
        </w:numPr>
        <w:spacing w:before="120" w:after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Partnership models whereby a school partners with one or more school</w:t>
      </w:r>
      <w:r w:rsidR="00851891">
        <w:rPr>
          <w:rFonts w:eastAsiaTheme="minorHAnsi" w:cstheme="minorHAnsi"/>
          <w:szCs w:val="24"/>
        </w:rPr>
        <w:t>(s)</w:t>
      </w:r>
      <w:r>
        <w:rPr>
          <w:rFonts w:eastAsiaTheme="minorHAnsi" w:cstheme="minorHAnsi"/>
          <w:szCs w:val="24"/>
        </w:rPr>
        <w:t xml:space="preserve"> to exchange best practice, ideas and innovation. This could include </w:t>
      </w:r>
      <w:r w:rsidR="006C1E77">
        <w:rPr>
          <w:rFonts w:eastAsiaTheme="minorHAnsi" w:cstheme="minorHAnsi"/>
          <w:szCs w:val="24"/>
        </w:rPr>
        <w:t>partnerships between</w:t>
      </w:r>
      <w:r w:rsidR="006C1E77" w:rsidRPr="00D96C9D">
        <w:rPr>
          <w:rFonts w:eastAsiaTheme="minorHAnsi" w:cstheme="minorHAnsi"/>
          <w:szCs w:val="24"/>
        </w:rPr>
        <w:t xml:space="preserve"> successful ICT leaders in high performing schools with other, less I</w:t>
      </w:r>
      <w:r>
        <w:rPr>
          <w:rFonts w:eastAsiaTheme="minorHAnsi" w:cstheme="minorHAnsi"/>
          <w:szCs w:val="24"/>
        </w:rPr>
        <w:t>CT capable local schools</w:t>
      </w:r>
      <w:r w:rsidR="00D56866">
        <w:rPr>
          <w:rFonts w:eastAsiaTheme="minorHAnsi" w:cstheme="minorHAnsi"/>
          <w:szCs w:val="24"/>
        </w:rPr>
        <w:t>;</w:t>
      </w:r>
    </w:p>
    <w:p w:rsidR="006C1E77" w:rsidRPr="00D96C9D" w:rsidRDefault="00F92D14" w:rsidP="00444C9E">
      <w:pPr>
        <w:numPr>
          <w:ilvl w:val="0"/>
          <w:numId w:val="23"/>
        </w:numPr>
        <w:spacing w:before="120" w:after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P</w:t>
      </w:r>
      <w:r w:rsidR="006C1E77">
        <w:rPr>
          <w:rFonts w:eastAsiaTheme="minorHAnsi" w:cstheme="minorHAnsi"/>
          <w:szCs w:val="24"/>
        </w:rPr>
        <w:t>artnerships between a school (or schools) with industry to access professional expertise and/or equipment</w:t>
      </w:r>
      <w:r>
        <w:rPr>
          <w:rFonts w:eastAsiaTheme="minorHAnsi" w:cstheme="minorHAnsi"/>
          <w:szCs w:val="24"/>
        </w:rPr>
        <w:t xml:space="preserve"> to implement the </w:t>
      </w:r>
      <w:r w:rsidR="00444C9E" w:rsidRPr="00444C9E">
        <w:rPr>
          <w:rFonts w:eastAsiaTheme="minorHAnsi" w:cstheme="minorHAnsi"/>
          <w:szCs w:val="24"/>
        </w:rPr>
        <w:t>Australian Curriculum: Digital Technologies</w:t>
      </w:r>
      <w:r w:rsidR="00D56866">
        <w:rPr>
          <w:rFonts w:eastAsiaTheme="minorHAnsi" w:cstheme="minorHAnsi"/>
          <w:szCs w:val="24"/>
        </w:rPr>
        <w:t>;</w:t>
      </w:r>
    </w:p>
    <w:p w:rsidR="006C1E77" w:rsidRDefault="00D56866" w:rsidP="006C1E77">
      <w:pPr>
        <w:numPr>
          <w:ilvl w:val="0"/>
          <w:numId w:val="23"/>
        </w:numPr>
        <w:spacing w:before="120" w:after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Leveraging </w:t>
      </w:r>
      <w:r w:rsidR="006C1E77">
        <w:rPr>
          <w:rFonts w:eastAsiaTheme="minorHAnsi" w:cstheme="minorHAnsi"/>
          <w:szCs w:val="24"/>
        </w:rPr>
        <w:t>off existing facilities to establish cross curricula</w:t>
      </w:r>
      <w:r w:rsidR="006F25DF">
        <w:rPr>
          <w:rFonts w:eastAsiaTheme="minorHAnsi" w:cstheme="minorHAnsi"/>
          <w:szCs w:val="24"/>
        </w:rPr>
        <w:t>r</w:t>
      </w:r>
      <w:r w:rsidR="006C1E77">
        <w:rPr>
          <w:rFonts w:eastAsiaTheme="minorHAnsi" w:cstheme="minorHAnsi"/>
          <w:szCs w:val="24"/>
        </w:rPr>
        <w:t xml:space="preserve"> </w:t>
      </w:r>
      <w:r w:rsidR="00F92D14">
        <w:rPr>
          <w:rFonts w:eastAsiaTheme="minorHAnsi" w:cstheme="minorHAnsi"/>
          <w:szCs w:val="24"/>
        </w:rPr>
        <w:t>‘creation/fabrication’</w:t>
      </w:r>
      <w:r w:rsidR="006C1E77">
        <w:rPr>
          <w:rFonts w:eastAsiaTheme="minorHAnsi" w:cstheme="minorHAnsi"/>
          <w:szCs w:val="24"/>
        </w:rPr>
        <w:t xml:space="preserve"> spaces including 3D print</w:t>
      </w:r>
      <w:r w:rsidR="00F92D14">
        <w:rPr>
          <w:rFonts w:eastAsiaTheme="minorHAnsi" w:cstheme="minorHAnsi"/>
          <w:szCs w:val="24"/>
        </w:rPr>
        <w:t>ers, laser cutters and the like</w:t>
      </w:r>
      <w:r>
        <w:rPr>
          <w:rFonts w:eastAsiaTheme="minorHAnsi" w:cstheme="minorHAnsi"/>
          <w:szCs w:val="24"/>
        </w:rPr>
        <w:t>; and</w:t>
      </w:r>
    </w:p>
    <w:p w:rsidR="00FE5B36" w:rsidRPr="00FE5B36" w:rsidRDefault="00D56866" w:rsidP="00F01F76">
      <w:pPr>
        <w:numPr>
          <w:ilvl w:val="0"/>
          <w:numId w:val="23"/>
        </w:numPr>
        <w:spacing w:before="120" w:after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Supporting </w:t>
      </w:r>
      <w:r w:rsidR="00E87D3D">
        <w:rPr>
          <w:rFonts w:eastAsiaTheme="minorHAnsi" w:cstheme="minorHAnsi"/>
          <w:szCs w:val="24"/>
        </w:rPr>
        <w:t>professional development for</w:t>
      </w:r>
      <w:r w:rsidR="006C1E77">
        <w:rPr>
          <w:rFonts w:eastAsiaTheme="minorHAnsi" w:cstheme="minorHAnsi"/>
          <w:szCs w:val="24"/>
        </w:rPr>
        <w:t xml:space="preserve"> Principals</w:t>
      </w:r>
      <w:r w:rsidR="00FE5B36">
        <w:rPr>
          <w:rFonts w:eastAsiaTheme="minorHAnsi" w:cstheme="minorHAnsi"/>
          <w:szCs w:val="24"/>
        </w:rPr>
        <w:t xml:space="preserve"> and school leaders</w:t>
      </w:r>
      <w:r w:rsidR="006C1E77">
        <w:rPr>
          <w:rFonts w:eastAsiaTheme="minorHAnsi" w:cstheme="minorHAnsi"/>
          <w:szCs w:val="24"/>
        </w:rPr>
        <w:t xml:space="preserve"> to become ICT champions through facilitated learnin</w:t>
      </w:r>
      <w:r w:rsidR="00F92D14">
        <w:rPr>
          <w:rFonts w:eastAsiaTheme="minorHAnsi" w:cstheme="minorHAnsi"/>
          <w:szCs w:val="24"/>
        </w:rPr>
        <w:t>g and/or other training methods</w:t>
      </w:r>
      <w:r w:rsidR="00FE5B36">
        <w:rPr>
          <w:rFonts w:eastAsiaTheme="minorHAnsi" w:cstheme="minorHAnsi"/>
          <w:szCs w:val="24"/>
        </w:rPr>
        <w:t xml:space="preserve"> to transfer their learnings to other teachers</w:t>
      </w:r>
      <w:r w:rsidR="00FC4D1A">
        <w:rPr>
          <w:rFonts w:eastAsiaTheme="minorHAnsi" w:cstheme="minorHAnsi"/>
          <w:szCs w:val="24"/>
        </w:rPr>
        <w:t>.</w:t>
      </w:r>
    </w:p>
    <w:p w:rsidR="00395C3B" w:rsidRDefault="00521F0E" w:rsidP="00F01F76">
      <w:pPr>
        <w:pStyle w:val="ListParagraph"/>
        <w:spacing w:before="120" w:after="120" w:line="240" w:lineRule="auto"/>
        <w:ind w:left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M</w:t>
      </w:r>
      <w:r w:rsidR="00732E82">
        <w:rPr>
          <w:rFonts w:cstheme="minorHAnsi"/>
          <w:iCs/>
          <w:szCs w:val="24"/>
        </w:rPr>
        <w:t>ulti-school projects spanning primary/</w:t>
      </w:r>
      <w:r w:rsidR="00732E82" w:rsidRPr="00955633">
        <w:rPr>
          <w:rFonts w:cstheme="minorHAnsi"/>
          <w:iCs/>
          <w:szCs w:val="24"/>
        </w:rPr>
        <w:t>secondary</w:t>
      </w:r>
      <w:r w:rsidR="00C050B2" w:rsidRPr="00955633">
        <w:rPr>
          <w:rFonts w:cstheme="minorHAnsi"/>
          <w:iCs/>
          <w:szCs w:val="24"/>
        </w:rPr>
        <w:t>,</w:t>
      </w:r>
      <w:r w:rsidR="00732E82" w:rsidRPr="00955633">
        <w:rPr>
          <w:rFonts w:cstheme="minorHAnsi"/>
          <w:iCs/>
          <w:szCs w:val="24"/>
        </w:rPr>
        <w:t xml:space="preserve"> and/or a</w:t>
      </w:r>
      <w:r w:rsidR="00732E82">
        <w:rPr>
          <w:rFonts w:cstheme="minorHAnsi"/>
          <w:iCs/>
          <w:szCs w:val="24"/>
        </w:rPr>
        <w:t xml:space="preserve"> combination of sectors are </w:t>
      </w:r>
      <w:r>
        <w:rPr>
          <w:rFonts w:cstheme="minorHAnsi"/>
          <w:iCs/>
          <w:szCs w:val="24"/>
        </w:rPr>
        <w:t xml:space="preserve">also </w:t>
      </w:r>
      <w:r w:rsidR="00732E82">
        <w:rPr>
          <w:rFonts w:cstheme="minorHAnsi"/>
          <w:iCs/>
          <w:szCs w:val="24"/>
        </w:rPr>
        <w:t>encouraged.</w:t>
      </w:r>
    </w:p>
    <w:p w:rsidR="00290FE7" w:rsidRDefault="00403095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lastRenderedPageBreak/>
        <w:t xml:space="preserve">All </w:t>
      </w:r>
      <w:r w:rsidR="00D10C4E">
        <w:rPr>
          <w:rFonts w:eastAsiaTheme="minorHAnsi" w:cstheme="minorHAnsi"/>
          <w:szCs w:val="24"/>
        </w:rPr>
        <w:t xml:space="preserve">Grant Applications </w:t>
      </w:r>
      <w:r>
        <w:rPr>
          <w:rFonts w:eastAsiaTheme="minorHAnsi" w:cstheme="minorHAnsi"/>
          <w:szCs w:val="24"/>
        </w:rPr>
        <w:t>will</w:t>
      </w:r>
      <w:r w:rsidR="006C1E77" w:rsidRPr="00402810">
        <w:rPr>
          <w:rFonts w:eastAsiaTheme="minorHAnsi" w:cstheme="minorHAnsi"/>
          <w:szCs w:val="24"/>
        </w:rPr>
        <w:t xml:space="preserve"> need to identify at least one school leader as a Digital Literacy Champion and clearly articulate their role(s) in fostering improved digital literacy among their colleagues and the student body. </w:t>
      </w:r>
    </w:p>
    <w:p w:rsidR="006A46FE" w:rsidRPr="0096672A" w:rsidRDefault="006A46FE" w:rsidP="006A46FE">
      <w:pPr>
        <w:pStyle w:val="Heading2"/>
      </w:pPr>
      <w:bookmarkStart w:id="6" w:name="_Toc340138863"/>
      <w:bookmarkStart w:id="7" w:name="_Toc486923353"/>
      <w:r w:rsidRPr="0096672A">
        <w:t>Reporting and Monitoring Overview</w:t>
      </w:r>
      <w:bookmarkEnd w:id="6"/>
      <w:bookmarkEnd w:id="7"/>
    </w:p>
    <w:p w:rsidR="006A46FE" w:rsidRPr="00030FB6" w:rsidRDefault="006A46FE" w:rsidP="006A46FE">
      <w:r>
        <w:t>Grant</w:t>
      </w:r>
      <w:r w:rsidRPr="00030FB6">
        <w:t xml:space="preserve"> </w:t>
      </w:r>
      <w:r w:rsidR="002D4E16">
        <w:t>R</w:t>
      </w:r>
      <w:r w:rsidR="00D56866">
        <w:t xml:space="preserve">ecipients </w:t>
      </w:r>
      <w:r w:rsidRPr="00030FB6">
        <w:t>are accountable for the funding they receive and must adhere to the reporting requirements in these Guidelines and the</w:t>
      </w:r>
      <w:r w:rsidR="00D10C4E">
        <w:t>ir</w:t>
      </w:r>
      <w:r w:rsidRPr="00030FB6">
        <w:t xml:space="preserve"> </w:t>
      </w:r>
      <w:r>
        <w:t>Grant Funding Agreement</w:t>
      </w:r>
      <w:r w:rsidRPr="00030FB6">
        <w:t>.</w:t>
      </w:r>
    </w:p>
    <w:p w:rsidR="006A46FE" w:rsidRDefault="00521F0E" w:rsidP="006A46FE">
      <w:r>
        <w:t xml:space="preserve">Grant </w:t>
      </w:r>
      <w:r w:rsidR="002D4E16">
        <w:t xml:space="preserve">Recipients </w:t>
      </w:r>
      <w:r>
        <w:t xml:space="preserve">will be required to acquit all grant funding and confirm completion of the approved project. Additional reporting requirements (e.g. a final report) </w:t>
      </w:r>
      <w:r w:rsidR="00976CFF">
        <w:t>may</w:t>
      </w:r>
      <w:r>
        <w:t xml:space="preserve"> be required for certain projects. This will </w:t>
      </w:r>
      <w:r w:rsidR="00976CFF">
        <w:t xml:space="preserve">be </w:t>
      </w:r>
      <w:r>
        <w:t>dependent on</w:t>
      </w:r>
      <w:r w:rsidR="00976CFF">
        <w:t xml:space="preserve"> project </w:t>
      </w:r>
      <w:r>
        <w:t xml:space="preserve">scale and complexity and will be negotiated </w:t>
      </w:r>
      <w:r w:rsidR="002D4E16">
        <w:t xml:space="preserve">between </w:t>
      </w:r>
      <w:r>
        <w:t xml:space="preserve">the </w:t>
      </w:r>
      <w:r w:rsidR="00C80768">
        <w:t>D</w:t>
      </w:r>
      <w:r w:rsidR="00B015F1">
        <w:t>epartment</w:t>
      </w:r>
      <w:r w:rsidR="002D4E16">
        <w:t xml:space="preserve"> and relevant Grant Recipients </w:t>
      </w:r>
      <w:r>
        <w:t xml:space="preserve">and specified in the </w:t>
      </w:r>
      <w:r w:rsidR="002D4E16">
        <w:t xml:space="preserve">Grant Funding Agreement </w:t>
      </w:r>
      <w:r w:rsidR="00976CFF">
        <w:t>that is</w:t>
      </w:r>
      <w:r>
        <w:t xml:space="preserve"> signed by </w:t>
      </w:r>
      <w:r w:rsidR="002D4E16">
        <w:t xml:space="preserve">the </w:t>
      </w:r>
      <w:r>
        <w:t xml:space="preserve">parties.  </w:t>
      </w:r>
    </w:p>
    <w:p w:rsidR="006A46FE" w:rsidRDefault="005F1A53" w:rsidP="006A46FE">
      <w:r>
        <w:t>Grant</w:t>
      </w:r>
      <w:r w:rsidR="006A46FE" w:rsidRPr="00030FB6">
        <w:t xml:space="preserve"> </w:t>
      </w:r>
      <w:r w:rsidR="002D4E16">
        <w:t xml:space="preserve">Recipients </w:t>
      </w:r>
      <w:r w:rsidR="006A46FE" w:rsidRPr="00030FB6">
        <w:t xml:space="preserve">will be required to provide these reports </w:t>
      </w:r>
      <w:r w:rsidR="006A46FE">
        <w:t xml:space="preserve">electronically </w:t>
      </w:r>
      <w:r w:rsidR="006A46FE" w:rsidRPr="00030FB6">
        <w:t>through the completion of templates</w:t>
      </w:r>
      <w:r w:rsidR="00254DB7">
        <w:t xml:space="preserve"> developed by the </w:t>
      </w:r>
      <w:r w:rsidR="00C80768">
        <w:t>D</w:t>
      </w:r>
      <w:r w:rsidR="00B015F1">
        <w:t>epartment</w:t>
      </w:r>
      <w:r w:rsidR="006A46FE">
        <w:t xml:space="preserve">. </w:t>
      </w:r>
    </w:p>
    <w:p w:rsidR="006A46FE" w:rsidRPr="00030FB6" w:rsidRDefault="006A46FE" w:rsidP="006A46FE">
      <w:r>
        <w:t xml:space="preserve">An evaluation strategy will be used to measure the </w:t>
      </w:r>
      <w:r w:rsidRPr="00030FB6">
        <w:t xml:space="preserve">quality and suitability of the required activities undertaken by </w:t>
      </w:r>
      <w:r w:rsidR="002D4E16">
        <w:t>Grant Recipient</w:t>
      </w:r>
      <w:r w:rsidR="002D4E16" w:rsidRPr="00030FB6">
        <w:t xml:space="preserve">s </w:t>
      </w:r>
      <w:r w:rsidRPr="00030FB6">
        <w:t>using information obtained</w:t>
      </w:r>
      <w:r w:rsidR="00976CFF">
        <w:t xml:space="preserve"> from</w:t>
      </w:r>
      <w:r w:rsidRPr="00030FB6">
        <w:t xml:space="preserve"> </w:t>
      </w:r>
      <w:r w:rsidR="002D4E16">
        <w:t xml:space="preserve">Grant Applications </w:t>
      </w:r>
      <w:r w:rsidR="00521F0E">
        <w:t xml:space="preserve">and other </w:t>
      </w:r>
      <w:r w:rsidRPr="00030FB6">
        <w:t>reports</w:t>
      </w:r>
      <w:r>
        <w:t xml:space="preserve"> and</w:t>
      </w:r>
      <w:r w:rsidRPr="00030FB6">
        <w:t xml:space="preserve"> data </w:t>
      </w:r>
      <w:r>
        <w:t>submitted</w:t>
      </w:r>
      <w:r w:rsidRPr="00030FB6">
        <w:t>.</w:t>
      </w:r>
      <w:r>
        <w:t xml:space="preserve"> </w:t>
      </w:r>
      <w:r w:rsidR="00254DB7">
        <w:t xml:space="preserve">The </w:t>
      </w:r>
      <w:r w:rsidR="00C80768">
        <w:t>D</w:t>
      </w:r>
      <w:r w:rsidR="00B015F1">
        <w:t>epartment</w:t>
      </w:r>
      <w:r w:rsidR="002D4E16" w:rsidRPr="00030FB6">
        <w:t xml:space="preserve"> </w:t>
      </w:r>
      <w:r>
        <w:t>may</w:t>
      </w:r>
      <w:r w:rsidRPr="00030FB6">
        <w:t xml:space="preserve"> undertake surveys of </w:t>
      </w:r>
      <w:r>
        <w:t xml:space="preserve">applicable </w:t>
      </w:r>
      <w:r w:rsidRPr="00030FB6">
        <w:t>stakeholders.</w:t>
      </w:r>
      <w:r>
        <w:t xml:space="preserve"> </w:t>
      </w:r>
      <w:r w:rsidRPr="00030FB6">
        <w:t>This information will be used to determine if the Program is achieving and meeting its stated objectives.</w:t>
      </w:r>
      <w:r w:rsidR="00521F0E">
        <w:t xml:space="preserve"> Grant </w:t>
      </w:r>
      <w:r w:rsidR="002D4E16">
        <w:t xml:space="preserve">Recipients </w:t>
      </w:r>
      <w:r w:rsidR="00521F0E">
        <w:t xml:space="preserve">may be asked to participate in this process. </w:t>
      </w:r>
    </w:p>
    <w:p w:rsidR="006A46FE" w:rsidRPr="00030FB6" w:rsidRDefault="006A46FE" w:rsidP="006A46FE">
      <w:r w:rsidRPr="00030FB6">
        <w:t xml:space="preserve">The information </w:t>
      </w:r>
      <w:r>
        <w:t>submitted</w:t>
      </w:r>
      <w:r w:rsidRPr="00030FB6">
        <w:t xml:space="preserve"> by </w:t>
      </w:r>
      <w:r w:rsidR="002D4E16">
        <w:t>Grant Recipients</w:t>
      </w:r>
      <w:r w:rsidR="002D4E16" w:rsidRPr="00030FB6">
        <w:t xml:space="preserve"> </w:t>
      </w:r>
      <w:r w:rsidR="002D4E16">
        <w:t>may</w:t>
      </w:r>
      <w:r w:rsidRPr="00030FB6">
        <w:t xml:space="preserve"> also be used by </w:t>
      </w:r>
      <w:r w:rsidR="00B94CE8">
        <w:t xml:space="preserve">the </w:t>
      </w:r>
      <w:r w:rsidR="00C80768">
        <w:t>D</w:t>
      </w:r>
      <w:r w:rsidR="00B015F1">
        <w:t>epartment</w:t>
      </w:r>
      <w:r w:rsidR="002D4E16" w:rsidRPr="00030FB6">
        <w:t xml:space="preserve"> </w:t>
      </w:r>
      <w:r w:rsidRPr="00030FB6">
        <w:t>to ensure that individual</w:t>
      </w:r>
      <w:r w:rsidR="005F1A53">
        <w:t>s</w:t>
      </w:r>
      <w:r w:rsidRPr="00030FB6">
        <w:t xml:space="preserve"> are compliant with the requirements of the</w:t>
      </w:r>
      <w:r w:rsidR="002D4E16">
        <w:t xml:space="preserve"> Grant</w:t>
      </w:r>
      <w:r w:rsidRPr="00030FB6">
        <w:t xml:space="preserve"> </w:t>
      </w:r>
      <w:r>
        <w:t>Funding Agreement</w:t>
      </w:r>
      <w:r w:rsidRPr="00030FB6">
        <w:t>.</w:t>
      </w:r>
      <w:r>
        <w:t xml:space="preserve"> </w:t>
      </w:r>
      <w:r w:rsidRPr="00030FB6">
        <w:t xml:space="preserve">It will also allow </w:t>
      </w:r>
      <w:r w:rsidR="00B94CE8">
        <w:t xml:space="preserve">the </w:t>
      </w:r>
      <w:r w:rsidR="00C80768">
        <w:t>D</w:t>
      </w:r>
      <w:r w:rsidR="00B015F1">
        <w:t>epartment</w:t>
      </w:r>
      <w:r w:rsidR="002D4E16" w:rsidRPr="00030FB6">
        <w:t xml:space="preserve"> </w:t>
      </w:r>
      <w:r w:rsidRPr="00030FB6">
        <w:t xml:space="preserve">to identify policy and delivery issues early, develop remedial management strategies to assist </w:t>
      </w:r>
      <w:r>
        <w:t>in the delivery of the second round grant funding and</w:t>
      </w:r>
      <w:r w:rsidRPr="00030FB6">
        <w:t xml:space="preserve">, where appropriate, protect Australian Government funds to ensure they are used </w:t>
      </w:r>
      <w:r>
        <w:t xml:space="preserve">in an </w:t>
      </w:r>
      <w:r w:rsidRPr="00030FB6">
        <w:t>appropriate</w:t>
      </w:r>
      <w:r>
        <w:t xml:space="preserve"> and value for money way</w:t>
      </w:r>
      <w:r w:rsidRPr="00030FB6">
        <w:t>.</w:t>
      </w:r>
    </w:p>
    <w:p w:rsidR="00CA1A33" w:rsidRPr="005D0BA7" w:rsidRDefault="00C125D2" w:rsidP="00E44B16">
      <w:pPr>
        <w:pStyle w:val="heading4withoutnumbers"/>
        <w:rPr>
          <w:rFonts w:asciiTheme="minorHAnsi" w:eastAsiaTheme="minorHAnsi" w:hAnsiTheme="minorHAnsi" w:cstheme="minorHAnsi"/>
          <w:sz w:val="28"/>
          <w:szCs w:val="28"/>
        </w:rPr>
      </w:pPr>
      <w:bookmarkStart w:id="8" w:name="_Toc486923354"/>
      <w:r w:rsidRPr="005D0BA7">
        <w:rPr>
          <w:rFonts w:asciiTheme="minorHAnsi" w:eastAsiaTheme="minorHAnsi" w:hAnsiTheme="minorHAnsi" w:cstheme="minorHAnsi"/>
          <w:sz w:val="28"/>
          <w:szCs w:val="28"/>
        </w:rPr>
        <w:t>Additional information</w:t>
      </w:r>
      <w:r w:rsidR="00CA1A33" w:rsidRPr="005D0BA7">
        <w:rPr>
          <w:rFonts w:asciiTheme="minorHAnsi" w:eastAsiaTheme="minorHAnsi" w:hAnsiTheme="minorHAnsi" w:cstheme="minorHAnsi"/>
          <w:sz w:val="28"/>
          <w:szCs w:val="28"/>
        </w:rPr>
        <w:t>:</w:t>
      </w:r>
      <w:bookmarkEnd w:id="8"/>
    </w:p>
    <w:p w:rsidR="002D4E16" w:rsidRDefault="00013173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Grant Application project </w:t>
      </w:r>
      <w:r w:rsidR="00403095">
        <w:rPr>
          <w:rFonts w:eastAsiaTheme="minorHAnsi" w:cstheme="minorHAnsi"/>
          <w:szCs w:val="24"/>
        </w:rPr>
        <w:t>p</w:t>
      </w:r>
      <w:r w:rsidR="00F92D14">
        <w:rPr>
          <w:rFonts w:eastAsiaTheme="minorHAnsi" w:cstheme="minorHAnsi"/>
          <w:szCs w:val="24"/>
        </w:rPr>
        <w:t>roposals</w:t>
      </w:r>
      <w:r w:rsidR="00403095">
        <w:rPr>
          <w:rFonts w:eastAsiaTheme="minorHAnsi" w:cstheme="minorHAnsi"/>
          <w:szCs w:val="24"/>
        </w:rPr>
        <w:t xml:space="preserve"> </w:t>
      </w:r>
      <w:r w:rsidR="0030662C">
        <w:rPr>
          <w:rFonts w:eastAsiaTheme="minorHAnsi" w:cstheme="minorHAnsi"/>
          <w:szCs w:val="24"/>
        </w:rPr>
        <w:t>that target</w:t>
      </w:r>
      <w:r w:rsidR="0030662C" w:rsidRPr="00402810">
        <w:rPr>
          <w:rFonts w:eastAsiaTheme="minorHAnsi" w:cstheme="minorHAnsi"/>
          <w:szCs w:val="24"/>
        </w:rPr>
        <w:t xml:space="preserve"> underrepresented</w:t>
      </w:r>
      <w:r w:rsidR="006C1E77" w:rsidRPr="00402810">
        <w:rPr>
          <w:rFonts w:eastAsiaTheme="minorHAnsi" w:cstheme="minorHAnsi"/>
          <w:szCs w:val="24"/>
        </w:rPr>
        <w:t xml:space="preserve"> groups (such as girls</w:t>
      </w:r>
      <w:r w:rsidR="00F92D14">
        <w:rPr>
          <w:rFonts w:eastAsiaTheme="minorHAnsi" w:cstheme="minorHAnsi"/>
          <w:szCs w:val="24"/>
        </w:rPr>
        <w:t xml:space="preserve"> and/or low SES and/or regional and remote </w:t>
      </w:r>
      <w:r w:rsidR="002D4E16">
        <w:rPr>
          <w:rFonts w:eastAsiaTheme="minorHAnsi" w:cstheme="minorHAnsi"/>
          <w:szCs w:val="24"/>
        </w:rPr>
        <w:t xml:space="preserve">area students </w:t>
      </w:r>
      <w:r w:rsidR="00663F4D">
        <w:rPr>
          <w:rFonts w:eastAsiaTheme="minorHAnsi" w:cstheme="minorHAnsi"/>
          <w:szCs w:val="24"/>
        </w:rPr>
        <w:t>etc.</w:t>
      </w:r>
      <w:r w:rsidR="006C1E77" w:rsidRPr="00402810">
        <w:rPr>
          <w:rFonts w:eastAsiaTheme="minorHAnsi" w:cstheme="minorHAnsi"/>
          <w:szCs w:val="24"/>
        </w:rPr>
        <w:t>)</w:t>
      </w:r>
      <w:r w:rsidR="00FC4D1A">
        <w:rPr>
          <w:rFonts w:eastAsiaTheme="minorHAnsi" w:cstheme="minorHAnsi"/>
          <w:szCs w:val="24"/>
        </w:rPr>
        <w:t xml:space="preserve"> </w:t>
      </w:r>
      <w:r w:rsidR="003C77D0">
        <w:rPr>
          <w:rFonts w:eastAsiaTheme="minorHAnsi" w:cstheme="minorHAnsi"/>
          <w:szCs w:val="24"/>
        </w:rPr>
        <w:t>are</w:t>
      </w:r>
      <w:r w:rsidR="00830D5E">
        <w:rPr>
          <w:rFonts w:eastAsiaTheme="minorHAnsi" w:cstheme="minorHAnsi"/>
          <w:szCs w:val="24"/>
        </w:rPr>
        <w:t xml:space="preserve"> </w:t>
      </w:r>
      <w:r w:rsidR="00CA1A33">
        <w:rPr>
          <w:rFonts w:eastAsiaTheme="minorHAnsi" w:cstheme="minorHAnsi"/>
          <w:szCs w:val="24"/>
        </w:rPr>
        <w:t>encouraged</w:t>
      </w:r>
      <w:r w:rsidR="00830D5E">
        <w:rPr>
          <w:rFonts w:eastAsiaTheme="minorHAnsi" w:cstheme="minorHAnsi"/>
          <w:szCs w:val="24"/>
        </w:rPr>
        <w:t>.</w:t>
      </w:r>
      <w:r w:rsidR="00F92D14">
        <w:rPr>
          <w:rFonts w:eastAsiaTheme="minorHAnsi" w:cstheme="minorHAnsi"/>
          <w:szCs w:val="24"/>
        </w:rPr>
        <w:t xml:space="preserve"> </w:t>
      </w:r>
    </w:p>
    <w:p w:rsidR="006C1E77" w:rsidRDefault="00395C3B" w:rsidP="006C1E77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For projects intending an establishment of digital technologies fabrication facilities, please note that such projects require a dedicated space that is safe, permanently set up and allows students to access all equipment under supervision.</w:t>
      </w:r>
    </w:p>
    <w:p w:rsidR="00353CC6" w:rsidRDefault="00353CC6" w:rsidP="00353CC6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The </w:t>
      </w:r>
      <w:r w:rsidR="00362781">
        <w:rPr>
          <w:rFonts w:eastAsiaTheme="minorHAnsi" w:cstheme="minorHAnsi"/>
          <w:szCs w:val="24"/>
        </w:rPr>
        <w:t>National Digital Technologies Hub</w:t>
      </w:r>
      <w:r>
        <w:rPr>
          <w:rFonts w:eastAsiaTheme="minorHAnsi" w:cstheme="minorHAnsi"/>
          <w:szCs w:val="24"/>
        </w:rPr>
        <w:t xml:space="preserve"> </w:t>
      </w:r>
      <w:r w:rsidR="00BA6C5A">
        <w:rPr>
          <w:rFonts w:eastAsiaTheme="minorHAnsi" w:cstheme="minorHAnsi"/>
          <w:szCs w:val="24"/>
        </w:rPr>
        <w:t>wa</w:t>
      </w:r>
      <w:r>
        <w:rPr>
          <w:rFonts w:eastAsiaTheme="minorHAnsi" w:cstheme="minorHAnsi"/>
          <w:szCs w:val="24"/>
        </w:rPr>
        <w:t xml:space="preserve">s </w:t>
      </w:r>
      <w:r w:rsidR="00395C3B">
        <w:rPr>
          <w:rFonts w:eastAsiaTheme="minorHAnsi" w:cstheme="minorHAnsi"/>
          <w:szCs w:val="24"/>
        </w:rPr>
        <w:t>cooperatively</w:t>
      </w:r>
      <w:r>
        <w:rPr>
          <w:rFonts w:eastAsiaTheme="minorHAnsi" w:cstheme="minorHAnsi"/>
          <w:szCs w:val="24"/>
        </w:rPr>
        <w:t xml:space="preserve"> developed by the </w:t>
      </w:r>
      <w:r w:rsidR="00B94CE8">
        <w:rPr>
          <w:rFonts w:eastAsiaTheme="minorHAnsi" w:cstheme="minorHAnsi"/>
          <w:szCs w:val="24"/>
        </w:rPr>
        <w:t>Australian Government</w:t>
      </w:r>
      <w:r>
        <w:rPr>
          <w:rFonts w:eastAsiaTheme="minorHAnsi" w:cstheme="minorHAnsi"/>
          <w:szCs w:val="24"/>
        </w:rPr>
        <w:t xml:space="preserve">, states and territories and non-government education sectors. It has a specific </w:t>
      </w:r>
      <w:r w:rsidRPr="00F92D14">
        <w:rPr>
          <w:rFonts w:eastAsiaTheme="minorHAnsi" w:cstheme="minorHAnsi"/>
          <w:szCs w:val="24"/>
        </w:rPr>
        <w:t>focus on the Australian Curriculum</w:t>
      </w:r>
      <w:r>
        <w:rPr>
          <w:rFonts w:eastAsiaTheme="minorHAnsi" w:cstheme="minorHAnsi"/>
          <w:szCs w:val="24"/>
        </w:rPr>
        <w:t xml:space="preserve"> </w:t>
      </w:r>
      <w:r w:rsidRPr="00F92D14">
        <w:rPr>
          <w:rFonts w:eastAsiaTheme="minorHAnsi" w:cstheme="minorHAnsi"/>
          <w:szCs w:val="24"/>
        </w:rPr>
        <w:t xml:space="preserve">including the digital technologies learning area, the ICT general capability and other related learning areas such as mathematics. </w:t>
      </w:r>
      <w:r w:rsidR="00B309CE">
        <w:rPr>
          <w:rFonts w:eastAsiaTheme="minorHAnsi" w:cstheme="minorHAnsi"/>
          <w:szCs w:val="24"/>
        </w:rPr>
        <w:t>More information can be found on t</w:t>
      </w:r>
      <w:r w:rsidRPr="00F92D14">
        <w:rPr>
          <w:rFonts w:eastAsiaTheme="minorHAnsi" w:cstheme="minorHAnsi"/>
          <w:szCs w:val="24"/>
        </w:rPr>
        <w:t xml:space="preserve">he </w:t>
      </w:r>
      <w:hyperlink r:id="rId21" w:history="1">
        <w:r w:rsidR="002D4E16" w:rsidRPr="008D1230">
          <w:rPr>
            <w:rStyle w:val="Hyperlink"/>
            <w:rFonts w:eastAsiaTheme="minorHAnsi" w:cstheme="minorHAnsi"/>
            <w:szCs w:val="24"/>
          </w:rPr>
          <w:t xml:space="preserve">National </w:t>
        </w:r>
        <w:r w:rsidRPr="008D1230">
          <w:rPr>
            <w:rStyle w:val="Hyperlink"/>
            <w:rFonts w:eastAsiaTheme="minorHAnsi" w:cstheme="minorHAnsi"/>
            <w:szCs w:val="24"/>
          </w:rPr>
          <w:t>Digital Technologies Hub</w:t>
        </w:r>
      </w:hyperlink>
      <w:r w:rsidR="00B309CE">
        <w:rPr>
          <w:rFonts w:eastAsiaTheme="minorHAnsi" w:cstheme="minorHAnsi"/>
          <w:szCs w:val="24"/>
        </w:rPr>
        <w:t>.</w:t>
      </w:r>
    </w:p>
    <w:p w:rsidR="00F92D14" w:rsidRDefault="00353CC6" w:rsidP="00F92D14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The </w:t>
      </w:r>
      <w:r w:rsidR="00362781">
        <w:rPr>
          <w:rFonts w:eastAsiaTheme="minorHAnsi" w:cstheme="minorHAnsi"/>
          <w:szCs w:val="24"/>
        </w:rPr>
        <w:t xml:space="preserve">National Digital Technologies Hub </w:t>
      </w:r>
      <w:r w:rsidR="00830D5E">
        <w:rPr>
          <w:rFonts w:eastAsiaTheme="minorHAnsi" w:cstheme="minorHAnsi"/>
          <w:szCs w:val="24"/>
        </w:rPr>
        <w:t>provide</w:t>
      </w:r>
      <w:r w:rsidR="00BA6C5A">
        <w:rPr>
          <w:rFonts w:eastAsiaTheme="minorHAnsi" w:cstheme="minorHAnsi"/>
          <w:szCs w:val="24"/>
        </w:rPr>
        <w:t>s</w:t>
      </w:r>
      <w:r w:rsidR="00830D5E">
        <w:rPr>
          <w:rFonts w:eastAsiaTheme="minorHAnsi" w:cstheme="minorHAnsi"/>
          <w:szCs w:val="24"/>
        </w:rPr>
        <w:t xml:space="preserve"> free, quality </w:t>
      </w:r>
      <w:r w:rsidR="00830D5E" w:rsidRPr="00F92D14">
        <w:rPr>
          <w:rFonts w:eastAsiaTheme="minorHAnsi" w:cstheme="minorHAnsi"/>
          <w:szCs w:val="24"/>
        </w:rPr>
        <w:t xml:space="preserve">resources </w:t>
      </w:r>
      <w:r w:rsidR="00830D5E">
        <w:rPr>
          <w:rFonts w:eastAsiaTheme="minorHAnsi" w:cstheme="minorHAnsi"/>
          <w:szCs w:val="24"/>
        </w:rPr>
        <w:t>for teachers and</w:t>
      </w:r>
      <w:r w:rsidR="003C77D0">
        <w:rPr>
          <w:rFonts w:eastAsiaTheme="minorHAnsi" w:cstheme="minorHAnsi"/>
          <w:szCs w:val="24"/>
        </w:rPr>
        <w:t xml:space="preserve"> school</w:t>
      </w:r>
      <w:r w:rsidR="00830D5E">
        <w:rPr>
          <w:rFonts w:eastAsiaTheme="minorHAnsi" w:cstheme="minorHAnsi"/>
          <w:szCs w:val="24"/>
        </w:rPr>
        <w:t xml:space="preserve"> leaders (and eventually students and parents) to implement</w:t>
      </w:r>
      <w:r>
        <w:rPr>
          <w:rFonts w:eastAsiaTheme="minorHAnsi" w:cstheme="minorHAnsi"/>
          <w:szCs w:val="24"/>
        </w:rPr>
        <w:t xml:space="preserve"> the Australian Curriculum: Digital Technologies</w:t>
      </w:r>
      <w:r w:rsidR="00851891">
        <w:rPr>
          <w:rFonts w:eastAsiaTheme="minorHAnsi" w:cstheme="minorHAnsi"/>
          <w:szCs w:val="24"/>
        </w:rPr>
        <w:t xml:space="preserve">. This </w:t>
      </w:r>
      <w:r w:rsidR="002D4E16">
        <w:rPr>
          <w:rFonts w:eastAsiaTheme="minorHAnsi" w:cstheme="minorHAnsi"/>
          <w:szCs w:val="24"/>
        </w:rPr>
        <w:t>is intended to</w:t>
      </w:r>
      <w:r w:rsidR="002D4E16" w:rsidRPr="00830D5E">
        <w:rPr>
          <w:rFonts w:eastAsiaTheme="minorHAnsi" w:cstheme="minorHAnsi"/>
          <w:szCs w:val="24"/>
        </w:rPr>
        <w:t xml:space="preserve"> </w:t>
      </w:r>
      <w:r w:rsidR="00830D5E" w:rsidRPr="00F92D14">
        <w:rPr>
          <w:rFonts w:eastAsiaTheme="minorHAnsi" w:cstheme="minorHAnsi"/>
          <w:szCs w:val="24"/>
        </w:rPr>
        <w:t xml:space="preserve">support and promote best practice teaching across different year </w:t>
      </w:r>
      <w:r w:rsidR="00830D5E" w:rsidRPr="00F92D14">
        <w:rPr>
          <w:rFonts w:eastAsiaTheme="minorHAnsi" w:cstheme="minorHAnsi"/>
          <w:szCs w:val="24"/>
        </w:rPr>
        <w:lastRenderedPageBreak/>
        <w:t xml:space="preserve">levels </w:t>
      </w:r>
      <w:r w:rsidR="00F92D14" w:rsidRPr="00F92D14">
        <w:rPr>
          <w:rFonts w:eastAsiaTheme="minorHAnsi" w:cstheme="minorHAnsi"/>
          <w:szCs w:val="24"/>
        </w:rPr>
        <w:t>in a way that is aligned to the Australian Curriculum and develops students’ algorithmic and computational thinking, including coding</w:t>
      </w:r>
      <w:r w:rsidR="00961E6B">
        <w:rPr>
          <w:rFonts w:eastAsiaTheme="minorHAnsi" w:cstheme="minorHAnsi"/>
          <w:szCs w:val="24"/>
        </w:rPr>
        <w:t>/</w:t>
      </w:r>
      <w:r w:rsidR="00F92D14" w:rsidRPr="00F92D14">
        <w:rPr>
          <w:rFonts w:eastAsiaTheme="minorHAnsi" w:cstheme="minorHAnsi"/>
          <w:szCs w:val="24"/>
        </w:rPr>
        <w:t>programming skills.</w:t>
      </w:r>
      <w:r>
        <w:rPr>
          <w:rFonts w:eastAsiaTheme="minorHAnsi" w:cstheme="minorHAnsi"/>
          <w:szCs w:val="24"/>
        </w:rPr>
        <w:t xml:space="preserve"> These resources have been sourced internationally and nationally with specific mapping to the Australian Curriculum: Digital Technologies and additional pedagogical, student assessment and project management scaffolding as required.</w:t>
      </w:r>
    </w:p>
    <w:p w:rsidR="00362781" w:rsidRPr="00F92D14" w:rsidRDefault="00362781" w:rsidP="00362781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Grant </w:t>
      </w:r>
      <w:r w:rsidR="00013173">
        <w:rPr>
          <w:rFonts w:eastAsiaTheme="minorHAnsi" w:cstheme="minorHAnsi"/>
          <w:szCs w:val="24"/>
        </w:rPr>
        <w:t xml:space="preserve">Recipients </w:t>
      </w:r>
      <w:r>
        <w:rPr>
          <w:rFonts w:eastAsiaTheme="minorHAnsi" w:cstheme="minorHAnsi"/>
          <w:szCs w:val="24"/>
        </w:rPr>
        <w:t xml:space="preserve">are encouraged to share or make available resources arising from a project (such as lesson plans) on the National Digital Technologies Hub under Creative Commons licencing arrangements. </w:t>
      </w:r>
    </w:p>
    <w:p w:rsidR="00A91F6E" w:rsidRPr="00591D9D" w:rsidRDefault="00AE627C" w:rsidP="00591D9D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Important </w:t>
      </w:r>
      <w:r w:rsidR="003E3850">
        <w:rPr>
          <w:rFonts w:eastAsiaTheme="minorHAnsi" w:cstheme="minorHAnsi"/>
          <w:szCs w:val="24"/>
        </w:rPr>
        <w:t xml:space="preserve">Note – </w:t>
      </w:r>
      <w:r w:rsidR="003C77D0">
        <w:rPr>
          <w:rFonts w:eastAsiaTheme="minorHAnsi" w:cstheme="minorHAnsi"/>
          <w:szCs w:val="24"/>
        </w:rPr>
        <w:t>T</w:t>
      </w:r>
      <w:r w:rsidR="00865270">
        <w:rPr>
          <w:rFonts w:eastAsiaTheme="minorHAnsi" w:cstheme="minorHAnsi"/>
          <w:szCs w:val="24"/>
        </w:rPr>
        <w:t xml:space="preserve">hese grants are not to fund </w:t>
      </w:r>
      <w:r>
        <w:rPr>
          <w:rFonts w:eastAsiaTheme="minorHAnsi" w:cstheme="minorHAnsi"/>
          <w:szCs w:val="24"/>
        </w:rPr>
        <w:t>additional teaching or administrative staff</w:t>
      </w:r>
      <w:r w:rsidR="00865270">
        <w:rPr>
          <w:rFonts w:eastAsiaTheme="minorHAnsi" w:cstheme="minorHAnsi"/>
          <w:szCs w:val="24"/>
        </w:rPr>
        <w:t xml:space="preserve">. </w:t>
      </w:r>
      <w:r>
        <w:rPr>
          <w:rFonts w:eastAsiaTheme="minorHAnsi" w:cstheme="minorHAnsi"/>
          <w:szCs w:val="24"/>
        </w:rPr>
        <w:t>Staffing allocation and costs are the remit of the states and territories</w:t>
      </w:r>
      <w:r w:rsidR="008300DA">
        <w:rPr>
          <w:rFonts w:eastAsiaTheme="minorHAnsi" w:cstheme="minorHAnsi"/>
          <w:szCs w:val="24"/>
        </w:rPr>
        <w:t xml:space="preserve"> and non-government school authorities</w:t>
      </w:r>
      <w:r>
        <w:rPr>
          <w:rFonts w:eastAsiaTheme="minorHAnsi" w:cstheme="minorHAnsi"/>
          <w:szCs w:val="24"/>
        </w:rPr>
        <w:t xml:space="preserve">. </w:t>
      </w:r>
    </w:p>
    <w:p w:rsidR="005B328F" w:rsidRDefault="005B328F" w:rsidP="00E44B16">
      <w:pPr>
        <w:pStyle w:val="Heading2"/>
        <w:rPr>
          <w:rFonts w:eastAsiaTheme="minorHAnsi"/>
        </w:rPr>
      </w:pPr>
      <w:bookmarkStart w:id="9" w:name="_Toc486923355"/>
      <w:r>
        <w:rPr>
          <w:rFonts w:eastAsiaTheme="minorHAnsi"/>
        </w:rPr>
        <w:t>Managing Risk</w:t>
      </w:r>
      <w:bookmarkEnd w:id="9"/>
    </w:p>
    <w:p w:rsidR="005B328F" w:rsidRPr="00030FB6" w:rsidRDefault="005B328F" w:rsidP="005B328F">
      <w:r w:rsidRPr="00030FB6">
        <w:t xml:space="preserve">Each </w:t>
      </w:r>
      <w:r w:rsidR="002D4E16">
        <w:t xml:space="preserve">Grant Recipient </w:t>
      </w:r>
      <w:r w:rsidRPr="00030FB6">
        <w:t xml:space="preserve">must have a documented risk management </w:t>
      </w:r>
      <w:r w:rsidR="00E80A69">
        <w:t>plan</w:t>
      </w:r>
      <w:r w:rsidRPr="00030FB6">
        <w:t xml:space="preserve"> in place.</w:t>
      </w:r>
      <w:r>
        <w:t xml:space="preserve"> </w:t>
      </w:r>
      <w:r w:rsidR="002D4E16">
        <w:t>The</w:t>
      </w:r>
      <w:r w:rsidR="002D4E16" w:rsidRPr="00030FB6">
        <w:t xml:space="preserve"> </w:t>
      </w:r>
      <w:r w:rsidRPr="00030FB6">
        <w:t xml:space="preserve">risk management </w:t>
      </w:r>
      <w:r w:rsidR="00E80A69">
        <w:t>plan</w:t>
      </w:r>
      <w:r w:rsidR="002D4E16">
        <w:t xml:space="preserve"> must</w:t>
      </w:r>
      <w:r w:rsidRPr="00030FB6">
        <w:t xml:space="preserve"> </w:t>
      </w:r>
      <w:r w:rsidR="002D4E16" w:rsidRPr="00030FB6">
        <w:t>identif</w:t>
      </w:r>
      <w:r w:rsidR="002D4E16">
        <w:t>y</w:t>
      </w:r>
      <w:r w:rsidR="002D4E16" w:rsidRPr="00030FB6">
        <w:t xml:space="preserve"> </w:t>
      </w:r>
      <w:r w:rsidRPr="00030FB6">
        <w:t xml:space="preserve">key risks, outline strategies for minimising </w:t>
      </w:r>
      <w:r w:rsidR="00E80A69">
        <w:t xml:space="preserve">or negating </w:t>
      </w:r>
      <w:r w:rsidRPr="00030FB6">
        <w:t xml:space="preserve">those risks and provide a plan to address residual risks across the </w:t>
      </w:r>
      <w:r>
        <w:t>project</w:t>
      </w:r>
      <w:r w:rsidRPr="00030FB6">
        <w:t>.</w:t>
      </w:r>
      <w:r>
        <w:t xml:space="preserve"> </w:t>
      </w:r>
    </w:p>
    <w:p w:rsidR="005B328F" w:rsidRDefault="005B328F" w:rsidP="005B328F">
      <w:r w:rsidRPr="00030FB6">
        <w:t xml:space="preserve">Each </w:t>
      </w:r>
      <w:r w:rsidR="002D4E16">
        <w:t>Grant Recipient</w:t>
      </w:r>
      <w:r w:rsidR="002D4E16" w:rsidRPr="00030FB6">
        <w:t xml:space="preserve"> </w:t>
      </w:r>
      <w:r w:rsidRPr="00030FB6">
        <w:t xml:space="preserve">must periodically review its </w:t>
      </w:r>
      <w:r>
        <w:t>r</w:t>
      </w:r>
      <w:r w:rsidRPr="00030FB6">
        <w:t xml:space="preserve">isk </w:t>
      </w:r>
      <w:r>
        <w:t>m</w:t>
      </w:r>
      <w:r w:rsidRPr="00030FB6">
        <w:t xml:space="preserve">anagement </w:t>
      </w:r>
      <w:r>
        <w:t>p</w:t>
      </w:r>
      <w:r w:rsidRPr="00030FB6">
        <w:t>lan, the level of risk, and the day-to-day operational processes used to manage risks.</w:t>
      </w:r>
      <w:r>
        <w:t xml:space="preserve"> </w:t>
      </w:r>
      <w:r w:rsidR="002D4E16">
        <w:t>Grant Recipients must make r</w:t>
      </w:r>
      <w:r w:rsidRPr="00030FB6">
        <w:t xml:space="preserve">isk </w:t>
      </w:r>
      <w:r>
        <w:t>m</w:t>
      </w:r>
      <w:r w:rsidRPr="00030FB6">
        <w:t xml:space="preserve">anagement </w:t>
      </w:r>
      <w:r>
        <w:t>p</w:t>
      </w:r>
      <w:r w:rsidRPr="00030FB6">
        <w:t xml:space="preserve">lans available to </w:t>
      </w:r>
      <w:r w:rsidR="00B94CE8">
        <w:t xml:space="preserve">the </w:t>
      </w:r>
      <w:r w:rsidR="00C80768">
        <w:t>D</w:t>
      </w:r>
      <w:r w:rsidR="00B015F1">
        <w:t>epartment</w:t>
      </w:r>
      <w:r w:rsidR="002D4E16" w:rsidRPr="00030FB6">
        <w:t xml:space="preserve"> </w:t>
      </w:r>
      <w:r w:rsidRPr="00030FB6">
        <w:t>on request.</w:t>
      </w:r>
    </w:p>
    <w:p w:rsidR="005B328F" w:rsidRDefault="00B94CE8" w:rsidP="005B328F">
      <w:r>
        <w:t xml:space="preserve">The </w:t>
      </w:r>
      <w:r w:rsidR="00C80768">
        <w:t>D</w:t>
      </w:r>
      <w:r w:rsidR="00B015F1">
        <w:t>epartment</w:t>
      </w:r>
      <w:r w:rsidR="002D4E16">
        <w:t xml:space="preserve"> </w:t>
      </w:r>
      <w:r w:rsidR="005B328F">
        <w:t xml:space="preserve">has in place a risk management plan in relation to this </w:t>
      </w:r>
      <w:r w:rsidR="002D4E16">
        <w:t>P</w:t>
      </w:r>
      <w:r w:rsidR="005B328F">
        <w:t xml:space="preserve">rogram. </w:t>
      </w:r>
    </w:p>
    <w:p w:rsidR="007A550F" w:rsidRDefault="007A550F">
      <w:pPr>
        <w:rPr>
          <w:rFonts w:ascii="Calibri" w:eastAsiaTheme="minorHAnsi" w:hAnsi="Calibri" w:cstheme="majorBidi"/>
          <w:b/>
          <w:bCs/>
          <w:color w:val="522761"/>
          <w:sz w:val="36"/>
          <w:szCs w:val="28"/>
        </w:rPr>
      </w:pPr>
      <w:r>
        <w:rPr>
          <w:rFonts w:eastAsiaTheme="minorHAnsi"/>
        </w:rPr>
        <w:br w:type="page"/>
      </w:r>
    </w:p>
    <w:p w:rsidR="006C1E77" w:rsidRDefault="006E05FE" w:rsidP="006C1E77">
      <w:pPr>
        <w:pStyle w:val="Heading1"/>
        <w:rPr>
          <w:rFonts w:eastAsiaTheme="minorHAnsi"/>
        </w:rPr>
      </w:pPr>
      <w:bookmarkStart w:id="10" w:name="_Toc486923356"/>
      <w:r>
        <w:rPr>
          <w:rFonts w:eastAsiaTheme="minorHAnsi"/>
        </w:rPr>
        <w:lastRenderedPageBreak/>
        <w:t xml:space="preserve">Grant </w:t>
      </w:r>
      <w:r w:rsidR="008B4D76">
        <w:rPr>
          <w:rFonts w:eastAsiaTheme="minorHAnsi"/>
        </w:rPr>
        <w:t>C</w:t>
      </w:r>
      <w:r>
        <w:rPr>
          <w:rFonts w:eastAsiaTheme="minorHAnsi"/>
        </w:rPr>
        <w:t>ategories</w:t>
      </w:r>
      <w:bookmarkEnd w:id="10"/>
    </w:p>
    <w:p w:rsidR="006C1E77" w:rsidRDefault="006E05FE" w:rsidP="00B94CE8">
      <w:pPr>
        <w:spacing w:before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Three</w:t>
      </w:r>
      <w:r w:rsidR="006C1E77">
        <w:rPr>
          <w:rFonts w:eastAsiaTheme="minorHAnsi" w:cstheme="minorHAnsi"/>
          <w:szCs w:val="24"/>
        </w:rPr>
        <w:t xml:space="preserve"> categories of grant</w:t>
      </w:r>
      <w:r>
        <w:rPr>
          <w:rFonts w:eastAsiaTheme="minorHAnsi" w:cstheme="minorHAnsi"/>
          <w:szCs w:val="24"/>
        </w:rPr>
        <w:t>s</w:t>
      </w:r>
      <w:r w:rsidR="006C1E77">
        <w:rPr>
          <w:rFonts w:eastAsiaTheme="minorHAnsi" w:cstheme="minorHAnsi"/>
          <w:szCs w:val="24"/>
        </w:rPr>
        <w:t xml:space="preserve"> </w:t>
      </w:r>
      <w:r w:rsidR="002D4E16">
        <w:rPr>
          <w:rFonts w:eastAsiaTheme="minorHAnsi" w:cstheme="minorHAnsi"/>
          <w:szCs w:val="24"/>
        </w:rPr>
        <w:t>are</w:t>
      </w:r>
      <w:r w:rsidR="006C1E77">
        <w:rPr>
          <w:rFonts w:eastAsiaTheme="minorHAnsi" w:cstheme="minorHAnsi"/>
          <w:szCs w:val="24"/>
        </w:rPr>
        <w:t xml:space="preserve"> available under this </w:t>
      </w:r>
      <w:r w:rsidR="002D4E16">
        <w:rPr>
          <w:rFonts w:eastAsiaTheme="minorHAnsi" w:cstheme="minorHAnsi"/>
          <w:szCs w:val="24"/>
        </w:rPr>
        <w:t>Program</w:t>
      </w:r>
      <w:r w:rsidR="006C1E77">
        <w:rPr>
          <w:rFonts w:eastAsiaTheme="minorHAnsi" w:cstheme="minorHAnsi"/>
          <w:szCs w:val="24"/>
        </w:rPr>
        <w:t>:</w:t>
      </w:r>
    </w:p>
    <w:p w:rsidR="006C1E77" w:rsidRDefault="006C1E77" w:rsidP="00B94CE8">
      <w:pPr>
        <w:pStyle w:val="Heading2"/>
        <w:spacing w:after="200"/>
        <w:rPr>
          <w:rFonts w:eastAsiaTheme="minorHAnsi"/>
        </w:rPr>
      </w:pPr>
      <w:bookmarkStart w:id="11" w:name="_Toc486923357"/>
      <w:r w:rsidRPr="006C1E77">
        <w:rPr>
          <w:rFonts w:eastAsiaTheme="minorHAnsi"/>
        </w:rPr>
        <w:t>Category A grants</w:t>
      </w:r>
      <w:bookmarkEnd w:id="11"/>
    </w:p>
    <w:p w:rsidR="001E5E27" w:rsidRPr="00B94CE8" w:rsidRDefault="00DE298D" w:rsidP="00B94CE8">
      <w:pPr>
        <w:spacing w:before="120" w:line="240" w:lineRule="auto"/>
        <w:rPr>
          <w:rStyle w:val="Heading2Char"/>
          <w:rFonts w:asciiTheme="minorHAnsi" w:eastAsiaTheme="minorHAnsi" w:hAnsiTheme="minorHAnsi" w:cstheme="minorHAnsi"/>
          <w:b w:val="0"/>
          <w:bCs w:val="0"/>
          <w:sz w:val="22"/>
          <w:szCs w:val="24"/>
        </w:rPr>
      </w:pPr>
      <w:r>
        <w:rPr>
          <w:rFonts w:eastAsiaTheme="minorHAnsi" w:cstheme="minorHAnsi"/>
          <w:szCs w:val="24"/>
        </w:rPr>
        <w:t xml:space="preserve">Category A comprises </w:t>
      </w:r>
      <w:r w:rsidR="006C1E77" w:rsidRPr="006C1E77">
        <w:rPr>
          <w:rFonts w:eastAsiaTheme="minorHAnsi" w:cstheme="minorHAnsi"/>
          <w:szCs w:val="24"/>
        </w:rPr>
        <w:t>grants of between $10,000 and $20,000</w:t>
      </w:r>
      <w:r w:rsidR="00B94CE8">
        <w:rPr>
          <w:rFonts w:eastAsiaTheme="minorHAnsi" w:cstheme="minorHAnsi"/>
          <w:szCs w:val="24"/>
        </w:rPr>
        <w:t xml:space="preserve"> (excl. GST) </w:t>
      </w:r>
      <w:r w:rsidR="006C1E77" w:rsidRPr="006C1E77">
        <w:rPr>
          <w:rFonts w:eastAsiaTheme="minorHAnsi" w:cstheme="minorHAnsi"/>
          <w:szCs w:val="24"/>
        </w:rPr>
        <w:t xml:space="preserve">for single school </w:t>
      </w:r>
      <w:r w:rsidR="006E05FE">
        <w:rPr>
          <w:rFonts w:eastAsiaTheme="minorHAnsi" w:cstheme="minorHAnsi"/>
          <w:szCs w:val="24"/>
        </w:rPr>
        <w:t xml:space="preserve">or partnership </w:t>
      </w:r>
      <w:r w:rsidR="006C1E77" w:rsidRPr="006C1E77">
        <w:rPr>
          <w:rFonts w:eastAsiaTheme="minorHAnsi" w:cstheme="minorHAnsi"/>
          <w:szCs w:val="24"/>
        </w:rPr>
        <w:t>projects of up to 1</w:t>
      </w:r>
      <w:r w:rsidR="004856C5">
        <w:rPr>
          <w:rFonts w:eastAsiaTheme="minorHAnsi" w:cstheme="minorHAnsi"/>
          <w:szCs w:val="24"/>
        </w:rPr>
        <w:t>2</w:t>
      </w:r>
      <w:r w:rsidR="006C1E77" w:rsidRPr="006C1E77">
        <w:rPr>
          <w:rFonts w:eastAsiaTheme="minorHAnsi" w:cstheme="minorHAnsi"/>
          <w:szCs w:val="24"/>
        </w:rPr>
        <w:t xml:space="preserve"> months</w:t>
      </w:r>
      <w:r w:rsidR="00356656">
        <w:rPr>
          <w:rFonts w:eastAsiaTheme="minorHAnsi" w:cstheme="minorHAnsi"/>
          <w:szCs w:val="24"/>
        </w:rPr>
        <w:t xml:space="preserve"> </w:t>
      </w:r>
      <w:r w:rsidR="00B937FE">
        <w:rPr>
          <w:rFonts w:eastAsiaTheme="minorHAnsi" w:cstheme="minorHAnsi"/>
          <w:szCs w:val="24"/>
        </w:rPr>
        <w:t>duration.</w:t>
      </w:r>
      <w:r w:rsidR="00356656">
        <w:rPr>
          <w:rFonts w:eastAsiaTheme="minorHAnsi" w:cstheme="minorHAnsi"/>
          <w:szCs w:val="24"/>
        </w:rPr>
        <w:t xml:space="preserve"> </w:t>
      </w:r>
      <w:r w:rsidR="00AB6FC4">
        <w:rPr>
          <w:rFonts w:eastAsiaTheme="minorHAnsi" w:cstheme="minorHAnsi"/>
          <w:szCs w:val="24"/>
        </w:rPr>
        <w:t xml:space="preserve">Grant </w:t>
      </w:r>
      <w:r w:rsidR="00013173">
        <w:rPr>
          <w:rFonts w:eastAsiaTheme="minorHAnsi" w:cstheme="minorHAnsi"/>
          <w:szCs w:val="24"/>
        </w:rPr>
        <w:t xml:space="preserve">Applications </w:t>
      </w:r>
      <w:r w:rsidR="006E05FE" w:rsidRPr="006C1E77">
        <w:rPr>
          <w:rFonts w:eastAsiaTheme="minorHAnsi" w:cstheme="minorHAnsi"/>
          <w:szCs w:val="24"/>
        </w:rPr>
        <w:t xml:space="preserve">will need to </w:t>
      </w:r>
      <w:r w:rsidR="006E05FE">
        <w:rPr>
          <w:rFonts w:eastAsiaTheme="minorHAnsi" w:cstheme="minorHAnsi"/>
          <w:szCs w:val="24"/>
        </w:rPr>
        <w:t>demonstrate the</w:t>
      </w:r>
      <w:r w:rsidR="006E05FE" w:rsidRPr="006C1E77">
        <w:rPr>
          <w:rFonts w:eastAsiaTheme="minorHAnsi" w:cstheme="minorHAnsi"/>
          <w:szCs w:val="24"/>
        </w:rPr>
        <w:t xml:space="preserve"> sustainability</w:t>
      </w:r>
      <w:r w:rsidR="006E05FE">
        <w:rPr>
          <w:rFonts w:eastAsiaTheme="minorHAnsi" w:cstheme="minorHAnsi"/>
          <w:szCs w:val="24"/>
        </w:rPr>
        <w:t xml:space="preserve"> of projects</w:t>
      </w:r>
      <w:r w:rsidR="006E05FE" w:rsidRPr="006C1E77">
        <w:rPr>
          <w:rFonts w:eastAsiaTheme="minorHAnsi" w:cstheme="minorHAnsi"/>
          <w:szCs w:val="24"/>
        </w:rPr>
        <w:t xml:space="preserve"> beyond the life of </w:t>
      </w:r>
      <w:r w:rsidR="006E05FE">
        <w:rPr>
          <w:rFonts w:eastAsiaTheme="minorHAnsi" w:cstheme="minorHAnsi"/>
          <w:szCs w:val="24"/>
        </w:rPr>
        <w:t>the grant (sustainability planning</w:t>
      </w:r>
      <w:r w:rsidR="006E05FE" w:rsidRPr="006C1E77">
        <w:rPr>
          <w:rFonts w:eastAsiaTheme="minorHAnsi" w:cstheme="minorHAnsi"/>
          <w:szCs w:val="24"/>
        </w:rPr>
        <w:t xml:space="preserve"> </w:t>
      </w:r>
      <w:r w:rsidR="00AB6FC4">
        <w:rPr>
          <w:rFonts w:eastAsiaTheme="minorHAnsi" w:cstheme="minorHAnsi"/>
          <w:szCs w:val="24"/>
        </w:rPr>
        <w:t xml:space="preserve">should </w:t>
      </w:r>
      <w:r w:rsidR="006E05FE" w:rsidRPr="006C1E77">
        <w:rPr>
          <w:rFonts w:eastAsiaTheme="minorHAnsi" w:cstheme="minorHAnsi"/>
          <w:szCs w:val="24"/>
        </w:rPr>
        <w:t>form part of</w:t>
      </w:r>
      <w:r w:rsidR="00F92D14">
        <w:rPr>
          <w:rFonts w:eastAsiaTheme="minorHAnsi" w:cstheme="minorHAnsi"/>
          <w:szCs w:val="24"/>
        </w:rPr>
        <w:t xml:space="preserve"> the grant application</w:t>
      </w:r>
      <w:r w:rsidR="006E05FE" w:rsidRPr="006C1E77">
        <w:rPr>
          <w:rFonts w:eastAsiaTheme="minorHAnsi" w:cstheme="minorHAnsi"/>
          <w:szCs w:val="24"/>
        </w:rPr>
        <w:t>)</w:t>
      </w:r>
      <w:r w:rsidR="006E05FE">
        <w:rPr>
          <w:rFonts w:eastAsiaTheme="minorHAnsi" w:cstheme="minorHAnsi"/>
          <w:szCs w:val="24"/>
        </w:rPr>
        <w:t>.</w:t>
      </w:r>
      <w:r w:rsidR="00353CC6">
        <w:rPr>
          <w:rFonts w:eastAsiaTheme="minorHAnsi" w:cstheme="minorHAnsi"/>
          <w:szCs w:val="24"/>
        </w:rPr>
        <w:t xml:space="preserve"> </w:t>
      </w:r>
    </w:p>
    <w:p w:rsidR="006C1E77" w:rsidRPr="00156DBC" w:rsidRDefault="006C1E77" w:rsidP="00156DBC">
      <w:pPr>
        <w:pStyle w:val="Heading2"/>
      </w:pPr>
      <w:bookmarkStart w:id="12" w:name="_Toc486923358"/>
      <w:r w:rsidRPr="00156DBC">
        <w:t>Category B grants</w:t>
      </w:r>
      <w:bookmarkEnd w:id="12"/>
      <w:r w:rsidRPr="00156DBC">
        <w:t xml:space="preserve"> </w:t>
      </w:r>
    </w:p>
    <w:p w:rsidR="006C1E77" w:rsidRDefault="002C4062" w:rsidP="00B94CE8">
      <w:pPr>
        <w:spacing w:before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Category B will provide l</w:t>
      </w:r>
      <w:r w:rsidR="006C1E77" w:rsidRPr="006C1E77">
        <w:rPr>
          <w:rFonts w:eastAsiaTheme="minorHAnsi" w:cstheme="minorHAnsi"/>
          <w:szCs w:val="24"/>
        </w:rPr>
        <w:t xml:space="preserve">arger grants of </w:t>
      </w:r>
      <w:r w:rsidR="00AB6FC4">
        <w:rPr>
          <w:rFonts w:eastAsiaTheme="minorHAnsi" w:cstheme="minorHAnsi"/>
          <w:szCs w:val="24"/>
        </w:rPr>
        <w:t xml:space="preserve">between </w:t>
      </w:r>
      <w:r w:rsidR="006C1E77" w:rsidRPr="006C1E77">
        <w:rPr>
          <w:rFonts w:eastAsiaTheme="minorHAnsi" w:cstheme="minorHAnsi"/>
          <w:szCs w:val="24"/>
        </w:rPr>
        <w:t>$20,00</w:t>
      </w:r>
      <w:r w:rsidR="00F61047">
        <w:rPr>
          <w:rFonts w:eastAsiaTheme="minorHAnsi" w:cstheme="minorHAnsi"/>
          <w:szCs w:val="24"/>
        </w:rPr>
        <w:t>1</w:t>
      </w:r>
      <w:r w:rsidR="006C1E77" w:rsidRPr="006C1E77">
        <w:rPr>
          <w:rFonts w:eastAsiaTheme="minorHAnsi" w:cstheme="minorHAnsi"/>
          <w:szCs w:val="24"/>
        </w:rPr>
        <w:t xml:space="preserve"> and $50,000 </w:t>
      </w:r>
      <w:r w:rsidR="00B94CE8" w:rsidRPr="00B94CE8">
        <w:rPr>
          <w:rFonts w:eastAsiaTheme="minorHAnsi" w:cstheme="minorHAnsi"/>
          <w:szCs w:val="24"/>
        </w:rPr>
        <w:t xml:space="preserve">(excl. GST) </w:t>
      </w:r>
      <w:r w:rsidR="006C1E77" w:rsidRPr="006C1E77">
        <w:rPr>
          <w:rFonts w:eastAsiaTheme="minorHAnsi" w:cstheme="minorHAnsi"/>
          <w:szCs w:val="24"/>
        </w:rPr>
        <w:t xml:space="preserve">for larger scale single school and </w:t>
      </w:r>
      <w:r w:rsidR="006E05FE">
        <w:rPr>
          <w:rFonts w:eastAsiaTheme="minorHAnsi" w:cstheme="minorHAnsi"/>
          <w:szCs w:val="24"/>
        </w:rPr>
        <w:t>partnership</w:t>
      </w:r>
      <w:r w:rsidR="006C1E77" w:rsidRPr="006C1E77">
        <w:rPr>
          <w:rFonts w:eastAsiaTheme="minorHAnsi" w:cstheme="minorHAnsi"/>
          <w:szCs w:val="24"/>
        </w:rPr>
        <w:t xml:space="preserve"> projects</w:t>
      </w:r>
      <w:r w:rsidR="00B937FE">
        <w:rPr>
          <w:rFonts w:eastAsiaTheme="minorHAnsi" w:cstheme="minorHAnsi"/>
          <w:szCs w:val="24"/>
        </w:rPr>
        <w:t xml:space="preserve"> of up to </w:t>
      </w:r>
      <w:r w:rsidR="004856C5">
        <w:rPr>
          <w:rFonts w:eastAsiaTheme="minorHAnsi" w:cstheme="minorHAnsi"/>
          <w:szCs w:val="24"/>
        </w:rPr>
        <w:t>24</w:t>
      </w:r>
      <w:r w:rsidR="00B937FE">
        <w:rPr>
          <w:rFonts w:eastAsiaTheme="minorHAnsi" w:cstheme="minorHAnsi"/>
          <w:szCs w:val="24"/>
        </w:rPr>
        <w:t xml:space="preserve"> months duration</w:t>
      </w:r>
      <w:r w:rsidR="006E05FE">
        <w:rPr>
          <w:rFonts w:eastAsiaTheme="minorHAnsi" w:cstheme="minorHAnsi"/>
          <w:szCs w:val="24"/>
        </w:rPr>
        <w:t>.</w:t>
      </w:r>
      <w:r w:rsidR="00B937FE">
        <w:rPr>
          <w:rFonts w:eastAsiaTheme="minorHAnsi" w:cstheme="minorHAnsi"/>
          <w:szCs w:val="24"/>
        </w:rPr>
        <w:t xml:space="preserve"> </w:t>
      </w:r>
      <w:r w:rsidR="00AB6FC4">
        <w:rPr>
          <w:rFonts w:eastAsiaTheme="minorHAnsi" w:cstheme="minorHAnsi"/>
          <w:szCs w:val="24"/>
        </w:rPr>
        <w:t xml:space="preserve">Grant </w:t>
      </w:r>
      <w:r>
        <w:rPr>
          <w:rFonts w:eastAsiaTheme="minorHAnsi" w:cstheme="minorHAnsi"/>
          <w:szCs w:val="24"/>
        </w:rPr>
        <w:t xml:space="preserve">applications </w:t>
      </w:r>
      <w:r w:rsidR="006C1E77" w:rsidRPr="006C1E77">
        <w:rPr>
          <w:rFonts w:eastAsiaTheme="minorHAnsi" w:cstheme="minorHAnsi"/>
          <w:szCs w:val="24"/>
        </w:rPr>
        <w:t xml:space="preserve">will need to </w:t>
      </w:r>
      <w:r>
        <w:rPr>
          <w:rFonts w:eastAsiaTheme="minorHAnsi" w:cstheme="minorHAnsi"/>
          <w:szCs w:val="24"/>
        </w:rPr>
        <w:t>demonstrate the</w:t>
      </w:r>
      <w:r w:rsidR="006C1E77" w:rsidRPr="006C1E77">
        <w:rPr>
          <w:rFonts w:eastAsiaTheme="minorHAnsi" w:cstheme="minorHAnsi"/>
          <w:szCs w:val="24"/>
        </w:rPr>
        <w:t xml:space="preserve"> sustainability</w:t>
      </w:r>
      <w:r>
        <w:rPr>
          <w:rFonts w:eastAsiaTheme="minorHAnsi" w:cstheme="minorHAnsi"/>
          <w:szCs w:val="24"/>
        </w:rPr>
        <w:t xml:space="preserve"> of projects</w:t>
      </w:r>
      <w:r w:rsidR="006C1E77" w:rsidRPr="006C1E77">
        <w:rPr>
          <w:rFonts w:eastAsiaTheme="minorHAnsi" w:cstheme="minorHAnsi"/>
          <w:szCs w:val="24"/>
        </w:rPr>
        <w:t xml:space="preserve"> beyond the life of </w:t>
      </w:r>
      <w:r>
        <w:rPr>
          <w:rFonts w:eastAsiaTheme="minorHAnsi" w:cstheme="minorHAnsi"/>
          <w:szCs w:val="24"/>
        </w:rPr>
        <w:t>the grants (sustainability planning</w:t>
      </w:r>
      <w:r w:rsidR="006C1E77" w:rsidRPr="006C1E77">
        <w:rPr>
          <w:rFonts w:eastAsiaTheme="minorHAnsi" w:cstheme="minorHAnsi"/>
          <w:szCs w:val="24"/>
        </w:rPr>
        <w:t xml:space="preserve"> </w:t>
      </w:r>
      <w:r w:rsidR="00AB6FC4">
        <w:rPr>
          <w:rFonts w:eastAsiaTheme="minorHAnsi" w:cstheme="minorHAnsi"/>
          <w:szCs w:val="24"/>
        </w:rPr>
        <w:t>should</w:t>
      </w:r>
      <w:r w:rsidR="006C1E77" w:rsidRPr="006C1E77">
        <w:rPr>
          <w:rFonts w:eastAsiaTheme="minorHAnsi" w:cstheme="minorHAnsi"/>
          <w:szCs w:val="24"/>
        </w:rPr>
        <w:t xml:space="preserve"> form part of grants applications)</w:t>
      </w:r>
      <w:r>
        <w:rPr>
          <w:rFonts w:eastAsiaTheme="minorHAnsi" w:cstheme="minorHAnsi"/>
          <w:szCs w:val="24"/>
        </w:rPr>
        <w:t xml:space="preserve">. </w:t>
      </w:r>
    </w:p>
    <w:p w:rsidR="006C1E77" w:rsidRDefault="006C1E77" w:rsidP="00B94CE8">
      <w:pPr>
        <w:pStyle w:val="Heading2"/>
        <w:spacing w:after="200"/>
        <w:rPr>
          <w:rFonts w:eastAsiaTheme="minorHAnsi"/>
        </w:rPr>
      </w:pPr>
      <w:bookmarkStart w:id="13" w:name="_Toc486923359"/>
      <w:r w:rsidRPr="006C1E77">
        <w:rPr>
          <w:rFonts w:eastAsiaTheme="minorHAnsi"/>
        </w:rPr>
        <w:t>Category C grants</w:t>
      </w:r>
      <w:bookmarkEnd w:id="13"/>
    </w:p>
    <w:p w:rsidR="00E860BD" w:rsidRDefault="00E860BD" w:rsidP="00B94CE8">
      <w:pPr>
        <w:spacing w:before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The bulk of grants to be funded under this </w:t>
      </w:r>
      <w:r w:rsidR="00AB6FC4">
        <w:rPr>
          <w:rFonts w:eastAsiaTheme="minorHAnsi" w:cstheme="minorHAnsi"/>
          <w:szCs w:val="24"/>
        </w:rPr>
        <w:t>P</w:t>
      </w:r>
      <w:r w:rsidR="00B569E8">
        <w:rPr>
          <w:rFonts w:eastAsiaTheme="minorHAnsi" w:cstheme="minorHAnsi"/>
          <w:szCs w:val="24"/>
        </w:rPr>
        <w:t xml:space="preserve">rogram </w:t>
      </w:r>
      <w:r>
        <w:rPr>
          <w:rFonts w:eastAsiaTheme="minorHAnsi" w:cstheme="minorHAnsi"/>
          <w:szCs w:val="24"/>
        </w:rPr>
        <w:t xml:space="preserve">are expected to be under </w:t>
      </w:r>
      <w:r w:rsidR="00013173">
        <w:rPr>
          <w:rFonts w:eastAsiaTheme="minorHAnsi" w:cstheme="minorHAnsi"/>
          <w:szCs w:val="24"/>
        </w:rPr>
        <w:t xml:space="preserve">Categories </w:t>
      </w:r>
      <w:r>
        <w:rPr>
          <w:rFonts w:eastAsiaTheme="minorHAnsi" w:cstheme="minorHAnsi"/>
          <w:szCs w:val="24"/>
        </w:rPr>
        <w:t xml:space="preserve">A and B. However, under Category C, larger projects </w:t>
      </w:r>
      <w:r w:rsidR="00521F0E">
        <w:rPr>
          <w:rFonts w:eastAsiaTheme="minorHAnsi" w:cstheme="minorHAnsi"/>
          <w:szCs w:val="24"/>
        </w:rPr>
        <w:t xml:space="preserve">(of up to two </w:t>
      </w:r>
      <w:proofErr w:type="gramStart"/>
      <w:r w:rsidR="00521F0E">
        <w:rPr>
          <w:rFonts w:eastAsiaTheme="minorHAnsi" w:cstheme="minorHAnsi"/>
          <w:szCs w:val="24"/>
        </w:rPr>
        <w:t>years</w:t>
      </w:r>
      <w:proofErr w:type="gramEnd"/>
      <w:r w:rsidR="00521F0E">
        <w:rPr>
          <w:rFonts w:eastAsiaTheme="minorHAnsi" w:cstheme="minorHAnsi"/>
          <w:szCs w:val="24"/>
        </w:rPr>
        <w:t xml:space="preserve"> duration) </w:t>
      </w:r>
      <w:r>
        <w:rPr>
          <w:rFonts w:eastAsiaTheme="minorHAnsi" w:cstheme="minorHAnsi"/>
          <w:szCs w:val="24"/>
        </w:rPr>
        <w:t>may be eligible for grants greater than $</w:t>
      </w:r>
      <w:r w:rsidR="007131FE">
        <w:rPr>
          <w:rFonts w:eastAsiaTheme="minorHAnsi" w:cstheme="minorHAnsi"/>
          <w:szCs w:val="24"/>
        </w:rPr>
        <w:t>50,</w:t>
      </w:r>
      <w:r>
        <w:rPr>
          <w:rFonts w:eastAsiaTheme="minorHAnsi" w:cstheme="minorHAnsi"/>
          <w:szCs w:val="24"/>
        </w:rPr>
        <w:t xml:space="preserve">000 </w:t>
      </w:r>
      <w:r w:rsidR="00B94CE8" w:rsidRPr="00B94CE8">
        <w:rPr>
          <w:rFonts w:eastAsiaTheme="minorHAnsi" w:cstheme="minorHAnsi"/>
          <w:szCs w:val="24"/>
        </w:rPr>
        <w:t xml:space="preserve">(excl. GST) </w:t>
      </w:r>
      <w:r>
        <w:rPr>
          <w:rFonts w:eastAsiaTheme="minorHAnsi" w:cstheme="minorHAnsi"/>
          <w:szCs w:val="24"/>
        </w:rPr>
        <w:t xml:space="preserve">where such projects demonstrate scalability at a regional, national or sectoral level. </w:t>
      </w:r>
      <w:proofErr w:type="gramStart"/>
      <w:r w:rsidR="004D02FD">
        <w:rPr>
          <w:rFonts w:eastAsiaTheme="minorHAnsi" w:cstheme="minorHAnsi"/>
          <w:szCs w:val="24"/>
        </w:rPr>
        <w:t>For example,</w:t>
      </w:r>
      <w:r>
        <w:rPr>
          <w:rFonts w:eastAsiaTheme="minorHAnsi" w:cstheme="minorHAnsi"/>
          <w:szCs w:val="24"/>
        </w:rPr>
        <w:t xml:space="preserve"> projects that involve a cluster of schools and/or peak bodies/professional associations.</w:t>
      </w:r>
      <w:proofErr w:type="gramEnd"/>
      <w:r>
        <w:rPr>
          <w:rFonts w:eastAsiaTheme="minorHAnsi" w:cstheme="minorHAnsi"/>
          <w:szCs w:val="24"/>
        </w:rPr>
        <w:t xml:space="preserve">  </w:t>
      </w:r>
    </w:p>
    <w:p w:rsidR="002C4062" w:rsidRDefault="002C4062" w:rsidP="00B94CE8">
      <w:pPr>
        <w:spacing w:before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>Funding applications for Category C grant</w:t>
      </w:r>
      <w:r w:rsidR="00B94CE8">
        <w:rPr>
          <w:rFonts w:eastAsiaTheme="minorHAnsi" w:cstheme="minorHAnsi"/>
          <w:szCs w:val="24"/>
        </w:rPr>
        <w:t>s will need to demonstrate how school p</w:t>
      </w:r>
      <w:r>
        <w:rPr>
          <w:rFonts w:eastAsiaTheme="minorHAnsi" w:cstheme="minorHAnsi"/>
          <w:szCs w:val="24"/>
        </w:rPr>
        <w:t>rincipals and/or other school leaders responsible for strategic decisions</w:t>
      </w:r>
      <w:r w:rsidR="007E03A9">
        <w:rPr>
          <w:rFonts w:eastAsiaTheme="minorHAnsi" w:cstheme="minorHAnsi"/>
          <w:szCs w:val="24"/>
        </w:rPr>
        <w:t>, and consequently also the schools within their responsibility,</w:t>
      </w:r>
      <w:r>
        <w:rPr>
          <w:rFonts w:eastAsiaTheme="minorHAnsi" w:cstheme="minorHAnsi"/>
          <w:szCs w:val="24"/>
        </w:rPr>
        <w:t xml:space="preserve"> will benefit from the project</w:t>
      </w:r>
      <w:r w:rsidR="00BF6C29">
        <w:rPr>
          <w:rFonts w:eastAsiaTheme="minorHAnsi" w:cstheme="minorHAnsi"/>
          <w:szCs w:val="24"/>
        </w:rPr>
        <w:t xml:space="preserve">. </w:t>
      </w:r>
      <w:r w:rsidR="00B937FE">
        <w:rPr>
          <w:rFonts w:eastAsiaTheme="minorHAnsi" w:cstheme="minorHAnsi"/>
          <w:szCs w:val="24"/>
        </w:rPr>
        <w:t xml:space="preserve"> </w:t>
      </w:r>
    </w:p>
    <w:p w:rsidR="00F83AFB" w:rsidRPr="00F83AFB" w:rsidRDefault="00F83AFB" w:rsidP="00F83AFB">
      <w:pPr>
        <w:pStyle w:val="Heading2"/>
        <w:rPr>
          <w:rFonts w:eastAsiaTheme="minorHAnsi"/>
        </w:rPr>
      </w:pPr>
      <w:bookmarkStart w:id="14" w:name="_Toc486923360"/>
      <w:r w:rsidRPr="00F83AFB">
        <w:rPr>
          <w:rFonts w:eastAsiaTheme="minorHAnsi"/>
        </w:rPr>
        <w:t>Timing</w:t>
      </w:r>
      <w:bookmarkEnd w:id="14"/>
    </w:p>
    <w:p w:rsidR="002458E3" w:rsidRDefault="00F83AFB" w:rsidP="006C1E77">
      <w:pPr>
        <w:spacing w:before="120" w:after="120" w:line="240" w:lineRule="auto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There will be two </w:t>
      </w:r>
      <w:r w:rsidR="00380AF3">
        <w:rPr>
          <w:rFonts w:eastAsiaTheme="minorHAnsi" w:cstheme="minorHAnsi"/>
          <w:szCs w:val="24"/>
        </w:rPr>
        <w:t xml:space="preserve">(2) </w:t>
      </w:r>
      <w:r>
        <w:rPr>
          <w:rFonts w:eastAsiaTheme="minorHAnsi" w:cstheme="minorHAnsi"/>
          <w:szCs w:val="24"/>
        </w:rPr>
        <w:t xml:space="preserve">grant rounds </w:t>
      </w:r>
      <w:r w:rsidR="00380AF3">
        <w:rPr>
          <w:rFonts w:eastAsiaTheme="minorHAnsi" w:cstheme="minorHAnsi"/>
          <w:szCs w:val="24"/>
        </w:rPr>
        <w:t xml:space="preserve">across the life of the </w:t>
      </w:r>
      <w:r w:rsidR="00B569E8">
        <w:rPr>
          <w:rFonts w:eastAsiaTheme="minorHAnsi" w:cstheme="minorHAnsi"/>
          <w:szCs w:val="24"/>
        </w:rPr>
        <w:t>P</w:t>
      </w:r>
      <w:r w:rsidR="005B328F">
        <w:rPr>
          <w:rFonts w:eastAsiaTheme="minorHAnsi" w:cstheme="minorHAnsi"/>
          <w:szCs w:val="24"/>
        </w:rPr>
        <w:t>rogram</w:t>
      </w:r>
      <w:r>
        <w:rPr>
          <w:rFonts w:eastAsiaTheme="minorHAnsi" w:cstheme="minorHAnsi"/>
          <w:szCs w:val="24"/>
        </w:rPr>
        <w:t xml:space="preserve">. The first </w:t>
      </w:r>
      <w:r w:rsidR="00380AF3">
        <w:rPr>
          <w:rFonts w:eastAsiaTheme="minorHAnsi" w:cstheme="minorHAnsi"/>
          <w:szCs w:val="24"/>
        </w:rPr>
        <w:t xml:space="preserve">round </w:t>
      </w:r>
      <w:r>
        <w:rPr>
          <w:rFonts w:eastAsiaTheme="minorHAnsi" w:cstheme="minorHAnsi"/>
          <w:szCs w:val="24"/>
        </w:rPr>
        <w:t>open</w:t>
      </w:r>
      <w:r w:rsidR="007131FE">
        <w:rPr>
          <w:rFonts w:eastAsiaTheme="minorHAnsi" w:cstheme="minorHAnsi"/>
          <w:szCs w:val="24"/>
        </w:rPr>
        <w:t>ed</w:t>
      </w:r>
      <w:r>
        <w:rPr>
          <w:rFonts w:eastAsiaTheme="minorHAnsi" w:cstheme="minorHAnsi"/>
          <w:szCs w:val="24"/>
        </w:rPr>
        <w:t xml:space="preserve"> in </w:t>
      </w:r>
      <w:r w:rsidR="006B76C4">
        <w:rPr>
          <w:rFonts w:eastAsiaTheme="minorHAnsi" w:cstheme="minorHAnsi"/>
          <w:szCs w:val="24"/>
        </w:rPr>
        <w:t>the second half of 2016</w:t>
      </w:r>
      <w:r>
        <w:rPr>
          <w:rFonts w:eastAsiaTheme="minorHAnsi" w:cstheme="minorHAnsi"/>
          <w:szCs w:val="24"/>
        </w:rPr>
        <w:t xml:space="preserve">. The second </w:t>
      </w:r>
      <w:r w:rsidR="00380AF3">
        <w:rPr>
          <w:rFonts w:eastAsiaTheme="minorHAnsi" w:cstheme="minorHAnsi"/>
          <w:szCs w:val="24"/>
        </w:rPr>
        <w:t xml:space="preserve">round </w:t>
      </w:r>
      <w:r>
        <w:rPr>
          <w:rFonts w:eastAsiaTheme="minorHAnsi" w:cstheme="minorHAnsi"/>
          <w:szCs w:val="24"/>
        </w:rPr>
        <w:t xml:space="preserve">is expected to open in </w:t>
      </w:r>
      <w:r w:rsidR="006B76C4">
        <w:rPr>
          <w:rFonts w:eastAsiaTheme="minorHAnsi" w:cstheme="minorHAnsi"/>
          <w:szCs w:val="24"/>
        </w:rPr>
        <w:t>the first half of 2017</w:t>
      </w:r>
      <w:r>
        <w:rPr>
          <w:rFonts w:eastAsiaTheme="minorHAnsi" w:cstheme="minorHAnsi"/>
          <w:szCs w:val="24"/>
        </w:rPr>
        <w:t>. Regardless of the date a project begins</w:t>
      </w:r>
      <w:r w:rsidR="00380AF3">
        <w:rPr>
          <w:rFonts w:eastAsiaTheme="minorHAnsi" w:cstheme="minorHAnsi"/>
          <w:szCs w:val="24"/>
        </w:rPr>
        <w:t>,</w:t>
      </w:r>
      <w:r>
        <w:rPr>
          <w:rFonts w:eastAsiaTheme="minorHAnsi" w:cstheme="minorHAnsi"/>
          <w:szCs w:val="24"/>
        </w:rPr>
        <w:t xml:space="preserve"> it must be completed within </w:t>
      </w:r>
      <w:r w:rsidR="006B76C4">
        <w:rPr>
          <w:rFonts w:eastAsiaTheme="minorHAnsi" w:cstheme="minorHAnsi"/>
          <w:szCs w:val="24"/>
        </w:rPr>
        <w:t>two years (depending on the value of the grant)</w:t>
      </w:r>
      <w:r>
        <w:rPr>
          <w:rFonts w:eastAsiaTheme="minorHAnsi" w:cstheme="minorHAnsi"/>
          <w:szCs w:val="24"/>
        </w:rPr>
        <w:t>.</w:t>
      </w:r>
    </w:p>
    <w:p w:rsidR="002458E3" w:rsidRDefault="002458E3" w:rsidP="002458E3">
      <w:pPr>
        <w:spacing w:before="120" w:after="120"/>
        <w:rPr>
          <w:rFonts w:eastAsiaTheme="minorHAnsi" w:cstheme="minorHAnsi"/>
          <w:szCs w:val="24"/>
        </w:rPr>
      </w:pPr>
      <w:r>
        <w:rPr>
          <w:rFonts w:eastAsiaTheme="minorHAnsi" w:cstheme="minorHAnsi"/>
          <w:szCs w:val="24"/>
        </w:rPr>
        <w:t xml:space="preserve">The Program delegate may, at his/her discretion, decide to fund a project or projects outside of the official grant rounds. </w:t>
      </w:r>
    </w:p>
    <w:p w:rsidR="0002336B" w:rsidRDefault="0002336B">
      <w:pPr>
        <w:rPr>
          <w:rFonts w:ascii="Calibri" w:eastAsiaTheme="majorEastAsia" w:hAnsi="Calibri" w:cstheme="majorBidi"/>
          <w:b/>
          <w:bCs/>
          <w:color w:val="522761"/>
          <w:sz w:val="36"/>
          <w:szCs w:val="28"/>
        </w:rPr>
      </w:pPr>
      <w:bookmarkStart w:id="15" w:name="_Toc445882121"/>
      <w:r>
        <w:br w:type="page"/>
      </w:r>
    </w:p>
    <w:p w:rsidR="006C1E77" w:rsidRDefault="006C1E77" w:rsidP="006C1E77">
      <w:pPr>
        <w:pStyle w:val="Heading1"/>
      </w:pPr>
      <w:bookmarkStart w:id="16" w:name="_Toc486923361"/>
      <w:r>
        <w:lastRenderedPageBreak/>
        <w:t>Funding</w:t>
      </w:r>
      <w:bookmarkEnd w:id="15"/>
      <w:bookmarkEnd w:id="16"/>
    </w:p>
    <w:p w:rsidR="009837E9" w:rsidRDefault="009837E9" w:rsidP="009837E9">
      <w:pPr>
        <w:pStyle w:val="Heading2"/>
      </w:pPr>
      <w:bookmarkStart w:id="17" w:name="_Toc486923362"/>
      <w:r>
        <w:t>Summary of Funding</w:t>
      </w:r>
      <w:bookmarkEnd w:id="17"/>
    </w:p>
    <w:p w:rsidR="006C1E77" w:rsidRPr="00A91183" w:rsidRDefault="006C1E77" w:rsidP="006C1E77">
      <w:pPr>
        <w:spacing w:before="120" w:after="120"/>
        <w:rPr>
          <w:rFonts w:cstheme="minorHAnsi"/>
          <w:iCs/>
          <w:szCs w:val="24"/>
        </w:rPr>
      </w:pPr>
      <w:r w:rsidRPr="00A91183">
        <w:rPr>
          <w:rFonts w:cstheme="minorHAnsi"/>
          <w:iCs/>
          <w:szCs w:val="24"/>
        </w:rPr>
        <w:t xml:space="preserve">Total funding of $4 million has been allocated to this </w:t>
      </w:r>
      <w:r w:rsidR="00B569E8">
        <w:rPr>
          <w:rFonts w:cstheme="minorHAnsi"/>
          <w:iCs/>
          <w:szCs w:val="24"/>
        </w:rPr>
        <w:t>P</w:t>
      </w:r>
      <w:r w:rsidR="005B328F">
        <w:rPr>
          <w:rFonts w:cstheme="minorHAnsi"/>
          <w:iCs/>
          <w:szCs w:val="24"/>
        </w:rPr>
        <w:t>rogram</w:t>
      </w:r>
      <w:r w:rsidRPr="00A91183">
        <w:rPr>
          <w:rFonts w:cstheme="minorHAnsi"/>
          <w:iCs/>
          <w:szCs w:val="24"/>
        </w:rPr>
        <w:t xml:space="preserve"> over two financial years as per the table below:</w:t>
      </w:r>
    </w:p>
    <w:tbl>
      <w:tblPr>
        <w:tblStyle w:val="DEEWRTable"/>
        <w:tblW w:w="7715" w:type="dxa"/>
        <w:tblInd w:w="250" w:type="dxa"/>
        <w:tblLook w:val="0420" w:firstRow="1" w:lastRow="0" w:firstColumn="0" w:lastColumn="0" w:noHBand="0" w:noVBand="1"/>
        <w:tblDescription w:val="Funding   2016-17 $2.0 m 2017-18 $2.0 m 2018-19 $0.0 m 2019-20 $0.0 m Total $4.0 m"/>
      </w:tblPr>
      <w:tblGrid>
        <w:gridCol w:w="1285"/>
        <w:gridCol w:w="1286"/>
        <w:gridCol w:w="1286"/>
        <w:gridCol w:w="1286"/>
        <w:gridCol w:w="1286"/>
        <w:gridCol w:w="1286"/>
      </w:tblGrid>
      <w:tr w:rsidR="006C1E77" w:rsidTr="00CC1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1285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b w:val="0"/>
                <w:iCs/>
                <w:szCs w:val="24"/>
              </w:rPr>
              <w:t>($m)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b w:val="0"/>
                <w:iCs/>
                <w:szCs w:val="24"/>
              </w:rPr>
              <w:t>2016-17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b w:val="0"/>
                <w:iCs/>
                <w:szCs w:val="24"/>
              </w:rPr>
              <w:t>2017-18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b w:val="0"/>
                <w:iCs/>
                <w:szCs w:val="24"/>
              </w:rPr>
              <w:t>2018-19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b w:val="0"/>
                <w:iCs/>
                <w:szCs w:val="24"/>
              </w:rPr>
              <w:t>2019-20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b w:val="0"/>
                <w:iCs/>
                <w:szCs w:val="24"/>
              </w:rPr>
              <w:t>Total</w:t>
            </w:r>
          </w:p>
        </w:tc>
      </w:tr>
      <w:tr w:rsidR="006C1E77" w:rsidTr="00CC1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tblHeader/>
        </w:trPr>
        <w:tc>
          <w:tcPr>
            <w:tcW w:w="1285" w:type="dxa"/>
            <w:vAlign w:val="center"/>
          </w:tcPr>
          <w:p w:rsidR="006C1E77" w:rsidRDefault="006C1E77" w:rsidP="00476E84">
            <w:pPr>
              <w:jc w:val="center"/>
            </w:pPr>
            <w:r>
              <w:rPr>
                <w:rFonts w:cstheme="minorHAnsi"/>
                <w:iCs/>
                <w:szCs w:val="24"/>
              </w:rPr>
              <w:t>Funding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iCs/>
                <w:szCs w:val="24"/>
              </w:rPr>
              <w:t>2.0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iCs/>
                <w:szCs w:val="24"/>
              </w:rPr>
              <w:t>2.0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iCs/>
                <w:szCs w:val="24"/>
              </w:rPr>
              <w:t>0.0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 w:rsidRPr="00A91183">
              <w:rPr>
                <w:rFonts w:cstheme="minorHAnsi"/>
                <w:iCs/>
                <w:szCs w:val="24"/>
              </w:rPr>
              <w:t>0.0</w:t>
            </w:r>
          </w:p>
        </w:tc>
        <w:tc>
          <w:tcPr>
            <w:tcW w:w="1286" w:type="dxa"/>
            <w:vAlign w:val="center"/>
          </w:tcPr>
          <w:p w:rsidR="006C1E77" w:rsidRDefault="006C1E77" w:rsidP="00476E84">
            <w:pPr>
              <w:jc w:val="center"/>
            </w:pPr>
            <w:r>
              <w:rPr>
                <w:rFonts w:cstheme="minorHAnsi"/>
                <w:iCs/>
                <w:szCs w:val="24"/>
              </w:rPr>
              <w:t>4.0</w:t>
            </w:r>
          </w:p>
        </w:tc>
      </w:tr>
    </w:tbl>
    <w:p w:rsidR="007A550F" w:rsidRDefault="007A550F" w:rsidP="006C1E77">
      <w:pPr>
        <w:spacing w:before="120" w:after="120"/>
        <w:rPr>
          <w:rFonts w:cstheme="minorHAnsi"/>
          <w:iCs/>
          <w:szCs w:val="24"/>
        </w:rPr>
      </w:pPr>
    </w:p>
    <w:p w:rsidR="006C1E77" w:rsidRDefault="006C1E77" w:rsidP="006C1E77">
      <w:pPr>
        <w:spacing w:before="120" w:after="120"/>
        <w:rPr>
          <w:rFonts w:cstheme="minorHAnsi"/>
          <w:iCs/>
          <w:szCs w:val="24"/>
        </w:rPr>
      </w:pPr>
      <w:r w:rsidRPr="00370DC8">
        <w:rPr>
          <w:rFonts w:cstheme="minorHAnsi"/>
          <w:iCs/>
          <w:szCs w:val="24"/>
        </w:rPr>
        <w:t>As</w:t>
      </w:r>
      <w:r>
        <w:rPr>
          <w:rFonts w:cstheme="minorHAnsi"/>
          <w:iCs/>
          <w:szCs w:val="24"/>
        </w:rPr>
        <w:t xml:space="preserve"> </w:t>
      </w:r>
      <w:r w:rsidR="00D47D44">
        <w:rPr>
          <w:rFonts w:cstheme="minorHAnsi"/>
          <w:iCs/>
          <w:szCs w:val="24"/>
        </w:rPr>
        <w:t>noted</w:t>
      </w:r>
      <w:r w:rsidR="00976CFF">
        <w:rPr>
          <w:rFonts w:cstheme="minorHAnsi"/>
          <w:iCs/>
          <w:szCs w:val="24"/>
        </w:rPr>
        <w:t xml:space="preserve"> on the previous page,</w:t>
      </w:r>
      <w:r>
        <w:rPr>
          <w:rFonts w:cstheme="minorHAnsi"/>
          <w:iCs/>
          <w:szCs w:val="24"/>
        </w:rPr>
        <w:t xml:space="preserve"> grants will be awarded on the basis of 3 funding categories:</w:t>
      </w:r>
    </w:p>
    <w:tbl>
      <w:tblPr>
        <w:tblStyle w:val="DEEWRTable"/>
        <w:tblW w:w="5245" w:type="dxa"/>
        <w:tblInd w:w="250" w:type="dxa"/>
        <w:tblLook w:val="0420" w:firstRow="1" w:lastRow="0" w:firstColumn="0" w:lastColumn="0" w:noHBand="0" w:noVBand="1"/>
        <w:tblDescription w:val="Category Type A Value $10,000-$20,000&#10;Category Type B Value $20,001-$50,000&#10;Category Type C (exceptional) Value $50,000+&#10;"/>
      </w:tblPr>
      <w:tblGrid>
        <w:gridCol w:w="2622"/>
        <w:gridCol w:w="2623"/>
      </w:tblGrid>
      <w:tr w:rsidR="00AF4DDF" w:rsidTr="00D81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31"/>
          <w:tblHeader/>
        </w:trPr>
        <w:tc>
          <w:tcPr>
            <w:tcW w:w="2622" w:type="dxa"/>
            <w:vAlign w:val="center"/>
          </w:tcPr>
          <w:p w:rsidR="00AF4DDF" w:rsidRDefault="00AF4DDF" w:rsidP="00AF4DDF">
            <w:pPr>
              <w:jc w:val="center"/>
            </w:pPr>
            <w:r w:rsidRPr="00370DC8">
              <w:rPr>
                <w:rFonts w:cstheme="minorHAnsi"/>
                <w:b w:val="0"/>
                <w:iCs/>
                <w:szCs w:val="24"/>
              </w:rPr>
              <w:t>Type</w:t>
            </w:r>
          </w:p>
        </w:tc>
        <w:tc>
          <w:tcPr>
            <w:tcW w:w="2623" w:type="dxa"/>
            <w:vAlign w:val="center"/>
          </w:tcPr>
          <w:p w:rsidR="00AF4DDF" w:rsidRDefault="00AF4DDF" w:rsidP="00AF4DDF">
            <w:pPr>
              <w:jc w:val="center"/>
            </w:pPr>
            <w:r w:rsidRPr="00370DC8">
              <w:rPr>
                <w:rFonts w:cstheme="minorHAnsi"/>
                <w:b w:val="0"/>
                <w:iCs/>
                <w:szCs w:val="24"/>
              </w:rPr>
              <w:t>Value</w:t>
            </w:r>
          </w:p>
        </w:tc>
      </w:tr>
      <w:tr w:rsidR="00AF4DDF" w:rsidTr="00D81BEB">
        <w:trPr>
          <w:cantSplit w:val="0"/>
          <w:trHeight w:val="424"/>
        </w:trPr>
        <w:tc>
          <w:tcPr>
            <w:tcW w:w="2622" w:type="dxa"/>
            <w:vAlign w:val="center"/>
          </w:tcPr>
          <w:p w:rsidR="00AF4DDF" w:rsidRPr="009264F0" w:rsidRDefault="00AF4DDF" w:rsidP="00AF4DDF">
            <w:pPr>
              <w:ind w:left="176"/>
              <w:rPr>
                <w:b/>
              </w:rPr>
            </w:pPr>
            <w:r w:rsidRPr="009264F0">
              <w:rPr>
                <w:rFonts w:cstheme="minorHAnsi"/>
                <w:b/>
                <w:iCs/>
                <w:szCs w:val="24"/>
              </w:rPr>
              <w:t>Category A</w:t>
            </w:r>
          </w:p>
        </w:tc>
        <w:tc>
          <w:tcPr>
            <w:tcW w:w="2623" w:type="dxa"/>
            <w:vAlign w:val="center"/>
          </w:tcPr>
          <w:p w:rsidR="00AF4DDF" w:rsidRDefault="00AF4DDF" w:rsidP="00AF4DDF">
            <w:pPr>
              <w:jc w:val="center"/>
            </w:pPr>
            <w:r>
              <w:rPr>
                <w:rFonts w:cstheme="minorHAnsi"/>
                <w:iCs/>
                <w:szCs w:val="24"/>
              </w:rPr>
              <w:t>$10,000-$20,000</w:t>
            </w:r>
          </w:p>
        </w:tc>
      </w:tr>
      <w:tr w:rsidR="00AF4DDF" w:rsidTr="00D81BEB">
        <w:trPr>
          <w:cantSplit w:val="0"/>
          <w:trHeight w:val="424"/>
        </w:trPr>
        <w:tc>
          <w:tcPr>
            <w:tcW w:w="2622" w:type="dxa"/>
            <w:vAlign w:val="center"/>
          </w:tcPr>
          <w:p w:rsidR="00AF4DDF" w:rsidRPr="009264F0" w:rsidRDefault="00AF4DDF" w:rsidP="00AF4DDF">
            <w:pPr>
              <w:ind w:left="176"/>
              <w:rPr>
                <w:rFonts w:cstheme="minorHAnsi"/>
                <w:b/>
                <w:iCs/>
                <w:szCs w:val="24"/>
              </w:rPr>
            </w:pPr>
            <w:r w:rsidRPr="009264F0">
              <w:rPr>
                <w:rFonts w:cstheme="minorHAnsi"/>
                <w:b/>
                <w:iCs/>
                <w:szCs w:val="24"/>
              </w:rPr>
              <w:t>Category B</w:t>
            </w:r>
          </w:p>
        </w:tc>
        <w:tc>
          <w:tcPr>
            <w:tcW w:w="2623" w:type="dxa"/>
            <w:vAlign w:val="center"/>
          </w:tcPr>
          <w:p w:rsidR="00AF4DDF" w:rsidRPr="00A91183" w:rsidRDefault="00AF4DDF" w:rsidP="0002779A">
            <w:pPr>
              <w:jc w:val="center"/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$20,</w:t>
            </w:r>
            <w:r w:rsidR="0002779A">
              <w:rPr>
                <w:rFonts w:cstheme="minorHAnsi"/>
                <w:iCs/>
                <w:szCs w:val="24"/>
              </w:rPr>
              <w:t>001</w:t>
            </w:r>
            <w:r>
              <w:rPr>
                <w:rFonts w:cstheme="minorHAnsi"/>
                <w:iCs/>
                <w:szCs w:val="24"/>
              </w:rPr>
              <w:t>-$50,000</w:t>
            </w:r>
          </w:p>
        </w:tc>
      </w:tr>
      <w:tr w:rsidR="00AF4DDF" w:rsidTr="00D81BEB">
        <w:trPr>
          <w:cantSplit w:val="0"/>
          <w:trHeight w:val="424"/>
        </w:trPr>
        <w:tc>
          <w:tcPr>
            <w:tcW w:w="2622" w:type="dxa"/>
            <w:vAlign w:val="center"/>
          </w:tcPr>
          <w:p w:rsidR="00AF4DDF" w:rsidRPr="009264F0" w:rsidRDefault="00AF4DDF" w:rsidP="00AF4DDF">
            <w:pPr>
              <w:ind w:left="176"/>
              <w:rPr>
                <w:rFonts w:cstheme="minorHAnsi"/>
                <w:b/>
                <w:iCs/>
                <w:szCs w:val="24"/>
              </w:rPr>
            </w:pPr>
            <w:r w:rsidRPr="009264F0">
              <w:rPr>
                <w:rFonts w:cstheme="minorHAnsi"/>
                <w:b/>
                <w:iCs/>
                <w:szCs w:val="24"/>
              </w:rPr>
              <w:t>Category C (exceptional)</w:t>
            </w:r>
          </w:p>
        </w:tc>
        <w:tc>
          <w:tcPr>
            <w:tcW w:w="2623" w:type="dxa"/>
            <w:vAlign w:val="center"/>
          </w:tcPr>
          <w:p w:rsidR="00AF4DDF" w:rsidRPr="00A91183" w:rsidRDefault="00AF4DDF" w:rsidP="00AF4DDF">
            <w:pPr>
              <w:jc w:val="center"/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$50,000+</w:t>
            </w:r>
          </w:p>
        </w:tc>
      </w:tr>
    </w:tbl>
    <w:p w:rsidR="00E94649" w:rsidRDefault="00E94649" w:rsidP="00E94649">
      <w:pPr>
        <w:pStyle w:val="Heading2"/>
      </w:pPr>
      <w:bookmarkStart w:id="18" w:name="_Toc486923363"/>
      <w:r>
        <w:t>Allocation of Grants</w:t>
      </w:r>
      <w:bookmarkEnd w:id="18"/>
    </w:p>
    <w:p w:rsidR="006C1E77" w:rsidRDefault="00AF4DDF" w:rsidP="006C1E77">
      <w:pPr>
        <w:spacing w:before="120" w:after="12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There is no </w:t>
      </w:r>
      <w:r w:rsidR="00B204D5">
        <w:rPr>
          <w:rFonts w:cstheme="minorHAnsi"/>
          <w:iCs/>
          <w:szCs w:val="24"/>
        </w:rPr>
        <w:t>quota</w:t>
      </w:r>
      <w:r>
        <w:rPr>
          <w:rFonts w:cstheme="minorHAnsi"/>
          <w:iCs/>
          <w:szCs w:val="24"/>
        </w:rPr>
        <w:t xml:space="preserve"> </w:t>
      </w:r>
      <w:r w:rsidR="00B204D5">
        <w:rPr>
          <w:rFonts w:cstheme="minorHAnsi"/>
          <w:iCs/>
          <w:szCs w:val="24"/>
        </w:rPr>
        <w:t>for</w:t>
      </w:r>
      <w:r w:rsidR="006C1E77">
        <w:rPr>
          <w:rFonts w:cstheme="minorHAnsi"/>
          <w:iCs/>
          <w:szCs w:val="24"/>
        </w:rPr>
        <w:t xml:space="preserve"> the number</w:t>
      </w:r>
      <w:r>
        <w:rPr>
          <w:rFonts w:cstheme="minorHAnsi"/>
          <w:iCs/>
          <w:szCs w:val="24"/>
        </w:rPr>
        <w:t xml:space="preserve"> of grants to be awarded under any </w:t>
      </w:r>
      <w:r w:rsidR="006C1E77">
        <w:rPr>
          <w:rFonts w:cstheme="minorHAnsi"/>
          <w:iCs/>
          <w:szCs w:val="24"/>
        </w:rPr>
        <w:t xml:space="preserve">category however the following principles will be applied </w:t>
      </w:r>
      <w:r w:rsidR="001D12EF">
        <w:rPr>
          <w:rFonts w:cstheme="minorHAnsi"/>
          <w:iCs/>
          <w:szCs w:val="24"/>
        </w:rPr>
        <w:t>(</w:t>
      </w:r>
      <w:r w:rsidR="006C1E77">
        <w:rPr>
          <w:rFonts w:cstheme="minorHAnsi"/>
          <w:iCs/>
          <w:szCs w:val="24"/>
        </w:rPr>
        <w:t>as a part of the larger grant assessment process</w:t>
      </w:r>
      <w:r w:rsidR="001D12EF">
        <w:rPr>
          <w:rFonts w:cstheme="minorHAnsi"/>
          <w:iCs/>
          <w:szCs w:val="24"/>
        </w:rPr>
        <w:t xml:space="preserve">) to ensure </w:t>
      </w:r>
      <w:r w:rsidR="00521F0E">
        <w:rPr>
          <w:rFonts w:cstheme="minorHAnsi"/>
          <w:iCs/>
          <w:szCs w:val="24"/>
        </w:rPr>
        <w:t xml:space="preserve">the </w:t>
      </w:r>
      <w:r w:rsidR="0002779A">
        <w:rPr>
          <w:rFonts w:cstheme="minorHAnsi"/>
          <w:iCs/>
          <w:szCs w:val="24"/>
        </w:rPr>
        <w:t xml:space="preserve">Program </w:t>
      </w:r>
      <w:r w:rsidR="00521F0E">
        <w:rPr>
          <w:rFonts w:cstheme="minorHAnsi"/>
          <w:iCs/>
          <w:szCs w:val="24"/>
        </w:rPr>
        <w:t xml:space="preserve">supports areas of digital need and </w:t>
      </w:r>
      <w:r w:rsidR="001D12EF">
        <w:rPr>
          <w:rFonts w:cstheme="minorHAnsi"/>
          <w:iCs/>
          <w:szCs w:val="24"/>
        </w:rPr>
        <w:t>equity across jurisdictions and sectors</w:t>
      </w:r>
      <w:r w:rsidR="006C1E77">
        <w:rPr>
          <w:rFonts w:cstheme="minorHAnsi"/>
          <w:iCs/>
          <w:szCs w:val="24"/>
        </w:rPr>
        <w:t>.</w:t>
      </w:r>
    </w:p>
    <w:p w:rsidR="006C1E77" w:rsidRDefault="006C1E77" w:rsidP="006C1E77">
      <w:pPr>
        <w:pStyle w:val="ListParagraph"/>
        <w:numPr>
          <w:ilvl w:val="0"/>
          <w:numId w:val="21"/>
        </w:numPr>
        <w:spacing w:before="120" w:after="120" w:line="240" w:lineRule="auto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Funding will be divided into two (2) funding rounds</w:t>
      </w:r>
      <w:r w:rsidR="00380AF3">
        <w:rPr>
          <w:rFonts w:cstheme="minorHAnsi"/>
          <w:iCs/>
          <w:szCs w:val="24"/>
        </w:rPr>
        <w:t>.</w:t>
      </w:r>
    </w:p>
    <w:p w:rsidR="001D12EF" w:rsidRPr="007B22BE" w:rsidRDefault="001D27B5" w:rsidP="001D27B5">
      <w:pPr>
        <w:pStyle w:val="ListParagraph"/>
        <w:numPr>
          <w:ilvl w:val="0"/>
          <w:numId w:val="21"/>
        </w:numPr>
        <w:spacing w:before="120" w:after="120" w:line="240" w:lineRule="auto"/>
        <w:rPr>
          <w:rFonts w:cstheme="minorHAnsi"/>
          <w:iCs/>
          <w:szCs w:val="24"/>
        </w:rPr>
      </w:pPr>
      <w:r w:rsidRPr="007B22BE">
        <w:rPr>
          <w:rFonts w:cstheme="minorHAnsi"/>
          <w:iCs/>
          <w:szCs w:val="24"/>
        </w:rPr>
        <w:t>E</w:t>
      </w:r>
      <w:r w:rsidR="004C2229" w:rsidRPr="007B22BE">
        <w:rPr>
          <w:rFonts w:cstheme="minorHAnsi"/>
          <w:iCs/>
          <w:szCs w:val="24"/>
        </w:rPr>
        <w:t xml:space="preserve">fforts will be made to </w:t>
      </w:r>
      <w:r w:rsidR="00366B72" w:rsidRPr="007B22BE">
        <w:rPr>
          <w:rFonts w:cstheme="minorHAnsi"/>
          <w:iCs/>
          <w:szCs w:val="24"/>
        </w:rPr>
        <w:t>distribute</w:t>
      </w:r>
      <w:r w:rsidR="004C2229" w:rsidRPr="007B22BE">
        <w:rPr>
          <w:rFonts w:cstheme="minorHAnsi"/>
          <w:iCs/>
          <w:szCs w:val="24"/>
        </w:rPr>
        <w:t xml:space="preserve"> </w:t>
      </w:r>
      <w:r w:rsidRPr="007B22BE">
        <w:rPr>
          <w:rFonts w:cstheme="minorHAnsi"/>
          <w:iCs/>
          <w:szCs w:val="24"/>
        </w:rPr>
        <w:t xml:space="preserve">funding </w:t>
      </w:r>
      <w:r w:rsidR="004C2229" w:rsidRPr="007B22BE">
        <w:rPr>
          <w:rFonts w:cstheme="minorHAnsi"/>
          <w:iCs/>
          <w:szCs w:val="24"/>
        </w:rPr>
        <w:t xml:space="preserve">equitably </w:t>
      </w:r>
      <w:r w:rsidR="007B22BE" w:rsidRPr="007B22BE">
        <w:rPr>
          <w:rFonts w:cstheme="minorHAnsi"/>
          <w:iCs/>
          <w:szCs w:val="24"/>
        </w:rPr>
        <w:t>across</w:t>
      </w:r>
      <w:r w:rsidR="00366B72" w:rsidRPr="007B22BE">
        <w:rPr>
          <w:rFonts w:cstheme="minorHAnsi"/>
          <w:iCs/>
          <w:szCs w:val="24"/>
        </w:rPr>
        <w:t xml:space="preserve"> the states and territories </w:t>
      </w:r>
      <w:r w:rsidR="004C2229" w:rsidRPr="007B22BE">
        <w:rPr>
          <w:rFonts w:cstheme="minorHAnsi"/>
          <w:iCs/>
          <w:szCs w:val="24"/>
        </w:rPr>
        <w:t xml:space="preserve">based on </w:t>
      </w:r>
      <w:r w:rsidR="007B22BE" w:rsidRPr="007B22BE">
        <w:rPr>
          <w:rFonts w:cstheme="minorHAnsi"/>
          <w:iCs/>
          <w:szCs w:val="24"/>
        </w:rPr>
        <w:t xml:space="preserve">the </w:t>
      </w:r>
      <w:r w:rsidR="004C2229" w:rsidRPr="007B22BE">
        <w:rPr>
          <w:rFonts w:cstheme="minorHAnsi"/>
          <w:iCs/>
          <w:szCs w:val="24"/>
        </w:rPr>
        <w:t>proportion of student enrolments</w:t>
      </w:r>
      <w:r w:rsidR="007B22BE">
        <w:rPr>
          <w:rFonts w:cstheme="minorHAnsi"/>
          <w:iCs/>
          <w:szCs w:val="24"/>
        </w:rPr>
        <w:t xml:space="preserve"> and between government and non-government school sectors and including both primary and secondary schools</w:t>
      </w:r>
      <w:r w:rsidR="004C2229" w:rsidRPr="007B22BE">
        <w:rPr>
          <w:rFonts w:cstheme="minorHAnsi"/>
          <w:iCs/>
          <w:szCs w:val="24"/>
        </w:rPr>
        <w:t xml:space="preserve">. This will be </w:t>
      </w:r>
      <w:r w:rsidR="0002779A">
        <w:rPr>
          <w:rFonts w:cstheme="minorHAnsi"/>
          <w:iCs/>
          <w:szCs w:val="24"/>
        </w:rPr>
        <w:t>subject to</w:t>
      </w:r>
      <w:r w:rsidR="004C2229" w:rsidRPr="007B22BE">
        <w:rPr>
          <w:rFonts w:cstheme="minorHAnsi"/>
          <w:iCs/>
          <w:szCs w:val="24"/>
        </w:rPr>
        <w:t xml:space="preserve"> the number and quality of</w:t>
      </w:r>
      <w:r w:rsidR="0002779A">
        <w:rPr>
          <w:rFonts w:cstheme="minorHAnsi"/>
          <w:iCs/>
          <w:szCs w:val="24"/>
        </w:rPr>
        <w:t xml:space="preserve"> grant</w:t>
      </w:r>
      <w:r w:rsidR="004C2229" w:rsidRPr="007B22BE">
        <w:rPr>
          <w:rFonts w:cstheme="minorHAnsi"/>
          <w:iCs/>
          <w:szCs w:val="24"/>
        </w:rPr>
        <w:t xml:space="preserve"> applications received from each jurisdiction</w:t>
      </w:r>
      <w:r w:rsidR="00521F0E">
        <w:rPr>
          <w:rFonts w:cstheme="minorHAnsi"/>
          <w:iCs/>
          <w:szCs w:val="24"/>
        </w:rPr>
        <w:t xml:space="preserve"> and sector</w:t>
      </w:r>
      <w:r w:rsidR="00366B72" w:rsidRPr="007B22BE">
        <w:rPr>
          <w:rFonts w:cstheme="minorHAnsi"/>
          <w:iCs/>
          <w:szCs w:val="24"/>
        </w:rPr>
        <w:t xml:space="preserve">. </w:t>
      </w:r>
    </w:p>
    <w:p w:rsidR="009837E9" w:rsidRDefault="009837E9" w:rsidP="009837E9">
      <w:pPr>
        <w:pStyle w:val="Heading1"/>
      </w:pPr>
      <w:bookmarkStart w:id="19" w:name="_Toc445882120"/>
      <w:bookmarkStart w:id="20" w:name="_Toc486923364"/>
      <w:r w:rsidRPr="0066387D">
        <w:t>Eligibility to Apply</w:t>
      </w:r>
      <w:bookmarkEnd w:id="19"/>
      <w:bookmarkEnd w:id="20"/>
    </w:p>
    <w:p w:rsidR="005558FD" w:rsidRPr="00850E5C" w:rsidRDefault="005558FD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eastAsia="Calibri"/>
        </w:rPr>
      </w:pPr>
      <w:r w:rsidRPr="00850E5C">
        <w:rPr>
          <w:rFonts w:eastAsia="Calibri"/>
        </w:rPr>
        <w:t>All government and non-government primary and secondary</w:t>
      </w:r>
      <w:r w:rsidR="00237950" w:rsidRPr="00850E5C">
        <w:rPr>
          <w:rFonts w:eastAsia="Calibri"/>
        </w:rPr>
        <w:t xml:space="preserve"> schools are eligible to apply</w:t>
      </w:r>
      <w:r w:rsidR="00E80A69" w:rsidRPr="00850E5C">
        <w:rPr>
          <w:rFonts w:eastAsia="Calibri"/>
        </w:rPr>
        <w:t>.</w:t>
      </w:r>
    </w:p>
    <w:p w:rsidR="009837E9" w:rsidRPr="00850E5C" w:rsidRDefault="00B06CBA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eastAsia="Calibri"/>
        </w:rPr>
      </w:pPr>
      <w:r w:rsidRPr="00850E5C">
        <w:rPr>
          <w:rFonts w:eastAsia="Calibri"/>
        </w:rPr>
        <w:t xml:space="preserve">All government and </w:t>
      </w:r>
      <w:r w:rsidR="004204FA" w:rsidRPr="00850E5C">
        <w:rPr>
          <w:rFonts w:eastAsia="Calibri"/>
        </w:rPr>
        <w:t>non-government s</w:t>
      </w:r>
      <w:r w:rsidR="009837E9" w:rsidRPr="00850E5C">
        <w:rPr>
          <w:rFonts w:eastAsia="Calibri"/>
        </w:rPr>
        <w:t>chools</w:t>
      </w:r>
      <w:r w:rsidR="004204FA" w:rsidRPr="00850E5C">
        <w:rPr>
          <w:rFonts w:eastAsia="Calibri"/>
        </w:rPr>
        <w:t xml:space="preserve"> must have an Approved Authority approved under the Australian Education Act 2013 and must </w:t>
      </w:r>
      <w:r w:rsidR="00217673" w:rsidRPr="00850E5C">
        <w:rPr>
          <w:rFonts w:eastAsia="Calibri"/>
        </w:rPr>
        <w:t>have an active A</w:t>
      </w:r>
      <w:r w:rsidR="00B94CE8" w:rsidRPr="00850E5C">
        <w:rPr>
          <w:rFonts w:eastAsia="Calibri"/>
        </w:rPr>
        <w:t xml:space="preserve">ustralian </w:t>
      </w:r>
      <w:r w:rsidR="00217673" w:rsidRPr="00850E5C">
        <w:rPr>
          <w:rFonts w:eastAsia="Calibri"/>
        </w:rPr>
        <w:t>B</w:t>
      </w:r>
      <w:r w:rsidR="00B94CE8" w:rsidRPr="00850E5C">
        <w:rPr>
          <w:rFonts w:eastAsia="Calibri"/>
        </w:rPr>
        <w:t>usiness Number (ABN)</w:t>
      </w:r>
      <w:r w:rsidR="00055BDD" w:rsidRPr="00850E5C">
        <w:rPr>
          <w:rFonts w:eastAsia="Calibri"/>
        </w:rPr>
        <w:t>.</w:t>
      </w:r>
    </w:p>
    <w:p w:rsidR="00FE5B36" w:rsidRPr="00850E5C" w:rsidRDefault="00217673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eastAsia="Calibri"/>
        </w:rPr>
      </w:pPr>
      <w:r w:rsidRPr="00850E5C">
        <w:rPr>
          <w:rFonts w:eastAsia="Calibri"/>
        </w:rPr>
        <w:t xml:space="preserve">All </w:t>
      </w:r>
      <w:r w:rsidR="00D10C4E" w:rsidRPr="00850E5C">
        <w:rPr>
          <w:rFonts w:eastAsia="Calibri"/>
        </w:rPr>
        <w:t xml:space="preserve">Grant Applications </w:t>
      </w:r>
      <w:r w:rsidRPr="00850E5C">
        <w:rPr>
          <w:rFonts w:eastAsia="Calibri"/>
        </w:rPr>
        <w:t>must have the written sup</w:t>
      </w:r>
      <w:r w:rsidR="00237950" w:rsidRPr="00850E5C">
        <w:rPr>
          <w:rFonts w:eastAsia="Calibri"/>
        </w:rPr>
        <w:t>port of the school</w:t>
      </w:r>
      <w:r w:rsidR="00364905" w:rsidRPr="00850E5C">
        <w:rPr>
          <w:rFonts w:eastAsia="Calibri"/>
        </w:rPr>
        <w:t>/s</w:t>
      </w:r>
      <w:r w:rsidR="00237950" w:rsidRPr="00850E5C">
        <w:rPr>
          <w:rFonts w:eastAsia="Calibri"/>
        </w:rPr>
        <w:t>’ principal</w:t>
      </w:r>
      <w:r w:rsidR="00364905" w:rsidRPr="00850E5C">
        <w:rPr>
          <w:rFonts w:eastAsia="Calibri"/>
        </w:rPr>
        <w:t>/s</w:t>
      </w:r>
      <w:r w:rsidR="00237950" w:rsidRPr="00850E5C">
        <w:rPr>
          <w:rFonts w:eastAsia="Calibri"/>
        </w:rPr>
        <w:t>.</w:t>
      </w:r>
      <w:r w:rsidR="00364905" w:rsidRPr="00850E5C">
        <w:rPr>
          <w:rFonts w:eastAsia="Calibri"/>
        </w:rPr>
        <w:t xml:space="preserve"> </w:t>
      </w:r>
      <w:r w:rsidR="00D10C4E" w:rsidRPr="00850E5C">
        <w:rPr>
          <w:rFonts w:eastAsia="Calibri"/>
        </w:rPr>
        <w:t>Grant Applications</w:t>
      </w:r>
      <w:r w:rsidR="003F0C58" w:rsidRPr="00850E5C">
        <w:rPr>
          <w:rFonts w:eastAsia="Calibri"/>
        </w:rPr>
        <w:t xml:space="preserve"> under Category C must</w:t>
      </w:r>
      <w:r w:rsidR="004204FA" w:rsidRPr="00850E5C">
        <w:rPr>
          <w:rFonts w:eastAsia="Calibri"/>
        </w:rPr>
        <w:t xml:space="preserve"> also</w:t>
      </w:r>
      <w:r w:rsidR="003F0C58" w:rsidRPr="00850E5C">
        <w:rPr>
          <w:rFonts w:eastAsia="Calibri"/>
        </w:rPr>
        <w:t xml:space="preserve"> have written support of the organisation</w:t>
      </w:r>
      <w:r w:rsidR="00364905" w:rsidRPr="00850E5C">
        <w:rPr>
          <w:rFonts w:eastAsia="Calibri"/>
        </w:rPr>
        <w:t>/</w:t>
      </w:r>
      <w:r w:rsidR="003F0C58" w:rsidRPr="00850E5C">
        <w:rPr>
          <w:rFonts w:eastAsia="Calibri"/>
        </w:rPr>
        <w:t>s</w:t>
      </w:r>
      <w:r w:rsidR="00364905" w:rsidRPr="00850E5C">
        <w:rPr>
          <w:rFonts w:eastAsia="Calibri"/>
        </w:rPr>
        <w:t>’</w:t>
      </w:r>
      <w:r w:rsidR="003F0C58" w:rsidRPr="00850E5C">
        <w:rPr>
          <w:rFonts w:eastAsia="Calibri"/>
        </w:rPr>
        <w:t xml:space="preserve"> leaders</w:t>
      </w:r>
      <w:r w:rsidR="004204FA" w:rsidRPr="00850E5C">
        <w:rPr>
          <w:rFonts w:eastAsia="Calibri"/>
        </w:rPr>
        <w:t xml:space="preserve"> (if applicable – for</w:t>
      </w:r>
      <w:r w:rsidR="00C90336" w:rsidRPr="00850E5C">
        <w:rPr>
          <w:rFonts w:eastAsia="Calibri"/>
        </w:rPr>
        <w:t xml:space="preserve"> example for projects that involve a cluster of schools and/or peak bodies/professional associations)</w:t>
      </w:r>
      <w:r w:rsidR="003F0C58" w:rsidRPr="00850E5C">
        <w:rPr>
          <w:rFonts w:eastAsia="Calibri"/>
        </w:rPr>
        <w:t>.</w:t>
      </w:r>
    </w:p>
    <w:p w:rsidR="009837E9" w:rsidRPr="00850E5C" w:rsidRDefault="009837E9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eastAsia="Calibri"/>
        </w:rPr>
      </w:pPr>
      <w:r w:rsidRPr="00850E5C">
        <w:rPr>
          <w:rFonts w:eastAsia="Calibri"/>
        </w:rPr>
        <w:t xml:space="preserve">Primary and secondary teachers regardless of teaching discipline may submit </w:t>
      </w:r>
      <w:r w:rsidR="00C90336" w:rsidRPr="00850E5C">
        <w:rPr>
          <w:rFonts w:eastAsia="Calibri"/>
        </w:rPr>
        <w:t>Grant A</w:t>
      </w:r>
      <w:r w:rsidRPr="00850E5C">
        <w:rPr>
          <w:rFonts w:eastAsia="Calibri"/>
        </w:rPr>
        <w:t>pplications</w:t>
      </w:r>
      <w:r w:rsidR="00237950" w:rsidRPr="00850E5C">
        <w:rPr>
          <w:rFonts w:eastAsia="Calibri"/>
        </w:rPr>
        <w:t xml:space="preserve"> as long as they clearly demonstrate their ability to lead across the school and have their principal’s support to this effect</w:t>
      </w:r>
      <w:r w:rsidRPr="00850E5C">
        <w:rPr>
          <w:rFonts w:eastAsia="Calibri"/>
        </w:rPr>
        <w:t xml:space="preserve">. </w:t>
      </w:r>
    </w:p>
    <w:p w:rsidR="009837E9" w:rsidRPr="00850E5C" w:rsidRDefault="00C90336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eastAsia="Calibri"/>
        </w:rPr>
      </w:pPr>
      <w:r w:rsidRPr="00850E5C">
        <w:rPr>
          <w:rFonts w:eastAsia="Calibri"/>
        </w:rPr>
        <w:t xml:space="preserve">Grant </w:t>
      </w:r>
      <w:r w:rsidR="009837E9" w:rsidRPr="00850E5C">
        <w:rPr>
          <w:rFonts w:eastAsia="Calibri"/>
        </w:rPr>
        <w:t xml:space="preserve">Applications will also be open to primary and secondary </w:t>
      </w:r>
      <w:r w:rsidR="00F10E4F" w:rsidRPr="00850E5C">
        <w:rPr>
          <w:rFonts w:eastAsia="Calibri"/>
        </w:rPr>
        <w:t>p</w:t>
      </w:r>
      <w:r w:rsidR="009837E9" w:rsidRPr="00850E5C">
        <w:rPr>
          <w:rFonts w:eastAsia="Calibri"/>
        </w:rPr>
        <w:t>rincipals’ associations</w:t>
      </w:r>
      <w:r w:rsidR="00362781" w:rsidRPr="00850E5C">
        <w:rPr>
          <w:rFonts w:eastAsia="Calibri"/>
        </w:rPr>
        <w:t>,</w:t>
      </w:r>
      <w:r w:rsidR="009837E9" w:rsidRPr="00850E5C">
        <w:rPr>
          <w:rFonts w:eastAsia="Calibri"/>
        </w:rPr>
        <w:t xml:space="preserve"> teacher representative bodies </w:t>
      </w:r>
      <w:r w:rsidR="00362781" w:rsidRPr="00850E5C">
        <w:rPr>
          <w:rFonts w:eastAsia="Calibri"/>
        </w:rPr>
        <w:t xml:space="preserve">and other </w:t>
      </w:r>
      <w:r w:rsidR="0058407A" w:rsidRPr="00850E5C">
        <w:rPr>
          <w:rFonts w:eastAsia="Calibri"/>
        </w:rPr>
        <w:t xml:space="preserve">not-for-profit </w:t>
      </w:r>
      <w:r w:rsidR="00362781" w:rsidRPr="00850E5C">
        <w:rPr>
          <w:rFonts w:eastAsia="Calibri"/>
        </w:rPr>
        <w:t>educational organisations</w:t>
      </w:r>
      <w:r w:rsidRPr="00850E5C">
        <w:rPr>
          <w:rFonts w:eastAsia="Calibri"/>
        </w:rPr>
        <w:t xml:space="preserve">. For </w:t>
      </w:r>
      <w:r w:rsidRPr="00850E5C">
        <w:rPr>
          <w:rFonts w:eastAsia="Calibri"/>
        </w:rPr>
        <w:lastRenderedPageBreak/>
        <w:t>example they may submit Grant Application in respect of</w:t>
      </w:r>
      <w:r w:rsidR="009837E9" w:rsidRPr="00850E5C">
        <w:rPr>
          <w:rFonts w:eastAsia="Calibri"/>
        </w:rPr>
        <w:t xml:space="preserve"> fund</w:t>
      </w:r>
      <w:r w:rsidRPr="00850E5C">
        <w:rPr>
          <w:rFonts w:eastAsia="Calibri"/>
        </w:rPr>
        <w:t>ing for</w:t>
      </w:r>
      <w:r w:rsidR="009837E9" w:rsidRPr="00850E5C">
        <w:rPr>
          <w:rFonts w:eastAsia="Calibri"/>
        </w:rPr>
        <w:t xml:space="preserve"> webinars, training for</w:t>
      </w:r>
      <w:r w:rsidR="009837E9" w:rsidRPr="00237950">
        <w:rPr>
          <w:rFonts w:eastAsiaTheme="minorHAnsi" w:cstheme="minorHAnsi"/>
          <w:szCs w:val="24"/>
        </w:rPr>
        <w:t xml:space="preserve"> </w:t>
      </w:r>
      <w:r w:rsidR="009837E9" w:rsidRPr="00850E5C">
        <w:rPr>
          <w:rFonts w:eastAsia="Calibri"/>
        </w:rPr>
        <w:t xml:space="preserve">members and other broader </w:t>
      </w:r>
      <w:r w:rsidR="005B328F" w:rsidRPr="00850E5C">
        <w:rPr>
          <w:rFonts w:eastAsia="Calibri"/>
        </w:rPr>
        <w:t>program</w:t>
      </w:r>
      <w:r w:rsidR="00C050B2" w:rsidRPr="00850E5C">
        <w:rPr>
          <w:rFonts w:eastAsia="Calibri"/>
        </w:rPr>
        <w:t>s to promote the role of school</w:t>
      </w:r>
      <w:r w:rsidR="009837E9" w:rsidRPr="00850E5C">
        <w:rPr>
          <w:rFonts w:eastAsia="Calibri"/>
        </w:rPr>
        <w:t xml:space="preserve"> leaders in driving digital literacy in schools.</w:t>
      </w:r>
    </w:p>
    <w:p w:rsidR="0058407A" w:rsidRPr="007A550F" w:rsidRDefault="0058407A" w:rsidP="007A550F">
      <w:pPr>
        <w:spacing w:before="120" w:after="120"/>
        <w:rPr>
          <w:rFonts w:eastAsia="Calibri"/>
        </w:rPr>
      </w:pPr>
      <w:r w:rsidRPr="007A550F">
        <w:rPr>
          <w:rFonts w:eastAsia="Calibri"/>
        </w:rPr>
        <w:t>Organisations which received a grant in the first round of Digital Literacy School Grants are not eligible to receive a grant in the second round.</w:t>
      </w:r>
    </w:p>
    <w:p w:rsidR="00BF6C29" w:rsidRPr="00BF6C29" w:rsidRDefault="00BF6C29" w:rsidP="00BF6C29">
      <w:pPr>
        <w:pStyle w:val="Heading1"/>
      </w:pPr>
      <w:bookmarkStart w:id="21" w:name="_Toc486923365"/>
      <w:r>
        <w:t>Application Process</w:t>
      </w:r>
      <w:bookmarkEnd w:id="21"/>
    </w:p>
    <w:p w:rsidR="00CE3428" w:rsidRPr="00CE3428" w:rsidRDefault="00D4626D" w:rsidP="00CE3428">
      <w:pPr>
        <w:pStyle w:val="Heading2"/>
      </w:pPr>
      <w:bookmarkStart w:id="22" w:name="_Toc486923366"/>
      <w:r w:rsidRPr="00D4626D">
        <w:t>Overview of the application process</w:t>
      </w:r>
      <w:bookmarkEnd w:id="22"/>
    </w:p>
    <w:p w:rsidR="0066387D" w:rsidRDefault="00BD3284" w:rsidP="00D4626D">
      <w:pPr>
        <w:tabs>
          <w:tab w:val="left" w:pos="2263"/>
        </w:tabs>
        <w:spacing w:before="120" w:after="12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Applications for the </w:t>
      </w:r>
      <w:r w:rsidR="001F3673">
        <w:rPr>
          <w:rFonts w:cstheme="minorHAnsi"/>
          <w:iCs/>
          <w:szCs w:val="24"/>
        </w:rPr>
        <w:t>second</w:t>
      </w:r>
      <w:r>
        <w:rPr>
          <w:rFonts w:cstheme="minorHAnsi"/>
          <w:iCs/>
          <w:szCs w:val="24"/>
        </w:rPr>
        <w:t xml:space="preserve"> round of funding </w:t>
      </w:r>
      <w:r w:rsidR="0066387D">
        <w:rPr>
          <w:rFonts w:cstheme="minorHAnsi"/>
          <w:iCs/>
          <w:szCs w:val="24"/>
        </w:rPr>
        <w:t xml:space="preserve">under the Program </w:t>
      </w:r>
      <w:r>
        <w:rPr>
          <w:rFonts w:cstheme="minorHAnsi"/>
          <w:iCs/>
          <w:szCs w:val="24"/>
        </w:rPr>
        <w:t xml:space="preserve">will open on </w:t>
      </w:r>
      <w:r w:rsidR="007131FE">
        <w:rPr>
          <w:rFonts w:cstheme="minorHAnsi"/>
          <w:iCs/>
          <w:szCs w:val="24"/>
        </w:rPr>
        <w:t>30 June 2017</w:t>
      </w:r>
      <w:r>
        <w:rPr>
          <w:rFonts w:cstheme="minorHAnsi"/>
          <w:iCs/>
          <w:szCs w:val="24"/>
        </w:rPr>
        <w:t xml:space="preserve"> and close</w:t>
      </w:r>
      <w:r w:rsidR="00403095">
        <w:rPr>
          <w:rFonts w:cstheme="minorHAnsi"/>
          <w:iCs/>
          <w:szCs w:val="24"/>
        </w:rPr>
        <w:t xml:space="preserve"> at </w:t>
      </w:r>
      <w:r w:rsidR="00CD00A8">
        <w:rPr>
          <w:rFonts w:cstheme="minorHAnsi"/>
          <w:iCs/>
          <w:szCs w:val="24"/>
        </w:rPr>
        <w:t>12.00 noon</w:t>
      </w:r>
      <w:r w:rsidR="00D731BF">
        <w:rPr>
          <w:rFonts w:cstheme="minorHAnsi"/>
          <w:iCs/>
          <w:szCs w:val="24"/>
        </w:rPr>
        <w:t xml:space="preserve"> (Canberra local time)</w:t>
      </w:r>
      <w:r>
        <w:rPr>
          <w:rFonts w:cstheme="minorHAnsi"/>
          <w:iCs/>
          <w:szCs w:val="24"/>
        </w:rPr>
        <w:t xml:space="preserve"> on </w:t>
      </w:r>
      <w:r w:rsidR="002F175B">
        <w:rPr>
          <w:rFonts w:cstheme="minorHAnsi"/>
          <w:iCs/>
          <w:szCs w:val="24"/>
        </w:rPr>
        <w:t>11</w:t>
      </w:r>
      <w:r w:rsidR="007131FE">
        <w:rPr>
          <w:rFonts w:cstheme="minorHAnsi"/>
          <w:iCs/>
          <w:szCs w:val="24"/>
        </w:rPr>
        <w:t xml:space="preserve"> August 2017</w:t>
      </w:r>
      <w:r w:rsidR="00254DB7">
        <w:rPr>
          <w:rFonts w:cstheme="minorHAnsi"/>
          <w:iCs/>
          <w:szCs w:val="24"/>
        </w:rPr>
        <w:t xml:space="preserve">. </w:t>
      </w:r>
    </w:p>
    <w:p w:rsidR="0066387D" w:rsidRDefault="00254DB7" w:rsidP="00D4626D">
      <w:pPr>
        <w:tabs>
          <w:tab w:val="left" w:pos="2263"/>
        </w:tabs>
        <w:spacing w:before="120" w:after="12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I</w:t>
      </w:r>
      <w:r w:rsidR="00403095">
        <w:rPr>
          <w:rFonts w:cstheme="minorHAnsi"/>
          <w:iCs/>
          <w:szCs w:val="24"/>
        </w:rPr>
        <w:t xml:space="preserve">t is expected that </w:t>
      </w:r>
      <w:r w:rsidR="00976CFF">
        <w:rPr>
          <w:rFonts w:cstheme="minorHAnsi"/>
          <w:iCs/>
          <w:szCs w:val="24"/>
        </w:rPr>
        <w:t>projects</w:t>
      </w:r>
      <w:r w:rsidR="0066387D">
        <w:rPr>
          <w:rFonts w:cstheme="minorHAnsi"/>
          <w:iCs/>
          <w:szCs w:val="24"/>
        </w:rPr>
        <w:t xml:space="preserve"> successful in the </w:t>
      </w:r>
      <w:r w:rsidR="001F0444">
        <w:rPr>
          <w:rFonts w:cstheme="minorHAnsi"/>
          <w:iCs/>
          <w:szCs w:val="24"/>
        </w:rPr>
        <w:t xml:space="preserve">second </w:t>
      </w:r>
      <w:r w:rsidR="0066387D">
        <w:rPr>
          <w:rFonts w:cstheme="minorHAnsi"/>
          <w:iCs/>
          <w:szCs w:val="24"/>
        </w:rPr>
        <w:t>round of Program funding,</w:t>
      </w:r>
      <w:r w:rsidR="00976CFF">
        <w:rPr>
          <w:rFonts w:cstheme="minorHAnsi"/>
          <w:iCs/>
          <w:szCs w:val="24"/>
        </w:rPr>
        <w:t xml:space="preserve"> will commence in Term 1 of the 201</w:t>
      </w:r>
      <w:r w:rsidR="007131FE">
        <w:rPr>
          <w:rFonts w:cstheme="minorHAnsi"/>
          <w:iCs/>
          <w:szCs w:val="24"/>
        </w:rPr>
        <w:t>8</w:t>
      </w:r>
      <w:r w:rsidR="00976CFF">
        <w:rPr>
          <w:rFonts w:cstheme="minorHAnsi"/>
          <w:iCs/>
          <w:szCs w:val="24"/>
        </w:rPr>
        <w:t xml:space="preserve"> school year</w:t>
      </w:r>
      <w:r w:rsidR="00403095">
        <w:rPr>
          <w:rFonts w:cstheme="minorHAnsi"/>
          <w:iCs/>
          <w:szCs w:val="24"/>
        </w:rPr>
        <w:t xml:space="preserve">. </w:t>
      </w:r>
    </w:p>
    <w:p w:rsidR="00403095" w:rsidRPr="00DD5D03" w:rsidRDefault="00D731BF" w:rsidP="00D4626D">
      <w:pPr>
        <w:tabs>
          <w:tab w:val="left" w:pos="2263"/>
        </w:tabs>
        <w:spacing w:before="120" w:after="120"/>
        <w:rPr>
          <w:rFonts w:cstheme="minorHAnsi"/>
          <w:iCs/>
          <w:color w:val="000000" w:themeColor="text1"/>
          <w:szCs w:val="24"/>
        </w:rPr>
      </w:pPr>
      <w:r>
        <w:rPr>
          <w:rFonts w:cstheme="minorHAnsi"/>
          <w:iCs/>
          <w:szCs w:val="24"/>
        </w:rPr>
        <w:t xml:space="preserve">The </w:t>
      </w:r>
      <w:r w:rsidR="00C80768">
        <w:rPr>
          <w:rFonts w:cstheme="minorHAnsi"/>
          <w:iCs/>
          <w:szCs w:val="24"/>
        </w:rPr>
        <w:t>o</w:t>
      </w:r>
      <w:r w:rsidR="007131FE">
        <w:rPr>
          <w:rFonts w:cstheme="minorHAnsi"/>
          <w:iCs/>
          <w:szCs w:val="24"/>
        </w:rPr>
        <w:t>nline</w:t>
      </w:r>
      <w:r w:rsidR="00B015F1">
        <w:rPr>
          <w:rFonts w:cstheme="minorHAnsi"/>
          <w:iCs/>
          <w:szCs w:val="24"/>
        </w:rPr>
        <w:t xml:space="preserve"> </w:t>
      </w:r>
      <w:r w:rsidR="0066387D">
        <w:rPr>
          <w:rFonts w:cstheme="minorHAnsi"/>
          <w:iCs/>
          <w:szCs w:val="24"/>
        </w:rPr>
        <w:t xml:space="preserve">Application Form </w:t>
      </w:r>
      <w:r>
        <w:rPr>
          <w:rFonts w:cstheme="minorHAnsi"/>
          <w:iCs/>
          <w:szCs w:val="24"/>
        </w:rPr>
        <w:t xml:space="preserve">will be available </w:t>
      </w:r>
      <w:r w:rsidR="007131FE">
        <w:rPr>
          <w:rFonts w:cstheme="minorHAnsi"/>
          <w:iCs/>
          <w:szCs w:val="24"/>
        </w:rPr>
        <w:t xml:space="preserve">through </w:t>
      </w:r>
      <w:r w:rsidR="00403095">
        <w:rPr>
          <w:rFonts w:cstheme="minorHAnsi"/>
          <w:iCs/>
          <w:szCs w:val="24"/>
        </w:rPr>
        <w:t xml:space="preserve">the </w:t>
      </w:r>
      <w:hyperlink r:id="rId22" w:history="1">
        <w:r w:rsidR="00C80768" w:rsidRPr="00B309CE">
          <w:rPr>
            <w:rStyle w:val="Hyperlink"/>
            <w:rFonts w:cstheme="minorHAnsi"/>
            <w:iCs/>
            <w:szCs w:val="24"/>
          </w:rPr>
          <w:t>D</w:t>
        </w:r>
        <w:r w:rsidR="00B015F1" w:rsidRPr="00B309CE">
          <w:rPr>
            <w:rStyle w:val="Hyperlink"/>
            <w:rFonts w:cstheme="minorHAnsi"/>
            <w:iCs/>
            <w:szCs w:val="24"/>
          </w:rPr>
          <w:t>epartment</w:t>
        </w:r>
        <w:r w:rsidR="00254DB7" w:rsidRPr="00B309CE">
          <w:rPr>
            <w:rStyle w:val="Hyperlink"/>
            <w:rFonts w:cstheme="minorHAnsi"/>
            <w:iCs/>
            <w:szCs w:val="24"/>
          </w:rPr>
          <w:t>’s</w:t>
        </w:r>
        <w:r w:rsidR="00403095" w:rsidRPr="00B309CE">
          <w:rPr>
            <w:rStyle w:val="Hyperlink"/>
            <w:rFonts w:cstheme="minorHAnsi"/>
            <w:iCs/>
            <w:szCs w:val="24"/>
          </w:rPr>
          <w:t xml:space="preserve"> website</w:t>
        </w:r>
      </w:hyperlink>
      <w:r w:rsidR="00B309CE">
        <w:rPr>
          <w:rFonts w:cstheme="minorHAnsi"/>
          <w:iCs/>
          <w:szCs w:val="24"/>
        </w:rPr>
        <w:t>.</w:t>
      </w:r>
    </w:p>
    <w:p w:rsidR="00254DB7" w:rsidRPr="00D4626D" w:rsidRDefault="00D4626D" w:rsidP="00B35EDF">
      <w:pPr>
        <w:tabs>
          <w:tab w:val="left" w:pos="2263"/>
        </w:tabs>
        <w:spacing w:before="120" w:after="120"/>
      </w:pPr>
      <w:r w:rsidRPr="00DD5D03">
        <w:rPr>
          <w:rFonts w:cstheme="minorHAnsi"/>
          <w:iCs/>
          <w:color w:val="000000" w:themeColor="text1"/>
          <w:szCs w:val="24"/>
        </w:rPr>
        <w:t xml:space="preserve">All grant processes will be undertaken in accordance with the requirements of the Commonwealth Grant </w:t>
      </w:r>
      <w:r w:rsidR="00E94649" w:rsidRPr="00DD5D03">
        <w:rPr>
          <w:rFonts w:cstheme="minorHAnsi"/>
          <w:iCs/>
          <w:color w:val="000000" w:themeColor="text1"/>
          <w:szCs w:val="24"/>
        </w:rPr>
        <w:t>Rules and Guidelines – July 2014 (</w:t>
      </w:r>
      <w:proofErr w:type="spellStart"/>
      <w:r w:rsidR="00E94649" w:rsidRPr="00DD5D03">
        <w:rPr>
          <w:rFonts w:cstheme="minorHAnsi"/>
          <w:iCs/>
          <w:color w:val="000000" w:themeColor="text1"/>
          <w:szCs w:val="24"/>
        </w:rPr>
        <w:t>CGRGs</w:t>
      </w:r>
      <w:proofErr w:type="spellEnd"/>
      <w:r w:rsidR="00E94649" w:rsidRPr="00DD5D03">
        <w:rPr>
          <w:rFonts w:cstheme="minorHAnsi"/>
          <w:iCs/>
          <w:color w:val="000000" w:themeColor="text1"/>
          <w:szCs w:val="24"/>
        </w:rPr>
        <w:t>)</w:t>
      </w:r>
      <w:r w:rsidR="00D731BF" w:rsidRPr="00DD5D03">
        <w:rPr>
          <w:rFonts w:cstheme="minorHAnsi"/>
          <w:iCs/>
          <w:color w:val="000000" w:themeColor="text1"/>
          <w:szCs w:val="24"/>
        </w:rPr>
        <w:t xml:space="preserve">. The </w:t>
      </w:r>
      <w:proofErr w:type="spellStart"/>
      <w:r w:rsidR="00D731BF" w:rsidRPr="00DD5D03">
        <w:rPr>
          <w:rFonts w:cstheme="minorHAnsi"/>
          <w:iCs/>
          <w:color w:val="000000" w:themeColor="text1"/>
          <w:szCs w:val="24"/>
        </w:rPr>
        <w:t>CGRGs</w:t>
      </w:r>
      <w:proofErr w:type="spellEnd"/>
      <w:r w:rsidR="00D731BF" w:rsidRPr="00DD5D03">
        <w:rPr>
          <w:rFonts w:cstheme="minorHAnsi"/>
          <w:iCs/>
          <w:color w:val="000000" w:themeColor="text1"/>
          <w:szCs w:val="24"/>
        </w:rPr>
        <w:t xml:space="preserve"> </w:t>
      </w:r>
      <w:r w:rsidR="00E94649" w:rsidRPr="00DD5D03">
        <w:rPr>
          <w:color w:val="000000" w:themeColor="text1"/>
        </w:rPr>
        <w:t xml:space="preserve">can be found </w:t>
      </w:r>
      <w:r w:rsidR="00B35EDF">
        <w:rPr>
          <w:color w:val="000000" w:themeColor="text1"/>
        </w:rPr>
        <w:t xml:space="preserve">on the </w:t>
      </w:r>
      <w:hyperlink r:id="rId23" w:history="1">
        <w:r w:rsidR="00B35EDF" w:rsidRPr="00B35EDF">
          <w:rPr>
            <w:rStyle w:val="Hyperlink"/>
          </w:rPr>
          <w:t>Department of Finance website</w:t>
        </w:r>
      </w:hyperlink>
      <w:r w:rsidR="00B35EDF">
        <w:rPr>
          <w:color w:val="000000" w:themeColor="text1"/>
        </w:rPr>
        <w:t>.</w:t>
      </w:r>
    </w:p>
    <w:p w:rsidR="00D4626D" w:rsidRPr="00D4626D" w:rsidRDefault="0066387D" w:rsidP="00D4626D">
      <w:pPr>
        <w:tabs>
          <w:tab w:val="left" w:pos="2263"/>
        </w:tabs>
        <w:spacing w:before="120" w:after="12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Grant </w:t>
      </w:r>
      <w:r w:rsidR="00D4626D" w:rsidRPr="00D4626D">
        <w:rPr>
          <w:rFonts w:cstheme="minorHAnsi"/>
          <w:iCs/>
          <w:szCs w:val="24"/>
        </w:rPr>
        <w:t xml:space="preserve">Applicants for funding rounds conducted for this </w:t>
      </w:r>
      <w:r>
        <w:rPr>
          <w:rFonts w:cstheme="minorHAnsi"/>
          <w:iCs/>
          <w:szCs w:val="24"/>
        </w:rPr>
        <w:t>Program</w:t>
      </w:r>
      <w:r w:rsidRPr="00D4626D">
        <w:rPr>
          <w:rFonts w:cstheme="minorHAnsi"/>
          <w:iCs/>
          <w:szCs w:val="24"/>
        </w:rPr>
        <w:t xml:space="preserve"> </w:t>
      </w:r>
      <w:r w:rsidR="00C3363E">
        <w:rPr>
          <w:rFonts w:cstheme="minorHAnsi"/>
          <w:iCs/>
          <w:szCs w:val="24"/>
        </w:rPr>
        <w:t xml:space="preserve">should refer to </w:t>
      </w:r>
      <w:r w:rsidR="00D4626D" w:rsidRPr="00D4626D">
        <w:rPr>
          <w:rFonts w:cstheme="minorHAnsi"/>
          <w:iCs/>
          <w:szCs w:val="24"/>
        </w:rPr>
        <w:t xml:space="preserve">the </w:t>
      </w:r>
      <w:r w:rsidR="00254DB7">
        <w:rPr>
          <w:rFonts w:cstheme="minorHAnsi"/>
          <w:iCs/>
          <w:szCs w:val="24"/>
        </w:rPr>
        <w:t>following</w:t>
      </w:r>
      <w:r w:rsidR="000A0277">
        <w:rPr>
          <w:rFonts w:cstheme="minorHAnsi"/>
          <w:iCs/>
          <w:szCs w:val="24"/>
        </w:rPr>
        <w:t xml:space="preserve"> documents</w:t>
      </w:r>
      <w:r w:rsidR="00C3363E">
        <w:rPr>
          <w:rFonts w:cstheme="minorHAnsi"/>
          <w:iCs/>
          <w:szCs w:val="24"/>
        </w:rPr>
        <w:t>, which together constitute the Application Pack</w:t>
      </w:r>
      <w:r w:rsidR="00D4626D" w:rsidRPr="00D4626D">
        <w:rPr>
          <w:rFonts w:cstheme="minorHAnsi"/>
          <w:iCs/>
          <w:szCs w:val="24"/>
        </w:rPr>
        <w:t>:</w:t>
      </w:r>
    </w:p>
    <w:p w:rsidR="00D4626D" w:rsidRPr="007A550F" w:rsidRDefault="006C3D03" w:rsidP="007A550F">
      <w:pPr>
        <w:pStyle w:val="ListParagraph"/>
        <w:numPr>
          <w:ilvl w:val="0"/>
          <w:numId w:val="32"/>
        </w:numPr>
        <w:spacing w:before="120" w:after="120"/>
        <w:rPr>
          <w:rFonts w:eastAsia="Calibri"/>
        </w:rPr>
      </w:pPr>
      <w:r w:rsidRPr="007A550F">
        <w:rPr>
          <w:rFonts w:eastAsia="Calibri"/>
        </w:rPr>
        <w:t>t</w:t>
      </w:r>
      <w:r w:rsidR="00D4626D" w:rsidRPr="007A550F">
        <w:rPr>
          <w:rFonts w:eastAsia="Calibri"/>
        </w:rPr>
        <w:t>he</w:t>
      </w:r>
      <w:r w:rsidRPr="007A550F">
        <w:rPr>
          <w:rFonts w:eastAsia="Calibri"/>
        </w:rPr>
        <w:t>se</w:t>
      </w:r>
      <w:r w:rsidR="00D4626D" w:rsidRPr="007A550F">
        <w:rPr>
          <w:rFonts w:eastAsia="Calibri"/>
        </w:rPr>
        <w:t xml:space="preserve"> </w:t>
      </w:r>
      <w:r w:rsidR="00E94649" w:rsidRPr="007A550F">
        <w:rPr>
          <w:rFonts w:eastAsia="Calibri"/>
        </w:rPr>
        <w:t xml:space="preserve">Grant </w:t>
      </w:r>
      <w:r w:rsidR="00D4626D" w:rsidRPr="007A550F">
        <w:rPr>
          <w:rFonts w:eastAsia="Calibri"/>
        </w:rPr>
        <w:t>Guidelines (this document)</w:t>
      </w:r>
      <w:r w:rsidR="0066387D" w:rsidRPr="007A550F">
        <w:rPr>
          <w:rFonts w:eastAsia="Calibri"/>
        </w:rPr>
        <w:t>; and</w:t>
      </w:r>
    </w:p>
    <w:p w:rsidR="00890C0B" w:rsidRPr="007A550F" w:rsidRDefault="0066387D" w:rsidP="007A550F">
      <w:pPr>
        <w:pStyle w:val="ListParagraph"/>
        <w:numPr>
          <w:ilvl w:val="0"/>
          <w:numId w:val="32"/>
        </w:numPr>
        <w:spacing w:before="120" w:after="120"/>
        <w:rPr>
          <w:rFonts w:eastAsia="Calibri"/>
        </w:rPr>
      </w:pPr>
      <w:proofErr w:type="gramStart"/>
      <w:r w:rsidRPr="007A550F">
        <w:rPr>
          <w:rFonts w:eastAsia="Calibri"/>
        </w:rPr>
        <w:t>the</w:t>
      </w:r>
      <w:proofErr w:type="gramEnd"/>
      <w:r w:rsidRPr="007A550F">
        <w:rPr>
          <w:rFonts w:eastAsia="Calibri"/>
        </w:rPr>
        <w:t xml:space="preserve"> </w:t>
      </w:r>
      <w:r w:rsidR="00890C0B" w:rsidRPr="007A550F">
        <w:rPr>
          <w:rFonts w:eastAsia="Calibri"/>
        </w:rPr>
        <w:t xml:space="preserve">Application </w:t>
      </w:r>
      <w:r w:rsidRPr="007A550F">
        <w:rPr>
          <w:rFonts w:eastAsia="Calibri"/>
        </w:rPr>
        <w:t>Form</w:t>
      </w:r>
      <w:r w:rsidR="008713D0" w:rsidRPr="007A550F">
        <w:rPr>
          <w:rFonts w:eastAsia="Calibri"/>
        </w:rPr>
        <w:t>.</w:t>
      </w:r>
    </w:p>
    <w:p w:rsidR="00E94649" w:rsidRPr="00E94649" w:rsidRDefault="00C3363E" w:rsidP="00B309CE">
      <w:pPr>
        <w:tabs>
          <w:tab w:val="left" w:pos="2263"/>
        </w:tabs>
        <w:spacing w:before="120" w:after="120"/>
        <w:rPr>
          <w:rFonts w:eastAsia="Calibri"/>
          <w:lang w:eastAsia="en-AU"/>
        </w:rPr>
      </w:pPr>
      <w:r>
        <w:rPr>
          <w:rFonts w:cstheme="minorHAnsi"/>
          <w:iCs/>
          <w:szCs w:val="24"/>
        </w:rPr>
        <w:t xml:space="preserve">Both </w:t>
      </w:r>
      <w:r w:rsidR="00421FFA">
        <w:rPr>
          <w:rFonts w:cstheme="minorHAnsi"/>
          <w:iCs/>
          <w:szCs w:val="24"/>
        </w:rPr>
        <w:t>these</w:t>
      </w:r>
      <w:r>
        <w:rPr>
          <w:rFonts w:cstheme="minorHAnsi"/>
          <w:iCs/>
          <w:szCs w:val="24"/>
        </w:rPr>
        <w:t xml:space="preserve"> documents are available on the </w:t>
      </w:r>
      <w:hyperlink r:id="rId24" w:history="1">
        <w:r w:rsidR="00C80768" w:rsidRPr="00B309CE">
          <w:rPr>
            <w:rStyle w:val="Hyperlink"/>
            <w:rFonts w:cstheme="minorHAnsi"/>
            <w:iCs/>
            <w:szCs w:val="24"/>
          </w:rPr>
          <w:t>D</w:t>
        </w:r>
        <w:r w:rsidR="00B015F1" w:rsidRPr="00B309CE">
          <w:rPr>
            <w:rStyle w:val="Hyperlink"/>
            <w:rFonts w:cstheme="minorHAnsi"/>
            <w:iCs/>
            <w:szCs w:val="24"/>
          </w:rPr>
          <w:t>epartment</w:t>
        </w:r>
        <w:r w:rsidRPr="00B309CE">
          <w:rPr>
            <w:rStyle w:val="Hyperlink"/>
            <w:rFonts w:cstheme="minorHAnsi"/>
            <w:iCs/>
            <w:szCs w:val="24"/>
          </w:rPr>
          <w:t>’s website</w:t>
        </w:r>
      </w:hyperlink>
      <w:r w:rsidR="00B309CE">
        <w:rPr>
          <w:rFonts w:cstheme="minorHAnsi"/>
          <w:iCs/>
          <w:szCs w:val="24"/>
        </w:rPr>
        <w:t>.</w:t>
      </w:r>
    </w:p>
    <w:p w:rsidR="0066387D" w:rsidRDefault="00E94649" w:rsidP="001750AE">
      <w:pPr>
        <w:spacing w:before="120" w:after="120"/>
        <w:rPr>
          <w:rFonts w:eastAsia="Calibri"/>
        </w:rPr>
      </w:pPr>
      <w:r w:rsidRPr="00E94649">
        <w:rPr>
          <w:rFonts w:eastAsia="Calibri"/>
        </w:rPr>
        <w:t>Th</w:t>
      </w:r>
      <w:r w:rsidR="0066387D">
        <w:rPr>
          <w:rFonts w:eastAsia="Calibri"/>
        </w:rPr>
        <w:t>e</w:t>
      </w:r>
      <w:r w:rsidRPr="00E94649">
        <w:rPr>
          <w:rFonts w:eastAsia="Calibri"/>
        </w:rPr>
        <w:t xml:space="preserve"> </w:t>
      </w:r>
      <w:r w:rsidR="0066387D">
        <w:rPr>
          <w:rFonts w:eastAsia="Calibri"/>
        </w:rPr>
        <w:t>Application Form</w:t>
      </w:r>
      <w:r w:rsidRPr="00E94649">
        <w:rPr>
          <w:rFonts w:eastAsia="Calibri"/>
        </w:rPr>
        <w:t xml:space="preserve"> </w:t>
      </w:r>
      <w:r w:rsidR="0066387D">
        <w:rPr>
          <w:rFonts w:eastAsia="Calibri"/>
        </w:rPr>
        <w:t>provide</w:t>
      </w:r>
      <w:r w:rsidR="007131FE">
        <w:rPr>
          <w:rFonts w:eastAsia="Calibri"/>
        </w:rPr>
        <w:t>s</w:t>
      </w:r>
      <w:r w:rsidR="0066387D">
        <w:rPr>
          <w:rFonts w:eastAsia="Calibri"/>
        </w:rPr>
        <w:t xml:space="preserve"> further detail about the Application process and guidance to Grant Applicants on how to prepare and submit a Grant Application, including</w:t>
      </w:r>
      <w:r w:rsidR="00462F85">
        <w:rPr>
          <w:rFonts w:eastAsia="Calibri"/>
        </w:rPr>
        <w:t xml:space="preserve"> requesting the following information</w:t>
      </w:r>
      <w:r w:rsidR="0066387D">
        <w:rPr>
          <w:rFonts w:eastAsia="Calibri"/>
        </w:rPr>
        <w:t>:</w:t>
      </w:r>
    </w:p>
    <w:p w:rsidR="0066387D" w:rsidRPr="00850E5C" w:rsidRDefault="00E94649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Calibri" w:eastAsiaTheme="majorEastAsia" w:hAnsi="Calibri" w:cstheme="majorBidi"/>
          <w:b/>
          <w:bCs/>
        </w:rPr>
      </w:pPr>
      <w:r w:rsidRPr="00850E5C">
        <w:rPr>
          <w:rFonts w:eastAsia="Calibri"/>
        </w:rPr>
        <w:t>ask</w:t>
      </w:r>
      <w:r w:rsidR="00462F85" w:rsidRPr="00850E5C">
        <w:rPr>
          <w:rFonts w:eastAsia="Calibri"/>
        </w:rPr>
        <w:t>ing</w:t>
      </w:r>
      <w:r w:rsidRPr="00850E5C">
        <w:rPr>
          <w:rFonts w:eastAsia="Calibri"/>
        </w:rPr>
        <w:t xml:space="preserve"> you to address</w:t>
      </w:r>
      <w:r w:rsidR="001E4A6E" w:rsidRPr="00850E5C">
        <w:rPr>
          <w:rFonts w:eastAsia="Calibri"/>
        </w:rPr>
        <w:t xml:space="preserve"> the following</w:t>
      </w:r>
      <w:r w:rsidRPr="00850E5C">
        <w:rPr>
          <w:rFonts w:eastAsia="Calibri"/>
        </w:rPr>
        <w:t xml:space="preserve"> selection criteria relating </w:t>
      </w:r>
      <w:r w:rsidR="00BD3284" w:rsidRPr="00850E5C">
        <w:rPr>
          <w:rFonts w:eastAsia="Calibri"/>
        </w:rPr>
        <w:t xml:space="preserve">to the particular grant category </w:t>
      </w:r>
      <w:r w:rsidRPr="00850E5C">
        <w:rPr>
          <w:rFonts w:eastAsia="Calibri"/>
        </w:rPr>
        <w:t>you are applying for</w:t>
      </w:r>
      <w:r w:rsidR="00237950" w:rsidRPr="00850E5C">
        <w:rPr>
          <w:rFonts w:eastAsia="Calibri"/>
        </w:rPr>
        <w:t xml:space="preserve">; </w:t>
      </w:r>
    </w:p>
    <w:p w:rsidR="0066387D" w:rsidRPr="00850E5C" w:rsidRDefault="00237950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Calibri" w:eastAsiaTheme="majorEastAsia" w:hAnsi="Calibri" w:cstheme="majorBidi"/>
          <w:b/>
          <w:bCs/>
        </w:rPr>
      </w:pPr>
      <w:r w:rsidRPr="00850E5C">
        <w:rPr>
          <w:rFonts w:eastAsia="Calibri"/>
        </w:rPr>
        <w:t xml:space="preserve">the aims, objectives, key deliverables and learning outcomes that will result from the project; </w:t>
      </w:r>
    </w:p>
    <w:p w:rsidR="0066387D" w:rsidRPr="00850E5C" w:rsidRDefault="00237950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Calibri" w:eastAsiaTheme="majorEastAsia" w:hAnsi="Calibri" w:cstheme="majorBidi"/>
          <w:b/>
          <w:bCs/>
        </w:rPr>
      </w:pPr>
      <w:r w:rsidRPr="00850E5C">
        <w:rPr>
          <w:rFonts w:eastAsia="Calibri"/>
        </w:rPr>
        <w:t xml:space="preserve">project methodology and timeframes; </w:t>
      </w:r>
    </w:p>
    <w:p w:rsidR="0066387D" w:rsidRPr="00850E5C" w:rsidRDefault="00237950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Calibri" w:eastAsiaTheme="majorEastAsia" w:hAnsi="Calibri" w:cstheme="majorBidi"/>
          <w:b/>
          <w:bCs/>
        </w:rPr>
      </w:pPr>
      <w:r w:rsidRPr="00850E5C">
        <w:rPr>
          <w:rFonts w:eastAsia="Calibri"/>
        </w:rPr>
        <w:t xml:space="preserve">how you will measure the effectiveness of the project; </w:t>
      </w:r>
    </w:p>
    <w:p w:rsidR="0066387D" w:rsidRPr="00850E5C" w:rsidRDefault="00237950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Calibri" w:eastAsiaTheme="majorEastAsia" w:hAnsi="Calibri" w:cstheme="majorBidi"/>
          <w:b/>
          <w:bCs/>
        </w:rPr>
      </w:pPr>
      <w:r w:rsidRPr="00850E5C">
        <w:rPr>
          <w:rFonts w:eastAsia="Calibri"/>
        </w:rPr>
        <w:t xml:space="preserve">key project personnel; </w:t>
      </w:r>
    </w:p>
    <w:p w:rsidR="00474F32" w:rsidRPr="00850E5C" w:rsidRDefault="00E94649" w:rsidP="00850E5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Style w:val="Heading2Char"/>
          <w:sz w:val="22"/>
          <w:szCs w:val="22"/>
        </w:rPr>
      </w:pPr>
      <w:proofErr w:type="gramStart"/>
      <w:r w:rsidRPr="00850E5C">
        <w:rPr>
          <w:rFonts w:eastAsia="Calibri"/>
        </w:rPr>
        <w:t>general</w:t>
      </w:r>
      <w:proofErr w:type="gramEnd"/>
      <w:r w:rsidRPr="00850E5C">
        <w:rPr>
          <w:rFonts w:eastAsia="Calibri"/>
        </w:rPr>
        <w:t xml:space="preserve"> information about you as the</w:t>
      </w:r>
      <w:r w:rsidR="00BD3284" w:rsidRPr="00850E5C">
        <w:rPr>
          <w:rFonts w:eastAsia="Calibri"/>
        </w:rPr>
        <w:t xml:space="preserve"> </w:t>
      </w:r>
      <w:r w:rsidR="00254DB7" w:rsidRPr="00850E5C">
        <w:rPr>
          <w:rFonts w:eastAsia="Calibri"/>
        </w:rPr>
        <w:t>school p</w:t>
      </w:r>
      <w:r w:rsidR="00BD3284" w:rsidRPr="00850E5C">
        <w:rPr>
          <w:rFonts w:eastAsia="Calibri"/>
        </w:rPr>
        <w:t>rincipal/school leader/organisation</w:t>
      </w:r>
      <w:r w:rsidRPr="00850E5C">
        <w:rPr>
          <w:rFonts w:eastAsia="Calibri"/>
        </w:rPr>
        <w:t xml:space="preserve"> applying for funding</w:t>
      </w:r>
      <w:r w:rsidR="001304C8" w:rsidRPr="00850E5C">
        <w:rPr>
          <w:rFonts w:eastAsia="Calibri"/>
        </w:rPr>
        <w:t>; and the resources that will be produced during the project.</w:t>
      </w:r>
    </w:p>
    <w:p w:rsidR="00BD3284" w:rsidRDefault="000A5229" w:rsidP="00BD3284">
      <w:pPr>
        <w:spacing w:before="200" w:after="0"/>
        <w:rPr>
          <w:rStyle w:val="Heading2Char"/>
        </w:rPr>
      </w:pPr>
      <w:bookmarkStart w:id="23" w:name="_Toc486923367"/>
      <w:r w:rsidRPr="000A5229">
        <w:rPr>
          <w:rStyle w:val="Heading2Char"/>
        </w:rPr>
        <w:t>Commonwealth Grant Agreement</w:t>
      </w:r>
      <w:r w:rsidR="00E94649" w:rsidRPr="00E94649">
        <w:rPr>
          <w:rStyle w:val="Heading2Char"/>
        </w:rPr>
        <w:t xml:space="preserve"> template – </w:t>
      </w:r>
      <w:r>
        <w:rPr>
          <w:rStyle w:val="Heading2Char"/>
        </w:rPr>
        <w:t xml:space="preserve">with </w:t>
      </w:r>
      <w:r w:rsidR="00E94649" w:rsidRPr="00E94649">
        <w:rPr>
          <w:rStyle w:val="Heading2Char"/>
        </w:rPr>
        <w:t>General Grant Conditions</w:t>
      </w:r>
      <w:bookmarkEnd w:id="23"/>
    </w:p>
    <w:p w:rsidR="00E94649" w:rsidRPr="00BD3284" w:rsidRDefault="00E94649" w:rsidP="00BD3284">
      <w:pPr>
        <w:spacing w:before="120" w:after="120"/>
        <w:rPr>
          <w:rFonts w:eastAsia="Calibri"/>
        </w:rPr>
      </w:pPr>
      <w:r w:rsidRPr="00E94649">
        <w:rPr>
          <w:rFonts w:eastAsia="Calibri"/>
        </w:rPr>
        <w:t>T</w:t>
      </w:r>
      <w:r w:rsidR="00CD300B">
        <w:rPr>
          <w:rFonts w:eastAsia="Calibri"/>
        </w:rPr>
        <w:t xml:space="preserve">he </w:t>
      </w:r>
      <w:r w:rsidR="006C3D03">
        <w:rPr>
          <w:rFonts w:eastAsia="Calibri"/>
        </w:rPr>
        <w:t>G</w:t>
      </w:r>
      <w:r w:rsidR="00CD300B">
        <w:rPr>
          <w:rFonts w:eastAsia="Calibri"/>
        </w:rPr>
        <w:t>rant</w:t>
      </w:r>
      <w:r w:rsidR="006C3D03">
        <w:rPr>
          <w:rFonts w:eastAsia="Calibri"/>
        </w:rPr>
        <w:t xml:space="preserve"> Funding</w:t>
      </w:r>
      <w:r w:rsidR="00CD300B">
        <w:rPr>
          <w:rFonts w:eastAsia="Calibri"/>
        </w:rPr>
        <w:t xml:space="preserve"> </w:t>
      </w:r>
      <w:r w:rsidR="006C3D03">
        <w:rPr>
          <w:rFonts w:eastAsia="Calibri"/>
        </w:rPr>
        <w:t>A</w:t>
      </w:r>
      <w:r w:rsidR="00CD300B" w:rsidRPr="00955633">
        <w:rPr>
          <w:rFonts w:eastAsia="Calibri"/>
        </w:rPr>
        <w:t>greement will contain</w:t>
      </w:r>
      <w:r w:rsidR="00CD300B">
        <w:rPr>
          <w:rFonts w:eastAsia="Calibri"/>
        </w:rPr>
        <w:t xml:space="preserve"> </w:t>
      </w:r>
      <w:r w:rsidRPr="00E94649">
        <w:rPr>
          <w:rFonts w:eastAsia="Calibri"/>
        </w:rPr>
        <w:t>information relating t</w:t>
      </w:r>
      <w:r w:rsidR="00CD300B">
        <w:rPr>
          <w:rFonts w:eastAsia="Calibri"/>
        </w:rPr>
        <w:t xml:space="preserve">o the </w:t>
      </w:r>
      <w:r w:rsidR="00254DB7">
        <w:rPr>
          <w:rFonts w:eastAsia="Calibri"/>
        </w:rPr>
        <w:t>g</w:t>
      </w:r>
      <w:r w:rsidR="00CD300B">
        <w:rPr>
          <w:rFonts w:eastAsia="Calibri"/>
        </w:rPr>
        <w:t>rant objectives</w:t>
      </w:r>
      <w:r w:rsidR="0066387D">
        <w:rPr>
          <w:rFonts w:eastAsia="Calibri"/>
        </w:rPr>
        <w:t xml:space="preserve"> and administration</w:t>
      </w:r>
      <w:r w:rsidR="00CD300B">
        <w:rPr>
          <w:rFonts w:eastAsia="Calibri"/>
        </w:rPr>
        <w:t xml:space="preserve"> including:</w:t>
      </w:r>
      <w:r w:rsidRPr="00E94649">
        <w:rPr>
          <w:rFonts w:eastAsia="Calibri"/>
        </w:rPr>
        <w:t xml:space="preserve"> </w:t>
      </w:r>
      <w:r w:rsidR="00CD300B">
        <w:rPr>
          <w:rFonts w:eastAsia="Calibri"/>
        </w:rPr>
        <w:t>the activities to be undertaken</w:t>
      </w:r>
      <w:r w:rsidR="0066387D">
        <w:rPr>
          <w:rFonts w:eastAsia="Calibri"/>
        </w:rPr>
        <w:t xml:space="preserve"> as part of the project</w:t>
      </w:r>
      <w:r w:rsidR="00CD300B">
        <w:rPr>
          <w:rFonts w:eastAsia="Calibri"/>
        </w:rPr>
        <w:t xml:space="preserve">; the duration of the </w:t>
      </w:r>
      <w:r w:rsidR="00CD300B">
        <w:rPr>
          <w:rFonts w:eastAsia="Calibri"/>
        </w:rPr>
        <w:lastRenderedPageBreak/>
        <w:t>grant; payment</w:t>
      </w:r>
      <w:r w:rsidR="0066387D">
        <w:rPr>
          <w:rFonts w:eastAsia="Calibri"/>
        </w:rPr>
        <w:t xml:space="preserve"> terms and conditions</w:t>
      </w:r>
      <w:r w:rsidR="00CD300B">
        <w:rPr>
          <w:rFonts w:eastAsia="Calibri"/>
        </w:rPr>
        <w:t xml:space="preserve">; reporting requirements; </w:t>
      </w:r>
      <w:r w:rsidRPr="00E94649">
        <w:rPr>
          <w:rFonts w:eastAsia="Calibri"/>
        </w:rPr>
        <w:t>sup</w:t>
      </w:r>
      <w:r w:rsidR="00CD300B">
        <w:rPr>
          <w:rFonts w:eastAsia="Calibri"/>
        </w:rPr>
        <w:t>plementary terms and conditions;</w:t>
      </w:r>
      <w:r w:rsidRPr="00E94649">
        <w:rPr>
          <w:rFonts w:eastAsia="Calibri"/>
        </w:rPr>
        <w:t xml:space="preserve"> and signatures of</w:t>
      </w:r>
      <w:r w:rsidR="000A5229">
        <w:rPr>
          <w:rFonts w:eastAsia="Calibri"/>
        </w:rPr>
        <w:t xml:space="preserve"> relevant parties</w:t>
      </w:r>
      <w:r w:rsidRPr="00E94649">
        <w:rPr>
          <w:rFonts w:eastAsia="Calibri"/>
        </w:rPr>
        <w:t>.</w:t>
      </w:r>
      <w:r w:rsidRPr="00BD3284">
        <w:rPr>
          <w:rFonts w:eastAsia="Calibri"/>
        </w:rPr>
        <w:t xml:space="preserve"> </w:t>
      </w:r>
    </w:p>
    <w:p w:rsidR="00B66F46" w:rsidRPr="00B66F46" w:rsidRDefault="0082446C" w:rsidP="0082446C">
      <w:pPr>
        <w:pStyle w:val="Heading1"/>
      </w:pPr>
      <w:bookmarkStart w:id="24" w:name="_Toc486923368"/>
      <w:r>
        <w:t>Selection Process and Notification</w:t>
      </w:r>
      <w:bookmarkEnd w:id="24"/>
    </w:p>
    <w:p w:rsidR="00C67411" w:rsidRDefault="005C1317" w:rsidP="00474F32">
      <w:pPr>
        <w:rPr>
          <w:rFonts w:eastAsia="Calibri"/>
        </w:rPr>
      </w:pPr>
      <w:r>
        <w:rPr>
          <w:rFonts w:eastAsia="Calibri"/>
        </w:rPr>
        <w:t>This is an open, competitive grants process. Gr</w:t>
      </w:r>
      <w:r w:rsidR="00A34F9A">
        <w:rPr>
          <w:rFonts w:eastAsia="Calibri"/>
        </w:rPr>
        <w:t xml:space="preserve">ants </w:t>
      </w:r>
      <w:r>
        <w:rPr>
          <w:rFonts w:eastAsia="Calibri"/>
        </w:rPr>
        <w:t xml:space="preserve">will be </w:t>
      </w:r>
      <w:r w:rsidR="00A34F9A">
        <w:rPr>
          <w:rFonts w:eastAsia="Calibri"/>
        </w:rPr>
        <w:t xml:space="preserve">awarded based on </w:t>
      </w:r>
      <w:r w:rsidR="006C3D03">
        <w:rPr>
          <w:rFonts w:eastAsia="Calibri"/>
        </w:rPr>
        <w:t>a qualitative and quantitative assessment of Grant A</w:t>
      </w:r>
      <w:r w:rsidR="00A34F9A">
        <w:rPr>
          <w:rFonts w:eastAsia="Calibri"/>
        </w:rPr>
        <w:t>pplic</w:t>
      </w:r>
      <w:r w:rsidR="0015779D">
        <w:rPr>
          <w:rFonts w:eastAsia="Calibri"/>
        </w:rPr>
        <w:t>ant</w:t>
      </w:r>
      <w:r w:rsidR="00A34F9A">
        <w:rPr>
          <w:rFonts w:eastAsia="Calibri"/>
        </w:rPr>
        <w:t xml:space="preserve">s </w:t>
      </w:r>
      <w:r w:rsidR="0015779D">
        <w:rPr>
          <w:rFonts w:eastAsia="Calibri"/>
        </w:rPr>
        <w:t xml:space="preserve">response to </w:t>
      </w:r>
      <w:r w:rsidR="00A34F9A">
        <w:rPr>
          <w:rFonts w:eastAsia="Calibri"/>
        </w:rPr>
        <w:t>the specified</w:t>
      </w:r>
      <w:r w:rsidR="00C67411">
        <w:rPr>
          <w:rFonts w:eastAsia="Calibri"/>
        </w:rPr>
        <w:t xml:space="preserve"> selection criteria, taking into account the need fo</w:t>
      </w:r>
      <w:r>
        <w:rPr>
          <w:rFonts w:eastAsia="Calibri"/>
        </w:rPr>
        <w:t>r a balanced spread of projects across school sectors, secondary and primary, and states and territories.</w:t>
      </w:r>
    </w:p>
    <w:p w:rsidR="00995347" w:rsidRDefault="00947D74" w:rsidP="00474F32">
      <w:pPr>
        <w:rPr>
          <w:rFonts w:eastAsia="Calibri"/>
        </w:rPr>
      </w:pPr>
      <w:r w:rsidRPr="00144121">
        <w:rPr>
          <w:rFonts w:eastAsia="Calibri"/>
        </w:rPr>
        <w:t xml:space="preserve">The </w:t>
      </w:r>
      <w:r w:rsidR="006C3D03" w:rsidRPr="00144121">
        <w:rPr>
          <w:rFonts w:eastAsia="Calibri"/>
        </w:rPr>
        <w:t>assess</w:t>
      </w:r>
      <w:r w:rsidR="006C3D03">
        <w:rPr>
          <w:rFonts w:eastAsia="Calibri"/>
        </w:rPr>
        <w:t>ment panel</w:t>
      </w:r>
      <w:r w:rsidR="006C3D03" w:rsidRPr="00144121">
        <w:rPr>
          <w:rFonts w:eastAsia="Calibri"/>
        </w:rPr>
        <w:t xml:space="preserve"> </w:t>
      </w:r>
      <w:r w:rsidRPr="00144121">
        <w:rPr>
          <w:rFonts w:eastAsia="Calibri"/>
        </w:rPr>
        <w:t>may, at their discretion, prioritise funding for school communities most at risk of not benefitting from the digital revolution. This would include schools in low socio-economic status (SES) areas, schools in rural/regional or remote areas and schools with large enrolments of students with disability and/or Aboriginal and Torres Strait Islander students.</w:t>
      </w:r>
      <w:r>
        <w:rPr>
          <w:rFonts w:eastAsia="Calibri"/>
        </w:rPr>
        <w:t xml:space="preserve"> </w:t>
      </w:r>
    </w:p>
    <w:p w:rsidR="00E80A69" w:rsidRPr="00B015F1" w:rsidRDefault="00254DB7" w:rsidP="00E80A69">
      <w:r>
        <w:t xml:space="preserve">All </w:t>
      </w:r>
      <w:r w:rsidR="006C3D03">
        <w:t>Grant A</w:t>
      </w:r>
      <w:r w:rsidR="0061003D" w:rsidRPr="0061003D">
        <w:t>pplicant</w:t>
      </w:r>
      <w:r>
        <w:t xml:space="preserve">s will receive </w:t>
      </w:r>
      <w:r w:rsidR="006C3D03">
        <w:t xml:space="preserve">notification </w:t>
      </w:r>
      <w:r>
        <w:t xml:space="preserve">from the </w:t>
      </w:r>
      <w:r w:rsidR="00C80768">
        <w:t>D</w:t>
      </w:r>
      <w:r w:rsidR="00B015F1">
        <w:t>epartment</w:t>
      </w:r>
      <w:r w:rsidR="006C3D03" w:rsidRPr="0061003D">
        <w:t xml:space="preserve"> </w:t>
      </w:r>
      <w:r w:rsidR="0061003D" w:rsidRPr="0061003D">
        <w:t xml:space="preserve">on the outcome of their </w:t>
      </w:r>
      <w:r w:rsidR="006C3D03">
        <w:t>Grant A</w:t>
      </w:r>
      <w:r w:rsidR="0061003D" w:rsidRPr="0061003D">
        <w:t>pplication.</w:t>
      </w:r>
      <w:r w:rsidR="006C3D03">
        <w:t xml:space="preserve"> Grant</w:t>
      </w:r>
      <w:r w:rsidR="0061003D" w:rsidRPr="0061003D">
        <w:t xml:space="preserve"> </w:t>
      </w:r>
      <w:r w:rsidR="00E80A69" w:rsidRPr="001F7641">
        <w:rPr>
          <w:color w:val="000000" w:themeColor="text1"/>
        </w:rPr>
        <w:t xml:space="preserve">Applicants (successful or otherwise) will not be provided with information concerning other </w:t>
      </w:r>
      <w:r w:rsidR="00D10C4E">
        <w:rPr>
          <w:color w:val="000000" w:themeColor="text1"/>
        </w:rPr>
        <w:t>Grant Applications</w:t>
      </w:r>
      <w:r w:rsidR="00E80A69" w:rsidRPr="001F7641">
        <w:rPr>
          <w:color w:val="000000" w:themeColor="text1"/>
        </w:rPr>
        <w:t xml:space="preserve">, except for publicly available information such as the name of the successful </w:t>
      </w:r>
      <w:r w:rsidR="006C3D03">
        <w:rPr>
          <w:color w:val="000000" w:themeColor="text1"/>
        </w:rPr>
        <w:t>Grant R</w:t>
      </w:r>
      <w:r w:rsidR="00E80A69" w:rsidRPr="001F7641">
        <w:rPr>
          <w:color w:val="000000" w:themeColor="text1"/>
        </w:rPr>
        <w:t>ecipients/organisation(s) and the total value of the grant</w:t>
      </w:r>
      <w:r w:rsidR="006C3D03">
        <w:rPr>
          <w:color w:val="000000" w:themeColor="text1"/>
        </w:rPr>
        <w:t>(s)</w:t>
      </w:r>
      <w:r w:rsidR="00E80A69" w:rsidRPr="001F7641">
        <w:rPr>
          <w:color w:val="000000" w:themeColor="text1"/>
        </w:rPr>
        <w:t xml:space="preserve"> awarded. </w:t>
      </w:r>
    </w:p>
    <w:p w:rsidR="00AF7112" w:rsidRDefault="00AF7112" w:rsidP="00AF7112">
      <w:pPr>
        <w:pStyle w:val="Heading2"/>
      </w:pPr>
      <w:bookmarkStart w:id="25" w:name="_Toc486923369"/>
      <w:r>
        <w:t>Selection Criteria</w:t>
      </w:r>
      <w:bookmarkEnd w:id="25"/>
    </w:p>
    <w:p w:rsidR="00502613" w:rsidRDefault="00A77BA2" w:rsidP="00474F32">
      <w:r>
        <w:t xml:space="preserve">Applications will be assessed on the </w:t>
      </w:r>
      <w:r w:rsidR="00502613">
        <w:t xml:space="preserve">basis of the following </w:t>
      </w:r>
      <w:r w:rsidR="006C3D03">
        <w:t xml:space="preserve">selection </w:t>
      </w:r>
      <w:r w:rsidR="00502613">
        <w:t>criteria.</w:t>
      </w:r>
      <w:r w:rsidR="006C3D03">
        <w:t xml:space="preserve"> The Application Form will provide further guidance about these selection criteria and the assessment process. </w:t>
      </w:r>
    </w:p>
    <w:p w:rsidR="00502613" w:rsidRDefault="005C1317" w:rsidP="00850E5C">
      <w:pPr>
        <w:spacing w:after="120"/>
      </w:pPr>
      <w:r>
        <w:t>For</w:t>
      </w:r>
      <w:r w:rsidR="00502613">
        <w:t xml:space="preserve"> grant </w:t>
      </w:r>
      <w:r w:rsidR="00490F3C">
        <w:t xml:space="preserve">Categories </w:t>
      </w:r>
      <w:r>
        <w:t>A, B and C</w:t>
      </w:r>
      <w:r w:rsidR="00502613">
        <w:t>:</w:t>
      </w:r>
    </w:p>
    <w:p w:rsidR="001750AE" w:rsidRPr="007A550F" w:rsidRDefault="001750AE" w:rsidP="007A550F">
      <w:pPr>
        <w:pStyle w:val="ListParagraph"/>
        <w:numPr>
          <w:ilvl w:val="0"/>
          <w:numId w:val="32"/>
        </w:numPr>
        <w:spacing w:before="120" w:after="120"/>
        <w:rPr>
          <w:rFonts w:eastAsia="Calibri"/>
        </w:rPr>
      </w:pPr>
      <w:r w:rsidRPr="007A550F">
        <w:rPr>
          <w:rFonts w:eastAsia="Calibri"/>
        </w:rPr>
        <w:t>The extent to which the project addresses a clearly identified and specific need</w:t>
      </w:r>
      <w:r w:rsidR="00490F3C" w:rsidRPr="007A550F">
        <w:rPr>
          <w:rFonts w:eastAsia="Calibri"/>
        </w:rPr>
        <w:t xml:space="preserve"> relevant to the Program,</w:t>
      </w:r>
      <w:r w:rsidRPr="007A550F">
        <w:rPr>
          <w:rFonts w:eastAsia="Calibri"/>
        </w:rPr>
        <w:t xml:space="preserve"> in the context of the particular school, jurisdiction or sector.</w:t>
      </w:r>
    </w:p>
    <w:p w:rsidR="00A77BA2" w:rsidRPr="007A550F" w:rsidRDefault="00A77BA2" w:rsidP="007A550F">
      <w:pPr>
        <w:pStyle w:val="ListParagraph"/>
        <w:numPr>
          <w:ilvl w:val="0"/>
          <w:numId w:val="32"/>
        </w:numPr>
        <w:spacing w:before="120" w:after="120"/>
        <w:rPr>
          <w:rFonts w:eastAsia="Calibri"/>
        </w:rPr>
      </w:pPr>
      <w:r w:rsidRPr="007A550F">
        <w:rPr>
          <w:rFonts w:eastAsia="Calibri"/>
        </w:rPr>
        <w:t>The extent to which the project is aligned with the learning outcomes prescribed in the Australian Curriculum: Digital Technologies</w:t>
      </w:r>
      <w:r w:rsidR="00502613" w:rsidRPr="007A550F">
        <w:rPr>
          <w:rFonts w:eastAsia="Calibri"/>
        </w:rPr>
        <w:t>.</w:t>
      </w:r>
    </w:p>
    <w:p w:rsidR="00502613" w:rsidRPr="007A550F" w:rsidRDefault="00A77BA2" w:rsidP="007A550F">
      <w:pPr>
        <w:pStyle w:val="ListParagraph"/>
        <w:numPr>
          <w:ilvl w:val="0"/>
          <w:numId w:val="32"/>
        </w:numPr>
        <w:spacing w:before="120" w:after="120"/>
        <w:rPr>
          <w:rFonts w:eastAsia="Calibri"/>
        </w:rPr>
      </w:pPr>
      <w:r w:rsidRPr="007A550F">
        <w:rPr>
          <w:rFonts w:eastAsia="Calibri"/>
        </w:rPr>
        <w:t>The extent to which the project creates opportunities for teachers/school leaders and or students to expand their skills and knowledge</w:t>
      </w:r>
      <w:r w:rsidR="00502613" w:rsidRPr="007A550F">
        <w:rPr>
          <w:rFonts w:eastAsia="Calibri"/>
        </w:rPr>
        <w:t xml:space="preserve"> </w:t>
      </w:r>
      <w:r w:rsidR="00EE72CB" w:rsidRPr="007A550F">
        <w:rPr>
          <w:rFonts w:eastAsia="Calibri"/>
        </w:rPr>
        <w:t xml:space="preserve">about the </w:t>
      </w:r>
      <w:r w:rsidR="00444C9E" w:rsidRPr="007A550F">
        <w:rPr>
          <w:rFonts w:eastAsia="Calibri"/>
        </w:rPr>
        <w:t>Australian Curriculum: Digital Technologies</w:t>
      </w:r>
      <w:r w:rsidR="00502613" w:rsidRPr="007A550F">
        <w:rPr>
          <w:rFonts w:eastAsia="Calibri"/>
        </w:rPr>
        <w:t>.</w:t>
      </w:r>
    </w:p>
    <w:p w:rsidR="00A77BA2" w:rsidRPr="007A550F" w:rsidRDefault="00502613" w:rsidP="007A550F">
      <w:pPr>
        <w:pStyle w:val="ListParagraph"/>
        <w:numPr>
          <w:ilvl w:val="0"/>
          <w:numId w:val="32"/>
        </w:numPr>
        <w:spacing w:before="120" w:after="120"/>
        <w:rPr>
          <w:rFonts w:eastAsia="Calibri"/>
        </w:rPr>
      </w:pPr>
      <w:r w:rsidRPr="007A550F">
        <w:rPr>
          <w:rFonts w:eastAsia="Calibri"/>
        </w:rPr>
        <w:t>The extent to which the project demonstrates integration of digital literacy across</w:t>
      </w:r>
      <w:r w:rsidR="00A77BA2" w:rsidRPr="007A550F">
        <w:rPr>
          <w:rFonts w:eastAsia="Calibri"/>
        </w:rPr>
        <w:t xml:space="preserve"> </w:t>
      </w:r>
      <w:r w:rsidRPr="007A550F">
        <w:rPr>
          <w:rFonts w:eastAsia="Calibri"/>
        </w:rPr>
        <w:t>other key learning areas (particularly other STEM subjects).</w:t>
      </w:r>
    </w:p>
    <w:p w:rsidR="00AB1730" w:rsidRPr="007A550F" w:rsidRDefault="00AB1730" w:rsidP="007A550F">
      <w:pPr>
        <w:pStyle w:val="ListParagraph"/>
        <w:numPr>
          <w:ilvl w:val="0"/>
          <w:numId w:val="32"/>
        </w:numPr>
        <w:spacing w:before="120" w:after="120"/>
        <w:rPr>
          <w:rFonts w:eastAsia="Calibri"/>
        </w:rPr>
      </w:pPr>
      <w:r w:rsidRPr="007A550F">
        <w:rPr>
          <w:rFonts w:eastAsia="Calibri"/>
        </w:rPr>
        <w:t xml:space="preserve">The extent to which the proposed project methodology will result in achievement of key outcomes. </w:t>
      </w:r>
    </w:p>
    <w:p w:rsidR="00502613" w:rsidRDefault="00502613" w:rsidP="00A77BA2">
      <w:pPr>
        <w:pStyle w:val="ListParagraph"/>
        <w:numPr>
          <w:ilvl w:val="0"/>
          <w:numId w:val="29"/>
        </w:numPr>
      </w:pPr>
      <w:r>
        <w:t xml:space="preserve">The extent to which the project is demonstrably sustainable beyond the period of Commonwealth </w:t>
      </w:r>
      <w:r w:rsidR="00362781">
        <w:t>f</w:t>
      </w:r>
      <w:r>
        <w:t xml:space="preserve">inancial </w:t>
      </w:r>
      <w:r w:rsidR="00362781">
        <w:t>s</w:t>
      </w:r>
      <w:r>
        <w:t>upport.</w:t>
      </w:r>
    </w:p>
    <w:p w:rsidR="00543E9D" w:rsidRDefault="00543E9D" w:rsidP="00A77BA2">
      <w:pPr>
        <w:pStyle w:val="ListParagraph"/>
        <w:numPr>
          <w:ilvl w:val="0"/>
          <w:numId w:val="29"/>
        </w:numPr>
      </w:pPr>
      <w:r>
        <w:t xml:space="preserve">The extent to which the outcomes of the project are measureable and/or quantifiable. </w:t>
      </w:r>
    </w:p>
    <w:p w:rsidR="00E44B16" w:rsidRDefault="00E44B16" w:rsidP="00A77BA2">
      <w:pPr>
        <w:pStyle w:val="ListParagraph"/>
        <w:numPr>
          <w:ilvl w:val="0"/>
          <w:numId w:val="29"/>
        </w:numPr>
      </w:pPr>
      <w:r>
        <w:t xml:space="preserve">The extent to which outcomes are scalable and/or replicable. </w:t>
      </w:r>
    </w:p>
    <w:p w:rsidR="0004694C" w:rsidRPr="00E80A69" w:rsidRDefault="0004694C" w:rsidP="00A77BA2">
      <w:pPr>
        <w:pStyle w:val="ListParagraph"/>
        <w:numPr>
          <w:ilvl w:val="0"/>
          <w:numId w:val="29"/>
        </w:numPr>
      </w:pPr>
      <w:r w:rsidRPr="00E80A69">
        <w:t xml:space="preserve">The extent to which the project demonstrates value for money.  </w:t>
      </w:r>
    </w:p>
    <w:p w:rsidR="00502613" w:rsidRDefault="001304C8" w:rsidP="00850E5C">
      <w:pPr>
        <w:spacing w:after="120"/>
      </w:pPr>
      <w:r>
        <w:t>Addition</w:t>
      </w:r>
      <w:r w:rsidR="00254DB7">
        <w:t>al</w:t>
      </w:r>
      <w:r>
        <w:t xml:space="preserve"> criteria for </w:t>
      </w:r>
      <w:r w:rsidR="001750AE">
        <w:t>Category C only:</w:t>
      </w:r>
    </w:p>
    <w:p w:rsidR="00B66F46" w:rsidRPr="00591D9D" w:rsidRDefault="001750AE" w:rsidP="000D43B9">
      <w:pPr>
        <w:pStyle w:val="ListParagraph"/>
        <w:numPr>
          <w:ilvl w:val="0"/>
          <w:numId w:val="29"/>
        </w:numPr>
      </w:pPr>
      <w:r>
        <w:lastRenderedPageBreak/>
        <w:t>The extent to which the project identifies key stakeholders and commits to significant consultation to ensure greatest possible reach.</w:t>
      </w:r>
    </w:p>
    <w:p w:rsidR="000D43B9" w:rsidRDefault="000D43B9" w:rsidP="000D43B9">
      <w:pPr>
        <w:pStyle w:val="Heading2"/>
        <w:rPr>
          <w:rFonts w:eastAsia="Calibri"/>
        </w:rPr>
      </w:pPr>
      <w:bookmarkStart w:id="26" w:name="_Toc486923370"/>
      <w:r>
        <w:rPr>
          <w:rFonts w:eastAsia="Calibri"/>
        </w:rPr>
        <w:t xml:space="preserve">Endorsement </w:t>
      </w:r>
      <w:r w:rsidR="00055BDD">
        <w:rPr>
          <w:rFonts w:eastAsia="Calibri"/>
        </w:rPr>
        <w:t>requirements</w:t>
      </w:r>
      <w:bookmarkEnd w:id="26"/>
    </w:p>
    <w:p w:rsidR="000D43B9" w:rsidRDefault="000D43B9" w:rsidP="000D43B9">
      <w:pPr>
        <w:spacing w:before="120" w:after="120"/>
      </w:pPr>
      <w:r>
        <w:t xml:space="preserve">All </w:t>
      </w:r>
      <w:r w:rsidR="00490F3C">
        <w:t>Grant A</w:t>
      </w:r>
      <w:r>
        <w:t xml:space="preserve">pplications must be endorsed by the </w:t>
      </w:r>
      <w:r w:rsidR="005C1317">
        <w:t>school principal</w:t>
      </w:r>
      <w:r>
        <w:t xml:space="preserve"> </w:t>
      </w:r>
      <w:r w:rsidR="005C1317">
        <w:t>and the school’s decision-making authority (</w:t>
      </w:r>
      <w:r w:rsidR="00A77B51">
        <w:t>e.g.</w:t>
      </w:r>
      <w:r w:rsidR="005C1317">
        <w:t xml:space="preserve"> School Council) </w:t>
      </w:r>
      <w:r>
        <w:t>prior to being submitted</w:t>
      </w:r>
      <w:r w:rsidR="005C44BD">
        <w:t xml:space="preserve"> to the </w:t>
      </w:r>
      <w:r w:rsidR="00C80768">
        <w:t>D</w:t>
      </w:r>
      <w:r w:rsidR="00B015F1">
        <w:t>epartment</w:t>
      </w:r>
      <w:r w:rsidR="005C44BD">
        <w:t xml:space="preserve">. </w:t>
      </w:r>
      <w:r w:rsidR="00144121">
        <w:t xml:space="preserve">Applications from other organisations (e.g. principal associations) must be endorsed by the head or leader of the organisation. </w:t>
      </w:r>
    </w:p>
    <w:p w:rsidR="000D43B9" w:rsidRDefault="000D43B9" w:rsidP="000D43B9">
      <w:pPr>
        <w:pStyle w:val="Heading2"/>
        <w:rPr>
          <w:rFonts w:eastAsia="Calibri"/>
        </w:rPr>
      </w:pPr>
      <w:bookmarkStart w:id="27" w:name="_Toc486923371"/>
      <w:r>
        <w:rPr>
          <w:rFonts w:eastAsia="Calibri"/>
        </w:rPr>
        <w:t>Assessment Panel</w:t>
      </w:r>
      <w:bookmarkEnd w:id="27"/>
    </w:p>
    <w:p w:rsidR="00490F3C" w:rsidRDefault="007327DB" w:rsidP="000D43B9">
      <w:r>
        <w:t xml:space="preserve">The </w:t>
      </w:r>
      <w:r w:rsidR="00C80768">
        <w:t>D</w:t>
      </w:r>
      <w:r w:rsidR="00B015F1">
        <w:t>epartment</w:t>
      </w:r>
      <w:r w:rsidR="005C1317">
        <w:t xml:space="preserve"> will establish an</w:t>
      </w:r>
      <w:r>
        <w:t xml:space="preserve"> assessment panel which will</w:t>
      </w:r>
      <w:r w:rsidR="002A1027">
        <w:t xml:space="preserve"> assess Grant Applications and</w:t>
      </w:r>
      <w:r>
        <w:t xml:space="preserve"> make recommendations to the </w:t>
      </w:r>
      <w:r w:rsidR="00C80768">
        <w:t>D</w:t>
      </w:r>
      <w:r w:rsidR="00B015F1">
        <w:t>epartment</w:t>
      </w:r>
      <w:r w:rsidR="002A1027">
        <w:t xml:space="preserve">’s </w:t>
      </w:r>
      <w:r>
        <w:t xml:space="preserve">delegate for final approval. </w:t>
      </w:r>
    </w:p>
    <w:p w:rsidR="007327DB" w:rsidRDefault="00351091" w:rsidP="000D43B9">
      <w:r>
        <w:t>The</w:t>
      </w:r>
      <w:r w:rsidR="002A1027">
        <w:t xml:space="preserve"> assessment</w:t>
      </w:r>
      <w:r>
        <w:t xml:space="preserve"> panel will include independent</w:t>
      </w:r>
      <w:r w:rsidR="00490F3C">
        <w:t xml:space="preserve"> members with</w:t>
      </w:r>
      <w:r>
        <w:t xml:space="preserve"> computer science education expertise</w:t>
      </w:r>
      <w:r w:rsidR="002A1027">
        <w:t xml:space="preserve"> and </w:t>
      </w:r>
      <w:r w:rsidR="00E03B6D">
        <w:t>will conduct the assessment consistent with these Grant Guidelines and the Commonwealth Grant Rules and Guidelines.</w:t>
      </w:r>
      <w:r>
        <w:t xml:space="preserve"> </w:t>
      </w:r>
    </w:p>
    <w:p w:rsidR="000D43B9" w:rsidRDefault="000D43B9" w:rsidP="000D43B9">
      <w:pPr>
        <w:pStyle w:val="Heading2"/>
        <w:rPr>
          <w:rFonts w:eastAsia="Calibri"/>
        </w:rPr>
      </w:pPr>
      <w:bookmarkStart w:id="28" w:name="_Toc486923372"/>
      <w:r w:rsidRPr="000D43B9">
        <w:rPr>
          <w:rFonts w:eastAsia="Calibri"/>
        </w:rPr>
        <w:t>Final Approval of Delegate</w:t>
      </w:r>
      <w:bookmarkEnd w:id="28"/>
    </w:p>
    <w:p w:rsidR="00976CFF" w:rsidRDefault="005D7C0B" w:rsidP="009C0914">
      <w:r>
        <w:t xml:space="preserve">Final approval of grants under this </w:t>
      </w:r>
      <w:r w:rsidR="000E01C8">
        <w:t>P</w:t>
      </w:r>
      <w:r w:rsidR="005B328F">
        <w:t>rogram</w:t>
      </w:r>
      <w:r>
        <w:t xml:space="preserve"> will be granted by the </w:t>
      </w:r>
      <w:r w:rsidR="00144121">
        <w:t xml:space="preserve">Branch </w:t>
      </w:r>
      <w:r>
        <w:t xml:space="preserve">Manager, </w:t>
      </w:r>
      <w:r w:rsidR="00144121">
        <w:t>Curriculum and Students with Disability Branch</w:t>
      </w:r>
      <w:r w:rsidR="00976CFF">
        <w:t>.</w:t>
      </w:r>
    </w:p>
    <w:p w:rsidR="006435B6" w:rsidRDefault="00254DB7" w:rsidP="009C0914">
      <w:r>
        <w:t xml:space="preserve">The </w:t>
      </w:r>
      <w:r w:rsidR="00C80768">
        <w:t>D</w:t>
      </w:r>
      <w:r w:rsidR="00B015F1">
        <w:t>epartment</w:t>
      </w:r>
      <w:r>
        <w:t xml:space="preserve"> i</w:t>
      </w:r>
      <w:r w:rsidR="005D7C0B">
        <w:t>s the relevant</w:t>
      </w:r>
      <w:r w:rsidR="005D7C0B" w:rsidRPr="005D7C0B">
        <w:t xml:space="preserve"> delegate under section 23 of the </w:t>
      </w:r>
      <w:r w:rsidR="005D7C0B" w:rsidRPr="00D57F46">
        <w:rPr>
          <w:i/>
        </w:rPr>
        <w:t>Public Governance, Performance and Accountability Act 2013</w:t>
      </w:r>
      <w:r w:rsidR="005D7C0B">
        <w:t xml:space="preserve">. </w:t>
      </w:r>
      <w:r w:rsidR="002A1027" w:rsidRPr="002A1027">
        <w:t xml:space="preserve">The </w:t>
      </w:r>
      <w:r w:rsidR="00C80768">
        <w:t>D</w:t>
      </w:r>
      <w:r w:rsidR="00B015F1">
        <w:t>epartment</w:t>
      </w:r>
      <w:r w:rsidR="002A1027">
        <w:t>s’ decision regarding a Grant Application</w:t>
      </w:r>
      <w:r w:rsidR="002A1027" w:rsidRPr="002A1027">
        <w:t xml:space="preserve"> will be final. </w:t>
      </w:r>
      <w:r w:rsidR="00495438">
        <w:t>Without limiting the Complaints Handling process at page 1</w:t>
      </w:r>
      <w:r w:rsidR="00C40E59">
        <w:t>3</w:t>
      </w:r>
      <w:r w:rsidR="00495438">
        <w:t xml:space="preserve"> of these Grant Guidelines, </w:t>
      </w:r>
      <w:r w:rsidR="00490F3C">
        <w:t xml:space="preserve">appeals </w:t>
      </w:r>
      <w:r w:rsidR="00013173">
        <w:t xml:space="preserve">in relation to </w:t>
      </w:r>
      <w:r w:rsidR="00495438">
        <w:t xml:space="preserve">Grant Application decisions under </w:t>
      </w:r>
      <w:r w:rsidR="00013173">
        <w:t xml:space="preserve">this Program </w:t>
      </w:r>
      <w:r w:rsidR="00E80A69">
        <w:t>will not be entered into.</w:t>
      </w:r>
      <w:r w:rsidR="00013173">
        <w:t xml:space="preserve"> </w:t>
      </w:r>
    </w:p>
    <w:p w:rsidR="00BE5AAC" w:rsidRDefault="00BE5AAC" w:rsidP="00E44B16">
      <w:pPr>
        <w:pStyle w:val="Heading2"/>
        <w:spacing w:before="0"/>
        <w:rPr>
          <w:rFonts w:eastAsia="Calibri"/>
        </w:rPr>
      </w:pPr>
      <w:bookmarkStart w:id="29" w:name="_Toc486923373"/>
      <w:r w:rsidRPr="00E44B16">
        <w:rPr>
          <w:rFonts w:eastAsia="Calibri"/>
        </w:rPr>
        <w:t>Privacy Statement</w:t>
      </w:r>
      <w:bookmarkEnd w:id="29"/>
      <w:r w:rsidRPr="00E44B16">
        <w:rPr>
          <w:rFonts w:eastAsia="Calibri"/>
        </w:rPr>
        <w:t xml:space="preserve"> </w:t>
      </w:r>
    </w:p>
    <w:p w:rsidR="00013173" w:rsidRDefault="00BE5AAC" w:rsidP="00E44B16">
      <w:r w:rsidRPr="00E44B16">
        <w:t xml:space="preserve">In administering the </w:t>
      </w:r>
      <w:r w:rsidR="00C94EC0">
        <w:t>P</w:t>
      </w:r>
      <w:r w:rsidR="00C94EC0" w:rsidRPr="00E44B16">
        <w:t>rogram</w:t>
      </w:r>
      <w:r w:rsidRPr="00E44B16">
        <w:t xml:space="preserve">, the </w:t>
      </w:r>
      <w:r w:rsidR="00C80768">
        <w:t>D</w:t>
      </w:r>
      <w:r w:rsidR="00B015F1">
        <w:t>epartment</w:t>
      </w:r>
      <w:r w:rsidR="00C94EC0" w:rsidRPr="00E44B16">
        <w:t xml:space="preserve"> </w:t>
      </w:r>
      <w:r w:rsidRPr="00E44B16">
        <w:t xml:space="preserve">and </w:t>
      </w:r>
      <w:r w:rsidR="00C94EC0">
        <w:t>Grant</w:t>
      </w:r>
      <w:r w:rsidR="00C94EC0" w:rsidRPr="00E44B16">
        <w:t xml:space="preserve"> </w:t>
      </w:r>
      <w:r w:rsidR="00C94EC0">
        <w:t>R</w:t>
      </w:r>
      <w:r w:rsidR="00C94EC0" w:rsidRPr="00E44B16">
        <w:t>ecipient</w:t>
      </w:r>
      <w:r w:rsidRPr="00E44B16">
        <w:t xml:space="preserve">/s are bound by the provisions of the </w:t>
      </w:r>
      <w:r w:rsidRPr="00D57F46">
        <w:rPr>
          <w:i/>
        </w:rPr>
        <w:t>Privacy Act 1988</w:t>
      </w:r>
      <w:r w:rsidR="00013173">
        <w:rPr>
          <w:i/>
        </w:rPr>
        <w:t xml:space="preserve"> </w:t>
      </w:r>
      <w:r w:rsidR="00013173">
        <w:t>(‘the Privacy Act’)</w:t>
      </w:r>
      <w:r w:rsidRPr="00E44B16">
        <w:t xml:space="preserve">. </w:t>
      </w:r>
    </w:p>
    <w:p w:rsidR="00013173" w:rsidRDefault="00013173" w:rsidP="00013173">
      <w:r>
        <w:t>Grant Recipients are required to comply with the Privacy Act, including the 13 Australian Privacy Principles (</w:t>
      </w:r>
      <w:proofErr w:type="spellStart"/>
      <w:r>
        <w:t>APPs</w:t>
      </w:r>
      <w:proofErr w:type="spellEnd"/>
      <w:r>
        <w:t>) which are contained in Schedule 1 of the Privacy Act; and impose the same privacy obligations on any subcontractors it engages to assist with the project.</w:t>
      </w:r>
    </w:p>
    <w:p w:rsidR="00BE5AAC" w:rsidRPr="00E44B16" w:rsidRDefault="00BE5AAC" w:rsidP="00E44B16">
      <w:r w:rsidRPr="00E44B16">
        <w:t xml:space="preserve">For further information please go to </w:t>
      </w:r>
      <w:r w:rsidR="00C94EC0">
        <w:t xml:space="preserve">the </w:t>
      </w:r>
      <w:hyperlink r:id="rId25" w:history="1">
        <w:r w:rsidR="00C80768" w:rsidRPr="00B35EDF">
          <w:rPr>
            <w:rStyle w:val="Hyperlink"/>
          </w:rPr>
          <w:t>D</w:t>
        </w:r>
        <w:r w:rsidR="00B015F1" w:rsidRPr="00B35EDF">
          <w:rPr>
            <w:rStyle w:val="Hyperlink"/>
          </w:rPr>
          <w:t>epartment</w:t>
        </w:r>
        <w:r w:rsidR="00C94EC0" w:rsidRPr="00B35EDF">
          <w:rPr>
            <w:rStyle w:val="Hyperlink"/>
          </w:rPr>
          <w:t xml:space="preserve">’s </w:t>
        </w:r>
        <w:r w:rsidRPr="00B35EDF">
          <w:rPr>
            <w:rStyle w:val="Hyperlink"/>
          </w:rPr>
          <w:t>website</w:t>
        </w:r>
      </w:hyperlink>
      <w:r w:rsidRPr="00E44B16">
        <w:t xml:space="preserve"> </w:t>
      </w:r>
      <w:r w:rsidR="00B35EDF">
        <w:t>o</w:t>
      </w:r>
      <w:r w:rsidRPr="00E44B16">
        <w:t>r write to: Privacy Contact Officer, Legal and Compliance Group, Department of Education</w:t>
      </w:r>
      <w:r w:rsidR="0005679D">
        <w:t xml:space="preserve"> and Training</w:t>
      </w:r>
      <w:r w:rsidRPr="00E44B16">
        <w:t>, GP</w:t>
      </w:r>
      <w:r w:rsidR="008B4D76">
        <w:t>O Box 9880, Canberra ACT 2601, o</w:t>
      </w:r>
      <w:r w:rsidRPr="00E44B16">
        <w:t xml:space="preserve">r email: </w:t>
      </w:r>
      <w:hyperlink r:id="rId26" w:history="1">
        <w:r w:rsidR="00543E9D" w:rsidRPr="00E44B16">
          <w:rPr>
            <w:rStyle w:val="Hyperlink"/>
          </w:rPr>
          <w:t>privacy@education.gov.a</w:t>
        </w:r>
        <w:r w:rsidR="00543E9D" w:rsidRPr="00263CB5">
          <w:rPr>
            <w:rStyle w:val="Hyperlink"/>
          </w:rPr>
          <w:t>u</w:t>
        </w:r>
      </w:hyperlink>
      <w:r>
        <w:t xml:space="preserve">.  </w:t>
      </w:r>
    </w:p>
    <w:p w:rsidR="00BE5AAC" w:rsidRDefault="00BE5AAC" w:rsidP="00BE5AAC">
      <w:r>
        <w:t>Privacy complaints may be made to the Office of the Australian Information Commissioner, but will only be actioned where a complaint has been mad</w:t>
      </w:r>
      <w:r w:rsidR="00C80768">
        <w:t>e in the first instance to the D</w:t>
      </w:r>
      <w:r>
        <w:t xml:space="preserve">epartment. </w:t>
      </w:r>
    </w:p>
    <w:p w:rsidR="00B92DC1" w:rsidRPr="00030FB6" w:rsidRDefault="00B92DC1" w:rsidP="00B92DC1">
      <w:pPr>
        <w:pStyle w:val="Heading2"/>
      </w:pPr>
      <w:bookmarkStart w:id="30" w:name="_Toc340138909"/>
      <w:bookmarkStart w:id="31" w:name="_Toc486923374"/>
      <w:bookmarkStart w:id="32" w:name="_Toc340138870"/>
      <w:r w:rsidRPr="00030FB6">
        <w:t>Freedom of Information</w:t>
      </w:r>
      <w:bookmarkEnd w:id="30"/>
      <w:bookmarkEnd w:id="31"/>
    </w:p>
    <w:p w:rsidR="00B92DC1" w:rsidRPr="00030FB6" w:rsidRDefault="00B92DC1" w:rsidP="00B92DC1">
      <w:r w:rsidRPr="00030FB6">
        <w:t xml:space="preserve">All documents created or held by the </w:t>
      </w:r>
      <w:r w:rsidR="00C80768">
        <w:t>D</w:t>
      </w:r>
      <w:r w:rsidR="00B015F1">
        <w:t>epartment</w:t>
      </w:r>
      <w:r w:rsidR="00C94EC0" w:rsidRPr="00030FB6">
        <w:t xml:space="preserve"> </w:t>
      </w:r>
      <w:r w:rsidRPr="00030FB6">
        <w:t xml:space="preserve">with regard to the Program are subject to the </w:t>
      </w:r>
      <w:r w:rsidRPr="00254DB7">
        <w:rPr>
          <w:i/>
        </w:rPr>
        <w:t>Freedom of Information Act 1982</w:t>
      </w:r>
      <w:r w:rsidRPr="00030FB6">
        <w:t xml:space="preserve"> (‘the FOI Act’).</w:t>
      </w:r>
      <w:r>
        <w:t xml:space="preserve"> </w:t>
      </w:r>
      <w:r w:rsidRPr="00030FB6">
        <w:t>The FOI Act extends as far as possible the right</w:t>
      </w:r>
      <w:r w:rsidR="00C94EC0">
        <w:t>s</w:t>
      </w:r>
      <w:r w:rsidRPr="00030FB6">
        <w:t xml:space="preserve"> of the Australian community to access information in the possession of Government </w:t>
      </w:r>
      <w:r w:rsidR="00B015F1">
        <w:t>Department</w:t>
      </w:r>
      <w:r w:rsidRPr="00030FB6">
        <w:t>s.</w:t>
      </w:r>
      <w:r>
        <w:t xml:space="preserve"> </w:t>
      </w:r>
    </w:p>
    <w:p w:rsidR="00C94EC0" w:rsidRDefault="00B92DC1" w:rsidP="00B92DC1">
      <w:r w:rsidRPr="00030FB6">
        <w:lastRenderedPageBreak/>
        <w:t>Unless a document falls under an exemption provision</w:t>
      </w:r>
      <w:r w:rsidR="00C94EC0">
        <w:t xml:space="preserve"> of the FOI Act</w:t>
      </w:r>
      <w:r w:rsidRPr="00030FB6">
        <w:t>, it</w:t>
      </w:r>
      <w:r w:rsidR="00C94EC0">
        <w:t xml:space="preserve"> may</w:t>
      </w:r>
      <w:r w:rsidRPr="00030FB6">
        <w:t xml:space="preserve"> be made available to </w:t>
      </w:r>
      <w:r w:rsidR="00C94EC0">
        <w:t xml:space="preserve">a member(s) of </w:t>
      </w:r>
      <w:r w:rsidRPr="00030FB6">
        <w:t>the general public if requested under the FOI Act.</w:t>
      </w:r>
      <w:r>
        <w:t xml:space="preserve"> </w:t>
      </w:r>
    </w:p>
    <w:p w:rsidR="00C94EC0" w:rsidRDefault="00C94EC0" w:rsidP="00B92DC1">
      <w:r>
        <w:t xml:space="preserve">Grant Recipients are required to assist the </w:t>
      </w:r>
      <w:r w:rsidR="00C80768">
        <w:t>D</w:t>
      </w:r>
      <w:r w:rsidR="00B015F1">
        <w:t>epartment</w:t>
      </w:r>
      <w:r>
        <w:t xml:space="preserve"> to comply with its obligations under the FOI Act, in respect of documents </w:t>
      </w:r>
      <w:r w:rsidRPr="00C94EC0">
        <w:t>created by, or in the possession of</w:t>
      </w:r>
      <w:r>
        <w:t xml:space="preserve"> </w:t>
      </w:r>
      <w:r w:rsidRPr="00C94EC0">
        <w:t>Grant Recipients</w:t>
      </w:r>
      <w:r>
        <w:t xml:space="preserve"> </w:t>
      </w:r>
      <w:r w:rsidRPr="00C94EC0">
        <w:t xml:space="preserve">or any of </w:t>
      </w:r>
      <w:r>
        <w:t>their subcontractors that relate</w:t>
      </w:r>
      <w:r w:rsidRPr="00C94EC0">
        <w:t xml:space="preserve"> to t</w:t>
      </w:r>
      <w:r>
        <w:t>he performance of their Grant Agreement.</w:t>
      </w:r>
    </w:p>
    <w:p w:rsidR="00B92DC1" w:rsidRDefault="00B92DC1" w:rsidP="00B92DC1">
      <w:r w:rsidRPr="00030FB6">
        <w:t xml:space="preserve">All FOI requests are to be referred to the </w:t>
      </w:r>
      <w:r>
        <w:t xml:space="preserve">FOI Section in the Legal Services </w:t>
      </w:r>
      <w:r w:rsidRPr="0093455D">
        <w:t xml:space="preserve">Branch of the </w:t>
      </w:r>
      <w:r w:rsidR="00B015F1">
        <w:t>Department</w:t>
      </w:r>
      <w:r w:rsidR="00254DB7">
        <w:t xml:space="preserve"> of Education and Training</w:t>
      </w:r>
      <w:r w:rsidRPr="0093455D">
        <w:t>. Decisions</w:t>
      </w:r>
      <w:r w:rsidRPr="00030FB6">
        <w:t xml:space="preserve"> regarding requests for access will be made by an authorised officer in accordance with the requirements of the FOI Act.</w:t>
      </w:r>
    </w:p>
    <w:p w:rsidR="00B92DC1" w:rsidRPr="00030FB6" w:rsidRDefault="00B92DC1" w:rsidP="00B92DC1">
      <w:pPr>
        <w:pStyle w:val="Heading2"/>
      </w:pPr>
      <w:bookmarkStart w:id="33" w:name="_Toc486923375"/>
      <w:r>
        <w:t>Provision of false or misleading information</w:t>
      </w:r>
      <w:bookmarkEnd w:id="32"/>
      <w:bookmarkEnd w:id="33"/>
    </w:p>
    <w:p w:rsidR="00976CFF" w:rsidRDefault="00B92DC1" w:rsidP="00976CFF">
      <w:r w:rsidRPr="00030FB6">
        <w:t xml:space="preserve">Note that, in the submission of any </w:t>
      </w:r>
      <w:r w:rsidR="005A057D">
        <w:t xml:space="preserve">Grant Application, project </w:t>
      </w:r>
      <w:r>
        <w:t xml:space="preserve">proposals, </w:t>
      </w:r>
      <w:r w:rsidRPr="00030FB6">
        <w:t>reports, acquittals or any other information to be provi</w:t>
      </w:r>
      <w:r w:rsidR="00254DB7">
        <w:t xml:space="preserve">ded to the </w:t>
      </w:r>
      <w:r w:rsidR="00C80768">
        <w:t>D</w:t>
      </w:r>
      <w:r w:rsidR="00B015F1">
        <w:t>epartment</w:t>
      </w:r>
      <w:r w:rsidR="005A057D">
        <w:t xml:space="preserve"> </w:t>
      </w:r>
      <w:r w:rsidR="00254DB7">
        <w:t xml:space="preserve">pursuant to this </w:t>
      </w:r>
      <w:r w:rsidR="005A057D">
        <w:t>P</w:t>
      </w:r>
      <w:r w:rsidR="005A057D" w:rsidRPr="00030FB6">
        <w:t>rogram</w:t>
      </w:r>
      <w:r w:rsidRPr="00030FB6">
        <w:t>, giving false or misleading information is a serious offence</w:t>
      </w:r>
      <w:r w:rsidR="00C94EC0">
        <w:t xml:space="preserve"> under the Criminal Code</w:t>
      </w:r>
      <w:r w:rsidRPr="00030FB6">
        <w:t>.</w:t>
      </w:r>
      <w:r w:rsidR="00976CFF">
        <w:t xml:space="preserve"> </w:t>
      </w:r>
    </w:p>
    <w:p w:rsidR="00F10E4F" w:rsidRPr="00B137F9" w:rsidRDefault="00F10E4F" w:rsidP="00F10E4F">
      <w:pPr>
        <w:spacing w:after="0"/>
        <w:rPr>
          <w:b/>
          <w:sz w:val="28"/>
          <w:szCs w:val="28"/>
        </w:rPr>
      </w:pPr>
      <w:r w:rsidRPr="00B137F9">
        <w:rPr>
          <w:b/>
          <w:sz w:val="28"/>
          <w:szCs w:val="28"/>
        </w:rPr>
        <w:t>Fraud</w:t>
      </w:r>
    </w:p>
    <w:p w:rsidR="00F10E4F" w:rsidRPr="00AE1B12" w:rsidRDefault="00254DB7" w:rsidP="00F10E4F">
      <w:pPr>
        <w:spacing w:after="140" w:line="240" w:lineRule="auto"/>
        <w:rPr>
          <w:rFonts w:cs="Arial"/>
        </w:rPr>
      </w:pPr>
      <w:r>
        <w:rPr>
          <w:rFonts w:cs="Arial"/>
        </w:rPr>
        <w:t xml:space="preserve">The </w:t>
      </w:r>
      <w:r w:rsidR="00C80768">
        <w:rPr>
          <w:rFonts w:cs="Arial"/>
        </w:rPr>
        <w:t>D</w:t>
      </w:r>
      <w:r w:rsidR="00B015F1">
        <w:rPr>
          <w:rFonts w:cs="Arial"/>
        </w:rPr>
        <w:t>epartment</w:t>
      </w:r>
      <w:r w:rsidR="005A057D" w:rsidRPr="00AE1B12">
        <w:rPr>
          <w:rFonts w:cs="Arial"/>
        </w:rPr>
        <w:t xml:space="preserve"> </w:t>
      </w:r>
      <w:r w:rsidR="00F10E4F" w:rsidRPr="00AE1B12">
        <w:rPr>
          <w:rFonts w:cs="Arial"/>
        </w:rPr>
        <w:t xml:space="preserve">is committed to the Commonwealth Fraud Control Policy and Guidelines.  </w:t>
      </w:r>
      <w:r w:rsidR="005A057D">
        <w:rPr>
          <w:rFonts w:cs="Arial"/>
        </w:rPr>
        <w:t xml:space="preserve">Grant </w:t>
      </w:r>
      <w:r w:rsidR="00F10E4F" w:rsidRPr="00AE1B12">
        <w:rPr>
          <w:rFonts w:cs="Arial"/>
        </w:rPr>
        <w:t xml:space="preserve">Applicants should familiarise themselves with </w:t>
      </w:r>
      <w:r w:rsidR="00F10E4F">
        <w:t xml:space="preserve">the </w:t>
      </w:r>
      <w:r w:rsidR="00C80768">
        <w:t>D</w:t>
      </w:r>
      <w:r w:rsidR="00B015F1">
        <w:t>epartment</w:t>
      </w:r>
      <w:r w:rsidR="005A057D">
        <w:t>’s</w:t>
      </w:r>
      <w:r w:rsidR="005A057D" w:rsidRPr="007E4E2C">
        <w:t xml:space="preserve"> </w:t>
      </w:r>
      <w:r w:rsidR="00F10E4F" w:rsidRPr="007E4E2C">
        <w:t>Fraud Control Plan</w:t>
      </w:r>
      <w:r w:rsidR="00F10E4F" w:rsidRPr="00AE1B12">
        <w:rPr>
          <w:rFonts w:cs="Arial"/>
        </w:rPr>
        <w:t xml:space="preserve">.  The Fraud Control </w:t>
      </w:r>
      <w:r w:rsidR="00F10E4F">
        <w:rPr>
          <w:rFonts w:cs="Arial"/>
        </w:rPr>
        <w:t>Plan</w:t>
      </w:r>
      <w:r w:rsidR="00F10E4F" w:rsidRPr="00AE1B12">
        <w:rPr>
          <w:rFonts w:cs="Arial"/>
        </w:rPr>
        <w:t xml:space="preserve"> also underpins a</w:t>
      </w:r>
      <w:r w:rsidR="005A057D">
        <w:rPr>
          <w:rFonts w:cs="Arial"/>
        </w:rPr>
        <w:t xml:space="preserve"> Grant</w:t>
      </w:r>
      <w:r w:rsidR="00F10E4F" w:rsidRPr="00AE1B12">
        <w:rPr>
          <w:rFonts w:cs="Arial"/>
        </w:rPr>
        <w:t xml:space="preserve"> </w:t>
      </w:r>
      <w:r w:rsidR="005A057D">
        <w:rPr>
          <w:rFonts w:cs="Arial"/>
        </w:rPr>
        <w:t>A</w:t>
      </w:r>
      <w:r w:rsidR="00F10E4F" w:rsidRPr="00AE1B12">
        <w:rPr>
          <w:rFonts w:cs="Arial"/>
        </w:rPr>
        <w:t xml:space="preserve">pplicant’s respective fraud and risk minimisation responsibilities when dealing with </w:t>
      </w:r>
      <w:r>
        <w:rPr>
          <w:rFonts w:cs="Arial"/>
        </w:rPr>
        <w:t xml:space="preserve">the </w:t>
      </w:r>
      <w:r w:rsidR="00C80768">
        <w:rPr>
          <w:rFonts w:cs="Arial"/>
        </w:rPr>
        <w:t>D</w:t>
      </w:r>
      <w:r w:rsidR="00B015F1">
        <w:rPr>
          <w:rFonts w:cs="Arial"/>
        </w:rPr>
        <w:t>epartment</w:t>
      </w:r>
      <w:r w:rsidR="00F10E4F" w:rsidRPr="00AE1B12">
        <w:rPr>
          <w:rFonts w:cs="Arial"/>
        </w:rPr>
        <w:t>.</w:t>
      </w:r>
      <w:r w:rsidR="00F10E4F">
        <w:rPr>
          <w:rFonts w:cs="Arial"/>
        </w:rPr>
        <w:t xml:space="preserve"> A copy of the Fraud Control Plan is available on request.</w:t>
      </w:r>
    </w:p>
    <w:p w:rsidR="00F10E4F" w:rsidRDefault="005A057D" w:rsidP="00F10E4F">
      <w:pPr>
        <w:spacing w:after="140" w:line="240" w:lineRule="auto"/>
        <w:rPr>
          <w:rFonts w:cs="Arial"/>
        </w:rPr>
      </w:pPr>
      <w:r>
        <w:rPr>
          <w:rFonts w:cs="Arial"/>
        </w:rPr>
        <w:t>A</w:t>
      </w:r>
      <w:r w:rsidRPr="00AE1B12">
        <w:rPr>
          <w:rFonts w:cs="Arial"/>
        </w:rPr>
        <w:t xml:space="preserve"> </w:t>
      </w:r>
      <w:r w:rsidR="00F10E4F" w:rsidRPr="00AE1B12">
        <w:rPr>
          <w:rFonts w:cs="Arial"/>
        </w:rPr>
        <w:t xml:space="preserve">key responsibility outlined in the Fraud Control </w:t>
      </w:r>
      <w:r w:rsidR="00F10E4F">
        <w:rPr>
          <w:rFonts w:cs="Arial"/>
        </w:rPr>
        <w:t>Plan</w:t>
      </w:r>
      <w:r w:rsidR="00F10E4F" w:rsidRPr="00AE1B12">
        <w:rPr>
          <w:rFonts w:cs="Arial"/>
        </w:rPr>
        <w:t xml:space="preserve"> is t</w:t>
      </w:r>
      <w:r w:rsidR="00F10E4F">
        <w:rPr>
          <w:rFonts w:cs="Arial"/>
        </w:rPr>
        <w:t>o report all fraud concerns by:</w:t>
      </w:r>
    </w:p>
    <w:p w:rsidR="00F10E4F" w:rsidRPr="00C1625C" w:rsidRDefault="00F10E4F" w:rsidP="00F10E4F">
      <w:pPr>
        <w:pStyle w:val="Chrissie10"/>
        <w:spacing w:after="1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1625C">
        <w:rPr>
          <w:rFonts w:asciiTheme="minorHAnsi" w:hAnsiTheme="minorHAnsi" w:cstheme="minorHAnsi"/>
          <w:sz w:val="22"/>
          <w:szCs w:val="22"/>
        </w:rPr>
        <w:t xml:space="preserve">calling the </w:t>
      </w:r>
      <w:r w:rsidR="00C80768">
        <w:rPr>
          <w:rFonts w:asciiTheme="minorHAnsi" w:hAnsiTheme="minorHAnsi" w:cstheme="minorHAnsi"/>
          <w:sz w:val="22"/>
          <w:szCs w:val="22"/>
        </w:rPr>
        <w:t>D</w:t>
      </w:r>
      <w:r w:rsidR="00B015F1">
        <w:rPr>
          <w:rFonts w:asciiTheme="minorHAnsi" w:hAnsiTheme="minorHAnsi" w:cstheme="minorHAnsi"/>
          <w:sz w:val="22"/>
          <w:szCs w:val="22"/>
        </w:rPr>
        <w:t>epartment</w:t>
      </w:r>
      <w:r w:rsidR="005A057D" w:rsidRPr="00C1625C">
        <w:rPr>
          <w:rFonts w:asciiTheme="minorHAnsi" w:hAnsiTheme="minorHAnsi" w:cstheme="minorHAnsi"/>
          <w:sz w:val="22"/>
          <w:szCs w:val="22"/>
        </w:rPr>
        <w:t xml:space="preserve">’s </w:t>
      </w:r>
      <w:r w:rsidRPr="00C1625C">
        <w:rPr>
          <w:rFonts w:asciiTheme="minorHAnsi" w:hAnsiTheme="minorHAnsi" w:cstheme="minorHAnsi"/>
          <w:sz w:val="22"/>
          <w:szCs w:val="22"/>
        </w:rPr>
        <w:t>tip-off line on 1800 664 231</w:t>
      </w:r>
      <w:r w:rsidR="005A057D">
        <w:rPr>
          <w:rFonts w:asciiTheme="minorHAnsi" w:hAnsiTheme="minorHAnsi" w:cstheme="minorHAnsi"/>
          <w:sz w:val="22"/>
          <w:szCs w:val="22"/>
        </w:rPr>
        <w:t>; or</w:t>
      </w:r>
    </w:p>
    <w:p w:rsidR="00F10E4F" w:rsidRDefault="00F10E4F" w:rsidP="00F10E4F">
      <w:pPr>
        <w:pStyle w:val="ListParagraph"/>
        <w:numPr>
          <w:ilvl w:val="0"/>
          <w:numId w:val="37"/>
        </w:numPr>
        <w:ind w:left="357" w:hanging="357"/>
      </w:pPr>
      <w:proofErr w:type="gramStart"/>
      <w:r w:rsidRPr="00721605">
        <w:rPr>
          <w:rFonts w:cstheme="minorHAnsi"/>
        </w:rPr>
        <w:t>emailing</w:t>
      </w:r>
      <w:proofErr w:type="gramEnd"/>
      <w:r w:rsidRPr="00721605">
        <w:rPr>
          <w:rFonts w:cstheme="minorHAnsi"/>
        </w:rPr>
        <w:t xml:space="preserve"> </w:t>
      </w:r>
      <w:hyperlink r:id="rId27" w:history="1">
        <w:r w:rsidRPr="00721605">
          <w:rPr>
            <w:rStyle w:val="Hyperlink"/>
            <w:rFonts w:cstheme="minorHAnsi"/>
          </w:rPr>
          <w:t>fraud@education.gov.au.</w:t>
        </w:r>
      </w:hyperlink>
    </w:p>
    <w:p w:rsidR="00976CFF" w:rsidRDefault="00976CFF" w:rsidP="00976CFF">
      <w:pPr>
        <w:pStyle w:val="Heading2"/>
      </w:pPr>
      <w:bookmarkStart w:id="34" w:name="_Toc486923376"/>
      <w:r>
        <w:t>C</w:t>
      </w:r>
      <w:r w:rsidR="006A46FE" w:rsidRPr="000F3343">
        <w:t>omplaints Handling</w:t>
      </w:r>
      <w:bookmarkEnd w:id="34"/>
      <w:r w:rsidR="006A46FE" w:rsidRPr="000F3343">
        <w:tab/>
      </w:r>
    </w:p>
    <w:p w:rsidR="00D15DFA" w:rsidRDefault="006A46FE" w:rsidP="00976CFF">
      <w:r w:rsidRPr="000F3343">
        <w:t>Any person</w:t>
      </w:r>
      <w:r>
        <w:t>/organisation</w:t>
      </w:r>
      <w:r w:rsidRPr="000F3343">
        <w:t xml:space="preserve"> wishing to lodge a complaint or pr</w:t>
      </w:r>
      <w:r w:rsidR="00254DB7">
        <w:t xml:space="preserve">ovide feedback directly to the </w:t>
      </w:r>
      <w:r w:rsidR="00C80768">
        <w:t>D</w:t>
      </w:r>
      <w:r w:rsidR="00B015F1">
        <w:t>epartment</w:t>
      </w:r>
      <w:r w:rsidR="00D15DFA" w:rsidRPr="000F3343">
        <w:t xml:space="preserve"> </w:t>
      </w:r>
      <w:r w:rsidRPr="000F3343">
        <w:t>in relation to the operation</w:t>
      </w:r>
      <w:r>
        <w:t xml:space="preserve"> of this </w:t>
      </w:r>
      <w:r w:rsidR="00D15DFA">
        <w:t>P</w:t>
      </w:r>
      <w:r>
        <w:t xml:space="preserve">rogram </w:t>
      </w:r>
      <w:r w:rsidRPr="000F3343">
        <w:t xml:space="preserve">may do so by </w:t>
      </w:r>
      <w:proofErr w:type="gramStart"/>
      <w:r w:rsidRPr="000F3343">
        <w:t>emailing</w:t>
      </w:r>
      <w:r w:rsidR="008C2AFA">
        <w:t xml:space="preserve"> </w:t>
      </w:r>
      <w:r w:rsidRPr="000F3343">
        <w:t xml:space="preserve"> </w:t>
      </w:r>
      <w:proofErr w:type="gramEnd"/>
      <w:r w:rsidR="00E3758F">
        <w:fldChar w:fldCharType="begin"/>
      </w:r>
      <w:r w:rsidR="00E3758F">
        <w:instrText xml:space="preserve"> HYPERLINK "mailto:DLSG@education.gov.au" </w:instrText>
      </w:r>
      <w:r w:rsidR="00E3758F">
        <w:fldChar w:fldCharType="separate"/>
      </w:r>
      <w:r w:rsidR="00976CFF" w:rsidRPr="00776C77">
        <w:rPr>
          <w:rStyle w:val="Hyperlink"/>
        </w:rPr>
        <w:t>DLSG@education.gov.au</w:t>
      </w:r>
      <w:r w:rsidR="00E3758F">
        <w:rPr>
          <w:rStyle w:val="Hyperlink"/>
        </w:rPr>
        <w:fldChar w:fldCharType="end"/>
      </w:r>
      <w:r w:rsidR="00254DB7">
        <w:t xml:space="preserve">. </w:t>
      </w:r>
    </w:p>
    <w:p w:rsidR="006A46FE" w:rsidRPr="000F3343" w:rsidRDefault="00254DB7" w:rsidP="00976CFF">
      <w:r>
        <w:t xml:space="preserve">The </w:t>
      </w:r>
      <w:r w:rsidR="00C80768">
        <w:t>D</w:t>
      </w:r>
      <w:r w:rsidR="00D15DFA" w:rsidRPr="000F3343">
        <w:t xml:space="preserve">epartment </w:t>
      </w:r>
      <w:r w:rsidR="006A46FE" w:rsidRPr="000F3343">
        <w:t xml:space="preserve">will aim to resolve a complaint within 30 </w:t>
      </w:r>
      <w:r w:rsidR="00D15DFA">
        <w:t xml:space="preserve">calendar </w:t>
      </w:r>
      <w:r w:rsidR="006A46FE" w:rsidRPr="000F3343">
        <w:t xml:space="preserve">days of its receipt. Where it is not possible to resolve a complaint within 30 </w:t>
      </w:r>
      <w:r w:rsidR="00D15DFA">
        <w:t xml:space="preserve">calendar </w:t>
      </w:r>
      <w:r w:rsidR="006A46FE" w:rsidRPr="000F3343">
        <w:t>days, concerned parties will be kept informed of progress</w:t>
      </w:r>
      <w:r w:rsidR="005A057D">
        <w:t xml:space="preserve"> of the </w:t>
      </w:r>
      <w:r w:rsidR="00C80768">
        <w:t>D</w:t>
      </w:r>
      <w:r w:rsidR="00B015F1">
        <w:t>epartment</w:t>
      </w:r>
      <w:r w:rsidR="005A057D">
        <w:t>’s handling of the complaint</w:t>
      </w:r>
      <w:r w:rsidR="006A46FE" w:rsidRPr="000F3343">
        <w:t xml:space="preserve">. </w:t>
      </w:r>
      <w:r>
        <w:t>Grant r</w:t>
      </w:r>
      <w:r w:rsidR="00E80A69">
        <w:t>ecipients</w:t>
      </w:r>
      <w:r w:rsidR="006A46FE" w:rsidRPr="000F3343">
        <w:t xml:space="preserve"> must inform relevant parties of these complaint handling avenues.</w:t>
      </w:r>
    </w:p>
    <w:p w:rsidR="006A46FE" w:rsidRDefault="006A46FE" w:rsidP="006A46FE">
      <w:pPr>
        <w:keepNext/>
      </w:pPr>
      <w:r w:rsidRPr="000F3343">
        <w:t xml:space="preserve">All complaints will be treated as confidential </w:t>
      </w:r>
      <w:r w:rsidR="00C94EC0">
        <w:t xml:space="preserve">by the </w:t>
      </w:r>
      <w:r w:rsidR="00C80768">
        <w:t>D</w:t>
      </w:r>
      <w:r w:rsidR="00B015F1">
        <w:t>epartment</w:t>
      </w:r>
      <w:r w:rsidR="00C94EC0">
        <w:t xml:space="preserve">, </w:t>
      </w:r>
      <w:r w:rsidRPr="000F3343">
        <w:t>unless specified otherwise. Permission to investigate the matter</w:t>
      </w:r>
      <w:r>
        <w:t xml:space="preserve"> further by contacting third parties</w:t>
      </w:r>
      <w:r w:rsidRPr="000F3343">
        <w:t xml:space="preserve"> </w:t>
      </w:r>
      <w:r>
        <w:t>may</w:t>
      </w:r>
      <w:r w:rsidRPr="000F3343">
        <w:t xml:space="preserve"> be sought from the complainant in work</w:t>
      </w:r>
      <w:r>
        <w:t>ing</w:t>
      </w:r>
      <w:r w:rsidRPr="000F3343">
        <w:t xml:space="preserve"> toward</w:t>
      </w:r>
      <w:r>
        <w:t>s</w:t>
      </w:r>
      <w:r w:rsidRPr="000F3343">
        <w:t xml:space="preserve"> a resolution </w:t>
      </w:r>
      <w:r>
        <w:t>to</w:t>
      </w:r>
      <w:r w:rsidRPr="000F3343">
        <w:t xml:space="preserve"> the matter. </w:t>
      </w:r>
    </w:p>
    <w:p w:rsidR="006A46FE" w:rsidRPr="000F3343" w:rsidRDefault="006A46FE" w:rsidP="006A46FE">
      <w:r w:rsidRPr="00997BB1">
        <w:t xml:space="preserve">If </w:t>
      </w:r>
      <w:r w:rsidR="005A057D">
        <w:t>complainants</w:t>
      </w:r>
      <w:r w:rsidR="005A057D" w:rsidRPr="00997BB1">
        <w:t xml:space="preserve"> </w:t>
      </w:r>
      <w:r w:rsidRPr="00997BB1">
        <w:t xml:space="preserve">are unhappy with the </w:t>
      </w:r>
      <w:r w:rsidR="00C80768">
        <w:t>D</w:t>
      </w:r>
      <w:r w:rsidR="00B015F1">
        <w:t>epartment</w:t>
      </w:r>
      <w:r w:rsidR="005A057D" w:rsidRPr="00997BB1">
        <w:t xml:space="preserve">’s </w:t>
      </w:r>
      <w:r w:rsidRPr="00997BB1">
        <w:t xml:space="preserve">response to </w:t>
      </w:r>
      <w:r w:rsidR="005A057D">
        <w:t>their</w:t>
      </w:r>
      <w:r w:rsidR="005A057D" w:rsidRPr="00997BB1">
        <w:t xml:space="preserve"> </w:t>
      </w:r>
      <w:r w:rsidRPr="00997BB1">
        <w:t xml:space="preserve">complaint </w:t>
      </w:r>
      <w:r w:rsidR="005A057D">
        <w:t xml:space="preserve">they </w:t>
      </w:r>
      <w:r w:rsidRPr="00997BB1">
        <w:t>can lodge a written complaint with the</w:t>
      </w:r>
      <w:r>
        <w:t xml:space="preserve"> Commonwealth Ombudsman</w:t>
      </w:r>
      <w:r w:rsidRPr="00997BB1">
        <w:t xml:space="preserve">. More information about </w:t>
      </w:r>
      <w:r w:rsidR="00B35EDF" w:rsidRPr="00997BB1">
        <w:t xml:space="preserve">how to lodge a complaint can be found </w:t>
      </w:r>
      <w:r w:rsidR="00B35EDF">
        <w:t xml:space="preserve">on </w:t>
      </w:r>
      <w:r w:rsidRPr="00997BB1">
        <w:t xml:space="preserve">the </w:t>
      </w:r>
      <w:hyperlink r:id="rId28" w:history="1">
        <w:r w:rsidRPr="00B35EDF">
          <w:rPr>
            <w:rStyle w:val="Hyperlink"/>
          </w:rPr>
          <w:t xml:space="preserve">Commonwealth </w:t>
        </w:r>
        <w:r w:rsidR="00B35EDF" w:rsidRPr="00B35EDF">
          <w:rPr>
            <w:rStyle w:val="Hyperlink"/>
          </w:rPr>
          <w:t>Ombudsman’s website</w:t>
        </w:r>
      </w:hyperlink>
      <w:r w:rsidR="00B35EDF">
        <w:t xml:space="preserve">. </w:t>
      </w:r>
      <w:r w:rsidRPr="00997BB1">
        <w:t>The Ombudsman</w:t>
      </w:r>
      <w:r>
        <w:t>’s</w:t>
      </w:r>
      <w:r w:rsidRPr="00997BB1">
        <w:t xml:space="preserve"> </w:t>
      </w:r>
      <w:r>
        <w:t xml:space="preserve">office </w:t>
      </w:r>
      <w:r w:rsidRPr="00997BB1">
        <w:t xml:space="preserve">generally prefers that individuals </w:t>
      </w:r>
      <w:r>
        <w:t>direct their concern(s)</w:t>
      </w:r>
      <w:r w:rsidR="00254DB7">
        <w:t xml:space="preserve"> to the </w:t>
      </w:r>
      <w:r w:rsidR="00C80768">
        <w:t>D</w:t>
      </w:r>
      <w:r w:rsidR="00B015F1">
        <w:t>epartment</w:t>
      </w:r>
      <w:r w:rsidRPr="00997BB1">
        <w:t xml:space="preserve"> in the first instance.</w:t>
      </w:r>
    </w:p>
    <w:p w:rsidR="006A46FE" w:rsidRPr="00030FB6" w:rsidRDefault="006A46FE" w:rsidP="006A46FE">
      <w:pPr>
        <w:keepNext/>
      </w:pPr>
      <w:r w:rsidRPr="000F3343">
        <w:lastRenderedPageBreak/>
        <w:t>Where a complaint involves an allegation of fraud, criminal activ</w:t>
      </w:r>
      <w:r w:rsidR="00254DB7">
        <w:t xml:space="preserve">ity or the misappropriation of </w:t>
      </w:r>
      <w:r w:rsidR="00C94EC0">
        <w:t>P</w:t>
      </w:r>
      <w:r w:rsidR="00C94EC0" w:rsidRPr="000F3343">
        <w:t xml:space="preserve">rogram </w:t>
      </w:r>
      <w:r w:rsidRPr="000F3343">
        <w:t xml:space="preserve">funding, the </w:t>
      </w:r>
      <w:r w:rsidR="00254DB7">
        <w:t xml:space="preserve">matter must be reported to the </w:t>
      </w:r>
      <w:r w:rsidR="00C80768">
        <w:t>D</w:t>
      </w:r>
      <w:r w:rsidR="00B015F1">
        <w:t>epartment</w:t>
      </w:r>
      <w:r w:rsidR="005A057D" w:rsidRPr="000F3343">
        <w:t>’</w:t>
      </w:r>
      <w:r w:rsidR="005A057D">
        <w:t xml:space="preserve">s </w:t>
      </w:r>
      <w:r w:rsidR="00254DB7">
        <w:t xml:space="preserve">Investigations Branch by the </w:t>
      </w:r>
      <w:r w:rsidR="005A057D">
        <w:t>P</w:t>
      </w:r>
      <w:r w:rsidR="005A057D" w:rsidRPr="000F3343">
        <w:t>rogram</w:t>
      </w:r>
      <w:r w:rsidR="005A057D">
        <w:t xml:space="preserve"> </w:t>
      </w:r>
      <w:r w:rsidR="00254DB7">
        <w:t>d</w:t>
      </w:r>
      <w:r w:rsidRPr="000F3343">
        <w:t>elegate. The indicative 30 days complaint resolution time will not apply in such cases.</w:t>
      </w:r>
    </w:p>
    <w:p w:rsidR="00BE5AAC" w:rsidRDefault="00BE5AAC" w:rsidP="00E44B16">
      <w:pPr>
        <w:pStyle w:val="Heading2"/>
        <w:rPr>
          <w:rFonts w:asciiTheme="minorHAnsi" w:hAnsiTheme="minorHAnsi" w:cstheme="minorBidi"/>
        </w:rPr>
      </w:pPr>
      <w:bookmarkStart w:id="35" w:name="_Toc486923377"/>
      <w:r>
        <w:rPr>
          <w:rFonts w:asciiTheme="minorHAnsi" w:hAnsiTheme="minorHAnsi" w:cstheme="minorBidi"/>
        </w:rPr>
        <w:t xml:space="preserve">Working with </w:t>
      </w:r>
      <w:r w:rsidR="006E2295">
        <w:rPr>
          <w:rFonts w:asciiTheme="minorHAnsi" w:hAnsiTheme="minorHAnsi" w:cstheme="minorBidi"/>
        </w:rPr>
        <w:t>Children</w:t>
      </w:r>
      <w:r>
        <w:rPr>
          <w:rFonts w:asciiTheme="minorHAnsi" w:hAnsiTheme="minorHAnsi" w:cstheme="minorBidi"/>
        </w:rPr>
        <w:t xml:space="preserve"> Checks</w:t>
      </w:r>
      <w:bookmarkEnd w:id="35"/>
    </w:p>
    <w:p w:rsidR="00743F25" w:rsidRPr="00425309" w:rsidRDefault="00743F25" w:rsidP="00743F25">
      <w:pPr>
        <w:rPr>
          <w:rFonts w:cstheme="minorHAnsi"/>
        </w:rPr>
      </w:pPr>
      <w:r w:rsidRPr="00E44B16">
        <w:rPr>
          <w:rFonts w:cstheme="minorHAnsi"/>
        </w:rPr>
        <w:t>The Australian Government is committed to protecting children from harm and promoting their well-being. The safety of</w:t>
      </w:r>
      <w:r w:rsidR="00D15DFA">
        <w:rPr>
          <w:rFonts w:cstheme="minorHAnsi"/>
        </w:rPr>
        <w:t>,</w:t>
      </w:r>
      <w:r w:rsidRPr="00E44B16">
        <w:rPr>
          <w:rFonts w:cstheme="minorHAnsi"/>
        </w:rPr>
        <w:t xml:space="preserve"> not only young people eligible to participa</w:t>
      </w:r>
      <w:r w:rsidR="00254DB7">
        <w:rPr>
          <w:rFonts w:cstheme="minorHAnsi"/>
        </w:rPr>
        <w:t xml:space="preserve">te in activities under the </w:t>
      </w:r>
      <w:r w:rsidR="0002779A">
        <w:rPr>
          <w:rFonts w:cstheme="minorHAnsi"/>
        </w:rPr>
        <w:t>P</w:t>
      </w:r>
      <w:r w:rsidR="0002779A" w:rsidRPr="00E44B16">
        <w:rPr>
          <w:rFonts w:cstheme="minorHAnsi"/>
        </w:rPr>
        <w:t>rogram</w:t>
      </w:r>
      <w:r w:rsidRPr="00804296">
        <w:rPr>
          <w:rFonts w:cstheme="minorHAnsi"/>
        </w:rPr>
        <w:t xml:space="preserve">, but </w:t>
      </w:r>
      <w:r w:rsidR="00D15DFA">
        <w:rPr>
          <w:rFonts w:cstheme="minorHAnsi"/>
        </w:rPr>
        <w:t>also</w:t>
      </w:r>
      <w:r w:rsidR="00D15DFA" w:rsidRPr="00804296">
        <w:rPr>
          <w:rFonts w:cstheme="minorHAnsi"/>
        </w:rPr>
        <w:t xml:space="preserve"> </w:t>
      </w:r>
      <w:r w:rsidRPr="00804296">
        <w:rPr>
          <w:rFonts w:cstheme="minorHAnsi"/>
        </w:rPr>
        <w:t xml:space="preserve">of parents, employers, coordinators, workplace supervisors and other parties involved in the implementation of the </w:t>
      </w:r>
      <w:r w:rsidR="00D15DFA">
        <w:rPr>
          <w:rFonts w:cstheme="minorHAnsi"/>
        </w:rPr>
        <w:t>P</w:t>
      </w:r>
      <w:r w:rsidR="00D15DFA" w:rsidRPr="00804296">
        <w:rPr>
          <w:rFonts w:cstheme="minorHAnsi"/>
        </w:rPr>
        <w:t xml:space="preserve">rogram </w:t>
      </w:r>
      <w:r w:rsidRPr="00804296">
        <w:rPr>
          <w:rFonts w:cstheme="minorHAnsi"/>
        </w:rPr>
        <w:t xml:space="preserve">is paramount. Therefore, in developing these </w:t>
      </w:r>
      <w:r w:rsidR="00D15DFA">
        <w:rPr>
          <w:rFonts w:cstheme="minorHAnsi"/>
        </w:rPr>
        <w:t>Guidelines</w:t>
      </w:r>
      <w:r w:rsidRPr="00804296">
        <w:rPr>
          <w:rFonts w:cstheme="minorHAnsi"/>
        </w:rPr>
        <w:t xml:space="preserve">, the </w:t>
      </w:r>
      <w:r w:rsidR="00C80768">
        <w:rPr>
          <w:rFonts w:cstheme="minorHAnsi"/>
        </w:rPr>
        <w:t>D</w:t>
      </w:r>
      <w:r w:rsidR="00B015F1">
        <w:rPr>
          <w:rFonts w:cstheme="minorHAnsi"/>
        </w:rPr>
        <w:t>epartment</w:t>
      </w:r>
      <w:r w:rsidR="00D15DFA" w:rsidRPr="00804296">
        <w:rPr>
          <w:rFonts w:cstheme="minorHAnsi"/>
        </w:rPr>
        <w:t xml:space="preserve"> </w:t>
      </w:r>
      <w:r w:rsidRPr="00804296">
        <w:rPr>
          <w:rFonts w:cstheme="minorHAnsi"/>
        </w:rPr>
        <w:t>has taken into account:</w:t>
      </w:r>
    </w:p>
    <w:p w:rsidR="00743F25" w:rsidRPr="00E44B16" w:rsidRDefault="00743F25" w:rsidP="00743F25">
      <w:pPr>
        <w:pStyle w:val="dotpoints"/>
        <w:rPr>
          <w:rFonts w:asciiTheme="minorHAnsi" w:hAnsiTheme="minorHAnsi" w:cstheme="minorHAnsi"/>
        </w:rPr>
      </w:pPr>
      <w:r w:rsidRPr="00E44B16">
        <w:rPr>
          <w:rFonts w:asciiTheme="minorHAnsi" w:hAnsiTheme="minorHAnsi" w:cstheme="minorHAnsi"/>
        </w:rPr>
        <w:t>the age of the young people potentially participating in the Program;</w:t>
      </w:r>
    </w:p>
    <w:p w:rsidR="00743F25" w:rsidRPr="00E44B16" w:rsidRDefault="00743F25" w:rsidP="00743F25">
      <w:pPr>
        <w:pStyle w:val="dotpoints"/>
        <w:rPr>
          <w:rFonts w:asciiTheme="minorHAnsi" w:hAnsiTheme="minorHAnsi" w:cstheme="minorHAnsi"/>
        </w:rPr>
      </w:pPr>
      <w:r w:rsidRPr="00E44B16">
        <w:rPr>
          <w:rFonts w:asciiTheme="minorHAnsi" w:hAnsiTheme="minorHAnsi" w:cstheme="minorHAnsi"/>
        </w:rPr>
        <w:t>the nature of the activities being provided; and</w:t>
      </w:r>
    </w:p>
    <w:p w:rsidR="00743F25" w:rsidRPr="00E44B16" w:rsidRDefault="00743F25" w:rsidP="00743F25">
      <w:pPr>
        <w:pStyle w:val="dotpoints"/>
        <w:rPr>
          <w:rFonts w:asciiTheme="minorHAnsi" w:hAnsiTheme="minorHAnsi" w:cstheme="minorHAnsi"/>
        </w:rPr>
      </w:pPr>
      <w:proofErr w:type="gramStart"/>
      <w:r w:rsidRPr="00E44B16">
        <w:rPr>
          <w:rFonts w:asciiTheme="minorHAnsi" w:hAnsiTheme="minorHAnsi" w:cstheme="minorHAnsi"/>
        </w:rPr>
        <w:t>the</w:t>
      </w:r>
      <w:proofErr w:type="gramEnd"/>
      <w:r w:rsidRPr="00E44B16">
        <w:rPr>
          <w:rFonts w:asciiTheme="minorHAnsi" w:hAnsiTheme="minorHAnsi" w:cstheme="minorHAnsi"/>
        </w:rPr>
        <w:t xml:space="preserve"> diverse range of locations of the provision of the Program.</w:t>
      </w:r>
    </w:p>
    <w:p w:rsidR="00743F25" w:rsidRPr="00425309" w:rsidRDefault="00254DB7" w:rsidP="00F10E4F">
      <w:pPr>
        <w:spacing w:after="0"/>
        <w:rPr>
          <w:rFonts w:cstheme="minorHAnsi"/>
        </w:rPr>
      </w:pPr>
      <w:r>
        <w:rPr>
          <w:rFonts w:cstheme="minorHAnsi"/>
        </w:rPr>
        <w:t xml:space="preserve">All </w:t>
      </w:r>
      <w:r w:rsidR="0002779A">
        <w:rPr>
          <w:rFonts w:cstheme="minorHAnsi"/>
        </w:rPr>
        <w:t>Grant R</w:t>
      </w:r>
      <w:r w:rsidR="0002779A" w:rsidRPr="000B4320">
        <w:rPr>
          <w:rFonts w:cstheme="minorHAnsi"/>
        </w:rPr>
        <w:t>ecipients</w:t>
      </w:r>
      <w:r w:rsidR="0002779A" w:rsidRPr="00804296">
        <w:rPr>
          <w:rFonts w:cstheme="minorHAnsi"/>
        </w:rPr>
        <w:t xml:space="preserve"> </w:t>
      </w:r>
      <w:r w:rsidR="00501AEE">
        <w:rPr>
          <w:rFonts w:cstheme="minorHAnsi"/>
        </w:rPr>
        <w:t>are required to</w:t>
      </w:r>
      <w:r w:rsidR="0002779A">
        <w:rPr>
          <w:rFonts w:cstheme="minorHAnsi"/>
        </w:rPr>
        <w:t xml:space="preserve"> ensure </w:t>
      </w:r>
      <w:r w:rsidR="00501AEE">
        <w:rPr>
          <w:rFonts w:cstheme="minorHAnsi"/>
        </w:rPr>
        <w:t>any person</w:t>
      </w:r>
      <w:r w:rsidR="0002779A">
        <w:rPr>
          <w:rFonts w:cstheme="minorHAnsi"/>
        </w:rPr>
        <w:t xml:space="preserve"> in their organisation </w:t>
      </w:r>
      <w:r w:rsidR="00743F25" w:rsidRPr="00804296">
        <w:rPr>
          <w:rFonts w:cstheme="minorHAnsi"/>
        </w:rPr>
        <w:t>who</w:t>
      </w:r>
      <w:r w:rsidR="0002779A">
        <w:rPr>
          <w:rFonts w:cstheme="minorHAnsi"/>
        </w:rPr>
        <w:t xml:space="preserve"> will</w:t>
      </w:r>
      <w:r w:rsidR="00743F25" w:rsidRPr="00804296">
        <w:rPr>
          <w:rFonts w:cstheme="minorHAnsi"/>
        </w:rPr>
        <w:t xml:space="preserve"> come into contact with children under 18 years of age</w:t>
      </w:r>
      <w:r w:rsidR="0002779A">
        <w:rPr>
          <w:rFonts w:cstheme="minorHAnsi"/>
        </w:rPr>
        <w:t xml:space="preserve"> in the course of deliver</w:t>
      </w:r>
      <w:r w:rsidR="00EA0D51">
        <w:rPr>
          <w:rFonts w:cstheme="minorHAnsi"/>
        </w:rPr>
        <w:t>ing</w:t>
      </w:r>
      <w:r w:rsidR="0002779A">
        <w:rPr>
          <w:rFonts w:cstheme="minorHAnsi"/>
        </w:rPr>
        <w:t xml:space="preserve"> services under or in relation to </w:t>
      </w:r>
      <w:r w:rsidR="00501AEE">
        <w:rPr>
          <w:rFonts w:cstheme="minorHAnsi"/>
        </w:rPr>
        <w:t>their Grant Agreement</w:t>
      </w:r>
      <w:r w:rsidR="00EA0D51">
        <w:rPr>
          <w:rFonts w:cstheme="minorHAnsi"/>
        </w:rPr>
        <w:t>,</w:t>
      </w:r>
      <w:r w:rsidR="00743F25" w:rsidRPr="00804296">
        <w:rPr>
          <w:rFonts w:cstheme="minorHAnsi"/>
        </w:rPr>
        <w:t xml:space="preserve"> </w:t>
      </w:r>
      <w:r w:rsidR="00D15DFA">
        <w:rPr>
          <w:rFonts w:cstheme="minorHAnsi"/>
        </w:rPr>
        <w:t xml:space="preserve">must </w:t>
      </w:r>
      <w:r w:rsidR="00743F25" w:rsidRPr="00804296">
        <w:rPr>
          <w:rFonts w:cstheme="minorHAnsi"/>
        </w:rPr>
        <w:t>undergo the followi</w:t>
      </w:r>
      <w:r w:rsidR="00743F25" w:rsidRPr="00425309">
        <w:rPr>
          <w:rFonts w:cstheme="minorHAnsi"/>
        </w:rPr>
        <w:t>ng checks</w:t>
      </w:r>
      <w:r w:rsidR="00EA0D51">
        <w:rPr>
          <w:rFonts w:cstheme="minorHAnsi"/>
        </w:rPr>
        <w:t xml:space="preserve"> prior to having </w:t>
      </w:r>
      <w:r w:rsidR="00D15DFA">
        <w:rPr>
          <w:rFonts w:cstheme="minorHAnsi"/>
        </w:rPr>
        <w:t xml:space="preserve">such </w:t>
      </w:r>
      <w:r w:rsidR="00EA0D51">
        <w:rPr>
          <w:rFonts w:cstheme="minorHAnsi"/>
        </w:rPr>
        <w:t>contact with children</w:t>
      </w:r>
      <w:r w:rsidR="00743F25" w:rsidRPr="00425309">
        <w:rPr>
          <w:rFonts w:cstheme="minorHAnsi"/>
        </w:rPr>
        <w:t>:</w:t>
      </w:r>
    </w:p>
    <w:p w:rsidR="00743F25" w:rsidRPr="00E44B16" w:rsidRDefault="00743F25" w:rsidP="00743F25">
      <w:pPr>
        <w:pStyle w:val="dotpoints"/>
        <w:rPr>
          <w:rFonts w:asciiTheme="minorHAnsi" w:hAnsiTheme="minorHAnsi" w:cstheme="minorHAnsi"/>
        </w:rPr>
      </w:pPr>
      <w:r w:rsidRPr="00E44B16">
        <w:rPr>
          <w:rFonts w:asciiTheme="minorHAnsi" w:hAnsiTheme="minorHAnsi" w:cstheme="minorHAnsi"/>
        </w:rPr>
        <w:t>an Australian Federal Police (</w:t>
      </w:r>
      <w:proofErr w:type="spellStart"/>
      <w:r w:rsidRPr="00E44B16">
        <w:rPr>
          <w:rFonts w:asciiTheme="minorHAnsi" w:hAnsiTheme="minorHAnsi" w:cstheme="minorHAnsi"/>
        </w:rPr>
        <w:t>AFP</w:t>
      </w:r>
      <w:proofErr w:type="spellEnd"/>
      <w:r w:rsidRPr="00E44B16">
        <w:rPr>
          <w:rFonts w:asciiTheme="minorHAnsi" w:hAnsiTheme="minorHAnsi" w:cstheme="minorHAnsi"/>
        </w:rPr>
        <w:t xml:space="preserve">) National Police Check that provides full disclosure of any charges or convictions before undertaking any Program activities; and </w:t>
      </w:r>
    </w:p>
    <w:p w:rsidR="00743F25" w:rsidRPr="00E44B16" w:rsidRDefault="00743F25" w:rsidP="00743F25">
      <w:pPr>
        <w:pStyle w:val="dotpoints"/>
        <w:rPr>
          <w:rFonts w:asciiTheme="minorHAnsi" w:hAnsiTheme="minorHAnsi" w:cstheme="minorHAnsi"/>
        </w:rPr>
      </w:pPr>
      <w:proofErr w:type="gramStart"/>
      <w:r w:rsidRPr="00E44B16">
        <w:rPr>
          <w:rFonts w:asciiTheme="minorHAnsi" w:hAnsiTheme="minorHAnsi" w:cstheme="minorHAnsi"/>
        </w:rPr>
        <w:t>any</w:t>
      </w:r>
      <w:proofErr w:type="gramEnd"/>
      <w:r w:rsidRPr="00E44B16">
        <w:rPr>
          <w:rFonts w:asciiTheme="minorHAnsi" w:hAnsiTheme="minorHAnsi" w:cstheme="minorHAnsi"/>
        </w:rPr>
        <w:t xml:space="preserve"> State/Territory working with children checks required by any applicable State/Territory legislation</w:t>
      </w:r>
      <w:r w:rsidR="00D15DFA">
        <w:rPr>
          <w:rFonts w:asciiTheme="minorHAnsi" w:hAnsiTheme="minorHAnsi" w:cstheme="minorHAnsi"/>
        </w:rPr>
        <w:t>, in accordance with the requirements of the legislation</w:t>
      </w:r>
      <w:r w:rsidRPr="00E44B16">
        <w:rPr>
          <w:rFonts w:asciiTheme="minorHAnsi" w:hAnsiTheme="minorHAnsi" w:cstheme="minorHAnsi"/>
        </w:rPr>
        <w:t>.</w:t>
      </w:r>
    </w:p>
    <w:p w:rsidR="00743F25" w:rsidRPr="00E44B16" w:rsidRDefault="00743F25" w:rsidP="00743F25">
      <w:pPr>
        <w:rPr>
          <w:rFonts w:cstheme="minorHAnsi"/>
          <w:b/>
        </w:rPr>
      </w:pPr>
      <w:r w:rsidRPr="00E44B16">
        <w:rPr>
          <w:rFonts w:cstheme="minorHAnsi"/>
          <w:i/>
        </w:rPr>
        <w:t>Note: The checks undertaken must be specifically in relation to working with children</w:t>
      </w:r>
      <w:r w:rsidRPr="00E44B16">
        <w:rPr>
          <w:rFonts w:cstheme="minorHAnsi"/>
          <w:b/>
        </w:rPr>
        <w:t>.</w:t>
      </w:r>
    </w:p>
    <w:p w:rsidR="00E43448" w:rsidRDefault="00E43448" w:rsidP="00A77B51">
      <w:pPr>
        <w:pStyle w:val="Heading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bookmarkStart w:id="36" w:name="_Toc486923378"/>
      <w:r>
        <w:t>Insurance and Indemnity</w:t>
      </w:r>
      <w:bookmarkEnd w:id="36"/>
    </w:p>
    <w:p w:rsidR="00E43448" w:rsidRPr="008B4D76" w:rsidRDefault="00254DB7" w:rsidP="008B4D76">
      <w:r>
        <w:t xml:space="preserve">Grant </w:t>
      </w:r>
      <w:r w:rsidR="0002779A">
        <w:t>Recipients</w:t>
      </w:r>
      <w:r w:rsidR="0002779A" w:rsidRPr="00030FB6">
        <w:t xml:space="preserve"> </w:t>
      </w:r>
      <w:r w:rsidR="00E43448" w:rsidRPr="00030FB6">
        <w:t>are required to indemnify the Australian Government</w:t>
      </w:r>
      <w:r w:rsidR="00E43448">
        <w:t xml:space="preserve"> </w:t>
      </w:r>
      <w:r w:rsidR="00E43448" w:rsidRPr="00030FB6">
        <w:t xml:space="preserve">and maintain insurance coverage, including public liability, as specified in the </w:t>
      </w:r>
      <w:r w:rsidR="00E43448">
        <w:t xml:space="preserve">Grant </w:t>
      </w:r>
      <w:r w:rsidR="00E43448" w:rsidRPr="00030FB6">
        <w:t>Funding Agreement.</w:t>
      </w:r>
      <w:r w:rsidR="00E43448">
        <w:t xml:space="preserve"> </w:t>
      </w:r>
    </w:p>
    <w:p w:rsidR="00A77B51" w:rsidRPr="00A77B51" w:rsidRDefault="00A77B51" w:rsidP="00421FFA">
      <w:pPr>
        <w:pStyle w:val="Heading2"/>
        <w:keepNext/>
        <w:rPr>
          <w:rFonts w:eastAsia="Calibri"/>
        </w:rPr>
      </w:pPr>
      <w:bookmarkStart w:id="37" w:name="_Toc486923379"/>
      <w:r>
        <w:rPr>
          <w:rFonts w:eastAsia="Calibri"/>
        </w:rPr>
        <w:t xml:space="preserve">Further Information </w:t>
      </w:r>
      <w:r w:rsidR="00036080">
        <w:rPr>
          <w:rFonts w:eastAsia="Calibri"/>
        </w:rPr>
        <w:t>and Contact</w:t>
      </w:r>
      <w:bookmarkEnd w:id="37"/>
      <w:r w:rsidR="00036080">
        <w:rPr>
          <w:rFonts w:eastAsia="Calibri"/>
        </w:rPr>
        <w:t xml:space="preserve"> </w:t>
      </w:r>
    </w:p>
    <w:p w:rsidR="005D7C0B" w:rsidRDefault="00A77B51" w:rsidP="006435B6">
      <w:r>
        <w:t>Any r</w:t>
      </w:r>
      <w:r w:rsidR="00356656">
        <w:t xml:space="preserve">equests for additional information </w:t>
      </w:r>
      <w:r w:rsidR="00DD5D03">
        <w:t>should be directed to</w:t>
      </w:r>
      <w:r w:rsidR="00036080">
        <w:t xml:space="preserve"> </w:t>
      </w:r>
      <w:r w:rsidR="00356656">
        <w:t xml:space="preserve">the </w:t>
      </w:r>
      <w:r w:rsidR="003E1C94">
        <w:t xml:space="preserve">dedicated </w:t>
      </w:r>
      <w:r w:rsidR="00356656">
        <w:t xml:space="preserve">mailbox at </w:t>
      </w:r>
      <w:hyperlink r:id="rId29" w:history="1">
        <w:r w:rsidR="00D57F46" w:rsidRPr="00CD678D">
          <w:rPr>
            <w:rStyle w:val="Hyperlink"/>
          </w:rPr>
          <w:t>DLSG@education.gov.au</w:t>
        </w:r>
      </w:hyperlink>
      <w:r w:rsidR="008026EC">
        <w:t xml:space="preserve"> or call 02</w:t>
      </w:r>
      <w:r w:rsidR="00DD5D03">
        <w:t> </w:t>
      </w:r>
      <w:r w:rsidR="008026EC">
        <w:t>6240</w:t>
      </w:r>
      <w:r w:rsidR="00DD5D03">
        <w:t> </w:t>
      </w:r>
      <w:r w:rsidR="008026EC">
        <w:t xml:space="preserve">7088 and speak to one of the DLSG Team. </w:t>
      </w:r>
    </w:p>
    <w:p w:rsidR="0002779A" w:rsidRPr="002C0AE5" w:rsidRDefault="00EE31EF" w:rsidP="0054603B">
      <w:pPr>
        <w:keepNext/>
        <w:rPr>
          <w:rFonts w:cstheme="minorHAnsi"/>
          <w:b/>
          <w:sz w:val="28"/>
          <w:szCs w:val="28"/>
        </w:rPr>
      </w:pPr>
      <w:r w:rsidRPr="002C0AE5">
        <w:rPr>
          <w:rFonts w:cstheme="minorHAnsi"/>
          <w:b/>
          <w:sz w:val="28"/>
          <w:szCs w:val="28"/>
        </w:rPr>
        <w:t>Dictionary</w:t>
      </w:r>
    </w:p>
    <w:p w:rsidR="00EE31EF" w:rsidRPr="002C0AE5" w:rsidRDefault="00EE31EF" w:rsidP="006435B6">
      <w:r>
        <w:rPr>
          <w:b/>
        </w:rPr>
        <w:t xml:space="preserve">‘Application Form’ </w:t>
      </w:r>
      <w:r>
        <w:t xml:space="preserve">means the Program application form, which will be made available on the </w:t>
      </w:r>
      <w:r w:rsidR="00C80768">
        <w:t>D</w:t>
      </w:r>
      <w:r w:rsidR="00B015F1">
        <w:t>epartment</w:t>
      </w:r>
      <w:r>
        <w:t>’s website.</w:t>
      </w:r>
    </w:p>
    <w:p w:rsidR="00EE31EF" w:rsidRPr="002C0AE5" w:rsidRDefault="00EE31EF" w:rsidP="006435B6">
      <w:r>
        <w:rPr>
          <w:b/>
        </w:rPr>
        <w:t>‘</w:t>
      </w:r>
      <w:r w:rsidR="00B015F1">
        <w:rPr>
          <w:b/>
        </w:rPr>
        <w:t>Department</w:t>
      </w:r>
      <w:r>
        <w:rPr>
          <w:b/>
        </w:rPr>
        <w:t xml:space="preserve">’ </w:t>
      </w:r>
      <w:r>
        <w:t>means the Department of Education and Training.</w:t>
      </w:r>
    </w:p>
    <w:p w:rsidR="00EE31EF" w:rsidRDefault="00EE31EF" w:rsidP="006435B6">
      <w:r w:rsidRPr="002C0AE5">
        <w:rPr>
          <w:b/>
        </w:rPr>
        <w:t>‘Grant Applicant’</w:t>
      </w:r>
      <w:r w:rsidRPr="00EE31EF">
        <w:t xml:space="preserve"> means any person who submits a Grant Application.</w:t>
      </w:r>
    </w:p>
    <w:p w:rsidR="00EE31EF" w:rsidRDefault="00EE31EF" w:rsidP="006435B6">
      <w:r w:rsidRPr="002C0AE5">
        <w:rPr>
          <w:b/>
        </w:rPr>
        <w:t>‘Grant Application’</w:t>
      </w:r>
      <w:r w:rsidRPr="00EE31EF">
        <w:t xml:space="preserve"> means a</w:t>
      </w:r>
      <w:r w:rsidR="001D403A">
        <w:t>n</w:t>
      </w:r>
      <w:r w:rsidRPr="00EE31EF">
        <w:t xml:space="preserve"> application for funding submitted under the Program, and includes their project proposal.</w:t>
      </w:r>
    </w:p>
    <w:p w:rsidR="00EE31EF" w:rsidRDefault="00EE31EF" w:rsidP="006435B6">
      <w:r w:rsidRPr="002C0AE5">
        <w:rPr>
          <w:b/>
        </w:rPr>
        <w:lastRenderedPageBreak/>
        <w:t>‘Grant Funding Agreement’</w:t>
      </w:r>
      <w:r w:rsidRPr="00EE31EF">
        <w:t xml:space="preserve"> means the funding agreement between the </w:t>
      </w:r>
      <w:r w:rsidR="00C80768">
        <w:t>D</w:t>
      </w:r>
      <w:r w:rsidR="00B015F1">
        <w:t>epartment</w:t>
      </w:r>
      <w:r w:rsidRPr="00EE31EF">
        <w:t xml:space="preserve"> and a Grant Recipient in relation to their funding under the Program.</w:t>
      </w:r>
    </w:p>
    <w:p w:rsidR="00EE31EF" w:rsidRPr="002C0AE5" w:rsidRDefault="00EE31EF" w:rsidP="006435B6">
      <w:r>
        <w:rPr>
          <w:b/>
        </w:rPr>
        <w:t xml:space="preserve">‘Grant Guidelines’ </w:t>
      </w:r>
      <w:r>
        <w:t xml:space="preserve">means these </w:t>
      </w:r>
      <w:r w:rsidRPr="00EE31EF">
        <w:t>Digital Literacy School Grants - enhancing digital literacy through a whole of school approach Program</w:t>
      </w:r>
      <w:r>
        <w:t xml:space="preserve"> grant guidelines.</w:t>
      </w:r>
    </w:p>
    <w:p w:rsidR="0002779A" w:rsidRDefault="00EE31EF" w:rsidP="006435B6">
      <w:r w:rsidRPr="002C0AE5">
        <w:rPr>
          <w:b/>
        </w:rPr>
        <w:t>‘</w:t>
      </w:r>
      <w:r w:rsidR="0002779A" w:rsidRPr="002C0AE5">
        <w:rPr>
          <w:b/>
        </w:rPr>
        <w:t>Grant Recipient</w:t>
      </w:r>
      <w:r w:rsidRPr="002C0AE5">
        <w:rPr>
          <w:b/>
        </w:rPr>
        <w:t>’</w:t>
      </w:r>
      <w:r w:rsidR="0002779A">
        <w:t xml:space="preserve"> means a recipient of funding for a category </w:t>
      </w:r>
      <w:proofErr w:type="gramStart"/>
      <w:r w:rsidR="0002779A">
        <w:t>A</w:t>
      </w:r>
      <w:proofErr w:type="gramEnd"/>
      <w:r w:rsidR="0002779A">
        <w:t>, category B or Category C Grant under the Program.</w:t>
      </w:r>
    </w:p>
    <w:p w:rsidR="005A057D" w:rsidRPr="006435B6" w:rsidRDefault="00EE31EF" w:rsidP="006435B6">
      <w:r w:rsidRPr="002C0AE5">
        <w:rPr>
          <w:b/>
        </w:rPr>
        <w:t>‘Program’</w:t>
      </w:r>
      <w:r>
        <w:t xml:space="preserve"> means the </w:t>
      </w:r>
      <w:r w:rsidRPr="00EE31EF">
        <w:t>Digital Literacy School Grants - enhancing digital literacy through a whole of school approach Program</w:t>
      </w:r>
      <w:r>
        <w:t>.</w:t>
      </w:r>
    </w:p>
    <w:sectPr w:rsidR="005A057D" w:rsidRPr="006435B6" w:rsidSect="00591D9D">
      <w:headerReference w:type="default" r:id="rId30"/>
      <w:footerReference w:type="default" r:id="rId31"/>
      <w:type w:val="continuous"/>
      <w:pgSz w:w="11906" w:h="16838"/>
      <w:pgMar w:top="2127" w:right="1440" w:bottom="851" w:left="144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9D" w:rsidRDefault="00591D9D" w:rsidP="00130923">
      <w:pPr>
        <w:spacing w:after="0" w:line="240" w:lineRule="auto"/>
      </w:pPr>
      <w:r>
        <w:separator/>
      </w:r>
    </w:p>
  </w:endnote>
  <w:endnote w:type="continuationSeparator" w:id="0">
    <w:p w:rsidR="00591D9D" w:rsidRDefault="00591D9D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9D" w:rsidRDefault="00591D9D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9D" w:rsidRDefault="00FE281E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1D9D">
          <w:fldChar w:fldCharType="begin"/>
        </w:r>
        <w:r w:rsidR="00591D9D">
          <w:instrText xml:space="preserve"> PAGE   \* MERGEFORMAT </w:instrText>
        </w:r>
        <w:r w:rsidR="00591D9D">
          <w:fldChar w:fldCharType="separate"/>
        </w:r>
        <w:r>
          <w:rPr>
            <w:noProof/>
          </w:rPr>
          <w:t>3</w:t>
        </w:r>
        <w:r w:rsidR="00591D9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9D" w:rsidRDefault="00591D9D" w:rsidP="00130923">
      <w:pPr>
        <w:spacing w:after="0" w:line="240" w:lineRule="auto"/>
      </w:pPr>
      <w:r>
        <w:separator/>
      </w:r>
    </w:p>
  </w:footnote>
  <w:footnote w:type="continuationSeparator" w:id="0">
    <w:p w:rsidR="00591D9D" w:rsidRDefault="00591D9D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9D" w:rsidRDefault="00591D9D" w:rsidP="00560CA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9D" w:rsidRPr="006C1E77" w:rsidRDefault="00591D9D" w:rsidP="006C1E77">
    <w:pPr>
      <w:pStyle w:val="Header"/>
      <w:jc w:val="right"/>
    </w:pPr>
    <w:r>
      <w:t>Digital Literacy School Grants - Grant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60F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0EF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7A27D1D"/>
    <w:multiLevelType w:val="hybridMultilevel"/>
    <w:tmpl w:val="C1AC5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8B5BF3"/>
    <w:multiLevelType w:val="hybridMultilevel"/>
    <w:tmpl w:val="43D4988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5524B"/>
    <w:multiLevelType w:val="hybridMultilevel"/>
    <w:tmpl w:val="78A6DF8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F6665F"/>
    <w:multiLevelType w:val="hybridMultilevel"/>
    <w:tmpl w:val="10F04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4D1851"/>
    <w:multiLevelType w:val="hybridMultilevel"/>
    <w:tmpl w:val="3F4CC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>
    <w:nsid w:val="23C15B94"/>
    <w:multiLevelType w:val="hybridMultilevel"/>
    <w:tmpl w:val="E9062716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>
    <w:nsid w:val="2A733972"/>
    <w:multiLevelType w:val="hybridMultilevel"/>
    <w:tmpl w:val="08BED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B706C"/>
    <w:multiLevelType w:val="hybridMultilevel"/>
    <w:tmpl w:val="58681C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C23A4"/>
    <w:multiLevelType w:val="hybridMultilevel"/>
    <w:tmpl w:val="F58C8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603F1B"/>
    <w:multiLevelType w:val="hybridMultilevel"/>
    <w:tmpl w:val="662C2484"/>
    <w:lvl w:ilvl="0" w:tplc="45703046">
      <w:numFmt w:val="bullet"/>
      <w:lvlText w:val="•"/>
      <w:lvlJc w:val="left"/>
      <w:pPr>
        <w:ind w:left="2625" w:hanging="226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D2421D"/>
    <w:multiLevelType w:val="hybridMultilevel"/>
    <w:tmpl w:val="0AA26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90BB7"/>
    <w:multiLevelType w:val="hybridMultilevel"/>
    <w:tmpl w:val="3F10B53E"/>
    <w:lvl w:ilvl="0" w:tplc="6C7E8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164480"/>
    <w:multiLevelType w:val="hybridMultilevel"/>
    <w:tmpl w:val="83E0B048"/>
    <w:lvl w:ilvl="0" w:tplc="4F803A96">
      <w:start w:val="1"/>
      <w:numFmt w:val="bullet"/>
      <w:pStyle w:val="Chriss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6452B"/>
    <w:multiLevelType w:val="hybridMultilevel"/>
    <w:tmpl w:val="A4922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915FA3"/>
    <w:multiLevelType w:val="hybridMultilevel"/>
    <w:tmpl w:val="5520026A"/>
    <w:lvl w:ilvl="0" w:tplc="A2F87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>
    <w:nsid w:val="5B8D09D3"/>
    <w:multiLevelType w:val="hybridMultilevel"/>
    <w:tmpl w:val="1FEC2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052"/>
    <w:multiLevelType w:val="hybridMultilevel"/>
    <w:tmpl w:val="DE6EA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208F7"/>
    <w:multiLevelType w:val="hybridMultilevel"/>
    <w:tmpl w:val="537049F8"/>
    <w:lvl w:ilvl="0" w:tplc="45703046">
      <w:numFmt w:val="bullet"/>
      <w:lvlText w:val="•"/>
      <w:lvlJc w:val="left"/>
      <w:pPr>
        <w:ind w:left="2625" w:hanging="226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40631E"/>
    <w:multiLevelType w:val="hybridMultilevel"/>
    <w:tmpl w:val="79F04F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>
    <w:nsid w:val="7F401E7F"/>
    <w:multiLevelType w:val="hybridMultilevel"/>
    <w:tmpl w:val="A080D44C"/>
    <w:lvl w:ilvl="0" w:tplc="F8CA1538">
      <w:numFmt w:val="bullet"/>
      <w:pStyle w:val="dotpoints"/>
      <w:lvlText w:val="•"/>
      <w:lvlJc w:val="left"/>
      <w:pPr>
        <w:ind w:left="1080" w:hanging="720"/>
      </w:pPr>
      <w:rPr>
        <w:rFonts w:ascii="Tahoma" w:eastAsiaTheme="minorEastAsia" w:hAnsi="Tahoma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3"/>
  </w:num>
  <w:num w:numId="15">
    <w:abstractNumId w:val="14"/>
  </w:num>
  <w:num w:numId="16">
    <w:abstractNumId w:val="2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0"/>
  </w:num>
  <w:num w:numId="22">
    <w:abstractNumId w:val="11"/>
  </w:num>
  <w:num w:numId="23">
    <w:abstractNumId w:val="12"/>
  </w:num>
  <w:num w:numId="24">
    <w:abstractNumId w:val="13"/>
  </w:num>
  <w:num w:numId="25">
    <w:abstractNumId w:val="31"/>
  </w:num>
  <w:num w:numId="26">
    <w:abstractNumId w:val="32"/>
  </w:num>
  <w:num w:numId="27">
    <w:abstractNumId w:val="22"/>
  </w:num>
  <w:num w:numId="28">
    <w:abstractNumId w:val="18"/>
  </w:num>
  <w:num w:numId="29">
    <w:abstractNumId w:val="30"/>
  </w:num>
  <w:num w:numId="30">
    <w:abstractNumId w:val="28"/>
  </w:num>
  <w:num w:numId="31">
    <w:abstractNumId w:val="16"/>
  </w:num>
  <w:num w:numId="32">
    <w:abstractNumId w:val="23"/>
  </w:num>
  <w:num w:numId="33">
    <w:abstractNumId w:val="9"/>
  </w:num>
  <w:num w:numId="34">
    <w:abstractNumId w:val="24"/>
  </w:num>
  <w:num w:numId="35">
    <w:abstractNumId w:val="35"/>
  </w:num>
  <w:num w:numId="36">
    <w:abstractNumId w:val="25"/>
  </w:num>
  <w:num w:numId="37">
    <w:abstractNumId w:val="19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7E0C"/>
    <w:rsid w:val="00013173"/>
    <w:rsid w:val="00016AC4"/>
    <w:rsid w:val="00021718"/>
    <w:rsid w:val="0002336B"/>
    <w:rsid w:val="00024E24"/>
    <w:rsid w:val="00025C66"/>
    <w:rsid w:val="0002779A"/>
    <w:rsid w:val="0003198A"/>
    <w:rsid w:val="000342C9"/>
    <w:rsid w:val="00034EAA"/>
    <w:rsid w:val="00035D82"/>
    <w:rsid w:val="00036080"/>
    <w:rsid w:val="0003672B"/>
    <w:rsid w:val="0003716E"/>
    <w:rsid w:val="00044876"/>
    <w:rsid w:val="0004694C"/>
    <w:rsid w:val="00055BDD"/>
    <w:rsid w:val="0005679D"/>
    <w:rsid w:val="00063036"/>
    <w:rsid w:val="00077B02"/>
    <w:rsid w:val="000861A6"/>
    <w:rsid w:val="0008633C"/>
    <w:rsid w:val="000922B5"/>
    <w:rsid w:val="00095ED6"/>
    <w:rsid w:val="000A0277"/>
    <w:rsid w:val="000A5229"/>
    <w:rsid w:val="000B4320"/>
    <w:rsid w:val="000D1143"/>
    <w:rsid w:val="000D43B9"/>
    <w:rsid w:val="000D6B74"/>
    <w:rsid w:val="000D7FD3"/>
    <w:rsid w:val="000E01C8"/>
    <w:rsid w:val="000E0F8D"/>
    <w:rsid w:val="000E7E7B"/>
    <w:rsid w:val="000F16A5"/>
    <w:rsid w:val="000F3BA2"/>
    <w:rsid w:val="001050F5"/>
    <w:rsid w:val="0010688D"/>
    <w:rsid w:val="001175BF"/>
    <w:rsid w:val="001304C8"/>
    <w:rsid w:val="00130923"/>
    <w:rsid w:val="001414F3"/>
    <w:rsid w:val="00143FCD"/>
    <w:rsid w:val="00144121"/>
    <w:rsid w:val="00152087"/>
    <w:rsid w:val="00156DBC"/>
    <w:rsid w:val="0015779D"/>
    <w:rsid w:val="00166520"/>
    <w:rsid w:val="001750AE"/>
    <w:rsid w:val="001954D1"/>
    <w:rsid w:val="00196714"/>
    <w:rsid w:val="001A2A49"/>
    <w:rsid w:val="001B6467"/>
    <w:rsid w:val="001C5DCD"/>
    <w:rsid w:val="001D12EF"/>
    <w:rsid w:val="001D27B5"/>
    <w:rsid w:val="001D403A"/>
    <w:rsid w:val="001E4A6E"/>
    <w:rsid w:val="001E5E27"/>
    <w:rsid w:val="001F0444"/>
    <w:rsid w:val="001F3673"/>
    <w:rsid w:val="00203156"/>
    <w:rsid w:val="00203F5E"/>
    <w:rsid w:val="00210E3B"/>
    <w:rsid w:val="00217673"/>
    <w:rsid w:val="00223EB1"/>
    <w:rsid w:val="00225C6E"/>
    <w:rsid w:val="00236917"/>
    <w:rsid w:val="00237950"/>
    <w:rsid w:val="00243D6B"/>
    <w:rsid w:val="002458E3"/>
    <w:rsid w:val="00254DB7"/>
    <w:rsid w:val="00267162"/>
    <w:rsid w:val="00290D84"/>
    <w:rsid w:val="00290FE7"/>
    <w:rsid w:val="002A1027"/>
    <w:rsid w:val="002B06E6"/>
    <w:rsid w:val="002C0AE5"/>
    <w:rsid w:val="002C2117"/>
    <w:rsid w:val="002C24DC"/>
    <w:rsid w:val="002C3AA1"/>
    <w:rsid w:val="002C4062"/>
    <w:rsid w:val="002D271F"/>
    <w:rsid w:val="002D38A9"/>
    <w:rsid w:val="002D4E16"/>
    <w:rsid w:val="002D6386"/>
    <w:rsid w:val="002E44F8"/>
    <w:rsid w:val="002E59D8"/>
    <w:rsid w:val="002F175B"/>
    <w:rsid w:val="002F1999"/>
    <w:rsid w:val="003009B1"/>
    <w:rsid w:val="003017AF"/>
    <w:rsid w:val="00305B35"/>
    <w:rsid w:val="0030662C"/>
    <w:rsid w:val="003155A7"/>
    <w:rsid w:val="003166C5"/>
    <w:rsid w:val="003242B9"/>
    <w:rsid w:val="00337229"/>
    <w:rsid w:val="0033770B"/>
    <w:rsid w:val="00340A41"/>
    <w:rsid w:val="00340ECF"/>
    <w:rsid w:val="00345C4D"/>
    <w:rsid w:val="00350DB9"/>
    <w:rsid w:val="00351091"/>
    <w:rsid w:val="00353CC6"/>
    <w:rsid w:val="00356656"/>
    <w:rsid w:val="00362781"/>
    <w:rsid w:val="00364905"/>
    <w:rsid w:val="00364FCD"/>
    <w:rsid w:val="00366B72"/>
    <w:rsid w:val="00374139"/>
    <w:rsid w:val="00380AF3"/>
    <w:rsid w:val="00382E44"/>
    <w:rsid w:val="00395C3B"/>
    <w:rsid w:val="003979FC"/>
    <w:rsid w:val="003B6C66"/>
    <w:rsid w:val="003C42E2"/>
    <w:rsid w:val="003C77D0"/>
    <w:rsid w:val="003D67FC"/>
    <w:rsid w:val="003E1C94"/>
    <w:rsid w:val="003E3850"/>
    <w:rsid w:val="003F0C58"/>
    <w:rsid w:val="00403095"/>
    <w:rsid w:val="00406E5A"/>
    <w:rsid w:val="00416B46"/>
    <w:rsid w:val="004204FA"/>
    <w:rsid w:val="00421FFA"/>
    <w:rsid w:val="00425309"/>
    <w:rsid w:val="00444C9E"/>
    <w:rsid w:val="00455B34"/>
    <w:rsid w:val="0046111D"/>
    <w:rsid w:val="00462F85"/>
    <w:rsid w:val="00474F32"/>
    <w:rsid w:val="00476E84"/>
    <w:rsid w:val="004806DA"/>
    <w:rsid w:val="00481F02"/>
    <w:rsid w:val="004856C5"/>
    <w:rsid w:val="0048762C"/>
    <w:rsid w:val="00490F3C"/>
    <w:rsid w:val="00494C8A"/>
    <w:rsid w:val="00495438"/>
    <w:rsid w:val="004B1723"/>
    <w:rsid w:val="004B256F"/>
    <w:rsid w:val="004B683E"/>
    <w:rsid w:val="004C1490"/>
    <w:rsid w:val="004C2229"/>
    <w:rsid w:val="004D02FD"/>
    <w:rsid w:val="00501AEE"/>
    <w:rsid w:val="00502613"/>
    <w:rsid w:val="005113B6"/>
    <w:rsid w:val="00521F0E"/>
    <w:rsid w:val="00527F8E"/>
    <w:rsid w:val="00531817"/>
    <w:rsid w:val="00535F82"/>
    <w:rsid w:val="00543E9D"/>
    <w:rsid w:val="0054603B"/>
    <w:rsid w:val="005558FD"/>
    <w:rsid w:val="00560CA0"/>
    <w:rsid w:val="005624F3"/>
    <w:rsid w:val="00564854"/>
    <w:rsid w:val="005811EF"/>
    <w:rsid w:val="0058407A"/>
    <w:rsid w:val="00591D9D"/>
    <w:rsid w:val="005A057D"/>
    <w:rsid w:val="005A5C41"/>
    <w:rsid w:val="005B0878"/>
    <w:rsid w:val="005B328F"/>
    <w:rsid w:val="005B3CDC"/>
    <w:rsid w:val="005C1317"/>
    <w:rsid w:val="005C15C0"/>
    <w:rsid w:val="005C44BD"/>
    <w:rsid w:val="005D0BA7"/>
    <w:rsid w:val="005D5A4E"/>
    <w:rsid w:val="005D7C0B"/>
    <w:rsid w:val="005F1A53"/>
    <w:rsid w:val="0061003D"/>
    <w:rsid w:val="00610654"/>
    <w:rsid w:val="0062150E"/>
    <w:rsid w:val="006268D5"/>
    <w:rsid w:val="0062737E"/>
    <w:rsid w:val="006318B9"/>
    <w:rsid w:val="00631EF4"/>
    <w:rsid w:val="00635920"/>
    <w:rsid w:val="006435B6"/>
    <w:rsid w:val="00647427"/>
    <w:rsid w:val="006505D1"/>
    <w:rsid w:val="0066387D"/>
    <w:rsid w:val="00663F4D"/>
    <w:rsid w:val="0066575C"/>
    <w:rsid w:val="0067026C"/>
    <w:rsid w:val="0068490D"/>
    <w:rsid w:val="00695D7C"/>
    <w:rsid w:val="006A46FE"/>
    <w:rsid w:val="006B4A77"/>
    <w:rsid w:val="006B740F"/>
    <w:rsid w:val="006B76C4"/>
    <w:rsid w:val="006C1E77"/>
    <w:rsid w:val="006C3D03"/>
    <w:rsid w:val="006E05FE"/>
    <w:rsid w:val="006E2295"/>
    <w:rsid w:val="006E2D49"/>
    <w:rsid w:val="006E3B80"/>
    <w:rsid w:val="006F25DF"/>
    <w:rsid w:val="006F51AC"/>
    <w:rsid w:val="007131FE"/>
    <w:rsid w:val="007327DB"/>
    <w:rsid w:val="00732E82"/>
    <w:rsid w:val="00743F25"/>
    <w:rsid w:val="007468FC"/>
    <w:rsid w:val="00754E75"/>
    <w:rsid w:val="00764ACD"/>
    <w:rsid w:val="00776B4B"/>
    <w:rsid w:val="00781239"/>
    <w:rsid w:val="00783167"/>
    <w:rsid w:val="00792CA3"/>
    <w:rsid w:val="00795435"/>
    <w:rsid w:val="007A53B5"/>
    <w:rsid w:val="007A550F"/>
    <w:rsid w:val="007B22BE"/>
    <w:rsid w:val="007B2FDD"/>
    <w:rsid w:val="007B39E7"/>
    <w:rsid w:val="007D58FB"/>
    <w:rsid w:val="007D70FD"/>
    <w:rsid w:val="007E03A9"/>
    <w:rsid w:val="007E0BAE"/>
    <w:rsid w:val="007F5033"/>
    <w:rsid w:val="008026EC"/>
    <w:rsid w:val="00804296"/>
    <w:rsid w:val="0082446C"/>
    <w:rsid w:val="0082623E"/>
    <w:rsid w:val="008300DA"/>
    <w:rsid w:val="00830D5E"/>
    <w:rsid w:val="0083468A"/>
    <w:rsid w:val="00842D43"/>
    <w:rsid w:val="00844652"/>
    <w:rsid w:val="00850E5C"/>
    <w:rsid w:val="00851891"/>
    <w:rsid w:val="00856D1C"/>
    <w:rsid w:val="00865270"/>
    <w:rsid w:val="0086685C"/>
    <w:rsid w:val="008713D0"/>
    <w:rsid w:val="00876AC0"/>
    <w:rsid w:val="00890C0B"/>
    <w:rsid w:val="008B4D76"/>
    <w:rsid w:val="008B78B0"/>
    <w:rsid w:val="008C196A"/>
    <w:rsid w:val="008C2AFA"/>
    <w:rsid w:val="008C59FF"/>
    <w:rsid w:val="008D1230"/>
    <w:rsid w:val="008E5993"/>
    <w:rsid w:val="008F4B35"/>
    <w:rsid w:val="009025BF"/>
    <w:rsid w:val="00903408"/>
    <w:rsid w:val="009116EA"/>
    <w:rsid w:val="009264F0"/>
    <w:rsid w:val="0093358E"/>
    <w:rsid w:val="00933671"/>
    <w:rsid w:val="00947D74"/>
    <w:rsid w:val="009542FF"/>
    <w:rsid w:val="00955633"/>
    <w:rsid w:val="00961E6B"/>
    <w:rsid w:val="00972BF7"/>
    <w:rsid w:val="00972DD5"/>
    <w:rsid w:val="00976CFF"/>
    <w:rsid w:val="00981EDB"/>
    <w:rsid w:val="009837E9"/>
    <w:rsid w:val="00984879"/>
    <w:rsid w:val="00985632"/>
    <w:rsid w:val="00990018"/>
    <w:rsid w:val="00991B63"/>
    <w:rsid w:val="00995347"/>
    <w:rsid w:val="009A16CD"/>
    <w:rsid w:val="009B2428"/>
    <w:rsid w:val="009B5CB7"/>
    <w:rsid w:val="009C032E"/>
    <w:rsid w:val="009C0914"/>
    <w:rsid w:val="009C73C5"/>
    <w:rsid w:val="009C7DF4"/>
    <w:rsid w:val="009D55FF"/>
    <w:rsid w:val="009F4E28"/>
    <w:rsid w:val="009F575B"/>
    <w:rsid w:val="00A0052A"/>
    <w:rsid w:val="00A2098A"/>
    <w:rsid w:val="00A31242"/>
    <w:rsid w:val="00A34F9A"/>
    <w:rsid w:val="00A475CB"/>
    <w:rsid w:val="00A52530"/>
    <w:rsid w:val="00A551BF"/>
    <w:rsid w:val="00A579E7"/>
    <w:rsid w:val="00A70524"/>
    <w:rsid w:val="00A7166B"/>
    <w:rsid w:val="00A73406"/>
    <w:rsid w:val="00A77B51"/>
    <w:rsid w:val="00A77BA2"/>
    <w:rsid w:val="00A91F6E"/>
    <w:rsid w:val="00A9783B"/>
    <w:rsid w:val="00AA6A16"/>
    <w:rsid w:val="00AB1730"/>
    <w:rsid w:val="00AB6FC4"/>
    <w:rsid w:val="00AC0BD1"/>
    <w:rsid w:val="00AC65DA"/>
    <w:rsid w:val="00AD09E4"/>
    <w:rsid w:val="00AE07FB"/>
    <w:rsid w:val="00AE627C"/>
    <w:rsid w:val="00AF1737"/>
    <w:rsid w:val="00AF4DDF"/>
    <w:rsid w:val="00AF7112"/>
    <w:rsid w:val="00B015F1"/>
    <w:rsid w:val="00B06CBA"/>
    <w:rsid w:val="00B13FFA"/>
    <w:rsid w:val="00B204D5"/>
    <w:rsid w:val="00B2722A"/>
    <w:rsid w:val="00B309CE"/>
    <w:rsid w:val="00B35EDF"/>
    <w:rsid w:val="00B41089"/>
    <w:rsid w:val="00B53FDE"/>
    <w:rsid w:val="00B569E8"/>
    <w:rsid w:val="00B618BA"/>
    <w:rsid w:val="00B64452"/>
    <w:rsid w:val="00B66F46"/>
    <w:rsid w:val="00B803CA"/>
    <w:rsid w:val="00B92DC1"/>
    <w:rsid w:val="00B937FE"/>
    <w:rsid w:val="00B94CE8"/>
    <w:rsid w:val="00BA02B7"/>
    <w:rsid w:val="00BA282D"/>
    <w:rsid w:val="00BA4D57"/>
    <w:rsid w:val="00BA6C5A"/>
    <w:rsid w:val="00BB288F"/>
    <w:rsid w:val="00BB6260"/>
    <w:rsid w:val="00BC5335"/>
    <w:rsid w:val="00BC69E3"/>
    <w:rsid w:val="00BD05CA"/>
    <w:rsid w:val="00BD3284"/>
    <w:rsid w:val="00BE5AAC"/>
    <w:rsid w:val="00BF5EF3"/>
    <w:rsid w:val="00BF6C29"/>
    <w:rsid w:val="00C022A2"/>
    <w:rsid w:val="00C050B2"/>
    <w:rsid w:val="00C05E74"/>
    <w:rsid w:val="00C10C19"/>
    <w:rsid w:val="00C125D2"/>
    <w:rsid w:val="00C143B8"/>
    <w:rsid w:val="00C17D02"/>
    <w:rsid w:val="00C26279"/>
    <w:rsid w:val="00C3363E"/>
    <w:rsid w:val="00C4018F"/>
    <w:rsid w:val="00C40E59"/>
    <w:rsid w:val="00C5507D"/>
    <w:rsid w:val="00C5649C"/>
    <w:rsid w:val="00C610AE"/>
    <w:rsid w:val="00C618D2"/>
    <w:rsid w:val="00C67411"/>
    <w:rsid w:val="00C729FA"/>
    <w:rsid w:val="00C75486"/>
    <w:rsid w:val="00C80768"/>
    <w:rsid w:val="00C8202C"/>
    <w:rsid w:val="00C82F04"/>
    <w:rsid w:val="00C90336"/>
    <w:rsid w:val="00C92A5B"/>
    <w:rsid w:val="00C94EC0"/>
    <w:rsid w:val="00CA1A33"/>
    <w:rsid w:val="00CA46EC"/>
    <w:rsid w:val="00CC0FCC"/>
    <w:rsid w:val="00CC1BB0"/>
    <w:rsid w:val="00CC333E"/>
    <w:rsid w:val="00CD00A8"/>
    <w:rsid w:val="00CD300B"/>
    <w:rsid w:val="00CD5F6D"/>
    <w:rsid w:val="00CE3428"/>
    <w:rsid w:val="00D05B29"/>
    <w:rsid w:val="00D10C4E"/>
    <w:rsid w:val="00D1394D"/>
    <w:rsid w:val="00D15DFA"/>
    <w:rsid w:val="00D22661"/>
    <w:rsid w:val="00D274CE"/>
    <w:rsid w:val="00D402B5"/>
    <w:rsid w:val="00D41A38"/>
    <w:rsid w:val="00D4626D"/>
    <w:rsid w:val="00D47740"/>
    <w:rsid w:val="00D47D44"/>
    <w:rsid w:val="00D56866"/>
    <w:rsid w:val="00D57F46"/>
    <w:rsid w:val="00D7277B"/>
    <w:rsid w:val="00D72D76"/>
    <w:rsid w:val="00D731BF"/>
    <w:rsid w:val="00D75270"/>
    <w:rsid w:val="00D806F7"/>
    <w:rsid w:val="00D812B9"/>
    <w:rsid w:val="00D81BEB"/>
    <w:rsid w:val="00D903FD"/>
    <w:rsid w:val="00D94BC5"/>
    <w:rsid w:val="00D96C08"/>
    <w:rsid w:val="00DC14D4"/>
    <w:rsid w:val="00DC3052"/>
    <w:rsid w:val="00DD5D03"/>
    <w:rsid w:val="00DE298D"/>
    <w:rsid w:val="00DF46C4"/>
    <w:rsid w:val="00DF4CA3"/>
    <w:rsid w:val="00E03B6D"/>
    <w:rsid w:val="00E2694E"/>
    <w:rsid w:val="00E340AC"/>
    <w:rsid w:val="00E36F72"/>
    <w:rsid w:val="00E3758F"/>
    <w:rsid w:val="00E43448"/>
    <w:rsid w:val="00E44B16"/>
    <w:rsid w:val="00E634B4"/>
    <w:rsid w:val="00E678F6"/>
    <w:rsid w:val="00E70E38"/>
    <w:rsid w:val="00E76762"/>
    <w:rsid w:val="00E80A69"/>
    <w:rsid w:val="00E860BD"/>
    <w:rsid w:val="00E87D3D"/>
    <w:rsid w:val="00E92D4B"/>
    <w:rsid w:val="00E94649"/>
    <w:rsid w:val="00EA0D51"/>
    <w:rsid w:val="00EB6621"/>
    <w:rsid w:val="00EC78E7"/>
    <w:rsid w:val="00ED43D2"/>
    <w:rsid w:val="00ED7024"/>
    <w:rsid w:val="00EE31EF"/>
    <w:rsid w:val="00EE3B8C"/>
    <w:rsid w:val="00EE72CB"/>
    <w:rsid w:val="00EF4A38"/>
    <w:rsid w:val="00EF5845"/>
    <w:rsid w:val="00EF66F7"/>
    <w:rsid w:val="00F01F76"/>
    <w:rsid w:val="00F04D2B"/>
    <w:rsid w:val="00F10E4F"/>
    <w:rsid w:val="00F11B8F"/>
    <w:rsid w:val="00F15BCA"/>
    <w:rsid w:val="00F17803"/>
    <w:rsid w:val="00F308E8"/>
    <w:rsid w:val="00F42758"/>
    <w:rsid w:val="00F47193"/>
    <w:rsid w:val="00F61047"/>
    <w:rsid w:val="00F74011"/>
    <w:rsid w:val="00F80CFC"/>
    <w:rsid w:val="00F83AFB"/>
    <w:rsid w:val="00F92D14"/>
    <w:rsid w:val="00F97C40"/>
    <w:rsid w:val="00FB10CB"/>
    <w:rsid w:val="00FC4D1A"/>
    <w:rsid w:val="00FD49B6"/>
    <w:rsid w:val="00FE281E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B0"/>
  </w:style>
  <w:style w:type="paragraph" w:styleId="Heading1">
    <w:name w:val="heading 1"/>
    <w:basedOn w:val="Normal"/>
    <w:next w:val="Normal"/>
    <w:link w:val="Heading1Char"/>
    <w:uiPriority w:val="9"/>
    <w:qFormat/>
    <w:rsid w:val="004B1723"/>
    <w:pPr>
      <w:spacing w:before="240" w:after="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BB0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B1723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1BB0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C1E77"/>
  </w:style>
  <w:style w:type="character" w:styleId="FollowedHyperlink">
    <w:name w:val="FollowedHyperlink"/>
    <w:basedOn w:val="DefaultParagraphFont"/>
    <w:uiPriority w:val="99"/>
    <w:semiHidden/>
    <w:unhideWhenUsed/>
    <w:rsid w:val="00E94649"/>
    <w:rPr>
      <w:color w:val="000000" w:themeColor="followedHyperlink"/>
      <w:u w:val="single"/>
    </w:rPr>
  </w:style>
  <w:style w:type="paragraph" w:customStyle="1" w:styleId="heading4withoutnumbers">
    <w:name w:val="heading 4 without numbers"/>
    <w:basedOn w:val="Heading4"/>
    <w:next w:val="Normal"/>
    <w:qFormat/>
    <w:rsid w:val="00CC1BB0"/>
    <w:pPr>
      <w:outlineLvl w:val="1"/>
    </w:pPr>
    <w:rPr>
      <w:rFonts w:ascii="Arial" w:eastAsia="Times New Roman" w:hAnsi="Arial" w:cs="Arial"/>
      <w:bCs w:val="0"/>
      <w:i w:val="0"/>
      <w:iCs w:val="0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1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6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5AA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AU"/>
    </w:rPr>
  </w:style>
  <w:style w:type="paragraph" w:customStyle="1" w:styleId="dotpoints">
    <w:name w:val="dot points"/>
    <w:basedOn w:val="ListParagraph"/>
    <w:link w:val="dotpointsChar1"/>
    <w:qFormat/>
    <w:rsid w:val="00743F25"/>
    <w:pPr>
      <w:numPr>
        <w:numId w:val="35"/>
      </w:numPr>
      <w:spacing w:before="60" w:after="60" w:line="240" w:lineRule="auto"/>
      <w:contextualSpacing w:val="0"/>
    </w:pPr>
    <w:rPr>
      <w:rFonts w:ascii="Khmer UI" w:hAnsi="Khmer UI" w:cs="Khmer UI"/>
      <w:lang w:val="en-US" w:bidi="en-US"/>
    </w:rPr>
  </w:style>
  <w:style w:type="character" w:customStyle="1" w:styleId="dotpointsChar1">
    <w:name w:val="dot points Char1"/>
    <w:basedOn w:val="ListParagraphChar"/>
    <w:link w:val="dotpoints"/>
    <w:rsid w:val="00743F25"/>
    <w:rPr>
      <w:rFonts w:ascii="Khmer UI" w:hAnsi="Khmer UI" w:cs="Khmer UI"/>
      <w:lang w:val="en-US" w:bidi="en-US"/>
    </w:rPr>
  </w:style>
  <w:style w:type="paragraph" w:customStyle="1" w:styleId="Chrissie1">
    <w:name w:val="Chrissie1"/>
    <w:basedOn w:val="ListParagraph"/>
    <w:rsid w:val="00F10E4F"/>
    <w:pPr>
      <w:numPr>
        <w:numId w:val="36"/>
      </w:num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hrissie10">
    <w:name w:val="Chrissie 1"/>
    <w:basedOn w:val="Chrissie1"/>
    <w:link w:val="Chrissie1Char"/>
    <w:qFormat/>
    <w:rsid w:val="00F10E4F"/>
  </w:style>
  <w:style w:type="character" w:customStyle="1" w:styleId="Chrissie1Char">
    <w:name w:val="Chrissie 1 Char"/>
    <w:basedOn w:val="DefaultParagraphFont"/>
    <w:link w:val="Chrissie10"/>
    <w:rsid w:val="00F10E4F"/>
    <w:rPr>
      <w:rFonts w:ascii="Arial" w:eastAsia="Calibri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5A05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B0"/>
  </w:style>
  <w:style w:type="paragraph" w:styleId="Heading1">
    <w:name w:val="heading 1"/>
    <w:basedOn w:val="Normal"/>
    <w:next w:val="Normal"/>
    <w:link w:val="Heading1Char"/>
    <w:uiPriority w:val="9"/>
    <w:qFormat/>
    <w:rsid w:val="004B1723"/>
    <w:pPr>
      <w:spacing w:before="240" w:after="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BB0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B1723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1BB0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C1E77"/>
  </w:style>
  <w:style w:type="character" w:styleId="FollowedHyperlink">
    <w:name w:val="FollowedHyperlink"/>
    <w:basedOn w:val="DefaultParagraphFont"/>
    <w:uiPriority w:val="99"/>
    <w:semiHidden/>
    <w:unhideWhenUsed/>
    <w:rsid w:val="00E94649"/>
    <w:rPr>
      <w:color w:val="000000" w:themeColor="followedHyperlink"/>
      <w:u w:val="single"/>
    </w:rPr>
  </w:style>
  <w:style w:type="paragraph" w:customStyle="1" w:styleId="heading4withoutnumbers">
    <w:name w:val="heading 4 without numbers"/>
    <w:basedOn w:val="Heading4"/>
    <w:next w:val="Normal"/>
    <w:qFormat/>
    <w:rsid w:val="00CC1BB0"/>
    <w:pPr>
      <w:outlineLvl w:val="1"/>
    </w:pPr>
    <w:rPr>
      <w:rFonts w:ascii="Arial" w:eastAsia="Times New Roman" w:hAnsi="Arial" w:cs="Arial"/>
      <w:bCs w:val="0"/>
      <w:i w:val="0"/>
      <w:iCs w:val="0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1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6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5AA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AU"/>
    </w:rPr>
  </w:style>
  <w:style w:type="paragraph" w:customStyle="1" w:styleId="dotpoints">
    <w:name w:val="dot points"/>
    <w:basedOn w:val="ListParagraph"/>
    <w:link w:val="dotpointsChar1"/>
    <w:qFormat/>
    <w:rsid w:val="00743F25"/>
    <w:pPr>
      <w:numPr>
        <w:numId w:val="35"/>
      </w:numPr>
      <w:spacing w:before="60" w:after="60" w:line="240" w:lineRule="auto"/>
      <w:contextualSpacing w:val="0"/>
    </w:pPr>
    <w:rPr>
      <w:rFonts w:ascii="Khmer UI" w:hAnsi="Khmer UI" w:cs="Khmer UI"/>
      <w:lang w:val="en-US" w:bidi="en-US"/>
    </w:rPr>
  </w:style>
  <w:style w:type="character" w:customStyle="1" w:styleId="dotpointsChar1">
    <w:name w:val="dot points Char1"/>
    <w:basedOn w:val="ListParagraphChar"/>
    <w:link w:val="dotpoints"/>
    <w:rsid w:val="00743F25"/>
    <w:rPr>
      <w:rFonts w:ascii="Khmer UI" w:hAnsi="Khmer UI" w:cs="Khmer UI"/>
      <w:lang w:val="en-US" w:bidi="en-US"/>
    </w:rPr>
  </w:style>
  <w:style w:type="paragraph" w:customStyle="1" w:styleId="Chrissie1">
    <w:name w:val="Chrissie1"/>
    <w:basedOn w:val="ListParagraph"/>
    <w:rsid w:val="00F10E4F"/>
    <w:pPr>
      <w:numPr>
        <w:numId w:val="36"/>
      </w:num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hrissie10">
    <w:name w:val="Chrissie 1"/>
    <w:basedOn w:val="Chrissie1"/>
    <w:link w:val="Chrissie1Char"/>
    <w:qFormat/>
    <w:rsid w:val="00F10E4F"/>
  </w:style>
  <w:style w:type="character" w:customStyle="1" w:styleId="Chrissie1Char">
    <w:name w:val="Chrissie 1 Char"/>
    <w:basedOn w:val="DefaultParagraphFont"/>
    <w:link w:val="Chrissie10"/>
    <w:rsid w:val="00F10E4F"/>
    <w:rPr>
      <w:rFonts w:ascii="Arial" w:eastAsia="Calibri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5A0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yperlink" Target="mailto:privacy@education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igitaltechnologieshub.edu.a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image" Target="cid:image001.png@01CC5B5E.C6C84990" TargetMode="External"/><Relationship Id="rId25" Type="http://schemas.openxmlformats.org/officeDocument/2006/relationships/hyperlink" Target="http://education.gov.au/privac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education.gov.au/inspiring-all-australians-digital-literacy-and-stem" TargetMode="External"/><Relationship Id="rId29" Type="http://schemas.openxmlformats.org/officeDocument/2006/relationships/hyperlink" Target="mailto:DLSG@education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education.gov.au/digital-literacy-school-grants-dlsg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23" Type="http://schemas.openxmlformats.org/officeDocument/2006/relationships/hyperlink" Target="http://www.finance.gov.au/resource-management/grants/" TargetMode="External"/><Relationship Id="rId28" Type="http://schemas.openxmlformats.org/officeDocument/2006/relationships/hyperlink" Target="http://www.ombudsman.gov.a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reativecommons.org/licenses/by/4.0/legalcode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education.gov.au/digital-literacy-school-grants-dlsg" TargetMode="External"/><Relationship Id="rId27" Type="http://schemas.openxmlformats.org/officeDocument/2006/relationships/hyperlink" Target="mailto:fraud@education.gov.au.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3FE1FD4576A90248BA28A368E6D4D955" ma:contentTypeVersion="" ma:contentTypeDescription="PDMS Documentation Content Type" ma:contentTypeScope="" ma:versionID="f502e9e88ed93586a68b2dd4adc78dbd">
  <xsd:schema xmlns:xsd="http://www.w3.org/2001/XMLSchema" xmlns:xs="http://www.w3.org/2001/XMLSchema" xmlns:p="http://schemas.microsoft.com/office/2006/metadata/properties" xmlns:ns2="40753B41-F69C-4F0E-9046-394C0A16F4EE" targetNamespace="http://schemas.microsoft.com/office/2006/metadata/properties" ma:root="true" ma:fieldsID="680b6beaf2e5c127e581480a5a47a750" ns2:_="">
    <xsd:import namespace="40753B41-F69C-4F0E-9046-394C0A16F4E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53B41-F69C-4F0E-9046-394C0A16F4E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40753B41-F69C-4F0E-9046-394C0A16F4EE" xsi:nil="true"/>
    <pdms_DocumentType xmlns="40753B41-F69C-4F0E-9046-394C0A16F4EE" xsi:nil="true"/>
    <pdms_SecurityClassification xmlns="40753B41-F69C-4F0E-9046-394C0A16F4EE" xsi:nil="true"/>
    <SecurityClassification xmlns="40753B41-F69C-4F0E-9046-394C0A16F4EE" xsi:nil="true"/>
    <pdms_Reason xmlns="40753B41-F69C-4F0E-9046-394C0A16F4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9610-3FA4-4C4E-B6B0-147584EA6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53B41-F69C-4F0E-9046-394C0A16F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04838-1018-44CC-87B2-98BDA425C137}">
  <ds:schemaRefs>
    <ds:schemaRef ds:uri="40753B41-F69C-4F0E-9046-394C0A16F4EE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A533CA-015D-4C1D-AEC3-1A6A2CB09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3AC0A-F47D-4A39-86CD-A08F01B2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DFD4B4D8.dotm</Template>
  <TotalTime>0</TotalTime>
  <Pages>16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2017-06-28T00:04:00Z</dcterms:created>
  <dcterms:modified xsi:type="dcterms:W3CDTF">2017-07-03T23:22:00Z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0x010100266966F133664895A6EE3632470D45F501003FE1FD4576A90248BA28A368E6D4D955</vt:lpwstr>
  </property>
  <property fmtid="{D5CDD505-2E9C-101B-9397-08002B2CF9AE}" pid="3" name="Order">
    <vt:r8>1900</vt:r8>
  </property>
  <property fmtid="{D5CDD505-2E9C-101B-9397-08002B2CF9AE}" pid="4" name="_DocHome">
    <vt:i4>1046278966</vt:i4>
  </property>
</Properties>
</file>