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D490E0" w14:textId="77777777" w:rsidR="00341597" w:rsidRDefault="00243D6B" w:rsidP="00130923">
      <w:pPr>
        <w:pStyle w:val="BodyText"/>
      </w:pPr>
      <w:r>
        <w:rPr>
          <w:noProof/>
        </w:rPr>
        <w:drawing>
          <wp:inline distT="0" distB="0" distL="0" distR="0" wp14:anchorId="45497A95" wp14:editId="45497A96">
            <wp:extent cx="2252345" cy="40391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descr="Department of Educ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52345" cy="403915"/>
                    </a:xfrm>
                    <a:prstGeom prst="rect">
                      <a:avLst/>
                    </a:prstGeom>
                  </pic:spPr>
                </pic:pic>
              </a:graphicData>
            </a:graphic>
          </wp:inline>
        </w:drawing>
      </w:r>
    </w:p>
    <w:sdt>
      <w:sdtPr>
        <w:alias w:val="Title"/>
        <w:tag w:val=""/>
        <w:id w:val="-19171197"/>
        <w:placeholder>
          <w:docPart w:val="655179CBEE4245B3A81E2C8017F483AD"/>
        </w:placeholder>
        <w:dataBinding w:prefixMappings="xmlns:ns0='http://purl.org/dc/elements/1.1/' xmlns:ns1='http://schemas.openxmlformats.org/package/2006/metadata/core-properties' " w:xpath="/ns1:coreProperties[1]/ns0:title[1]" w:storeItemID="{6C3C8BC8-F283-45AE-878A-BAB7291924A1}"/>
        <w:text/>
      </w:sdtPr>
      <w:sdtEndPr/>
      <w:sdtContent>
        <w:p w14:paraId="45497A51" w14:textId="48EB9D06" w:rsidR="00BA282D" w:rsidRDefault="00CA743F" w:rsidP="00CA743F">
          <w:pPr>
            <w:pStyle w:val="Title"/>
            <w:ind w:left="1276" w:right="-23"/>
          </w:pPr>
          <w:r>
            <w:t>Undergraduate Applications and Offers, February 2017</w:t>
          </w:r>
        </w:p>
      </w:sdtContent>
    </w:sdt>
    <w:p w14:paraId="45497A53" w14:textId="77777777" w:rsidR="00F47193" w:rsidRPr="00AD09E4" w:rsidRDefault="00F47193" w:rsidP="00F47193">
      <w:pPr>
        <w:rPr>
          <w:sz w:val="620"/>
          <w:szCs w:val="620"/>
        </w:rPr>
      </w:pPr>
      <w:r>
        <w:rPr>
          <w:noProof/>
          <w:lang w:eastAsia="en-AU"/>
        </w:rPr>
        <w:drawing>
          <wp:anchor distT="0" distB="0" distL="114300" distR="114300" simplePos="0" relativeHeight="251658240" behindDoc="1" locked="0" layoutInCell="1" allowOverlap="1" wp14:anchorId="45497A97" wp14:editId="45497A98">
            <wp:simplePos x="0" y="0"/>
            <wp:positionH relativeFrom="page">
              <wp:posOffset>0</wp:posOffset>
            </wp:positionH>
            <wp:positionV relativeFrom="page">
              <wp:align>bottom</wp:align>
            </wp:positionV>
            <wp:extent cx="7653020" cy="5392420"/>
            <wp:effectExtent l="0" t="0" r="5080" b="0"/>
            <wp:wrapNone/>
            <wp:docPr id="5" name="Picture 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report cover_01.jpg"/>
                    <pic:cNvPicPr/>
                  </pic:nvPicPr>
                  <pic:blipFill>
                    <a:blip r:embed="rId13">
                      <a:extLst>
                        <a:ext uri="{28A0092B-C50C-407E-A947-70E740481C1C}">
                          <a14:useLocalDpi xmlns:a14="http://schemas.microsoft.com/office/drawing/2010/main" val="0"/>
                        </a:ext>
                      </a:extLst>
                    </a:blip>
                    <a:stretch>
                      <a:fillRect/>
                    </a:stretch>
                  </pic:blipFill>
                  <pic:spPr>
                    <a:xfrm>
                      <a:off x="0" y="0"/>
                      <a:ext cx="7653600" cy="5392800"/>
                    </a:xfrm>
                    <a:prstGeom prst="rect">
                      <a:avLst/>
                    </a:prstGeom>
                  </pic:spPr>
                </pic:pic>
              </a:graphicData>
            </a:graphic>
            <wp14:sizeRelH relativeFrom="page">
              <wp14:pctWidth>0</wp14:pctWidth>
            </wp14:sizeRelH>
            <wp14:sizeRelV relativeFrom="page">
              <wp14:pctHeight>0</wp14:pctHeight>
            </wp14:sizeRelV>
          </wp:anchor>
        </w:drawing>
      </w:r>
    </w:p>
    <w:p w14:paraId="45497A54" w14:textId="77777777" w:rsidR="00130923" w:rsidRDefault="00F47193" w:rsidP="00EF5845">
      <w:pPr>
        <w:spacing w:after="0"/>
        <w:ind w:left="1276"/>
      </w:pPr>
      <w:r w:rsidRPr="00E376D2">
        <w:rPr>
          <w:rStyle w:val="Emphasis"/>
          <w:color w:val="FFFFFF" w:themeColor="background1"/>
        </w:rPr>
        <w:t>Opportunity through learning</w:t>
      </w:r>
      <w:r w:rsidR="00130923">
        <w:br w:type="page"/>
      </w:r>
    </w:p>
    <w:p w14:paraId="45497A55" w14:textId="77777777" w:rsidR="00130923" w:rsidRDefault="00130923" w:rsidP="00130923">
      <w:pPr>
        <w:pStyle w:val="BodyText"/>
        <w:sectPr w:rsidR="00130923" w:rsidSect="00AD09E4">
          <w:headerReference w:type="default" r:id="rId14"/>
          <w:footerReference w:type="default" r:id="rId15"/>
          <w:pgSz w:w="11906" w:h="16838"/>
          <w:pgMar w:top="1418" w:right="1558" w:bottom="567" w:left="1440" w:header="708" w:footer="283" w:gutter="0"/>
          <w:cols w:space="708"/>
          <w:docGrid w:linePitch="360"/>
        </w:sectPr>
      </w:pPr>
    </w:p>
    <w:p w14:paraId="45497A57" w14:textId="1C7A1B4A" w:rsidR="00130923" w:rsidRPr="003762A0" w:rsidRDefault="00130923" w:rsidP="007D58FB">
      <w:r w:rsidRPr="008E4DA0">
        <w:lastRenderedPageBreak/>
        <w:t>ISBN</w:t>
      </w:r>
      <w:r w:rsidR="00DC3052">
        <w:rPr>
          <w:szCs w:val="20"/>
          <w:highlight w:val="yellow"/>
        </w:rPr>
        <w:br/>
      </w:r>
      <w:r w:rsidR="003762A0">
        <w:rPr>
          <w:rFonts w:ascii="Arial" w:hAnsi="Arial" w:cs="Arial"/>
          <w:sz w:val="20"/>
          <w:szCs w:val="20"/>
        </w:rPr>
        <w:t>978-1-76051-086-2</w:t>
      </w:r>
      <w:r w:rsidR="003762A0" w:rsidRPr="008E4DA0">
        <w:rPr>
          <w:szCs w:val="20"/>
        </w:rPr>
        <w:t xml:space="preserve"> </w:t>
      </w:r>
      <w:r w:rsidRPr="008E4DA0">
        <w:rPr>
          <w:szCs w:val="20"/>
        </w:rPr>
        <w:t>[PDF</w:t>
      </w:r>
      <w:proofErr w:type="gramStart"/>
      <w:r w:rsidRPr="008E4DA0">
        <w:rPr>
          <w:szCs w:val="20"/>
        </w:rPr>
        <w:t>]</w:t>
      </w:r>
      <w:proofErr w:type="gramEnd"/>
      <w:r w:rsidRPr="008E4DA0">
        <w:rPr>
          <w:szCs w:val="20"/>
        </w:rPr>
        <w:br/>
      </w:r>
      <w:r w:rsidR="003762A0">
        <w:rPr>
          <w:rFonts w:ascii="Arial" w:hAnsi="Arial" w:cs="Arial"/>
          <w:sz w:val="20"/>
          <w:szCs w:val="20"/>
        </w:rPr>
        <w:t>978-1-76051-087-9</w:t>
      </w:r>
      <w:r w:rsidR="003762A0" w:rsidRPr="008E4DA0">
        <w:rPr>
          <w:szCs w:val="20"/>
        </w:rPr>
        <w:t xml:space="preserve"> </w:t>
      </w:r>
      <w:r w:rsidRPr="008E4DA0">
        <w:rPr>
          <w:szCs w:val="20"/>
        </w:rPr>
        <w:t>[</w:t>
      </w:r>
      <w:proofErr w:type="spellStart"/>
      <w:r w:rsidRPr="008E4DA0">
        <w:rPr>
          <w:szCs w:val="20"/>
        </w:rPr>
        <w:t>DOCX</w:t>
      </w:r>
      <w:proofErr w:type="spellEnd"/>
      <w:r w:rsidRPr="008E4DA0">
        <w:rPr>
          <w:szCs w:val="20"/>
        </w:rPr>
        <w:t>]</w:t>
      </w:r>
    </w:p>
    <w:p w14:paraId="45497A58" w14:textId="77777777" w:rsidR="00130923" w:rsidRDefault="00130923" w:rsidP="00130923">
      <w:pPr>
        <w:pStyle w:val="numberedpara"/>
        <w:numPr>
          <w:ilvl w:val="0"/>
          <w:numId w:val="0"/>
        </w:numPr>
        <w:tabs>
          <w:tab w:val="left" w:pos="720"/>
        </w:tabs>
        <w:rPr>
          <w:sz w:val="20"/>
          <w:szCs w:val="20"/>
        </w:rPr>
      </w:pPr>
      <w:r>
        <w:rPr>
          <w:noProof/>
          <w:sz w:val="20"/>
          <w:szCs w:val="20"/>
        </w:rPr>
        <w:drawing>
          <wp:inline distT="0" distB="0" distL="0" distR="0" wp14:anchorId="45497A99" wp14:editId="45497A9A">
            <wp:extent cx="847725" cy="285750"/>
            <wp:effectExtent l="0" t="0" r="9525" b="0"/>
            <wp:docPr id="4"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6" r:link="rId17"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45497A59" w14:textId="6FF2D8C4" w:rsidR="00130923" w:rsidRPr="000462F1" w:rsidRDefault="00130923" w:rsidP="007D58FB">
      <w:r w:rsidRPr="000462F1">
        <w:t xml:space="preserve">With the exception of the Commonwealth Coat of Arms, the Department’s logo, any material protected by a trade mark and where otherwise noted all material presented in this document is provided under a </w:t>
      </w:r>
      <w:hyperlink r:id="rId18" w:history="1">
        <w:r w:rsidR="00C84E0C" w:rsidRPr="004164A2">
          <w:rPr>
            <w:rStyle w:val="Hyperlink"/>
          </w:rPr>
          <w:t>Creative Commons Attribution 4.0 International</w:t>
        </w:r>
      </w:hyperlink>
      <w:r w:rsidR="007D58FB">
        <w:t xml:space="preserve"> </w:t>
      </w:r>
      <w:r w:rsidRPr="000462F1">
        <w:t>(</w:t>
      </w:r>
      <w:r w:rsidRPr="00EC78E7">
        <w:t>http://creativecommons.org/licenses/by/3.0/au/</w:t>
      </w:r>
      <w:r w:rsidRPr="000462F1">
        <w:t xml:space="preserve">) licence. </w:t>
      </w:r>
    </w:p>
    <w:p w14:paraId="45497A5A" w14:textId="20EE1276" w:rsidR="00130923" w:rsidRPr="000462F1" w:rsidRDefault="00130923" w:rsidP="007D58FB">
      <w:r w:rsidRPr="000462F1">
        <w:t xml:space="preserve">The details of the relevant licence conditions are available on the Creative Commons website (accessible using the links provided) as is the full legal code for the </w:t>
      </w:r>
      <w:hyperlink r:id="rId19" w:history="1">
        <w:r w:rsidR="00C84E0C" w:rsidRPr="004164A2">
          <w:rPr>
            <w:rStyle w:val="Hyperlink"/>
          </w:rPr>
          <w:t>CC BY 4.0 International</w:t>
        </w:r>
      </w:hyperlink>
      <w:r w:rsidRPr="000462F1">
        <w:t xml:space="preserve"> (</w:t>
      </w:r>
      <w:r w:rsidRPr="00EC78E7">
        <w:t>http://creativecommons.org/licenses/by/</w:t>
      </w:r>
      <w:r w:rsidR="00C84E0C">
        <w:t>4</w:t>
      </w:r>
      <w:r w:rsidRPr="00EC78E7">
        <w:t>.0</w:t>
      </w:r>
      <w:r w:rsidR="00C84E0C">
        <w:t>/</w:t>
      </w:r>
      <w:r w:rsidRPr="00EC78E7">
        <w:t>legalcode</w:t>
      </w:r>
      <w:r w:rsidRPr="000462F1">
        <w:t xml:space="preserve">). </w:t>
      </w:r>
    </w:p>
    <w:p w14:paraId="45497A5B" w14:textId="3673B930" w:rsidR="00130923" w:rsidRDefault="00130923" w:rsidP="007D58FB">
      <w:r w:rsidRPr="000462F1">
        <w:t>The document must be attributed as the</w:t>
      </w:r>
      <w:r w:rsidR="003762A0">
        <w:t xml:space="preserve"> </w:t>
      </w:r>
      <w:r w:rsidR="003762A0" w:rsidRPr="003762A0">
        <w:t>Undergraduate Applications and Offers, February 2017</w:t>
      </w:r>
      <w:r>
        <w:t>.</w:t>
      </w:r>
    </w:p>
    <w:p w14:paraId="45497A5C" w14:textId="77777777" w:rsidR="00130923" w:rsidRDefault="00130923" w:rsidP="00130923">
      <w:pPr>
        <w:pStyle w:val="numberedpara"/>
        <w:numPr>
          <w:ilvl w:val="0"/>
          <w:numId w:val="0"/>
        </w:numPr>
        <w:tabs>
          <w:tab w:val="left" w:pos="720"/>
        </w:tabs>
        <w:spacing w:before="120" w:after="120"/>
        <w:rPr>
          <w:sz w:val="20"/>
          <w:szCs w:val="20"/>
        </w:rPr>
        <w:sectPr w:rsidR="00130923" w:rsidSect="007D58FB">
          <w:type w:val="continuous"/>
          <w:pgSz w:w="11906" w:h="16838"/>
          <w:pgMar w:top="10348" w:right="1440" w:bottom="1440" w:left="1440" w:header="708" w:footer="708" w:gutter="0"/>
          <w:cols w:space="708"/>
          <w:docGrid w:linePitch="360"/>
        </w:sectPr>
      </w:pPr>
    </w:p>
    <w:sdt>
      <w:sdtPr>
        <w:rPr>
          <w:rFonts w:asciiTheme="minorHAnsi" w:eastAsiaTheme="minorEastAsia" w:hAnsiTheme="minorHAnsi" w:cstheme="minorBidi"/>
          <w:b w:val="0"/>
          <w:bCs w:val="0"/>
          <w:color w:val="auto"/>
          <w:sz w:val="22"/>
          <w:szCs w:val="22"/>
          <w:lang w:bidi="ar-SA"/>
        </w:rPr>
        <w:id w:val="-139263470"/>
        <w:docPartObj>
          <w:docPartGallery w:val="Table of Contents"/>
          <w:docPartUnique/>
        </w:docPartObj>
      </w:sdtPr>
      <w:sdtEndPr>
        <w:rPr>
          <w:noProof/>
        </w:rPr>
      </w:sdtEndPr>
      <w:sdtContent>
        <w:p w14:paraId="45497A5D" w14:textId="77777777" w:rsidR="00EF4A38" w:rsidRDefault="00EF4A38" w:rsidP="00956BAB">
          <w:pPr>
            <w:pStyle w:val="TOCHeading"/>
            <w:numPr>
              <w:ilvl w:val="0"/>
              <w:numId w:val="0"/>
            </w:numPr>
          </w:pPr>
          <w:r>
            <w:t>Contents</w:t>
          </w:r>
        </w:p>
        <w:p w14:paraId="7283EDBC" w14:textId="77777777" w:rsidR="003762A0" w:rsidRDefault="00EF4A38">
          <w:pPr>
            <w:pStyle w:val="TOC1"/>
            <w:tabs>
              <w:tab w:val="left" w:pos="440"/>
              <w:tab w:val="right" w:leader="dot" w:pos="9016"/>
            </w:tabs>
            <w:rPr>
              <w:noProof/>
              <w:lang w:eastAsia="en-AU"/>
            </w:rPr>
          </w:pPr>
          <w:r>
            <w:fldChar w:fldCharType="begin"/>
          </w:r>
          <w:r>
            <w:instrText xml:space="preserve"> TOC \o "1-3" \h \z \u </w:instrText>
          </w:r>
          <w:r>
            <w:fldChar w:fldCharType="separate"/>
          </w:r>
          <w:hyperlink w:anchor="_Toc492454240" w:history="1">
            <w:r w:rsidR="003762A0" w:rsidRPr="0010058C">
              <w:rPr>
                <w:rStyle w:val="Hyperlink"/>
                <w:noProof/>
              </w:rPr>
              <w:t>1.</w:t>
            </w:r>
            <w:r w:rsidR="003762A0">
              <w:rPr>
                <w:noProof/>
                <w:lang w:eastAsia="en-AU"/>
              </w:rPr>
              <w:tab/>
            </w:r>
            <w:r w:rsidR="003762A0" w:rsidRPr="0010058C">
              <w:rPr>
                <w:rStyle w:val="Hyperlink"/>
                <w:noProof/>
              </w:rPr>
              <w:t>Introduction</w:t>
            </w:r>
            <w:r w:rsidR="003762A0">
              <w:rPr>
                <w:noProof/>
                <w:webHidden/>
              </w:rPr>
              <w:tab/>
            </w:r>
            <w:r w:rsidR="003762A0">
              <w:rPr>
                <w:noProof/>
                <w:webHidden/>
              </w:rPr>
              <w:fldChar w:fldCharType="begin"/>
            </w:r>
            <w:r w:rsidR="003762A0">
              <w:rPr>
                <w:noProof/>
                <w:webHidden/>
              </w:rPr>
              <w:instrText xml:space="preserve"> PAGEREF _Toc492454240 \h </w:instrText>
            </w:r>
            <w:r w:rsidR="003762A0">
              <w:rPr>
                <w:noProof/>
                <w:webHidden/>
              </w:rPr>
            </w:r>
            <w:r w:rsidR="003762A0">
              <w:rPr>
                <w:noProof/>
                <w:webHidden/>
              </w:rPr>
              <w:fldChar w:fldCharType="separate"/>
            </w:r>
            <w:r w:rsidR="00E05F5D">
              <w:rPr>
                <w:noProof/>
                <w:webHidden/>
              </w:rPr>
              <w:t>5</w:t>
            </w:r>
            <w:r w:rsidR="003762A0">
              <w:rPr>
                <w:noProof/>
                <w:webHidden/>
              </w:rPr>
              <w:fldChar w:fldCharType="end"/>
            </w:r>
          </w:hyperlink>
        </w:p>
        <w:p w14:paraId="4A4427D4" w14:textId="77777777" w:rsidR="003762A0" w:rsidRDefault="00E05F5D">
          <w:pPr>
            <w:pStyle w:val="TOC2"/>
            <w:tabs>
              <w:tab w:val="right" w:leader="dot" w:pos="9016"/>
            </w:tabs>
            <w:rPr>
              <w:noProof/>
              <w:lang w:eastAsia="en-AU"/>
            </w:rPr>
          </w:pPr>
          <w:hyperlink w:anchor="_Toc492454241" w:history="1">
            <w:r w:rsidR="003762A0" w:rsidRPr="0010058C">
              <w:rPr>
                <w:rStyle w:val="Hyperlink"/>
                <w:noProof/>
              </w:rPr>
              <w:t>Purpose of the Report</w:t>
            </w:r>
            <w:r w:rsidR="003762A0">
              <w:rPr>
                <w:noProof/>
                <w:webHidden/>
              </w:rPr>
              <w:tab/>
            </w:r>
            <w:r w:rsidR="003762A0">
              <w:rPr>
                <w:noProof/>
                <w:webHidden/>
              </w:rPr>
              <w:fldChar w:fldCharType="begin"/>
            </w:r>
            <w:r w:rsidR="003762A0">
              <w:rPr>
                <w:noProof/>
                <w:webHidden/>
              </w:rPr>
              <w:instrText xml:space="preserve"> PAGEREF _Toc492454241 \h </w:instrText>
            </w:r>
            <w:r w:rsidR="003762A0">
              <w:rPr>
                <w:noProof/>
                <w:webHidden/>
              </w:rPr>
            </w:r>
            <w:r w:rsidR="003762A0">
              <w:rPr>
                <w:noProof/>
                <w:webHidden/>
              </w:rPr>
              <w:fldChar w:fldCharType="separate"/>
            </w:r>
            <w:r>
              <w:rPr>
                <w:noProof/>
                <w:webHidden/>
              </w:rPr>
              <w:t>5</w:t>
            </w:r>
            <w:r w:rsidR="003762A0">
              <w:rPr>
                <w:noProof/>
                <w:webHidden/>
              </w:rPr>
              <w:fldChar w:fldCharType="end"/>
            </w:r>
          </w:hyperlink>
        </w:p>
        <w:p w14:paraId="33B8C476" w14:textId="77777777" w:rsidR="003762A0" w:rsidRDefault="00E05F5D">
          <w:pPr>
            <w:pStyle w:val="TOC2"/>
            <w:tabs>
              <w:tab w:val="right" w:leader="dot" w:pos="9016"/>
            </w:tabs>
            <w:rPr>
              <w:noProof/>
              <w:lang w:eastAsia="en-AU"/>
            </w:rPr>
          </w:pPr>
          <w:hyperlink w:anchor="_Toc492454242" w:history="1">
            <w:r w:rsidR="003762A0" w:rsidRPr="0010058C">
              <w:rPr>
                <w:rStyle w:val="Hyperlink"/>
                <w:noProof/>
              </w:rPr>
              <w:t>Overview of the Data</w:t>
            </w:r>
            <w:r w:rsidR="003762A0">
              <w:rPr>
                <w:noProof/>
                <w:webHidden/>
              </w:rPr>
              <w:tab/>
            </w:r>
            <w:r w:rsidR="003762A0">
              <w:rPr>
                <w:noProof/>
                <w:webHidden/>
              </w:rPr>
              <w:fldChar w:fldCharType="begin"/>
            </w:r>
            <w:r w:rsidR="003762A0">
              <w:rPr>
                <w:noProof/>
                <w:webHidden/>
              </w:rPr>
              <w:instrText xml:space="preserve"> PAGEREF _Toc492454242 \h </w:instrText>
            </w:r>
            <w:r w:rsidR="003762A0">
              <w:rPr>
                <w:noProof/>
                <w:webHidden/>
              </w:rPr>
            </w:r>
            <w:r w:rsidR="003762A0">
              <w:rPr>
                <w:noProof/>
                <w:webHidden/>
              </w:rPr>
              <w:fldChar w:fldCharType="separate"/>
            </w:r>
            <w:r>
              <w:rPr>
                <w:noProof/>
                <w:webHidden/>
              </w:rPr>
              <w:t>5</w:t>
            </w:r>
            <w:r w:rsidR="003762A0">
              <w:rPr>
                <w:noProof/>
                <w:webHidden/>
              </w:rPr>
              <w:fldChar w:fldCharType="end"/>
            </w:r>
          </w:hyperlink>
        </w:p>
        <w:p w14:paraId="5255B18B" w14:textId="77777777" w:rsidR="003762A0" w:rsidRDefault="00E05F5D">
          <w:pPr>
            <w:pStyle w:val="TOC2"/>
            <w:tabs>
              <w:tab w:val="right" w:leader="dot" w:pos="9016"/>
            </w:tabs>
            <w:rPr>
              <w:noProof/>
              <w:lang w:eastAsia="en-AU"/>
            </w:rPr>
          </w:pPr>
          <w:hyperlink w:anchor="_Toc492454243" w:history="1">
            <w:r w:rsidR="003762A0" w:rsidRPr="0010058C">
              <w:rPr>
                <w:rStyle w:val="Hyperlink"/>
                <w:noProof/>
              </w:rPr>
              <w:t>Acknowledgements</w:t>
            </w:r>
            <w:r w:rsidR="003762A0">
              <w:rPr>
                <w:noProof/>
                <w:webHidden/>
              </w:rPr>
              <w:tab/>
            </w:r>
            <w:r w:rsidR="003762A0">
              <w:rPr>
                <w:noProof/>
                <w:webHidden/>
              </w:rPr>
              <w:fldChar w:fldCharType="begin"/>
            </w:r>
            <w:r w:rsidR="003762A0">
              <w:rPr>
                <w:noProof/>
                <w:webHidden/>
              </w:rPr>
              <w:instrText xml:space="preserve"> PAGEREF _Toc492454243 \h </w:instrText>
            </w:r>
            <w:r w:rsidR="003762A0">
              <w:rPr>
                <w:noProof/>
                <w:webHidden/>
              </w:rPr>
            </w:r>
            <w:r w:rsidR="003762A0">
              <w:rPr>
                <w:noProof/>
                <w:webHidden/>
              </w:rPr>
              <w:fldChar w:fldCharType="separate"/>
            </w:r>
            <w:r>
              <w:rPr>
                <w:noProof/>
                <w:webHidden/>
              </w:rPr>
              <w:t>5</w:t>
            </w:r>
            <w:r w:rsidR="003762A0">
              <w:rPr>
                <w:noProof/>
                <w:webHidden/>
              </w:rPr>
              <w:fldChar w:fldCharType="end"/>
            </w:r>
          </w:hyperlink>
          <w:bookmarkStart w:id="0" w:name="_GoBack"/>
          <w:bookmarkEnd w:id="0"/>
        </w:p>
        <w:p w14:paraId="3C88F0B2" w14:textId="77777777" w:rsidR="003762A0" w:rsidRDefault="00E05F5D">
          <w:pPr>
            <w:pStyle w:val="TOC1"/>
            <w:tabs>
              <w:tab w:val="left" w:pos="440"/>
              <w:tab w:val="right" w:leader="dot" w:pos="9016"/>
            </w:tabs>
            <w:rPr>
              <w:noProof/>
              <w:lang w:eastAsia="en-AU"/>
            </w:rPr>
          </w:pPr>
          <w:hyperlink w:anchor="_Toc492454244" w:history="1">
            <w:r w:rsidR="003762A0" w:rsidRPr="0010058C">
              <w:rPr>
                <w:rStyle w:val="Hyperlink"/>
                <w:noProof/>
              </w:rPr>
              <w:t>2.</w:t>
            </w:r>
            <w:r w:rsidR="003762A0">
              <w:rPr>
                <w:noProof/>
                <w:lang w:eastAsia="en-AU"/>
              </w:rPr>
              <w:tab/>
            </w:r>
            <w:r w:rsidR="003762A0" w:rsidRPr="0010058C">
              <w:rPr>
                <w:rStyle w:val="Hyperlink"/>
                <w:noProof/>
              </w:rPr>
              <w:t>Highlights</w:t>
            </w:r>
            <w:r w:rsidR="003762A0">
              <w:rPr>
                <w:noProof/>
                <w:webHidden/>
              </w:rPr>
              <w:tab/>
            </w:r>
            <w:r w:rsidR="003762A0">
              <w:rPr>
                <w:noProof/>
                <w:webHidden/>
              </w:rPr>
              <w:fldChar w:fldCharType="begin"/>
            </w:r>
            <w:r w:rsidR="003762A0">
              <w:rPr>
                <w:noProof/>
                <w:webHidden/>
              </w:rPr>
              <w:instrText xml:space="preserve"> PAGEREF _Toc492454244 \h </w:instrText>
            </w:r>
            <w:r w:rsidR="003762A0">
              <w:rPr>
                <w:noProof/>
                <w:webHidden/>
              </w:rPr>
            </w:r>
            <w:r w:rsidR="003762A0">
              <w:rPr>
                <w:noProof/>
                <w:webHidden/>
              </w:rPr>
              <w:fldChar w:fldCharType="separate"/>
            </w:r>
            <w:r>
              <w:rPr>
                <w:noProof/>
                <w:webHidden/>
              </w:rPr>
              <w:t>6</w:t>
            </w:r>
            <w:r w:rsidR="003762A0">
              <w:rPr>
                <w:noProof/>
                <w:webHidden/>
              </w:rPr>
              <w:fldChar w:fldCharType="end"/>
            </w:r>
          </w:hyperlink>
        </w:p>
        <w:p w14:paraId="6C86B647" w14:textId="77777777" w:rsidR="003762A0" w:rsidRDefault="00E05F5D">
          <w:pPr>
            <w:pStyle w:val="TOC2"/>
            <w:tabs>
              <w:tab w:val="right" w:leader="dot" w:pos="9016"/>
            </w:tabs>
            <w:rPr>
              <w:noProof/>
              <w:lang w:eastAsia="en-AU"/>
            </w:rPr>
          </w:pPr>
          <w:hyperlink w:anchor="_Toc492454245" w:history="1">
            <w:r w:rsidR="003762A0" w:rsidRPr="0010058C">
              <w:rPr>
                <w:rStyle w:val="Hyperlink"/>
                <w:noProof/>
              </w:rPr>
              <w:t>Total Applications and Offers – TAC and Direct</w:t>
            </w:r>
            <w:r w:rsidR="003762A0">
              <w:rPr>
                <w:noProof/>
                <w:webHidden/>
              </w:rPr>
              <w:tab/>
            </w:r>
            <w:r w:rsidR="003762A0">
              <w:rPr>
                <w:noProof/>
                <w:webHidden/>
              </w:rPr>
              <w:fldChar w:fldCharType="begin"/>
            </w:r>
            <w:r w:rsidR="003762A0">
              <w:rPr>
                <w:noProof/>
                <w:webHidden/>
              </w:rPr>
              <w:instrText xml:space="preserve"> PAGEREF _Toc492454245 \h </w:instrText>
            </w:r>
            <w:r w:rsidR="003762A0">
              <w:rPr>
                <w:noProof/>
                <w:webHidden/>
              </w:rPr>
            </w:r>
            <w:r w:rsidR="003762A0">
              <w:rPr>
                <w:noProof/>
                <w:webHidden/>
              </w:rPr>
              <w:fldChar w:fldCharType="separate"/>
            </w:r>
            <w:r>
              <w:rPr>
                <w:noProof/>
                <w:webHidden/>
              </w:rPr>
              <w:t>6</w:t>
            </w:r>
            <w:r w:rsidR="003762A0">
              <w:rPr>
                <w:noProof/>
                <w:webHidden/>
              </w:rPr>
              <w:fldChar w:fldCharType="end"/>
            </w:r>
          </w:hyperlink>
        </w:p>
        <w:p w14:paraId="070BA4ED" w14:textId="77777777" w:rsidR="003762A0" w:rsidRDefault="00E05F5D">
          <w:pPr>
            <w:pStyle w:val="TOC2"/>
            <w:tabs>
              <w:tab w:val="right" w:leader="dot" w:pos="9016"/>
            </w:tabs>
            <w:rPr>
              <w:noProof/>
              <w:lang w:eastAsia="en-AU"/>
            </w:rPr>
          </w:pPr>
          <w:hyperlink w:anchor="_Toc492454246" w:history="1">
            <w:r w:rsidR="003762A0" w:rsidRPr="0010058C">
              <w:rPr>
                <w:rStyle w:val="Hyperlink"/>
                <w:noProof/>
              </w:rPr>
              <w:t>Field of education</w:t>
            </w:r>
            <w:r w:rsidR="003762A0">
              <w:rPr>
                <w:noProof/>
                <w:webHidden/>
              </w:rPr>
              <w:tab/>
            </w:r>
            <w:r w:rsidR="003762A0">
              <w:rPr>
                <w:noProof/>
                <w:webHidden/>
              </w:rPr>
              <w:fldChar w:fldCharType="begin"/>
            </w:r>
            <w:r w:rsidR="003762A0">
              <w:rPr>
                <w:noProof/>
                <w:webHidden/>
              </w:rPr>
              <w:instrText xml:space="preserve"> PAGEREF _Toc492454246 \h </w:instrText>
            </w:r>
            <w:r w:rsidR="003762A0">
              <w:rPr>
                <w:noProof/>
                <w:webHidden/>
              </w:rPr>
            </w:r>
            <w:r w:rsidR="003762A0">
              <w:rPr>
                <w:noProof/>
                <w:webHidden/>
              </w:rPr>
              <w:fldChar w:fldCharType="separate"/>
            </w:r>
            <w:r>
              <w:rPr>
                <w:noProof/>
                <w:webHidden/>
              </w:rPr>
              <w:t>6</w:t>
            </w:r>
            <w:r w:rsidR="003762A0">
              <w:rPr>
                <w:noProof/>
                <w:webHidden/>
              </w:rPr>
              <w:fldChar w:fldCharType="end"/>
            </w:r>
          </w:hyperlink>
        </w:p>
        <w:p w14:paraId="64C2D78F" w14:textId="77777777" w:rsidR="003762A0" w:rsidRDefault="00E05F5D">
          <w:pPr>
            <w:pStyle w:val="TOC2"/>
            <w:tabs>
              <w:tab w:val="right" w:leader="dot" w:pos="9016"/>
            </w:tabs>
            <w:rPr>
              <w:noProof/>
              <w:lang w:eastAsia="en-AU"/>
            </w:rPr>
          </w:pPr>
          <w:hyperlink w:anchor="_Toc492454247" w:history="1">
            <w:r w:rsidR="003762A0" w:rsidRPr="0010058C">
              <w:rPr>
                <w:rStyle w:val="Hyperlink"/>
                <w:noProof/>
              </w:rPr>
              <w:t>Underrepresented groups</w:t>
            </w:r>
            <w:r w:rsidR="003762A0">
              <w:rPr>
                <w:noProof/>
                <w:webHidden/>
              </w:rPr>
              <w:tab/>
            </w:r>
            <w:r w:rsidR="003762A0">
              <w:rPr>
                <w:noProof/>
                <w:webHidden/>
              </w:rPr>
              <w:fldChar w:fldCharType="begin"/>
            </w:r>
            <w:r w:rsidR="003762A0">
              <w:rPr>
                <w:noProof/>
                <w:webHidden/>
              </w:rPr>
              <w:instrText xml:space="preserve"> PAGEREF _Toc492454247 \h </w:instrText>
            </w:r>
            <w:r w:rsidR="003762A0">
              <w:rPr>
                <w:noProof/>
                <w:webHidden/>
              </w:rPr>
            </w:r>
            <w:r w:rsidR="003762A0">
              <w:rPr>
                <w:noProof/>
                <w:webHidden/>
              </w:rPr>
              <w:fldChar w:fldCharType="separate"/>
            </w:r>
            <w:r>
              <w:rPr>
                <w:noProof/>
                <w:webHidden/>
              </w:rPr>
              <w:t>7</w:t>
            </w:r>
            <w:r w:rsidR="003762A0">
              <w:rPr>
                <w:noProof/>
                <w:webHidden/>
              </w:rPr>
              <w:fldChar w:fldCharType="end"/>
            </w:r>
          </w:hyperlink>
        </w:p>
        <w:p w14:paraId="21D48362" w14:textId="77777777" w:rsidR="003762A0" w:rsidRDefault="00E05F5D">
          <w:pPr>
            <w:pStyle w:val="TOC2"/>
            <w:tabs>
              <w:tab w:val="right" w:leader="dot" w:pos="9016"/>
            </w:tabs>
            <w:rPr>
              <w:noProof/>
              <w:lang w:eastAsia="en-AU"/>
            </w:rPr>
          </w:pPr>
          <w:hyperlink w:anchor="_Toc492454248" w:history="1">
            <w:r w:rsidR="003762A0" w:rsidRPr="0010058C">
              <w:rPr>
                <w:rStyle w:val="Hyperlink"/>
                <w:noProof/>
              </w:rPr>
              <w:t>Australian Tertiary Admission Rank (ATAR)</w:t>
            </w:r>
            <w:r w:rsidR="003762A0">
              <w:rPr>
                <w:noProof/>
                <w:webHidden/>
              </w:rPr>
              <w:tab/>
            </w:r>
            <w:r w:rsidR="003762A0">
              <w:rPr>
                <w:noProof/>
                <w:webHidden/>
              </w:rPr>
              <w:fldChar w:fldCharType="begin"/>
            </w:r>
            <w:r w:rsidR="003762A0">
              <w:rPr>
                <w:noProof/>
                <w:webHidden/>
              </w:rPr>
              <w:instrText xml:space="preserve"> PAGEREF _Toc492454248 \h </w:instrText>
            </w:r>
            <w:r w:rsidR="003762A0">
              <w:rPr>
                <w:noProof/>
                <w:webHidden/>
              </w:rPr>
            </w:r>
            <w:r w:rsidR="003762A0">
              <w:rPr>
                <w:noProof/>
                <w:webHidden/>
              </w:rPr>
              <w:fldChar w:fldCharType="separate"/>
            </w:r>
            <w:r>
              <w:rPr>
                <w:noProof/>
                <w:webHidden/>
              </w:rPr>
              <w:t>7</w:t>
            </w:r>
            <w:r w:rsidR="003762A0">
              <w:rPr>
                <w:noProof/>
                <w:webHidden/>
              </w:rPr>
              <w:fldChar w:fldCharType="end"/>
            </w:r>
          </w:hyperlink>
        </w:p>
        <w:p w14:paraId="70C118CC" w14:textId="77777777" w:rsidR="003762A0" w:rsidRDefault="00E05F5D">
          <w:pPr>
            <w:pStyle w:val="TOC2"/>
            <w:tabs>
              <w:tab w:val="right" w:leader="dot" w:pos="9016"/>
            </w:tabs>
            <w:rPr>
              <w:noProof/>
              <w:lang w:eastAsia="en-AU"/>
            </w:rPr>
          </w:pPr>
          <w:hyperlink w:anchor="_Toc492454249" w:history="1">
            <w:r w:rsidR="003762A0" w:rsidRPr="0010058C">
              <w:rPr>
                <w:rStyle w:val="Hyperlink"/>
                <w:noProof/>
              </w:rPr>
              <w:t>Applications and Offers through Tertiary Admissions Centres</w:t>
            </w:r>
            <w:r w:rsidR="003762A0">
              <w:rPr>
                <w:noProof/>
                <w:webHidden/>
              </w:rPr>
              <w:tab/>
            </w:r>
            <w:r w:rsidR="003762A0">
              <w:rPr>
                <w:noProof/>
                <w:webHidden/>
              </w:rPr>
              <w:fldChar w:fldCharType="begin"/>
            </w:r>
            <w:r w:rsidR="003762A0">
              <w:rPr>
                <w:noProof/>
                <w:webHidden/>
              </w:rPr>
              <w:instrText xml:space="preserve"> PAGEREF _Toc492454249 \h </w:instrText>
            </w:r>
            <w:r w:rsidR="003762A0">
              <w:rPr>
                <w:noProof/>
                <w:webHidden/>
              </w:rPr>
            </w:r>
            <w:r w:rsidR="003762A0">
              <w:rPr>
                <w:noProof/>
                <w:webHidden/>
              </w:rPr>
              <w:fldChar w:fldCharType="separate"/>
            </w:r>
            <w:r>
              <w:rPr>
                <w:noProof/>
                <w:webHidden/>
              </w:rPr>
              <w:t>7</w:t>
            </w:r>
            <w:r w:rsidR="003762A0">
              <w:rPr>
                <w:noProof/>
                <w:webHidden/>
              </w:rPr>
              <w:fldChar w:fldCharType="end"/>
            </w:r>
          </w:hyperlink>
        </w:p>
        <w:p w14:paraId="3AE12DEA" w14:textId="77777777" w:rsidR="003762A0" w:rsidRDefault="00E05F5D">
          <w:pPr>
            <w:pStyle w:val="TOC2"/>
            <w:tabs>
              <w:tab w:val="right" w:leader="dot" w:pos="9016"/>
            </w:tabs>
            <w:rPr>
              <w:noProof/>
              <w:lang w:eastAsia="en-AU"/>
            </w:rPr>
          </w:pPr>
          <w:hyperlink w:anchor="_Toc492454250" w:history="1">
            <w:r w:rsidR="003762A0" w:rsidRPr="0010058C">
              <w:rPr>
                <w:rStyle w:val="Hyperlink"/>
                <w:noProof/>
              </w:rPr>
              <w:t>Direct Applications and offers</w:t>
            </w:r>
            <w:r w:rsidR="003762A0">
              <w:rPr>
                <w:noProof/>
                <w:webHidden/>
              </w:rPr>
              <w:tab/>
            </w:r>
            <w:r w:rsidR="003762A0">
              <w:rPr>
                <w:noProof/>
                <w:webHidden/>
              </w:rPr>
              <w:fldChar w:fldCharType="begin"/>
            </w:r>
            <w:r w:rsidR="003762A0">
              <w:rPr>
                <w:noProof/>
                <w:webHidden/>
              </w:rPr>
              <w:instrText xml:space="preserve"> PAGEREF _Toc492454250 \h </w:instrText>
            </w:r>
            <w:r w:rsidR="003762A0">
              <w:rPr>
                <w:noProof/>
                <w:webHidden/>
              </w:rPr>
            </w:r>
            <w:r w:rsidR="003762A0">
              <w:rPr>
                <w:noProof/>
                <w:webHidden/>
              </w:rPr>
              <w:fldChar w:fldCharType="separate"/>
            </w:r>
            <w:r>
              <w:rPr>
                <w:noProof/>
                <w:webHidden/>
              </w:rPr>
              <w:t>8</w:t>
            </w:r>
            <w:r w:rsidR="003762A0">
              <w:rPr>
                <w:noProof/>
                <w:webHidden/>
              </w:rPr>
              <w:fldChar w:fldCharType="end"/>
            </w:r>
          </w:hyperlink>
        </w:p>
        <w:p w14:paraId="6BAB41BF" w14:textId="77777777" w:rsidR="003762A0" w:rsidRDefault="00E05F5D">
          <w:pPr>
            <w:pStyle w:val="TOC1"/>
            <w:tabs>
              <w:tab w:val="left" w:pos="440"/>
              <w:tab w:val="right" w:leader="dot" w:pos="9016"/>
            </w:tabs>
            <w:rPr>
              <w:noProof/>
              <w:lang w:eastAsia="en-AU"/>
            </w:rPr>
          </w:pPr>
          <w:hyperlink w:anchor="_Toc492454251" w:history="1">
            <w:r w:rsidR="003762A0" w:rsidRPr="0010058C">
              <w:rPr>
                <w:rStyle w:val="Hyperlink"/>
                <w:noProof/>
              </w:rPr>
              <w:t>3.</w:t>
            </w:r>
            <w:r w:rsidR="003762A0">
              <w:rPr>
                <w:noProof/>
                <w:lang w:eastAsia="en-AU"/>
              </w:rPr>
              <w:tab/>
            </w:r>
            <w:r w:rsidR="003762A0" w:rsidRPr="0010058C">
              <w:rPr>
                <w:rStyle w:val="Hyperlink"/>
                <w:noProof/>
              </w:rPr>
              <w:t>Applicants</w:t>
            </w:r>
            <w:r w:rsidR="003762A0">
              <w:rPr>
                <w:noProof/>
                <w:webHidden/>
              </w:rPr>
              <w:tab/>
            </w:r>
            <w:r w:rsidR="003762A0">
              <w:rPr>
                <w:noProof/>
                <w:webHidden/>
              </w:rPr>
              <w:fldChar w:fldCharType="begin"/>
            </w:r>
            <w:r w:rsidR="003762A0">
              <w:rPr>
                <w:noProof/>
                <w:webHidden/>
              </w:rPr>
              <w:instrText xml:space="preserve"> PAGEREF _Toc492454251 \h </w:instrText>
            </w:r>
            <w:r w:rsidR="003762A0">
              <w:rPr>
                <w:noProof/>
                <w:webHidden/>
              </w:rPr>
            </w:r>
            <w:r w:rsidR="003762A0">
              <w:rPr>
                <w:noProof/>
                <w:webHidden/>
              </w:rPr>
              <w:fldChar w:fldCharType="separate"/>
            </w:r>
            <w:r>
              <w:rPr>
                <w:noProof/>
                <w:webHidden/>
              </w:rPr>
              <w:t>9</w:t>
            </w:r>
            <w:r w:rsidR="003762A0">
              <w:rPr>
                <w:noProof/>
                <w:webHidden/>
              </w:rPr>
              <w:fldChar w:fldCharType="end"/>
            </w:r>
          </w:hyperlink>
        </w:p>
        <w:p w14:paraId="24063121" w14:textId="77777777" w:rsidR="003762A0" w:rsidRDefault="00E05F5D">
          <w:pPr>
            <w:pStyle w:val="TOC2"/>
            <w:tabs>
              <w:tab w:val="right" w:leader="dot" w:pos="9016"/>
            </w:tabs>
            <w:rPr>
              <w:noProof/>
              <w:lang w:eastAsia="en-AU"/>
            </w:rPr>
          </w:pPr>
          <w:hyperlink w:anchor="_Toc492454252" w:history="1">
            <w:r w:rsidR="003762A0" w:rsidRPr="0010058C">
              <w:rPr>
                <w:rStyle w:val="Hyperlink"/>
                <w:noProof/>
              </w:rPr>
              <w:t>Number of Applicants</w:t>
            </w:r>
            <w:r w:rsidR="003762A0">
              <w:rPr>
                <w:noProof/>
                <w:webHidden/>
              </w:rPr>
              <w:tab/>
            </w:r>
            <w:r w:rsidR="003762A0">
              <w:rPr>
                <w:noProof/>
                <w:webHidden/>
              </w:rPr>
              <w:fldChar w:fldCharType="begin"/>
            </w:r>
            <w:r w:rsidR="003762A0">
              <w:rPr>
                <w:noProof/>
                <w:webHidden/>
              </w:rPr>
              <w:instrText xml:space="preserve"> PAGEREF _Toc492454252 \h </w:instrText>
            </w:r>
            <w:r w:rsidR="003762A0">
              <w:rPr>
                <w:noProof/>
                <w:webHidden/>
              </w:rPr>
            </w:r>
            <w:r w:rsidR="003762A0">
              <w:rPr>
                <w:noProof/>
                <w:webHidden/>
              </w:rPr>
              <w:fldChar w:fldCharType="separate"/>
            </w:r>
            <w:r>
              <w:rPr>
                <w:noProof/>
                <w:webHidden/>
              </w:rPr>
              <w:t>9</w:t>
            </w:r>
            <w:r w:rsidR="003762A0">
              <w:rPr>
                <w:noProof/>
                <w:webHidden/>
              </w:rPr>
              <w:fldChar w:fldCharType="end"/>
            </w:r>
          </w:hyperlink>
        </w:p>
        <w:p w14:paraId="1C977251" w14:textId="77777777" w:rsidR="003762A0" w:rsidRDefault="00E05F5D">
          <w:pPr>
            <w:pStyle w:val="TOC2"/>
            <w:tabs>
              <w:tab w:val="right" w:leader="dot" w:pos="9016"/>
            </w:tabs>
            <w:rPr>
              <w:noProof/>
              <w:lang w:eastAsia="en-AU"/>
            </w:rPr>
          </w:pPr>
          <w:hyperlink w:anchor="_Toc492454253" w:history="1">
            <w:r w:rsidR="003762A0" w:rsidRPr="0010058C">
              <w:rPr>
                <w:rStyle w:val="Hyperlink"/>
                <w:noProof/>
              </w:rPr>
              <w:t>State and Territory</w:t>
            </w:r>
            <w:r w:rsidR="003762A0">
              <w:rPr>
                <w:noProof/>
                <w:webHidden/>
              </w:rPr>
              <w:tab/>
            </w:r>
            <w:r w:rsidR="003762A0">
              <w:rPr>
                <w:noProof/>
                <w:webHidden/>
              </w:rPr>
              <w:fldChar w:fldCharType="begin"/>
            </w:r>
            <w:r w:rsidR="003762A0">
              <w:rPr>
                <w:noProof/>
                <w:webHidden/>
              </w:rPr>
              <w:instrText xml:space="preserve"> PAGEREF _Toc492454253 \h </w:instrText>
            </w:r>
            <w:r w:rsidR="003762A0">
              <w:rPr>
                <w:noProof/>
                <w:webHidden/>
              </w:rPr>
            </w:r>
            <w:r w:rsidR="003762A0">
              <w:rPr>
                <w:noProof/>
                <w:webHidden/>
              </w:rPr>
              <w:fldChar w:fldCharType="separate"/>
            </w:r>
            <w:r>
              <w:rPr>
                <w:noProof/>
                <w:webHidden/>
              </w:rPr>
              <w:t>9</w:t>
            </w:r>
            <w:r w:rsidR="003762A0">
              <w:rPr>
                <w:noProof/>
                <w:webHidden/>
              </w:rPr>
              <w:fldChar w:fldCharType="end"/>
            </w:r>
          </w:hyperlink>
        </w:p>
        <w:p w14:paraId="79095128" w14:textId="77777777" w:rsidR="003762A0" w:rsidRDefault="00E05F5D">
          <w:pPr>
            <w:pStyle w:val="TOC2"/>
            <w:tabs>
              <w:tab w:val="right" w:leader="dot" w:pos="9016"/>
            </w:tabs>
            <w:rPr>
              <w:noProof/>
              <w:lang w:eastAsia="en-AU"/>
            </w:rPr>
          </w:pPr>
          <w:hyperlink w:anchor="_Toc492454254" w:history="1">
            <w:r w:rsidR="003762A0" w:rsidRPr="0010058C">
              <w:rPr>
                <w:rStyle w:val="Hyperlink"/>
                <w:noProof/>
              </w:rPr>
              <w:t>Prior Education</w:t>
            </w:r>
            <w:r w:rsidR="003762A0">
              <w:rPr>
                <w:noProof/>
                <w:webHidden/>
              </w:rPr>
              <w:tab/>
            </w:r>
            <w:r w:rsidR="003762A0">
              <w:rPr>
                <w:noProof/>
                <w:webHidden/>
              </w:rPr>
              <w:fldChar w:fldCharType="begin"/>
            </w:r>
            <w:r w:rsidR="003762A0">
              <w:rPr>
                <w:noProof/>
                <w:webHidden/>
              </w:rPr>
              <w:instrText xml:space="preserve"> PAGEREF _Toc492454254 \h </w:instrText>
            </w:r>
            <w:r w:rsidR="003762A0">
              <w:rPr>
                <w:noProof/>
                <w:webHidden/>
              </w:rPr>
            </w:r>
            <w:r w:rsidR="003762A0">
              <w:rPr>
                <w:noProof/>
                <w:webHidden/>
              </w:rPr>
              <w:fldChar w:fldCharType="separate"/>
            </w:r>
            <w:r>
              <w:rPr>
                <w:noProof/>
                <w:webHidden/>
              </w:rPr>
              <w:t>9</w:t>
            </w:r>
            <w:r w:rsidR="003762A0">
              <w:rPr>
                <w:noProof/>
                <w:webHidden/>
              </w:rPr>
              <w:fldChar w:fldCharType="end"/>
            </w:r>
          </w:hyperlink>
        </w:p>
        <w:p w14:paraId="757B7386" w14:textId="77777777" w:rsidR="003762A0" w:rsidRDefault="00E05F5D">
          <w:pPr>
            <w:pStyle w:val="TOC1"/>
            <w:tabs>
              <w:tab w:val="left" w:pos="440"/>
              <w:tab w:val="right" w:leader="dot" w:pos="9016"/>
            </w:tabs>
            <w:rPr>
              <w:noProof/>
              <w:lang w:eastAsia="en-AU"/>
            </w:rPr>
          </w:pPr>
          <w:hyperlink w:anchor="_Toc492454255" w:history="1">
            <w:r w:rsidR="003762A0" w:rsidRPr="0010058C">
              <w:rPr>
                <w:rStyle w:val="Hyperlink"/>
                <w:noProof/>
              </w:rPr>
              <w:t>4.</w:t>
            </w:r>
            <w:r w:rsidR="003762A0">
              <w:rPr>
                <w:noProof/>
                <w:lang w:eastAsia="en-AU"/>
              </w:rPr>
              <w:tab/>
            </w:r>
            <w:r w:rsidR="003762A0" w:rsidRPr="0010058C">
              <w:rPr>
                <w:rStyle w:val="Hyperlink"/>
                <w:noProof/>
              </w:rPr>
              <w:t>Offers</w:t>
            </w:r>
            <w:r w:rsidR="003762A0">
              <w:rPr>
                <w:noProof/>
                <w:webHidden/>
              </w:rPr>
              <w:tab/>
            </w:r>
            <w:r w:rsidR="003762A0">
              <w:rPr>
                <w:noProof/>
                <w:webHidden/>
              </w:rPr>
              <w:fldChar w:fldCharType="begin"/>
            </w:r>
            <w:r w:rsidR="003762A0">
              <w:rPr>
                <w:noProof/>
                <w:webHidden/>
              </w:rPr>
              <w:instrText xml:space="preserve"> PAGEREF _Toc492454255 \h </w:instrText>
            </w:r>
            <w:r w:rsidR="003762A0">
              <w:rPr>
                <w:noProof/>
                <w:webHidden/>
              </w:rPr>
            </w:r>
            <w:r w:rsidR="003762A0">
              <w:rPr>
                <w:noProof/>
                <w:webHidden/>
              </w:rPr>
              <w:fldChar w:fldCharType="separate"/>
            </w:r>
            <w:r>
              <w:rPr>
                <w:noProof/>
                <w:webHidden/>
              </w:rPr>
              <w:t>11</w:t>
            </w:r>
            <w:r w:rsidR="003762A0">
              <w:rPr>
                <w:noProof/>
                <w:webHidden/>
              </w:rPr>
              <w:fldChar w:fldCharType="end"/>
            </w:r>
          </w:hyperlink>
        </w:p>
        <w:p w14:paraId="1C0BCF99" w14:textId="77777777" w:rsidR="003762A0" w:rsidRDefault="00E05F5D">
          <w:pPr>
            <w:pStyle w:val="TOC2"/>
            <w:tabs>
              <w:tab w:val="right" w:leader="dot" w:pos="9016"/>
            </w:tabs>
            <w:rPr>
              <w:noProof/>
              <w:lang w:eastAsia="en-AU"/>
            </w:rPr>
          </w:pPr>
          <w:hyperlink w:anchor="_Toc492454256" w:history="1">
            <w:r w:rsidR="003762A0" w:rsidRPr="0010058C">
              <w:rPr>
                <w:rStyle w:val="Hyperlink"/>
                <w:noProof/>
              </w:rPr>
              <w:t>Overall trends</w:t>
            </w:r>
            <w:r w:rsidR="003762A0">
              <w:rPr>
                <w:noProof/>
                <w:webHidden/>
              </w:rPr>
              <w:tab/>
            </w:r>
            <w:r w:rsidR="003762A0">
              <w:rPr>
                <w:noProof/>
                <w:webHidden/>
              </w:rPr>
              <w:fldChar w:fldCharType="begin"/>
            </w:r>
            <w:r w:rsidR="003762A0">
              <w:rPr>
                <w:noProof/>
                <w:webHidden/>
              </w:rPr>
              <w:instrText xml:space="preserve"> PAGEREF _Toc492454256 \h </w:instrText>
            </w:r>
            <w:r w:rsidR="003762A0">
              <w:rPr>
                <w:noProof/>
                <w:webHidden/>
              </w:rPr>
            </w:r>
            <w:r w:rsidR="003762A0">
              <w:rPr>
                <w:noProof/>
                <w:webHidden/>
              </w:rPr>
              <w:fldChar w:fldCharType="separate"/>
            </w:r>
            <w:r>
              <w:rPr>
                <w:noProof/>
                <w:webHidden/>
              </w:rPr>
              <w:t>11</w:t>
            </w:r>
            <w:r w:rsidR="003762A0">
              <w:rPr>
                <w:noProof/>
                <w:webHidden/>
              </w:rPr>
              <w:fldChar w:fldCharType="end"/>
            </w:r>
          </w:hyperlink>
        </w:p>
        <w:p w14:paraId="0C27D410" w14:textId="77777777" w:rsidR="003762A0" w:rsidRDefault="00E05F5D">
          <w:pPr>
            <w:pStyle w:val="TOC2"/>
            <w:tabs>
              <w:tab w:val="right" w:leader="dot" w:pos="9016"/>
            </w:tabs>
            <w:rPr>
              <w:noProof/>
              <w:lang w:eastAsia="en-AU"/>
            </w:rPr>
          </w:pPr>
          <w:hyperlink w:anchor="_Toc492454257" w:history="1">
            <w:r w:rsidR="003762A0" w:rsidRPr="0010058C">
              <w:rPr>
                <w:rStyle w:val="Hyperlink"/>
                <w:noProof/>
              </w:rPr>
              <w:t>State and Territory</w:t>
            </w:r>
            <w:r w:rsidR="003762A0">
              <w:rPr>
                <w:noProof/>
                <w:webHidden/>
              </w:rPr>
              <w:tab/>
            </w:r>
            <w:r w:rsidR="003762A0">
              <w:rPr>
                <w:noProof/>
                <w:webHidden/>
              </w:rPr>
              <w:fldChar w:fldCharType="begin"/>
            </w:r>
            <w:r w:rsidR="003762A0">
              <w:rPr>
                <w:noProof/>
                <w:webHidden/>
              </w:rPr>
              <w:instrText xml:space="preserve"> PAGEREF _Toc492454257 \h </w:instrText>
            </w:r>
            <w:r w:rsidR="003762A0">
              <w:rPr>
                <w:noProof/>
                <w:webHidden/>
              </w:rPr>
            </w:r>
            <w:r w:rsidR="003762A0">
              <w:rPr>
                <w:noProof/>
                <w:webHidden/>
              </w:rPr>
              <w:fldChar w:fldCharType="separate"/>
            </w:r>
            <w:r>
              <w:rPr>
                <w:noProof/>
                <w:webHidden/>
              </w:rPr>
              <w:t>11</w:t>
            </w:r>
            <w:r w:rsidR="003762A0">
              <w:rPr>
                <w:noProof/>
                <w:webHidden/>
              </w:rPr>
              <w:fldChar w:fldCharType="end"/>
            </w:r>
          </w:hyperlink>
        </w:p>
        <w:p w14:paraId="6EFF151E" w14:textId="77777777" w:rsidR="003762A0" w:rsidRDefault="00E05F5D">
          <w:pPr>
            <w:pStyle w:val="TOC2"/>
            <w:tabs>
              <w:tab w:val="right" w:leader="dot" w:pos="9016"/>
            </w:tabs>
            <w:rPr>
              <w:noProof/>
              <w:lang w:eastAsia="en-AU"/>
            </w:rPr>
          </w:pPr>
          <w:hyperlink w:anchor="_Toc492454258" w:history="1">
            <w:r w:rsidR="003762A0" w:rsidRPr="0010058C">
              <w:rPr>
                <w:rStyle w:val="Hyperlink"/>
                <w:noProof/>
              </w:rPr>
              <w:t>Offer rate</w:t>
            </w:r>
            <w:r w:rsidR="003762A0">
              <w:rPr>
                <w:noProof/>
                <w:webHidden/>
              </w:rPr>
              <w:tab/>
            </w:r>
            <w:r w:rsidR="003762A0">
              <w:rPr>
                <w:noProof/>
                <w:webHidden/>
              </w:rPr>
              <w:fldChar w:fldCharType="begin"/>
            </w:r>
            <w:r w:rsidR="003762A0">
              <w:rPr>
                <w:noProof/>
                <w:webHidden/>
              </w:rPr>
              <w:instrText xml:space="preserve"> PAGEREF _Toc492454258 \h </w:instrText>
            </w:r>
            <w:r w:rsidR="003762A0">
              <w:rPr>
                <w:noProof/>
                <w:webHidden/>
              </w:rPr>
            </w:r>
            <w:r w:rsidR="003762A0">
              <w:rPr>
                <w:noProof/>
                <w:webHidden/>
              </w:rPr>
              <w:fldChar w:fldCharType="separate"/>
            </w:r>
            <w:r>
              <w:rPr>
                <w:noProof/>
                <w:webHidden/>
              </w:rPr>
              <w:t>11</w:t>
            </w:r>
            <w:r w:rsidR="003762A0">
              <w:rPr>
                <w:noProof/>
                <w:webHidden/>
              </w:rPr>
              <w:fldChar w:fldCharType="end"/>
            </w:r>
          </w:hyperlink>
        </w:p>
        <w:p w14:paraId="4ADA1FA7" w14:textId="77777777" w:rsidR="003762A0" w:rsidRDefault="00E05F5D">
          <w:pPr>
            <w:pStyle w:val="TOC2"/>
            <w:tabs>
              <w:tab w:val="right" w:leader="dot" w:pos="9016"/>
            </w:tabs>
            <w:rPr>
              <w:noProof/>
              <w:lang w:eastAsia="en-AU"/>
            </w:rPr>
          </w:pPr>
          <w:hyperlink w:anchor="_Toc492454259" w:history="1">
            <w:r w:rsidR="003762A0" w:rsidRPr="0010058C">
              <w:rPr>
                <w:rStyle w:val="Hyperlink"/>
                <w:noProof/>
              </w:rPr>
              <w:t>Year 12 status</w:t>
            </w:r>
            <w:r w:rsidR="003762A0">
              <w:rPr>
                <w:noProof/>
                <w:webHidden/>
              </w:rPr>
              <w:tab/>
            </w:r>
            <w:r w:rsidR="003762A0">
              <w:rPr>
                <w:noProof/>
                <w:webHidden/>
              </w:rPr>
              <w:fldChar w:fldCharType="begin"/>
            </w:r>
            <w:r w:rsidR="003762A0">
              <w:rPr>
                <w:noProof/>
                <w:webHidden/>
              </w:rPr>
              <w:instrText xml:space="preserve"> PAGEREF _Toc492454259 \h </w:instrText>
            </w:r>
            <w:r w:rsidR="003762A0">
              <w:rPr>
                <w:noProof/>
                <w:webHidden/>
              </w:rPr>
            </w:r>
            <w:r w:rsidR="003762A0">
              <w:rPr>
                <w:noProof/>
                <w:webHidden/>
              </w:rPr>
              <w:fldChar w:fldCharType="separate"/>
            </w:r>
            <w:r>
              <w:rPr>
                <w:noProof/>
                <w:webHidden/>
              </w:rPr>
              <w:t>11</w:t>
            </w:r>
            <w:r w:rsidR="003762A0">
              <w:rPr>
                <w:noProof/>
                <w:webHidden/>
              </w:rPr>
              <w:fldChar w:fldCharType="end"/>
            </w:r>
          </w:hyperlink>
        </w:p>
        <w:p w14:paraId="2CFD17F8" w14:textId="77777777" w:rsidR="003762A0" w:rsidRDefault="00E05F5D">
          <w:pPr>
            <w:pStyle w:val="TOC1"/>
            <w:tabs>
              <w:tab w:val="left" w:pos="440"/>
              <w:tab w:val="right" w:leader="dot" w:pos="9016"/>
            </w:tabs>
            <w:rPr>
              <w:noProof/>
              <w:lang w:eastAsia="en-AU"/>
            </w:rPr>
          </w:pPr>
          <w:hyperlink w:anchor="_Toc492454260" w:history="1">
            <w:r w:rsidR="003762A0" w:rsidRPr="0010058C">
              <w:rPr>
                <w:rStyle w:val="Hyperlink"/>
                <w:noProof/>
              </w:rPr>
              <w:t>5.</w:t>
            </w:r>
            <w:r w:rsidR="003762A0">
              <w:rPr>
                <w:noProof/>
                <w:lang w:eastAsia="en-AU"/>
              </w:rPr>
              <w:tab/>
            </w:r>
            <w:r w:rsidR="003762A0" w:rsidRPr="0010058C">
              <w:rPr>
                <w:rStyle w:val="Hyperlink"/>
                <w:noProof/>
              </w:rPr>
              <w:t>Field of Education</w:t>
            </w:r>
            <w:r w:rsidR="003762A0">
              <w:rPr>
                <w:noProof/>
                <w:webHidden/>
              </w:rPr>
              <w:tab/>
            </w:r>
            <w:r w:rsidR="003762A0">
              <w:rPr>
                <w:noProof/>
                <w:webHidden/>
              </w:rPr>
              <w:fldChar w:fldCharType="begin"/>
            </w:r>
            <w:r w:rsidR="003762A0">
              <w:rPr>
                <w:noProof/>
                <w:webHidden/>
              </w:rPr>
              <w:instrText xml:space="preserve"> PAGEREF _Toc492454260 \h </w:instrText>
            </w:r>
            <w:r w:rsidR="003762A0">
              <w:rPr>
                <w:noProof/>
                <w:webHidden/>
              </w:rPr>
            </w:r>
            <w:r w:rsidR="003762A0">
              <w:rPr>
                <w:noProof/>
                <w:webHidden/>
              </w:rPr>
              <w:fldChar w:fldCharType="separate"/>
            </w:r>
            <w:r>
              <w:rPr>
                <w:noProof/>
                <w:webHidden/>
              </w:rPr>
              <w:t>14</w:t>
            </w:r>
            <w:r w:rsidR="003762A0">
              <w:rPr>
                <w:noProof/>
                <w:webHidden/>
              </w:rPr>
              <w:fldChar w:fldCharType="end"/>
            </w:r>
          </w:hyperlink>
        </w:p>
        <w:p w14:paraId="048D57D2" w14:textId="77777777" w:rsidR="003762A0" w:rsidRDefault="00E05F5D">
          <w:pPr>
            <w:pStyle w:val="TOC2"/>
            <w:tabs>
              <w:tab w:val="right" w:leader="dot" w:pos="9016"/>
            </w:tabs>
            <w:rPr>
              <w:noProof/>
              <w:lang w:eastAsia="en-AU"/>
            </w:rPr>
          </w:pPr>
          <w:hyperlink w:anchor="_Toc492454261" w:history="1">
            <w:r w:rsidR="003762A0" w:rsidRPr="0010058C">
              <w:rPr>
                <w:rStyle w:val="Hyperlink"/>
                <w:noProof/>
              </w:rPr>
              <w:t>Applications</w:t>
            </w:r>
            <w:r w:rsidR="003762A0">
              <w:rPr>
                <w:noProof/>
                <w:webHidden/>
              </w:rPr>
              <w:tab/>
            </w:r>
            <w:r w:rsidR="003762A0">
              <w:rPr>
                <w:noProof/>
                <w:webHidden/>
              </w:rPr>
              <w:fldChar w:fldCharType="begin"/>
            </w:r>
            <w:r w:rsidR="003762A0">
              <w:rPr>
                <w:noProof/>
                <w:webHidden/>
              </w:rPr>
              <w:instrText xml:space="preserve"> PAGEREF _Toc492454261 \h </w:instrText>
            </w:r>
            <w:r w:rsidR="003762A0">
              <w:rPr>
                <w:noProof/>
                <w:webHidden/>
              </w:rPr>
            </w:r>
            <w:r w:rsidR="003762A0">
              <w:rPr>
                <w:noProof/>
                <w:webHidden/>
              </w:rPr>
              <w:fldChar w:fldCharType="separate"/>
            </w:r>
            <w:r>
              <w:rPr>
                <w:noProof/>
                <w:webHidden/>
              </w:rPr>
              <w:t>14</w:t>
            </w:r>
            <w:r w:rsidR="003762A0">
              <w:rPr>
                <w:noProof/>
                <w:webHidden/>
              </w:rPr>
              <w:fldChar w:fldCharType="end"/>
            </w:r>
          </w:hyperlink>
        </w:p>
        <w:p w14:paraId="3D6EB4C8" w14:textId="77777777" w:rsidR="003762A0" w:rsidRDefault="00E05F5D">
          <w:pPr>
            <w:pStyle w:val="TOC2"/>
            <w:tabs>
              <w:tab w:val="right" w:leader="dot" w:pos="9016"/>
            </w:tabs>
            <w:rPr>
              <w:noProof/>
              <w:lang w:eastAsia="en-AU"/>
            </w:rPr>
          </w:pPr>
          <w:hyperlink w:anchor="_Toc492454262" w:history="1">
            <w:r w:rsidR="003762A0" w:rsidRPr="0010058C">
              <w:rPr>
                <w:rStyle w:val="Hyperlink"/>
                <w:noProof/>
              </w:rPr>
              <w:t>Offers</w:t>
            </w:r>
            <w:r w:rsidR="003762A0">
              <w:rPr>
                <w:noProof/>
                <w:webHidden/>
              </w:rPr>
              <w:tab/>
            </w:r>
            <w:r w:rsidR="003762A0">
              <w:rPr>
                <w:noProof/>
                <w:webHidden/>
              </w:rPr>
              <w:fldChar w:fldCharType="begin"/>
            </w:r>
            <w:r w:rsidR="003762A0">
              <w:rPr>
                <w:noProof/>
                <w:webHidden/>
              </w:rPr>
              <w:instrText xml:space="preserve"> PAGEREF _Toc492454262 \h </w:instrText>
            </w:r>
            <w:r w:rsidR="003762A0">
              <w:rPr>
                <w:noProof/>
                <w:webHidden/>
              </w:rPr>
            </w:r>
            <w:r w:rsidR="003762A0">
              <w:rPr>
                <w:noProof/>
                <w:webHidden/>
              </w:rPr>
              <w:fldChar w:fldCharType="separate"/>
            </w:r>
            <w:r>
              <w:rPr>
                <w:noProof/>
                <w:webHidden/>
              </w:rPr>
              <w:t>14</w:t>
            </w:r>
            <w:r w:rsidR="003762A0">
              <w:rPr>
                <w:noProof/>
                <w:webHidden/>
              </w:rPr>
              <w:fldChar w:fldCharType="end"/>
            </w:r>
          </w:hyperlink>
        </w:p>
        <w:p w14:paraId="5B1A3DE9" w14:textId="77777777" w:rsidR="003762A0" w:rsidRDefault="00E05F5D">
          <w:pPr>
            <w:pStyle w:val="TOC2"/>
            <w:tabs>
              <w:tab w:val="right" w:leader="dot" w:pos="9016"/>
            </w:tabs>
            <w:rPr>
              <w:noProof/>
              <w:lang w:eastAsia="en-AU"/>
            </w:rPr>
          </w:pPr>
          <w:hyperlink w:anchor="_Toc492454263" w:history="1">
            <w:r w:rsidR="003762A0" w:rsidRPr="0010058C">
              <w:rPr>
                <w:rStyle w:val="Hyperlink"/>
                <w:noProof/>
              </w:rPr>
              <w:t>Offer rate</w:t>
            </w:r>
            <w:r w:rsidR="003762A0">
              <w:rPr>
                <w:noProof/>
                <w:webHidden/>
              </w:rPr>
              <w:tab/>
            </w:r>
            <w:r w:rsidR="003762A0">
              <w:rPr>
                <w:noProof/>
                <w:webHidden/>
              </w:rPr>
              <w:fldChar w:fldCharType="begin"/>
            </w:r>
            <w:r w:rsidR="003762A0">
              <w:rPr>
                <w:noProof/>
                <w:webHidden/>
              </w:rPr>
              <w:instrText xml:space="preserve"> PAGEREF _Toc492454263 \h </w:instrText>
            </w:r>
            <w:r w:rsidR="003762A0">
              <w:rPr>
                <w:noProof/>
                <w:webHidden/>
              </w:rPr>
            </w:r>
            <w:r w:rsidR="003762A0">
              <w:rPr>
                <w:noProof/>
                <w:webHidden/>
              </w:rPr>
              <w:fldChar w:fldCharType="separate"/>
            </w:r>
            <w:r>
              <w:rPr>
                <w:noProof/>
                <w:webHidden/>
              </w:rPr>
              <w:t>14</w:t>
            </w:r>
            <w:r w:rsidR="003762A0">
              <w:rPr>
                <w:noProof/>
                <w:webHidden/>
              </w:rPr>
              <w:fldChar w:fldCharType="end"/>
            </w:r>
          </w:hyperlink>
        </w:p>
        <w:p w14:paraId="18C60B02" w14:textId="77777777" w:rsidR="003762A0" w:rsidRDefault="00E05F5D">
          <w:pPr>
            <w:pStyle w:val="TOC1"/>
            <w:tabs>
              <w:tab w:val="left" w:pos="440"/>
              <w:tab w:val="right" w:leader="dot" w:pos="9016"/>
            </w:tabs>
            <w:rPr>
              <w:noProof/>
              <w:lang w:eastAsia="en-AU"/>
            </w:rPr>
          </w:pPr>
          <w:hyperlink w:anchor="_Toc492454264" w:history="1">
            <w:r w:rsidR="003762A0" w:rsidRPr="0010058C">
              <w:rPr>
                <w:rStyle w:val="Hyperlink"/>
                <w:noProof/>
              </w:rPr>
              <w:t>6.</w:t>
            </w:r>
            <w:r w:rsidR="003762A0">
              <w:rPr>
                <w:noProof/>
                <w:lang w:eastAsia="en-AU"/>
              </w:rPr>
              <w:tab/>
            </w:r>
            <w:r w:rsidR="003762A0" w:rsidRPr="0010058C">
              <w:rPr>
                <w:rStyle w:val="Hyperlink"/>
                <w:noProof/>
              </w:rPr>
              <w:t>Australian Tertiary Admission Rank (ATAR)</w:t>
            </w:r>
            <w:r w:rsidR="003762A0">
              <w:rPr>
                <w:noProof/>
                <w:webHidden/>
              </w:rPr>
              <w:tab/>
            </w:r>
            <w:r w:rsidR="003762A0">
              <w:rPr>
                <w:noProof/>
                <w:webHidden/>
              </w:rPr>
              <w:fldChar w:fldCharType="begin"/>
            </w:r>
            <w:r w:rsidR="003762A0">
              <w:rPr>
                <w:noProof/>
                <w:webHidden/>
              </w:rPr>
              <w:instrText xml:space="preserve"> PAGEREF _Toc492454264 \h </w:instrText>
            </w:r>
            <w:r w:rsidR="003762A0">
              <w:rPr>
                <w:noProof/>
                <w:webHidden/>
              </w:rPr>
            </w:r>
            <w:r w:rsidR="003762A0">
              <w:rPr>
                <w:noProof/>
                <w:webHidden/>
              </w:rPr>
              <w:fldChar w:fldCharType="separate"/>
            </w:r>
            <w:r>
              <w:rPr>
                <w:noProof/>
                <w:webHidden/>
              </w:rPr>
              <w:t>16</w:t>
            </w:r>
            <w:r w:rsidR="003762A0">
              <w:rPr>
                <w:noProof/>
                <w:webHidden/>
              </w:rPr>
              <w:fldChar w:fldCharType="end"/>
            </w:r>
          </w:hyperlink>
        </w:p>
        <w:p w14:paraId="00A10CC5" w14:textId="77777777" w:rsidR="003762A0" w:rsidRDefault="00E05F5D">
          <w:pPr>
            <w:pStyle w:val="TOC1"/>
            <w:tabs>
              <w:tab w:val="left" w:pos="440"/>
              <w:tab w:val="right" w:leader="dot" w:pos="9016"/>
            </w:tabs>
            <w:rPr>
              <w:noProof/>
              <w:lang w:eastAsia="en-AU"/>
            </w:rPr>
          </w:pPr>
          <w:hyperlink w:anchor="_Toc492454265" w:history="1">
            <w:r w:rsidR="003762A0" w:rsidRPr="0010058C">
              <w:rPr>
                <w:rStyle w:val="Hyperlink"/>
                <w:noProof/>
              </w:rPr>
              <w:t>7.</w:t>
            </w:r>
            <w:r w:rsidR="003762A0">
              <w:rPr>
                <w:noProof/>
                <w:lang w:eastAsia="en-AU"/>
              </w:rPr>
              <w:tab/>
            </w:r>
            <w:r w:rsidR="003762A0" w:rsidRPr="0010058C">
              <w:rPr>
                <w:rStyle w:val="Hyperlink"/>
                <w:noProof/>
              </w:rPr>
              <w:t>Under-Represented Groups</w:t>
            </w:r>
            <w:r w:rsidR="003762A0">
              <w:rPr>
                <w:noProof/>
                <w:webHidden/>
              </w:rPr>
              <w:tab/>
            </w:r>
            <w:r w:rsidR="003762A0">
              <w:rPr>
                <w:noProof/>
                <w:webHidden/>
              </w:rPr>
              <w:fldChar w:fldCharType="begin"/>
            </w:r>
            <w:r w:rsidR="003762A0">
              <w:rPr>
                <w:noProof/>
                <w:webHidden/>
              </w:rPr>
              <w:instrText xml:space="preserve"> PAGEREF _Toc492454265 \h </w:instrText>
            </w:r>
            <w:r w:rsidR="003762A0">
              <w:rPr>
                <w:noProof/>
                <w:webHidden/>
              </w:rPr>
            </w:r>
            <w:r w:rsidR="003762A0">
              <w:rPr>
                <w:noProof/>
                <w:webHidden/>
              </w:rPr>
              <w:fldChar w:fldCharType="separate"/>
            </w:r>
            <w:r>
              <w:rPr>
                <w:noProof/>
                <w:webHidden/>
              </w:rPr>
              <w:t>18</w:t>
            </w:r>
            <w:r w:rsidR="003762A0">
              <w:rPr>
                <w:noProof/>
                <w:webHidden/>
              </w:rPr>
              <w:fldChar w:fldCharType="end"/>
            </w:r>
          </w:hyperlink>
        </w:p>
        <w:p w14:paraId="3D738828" w14:textId="77777777" w:rsidR="003762A0" w:rsidRDefault="00E05F5D">
          <w:pPr>
            <w:pStyle w:val="TOC2"/>
            <w:tabs>
              <w:tab w:val="right" w:leader="dot" w:pos="9016"/>
            </w:tabs>
            <w:rPr>
              <w:noProof/>
              <w:lang w:eastAsia="en-AU"/>
            </w:rPr>
          </w:pPr>
          <w:hyperlink w:anchor="_Toc492454266" w:history="1">
            <w:r w:rsidR="003762A0" w:rsidRPr="0010058C">
              <w:rPr>
                <w:rStyle w:val="Hyperlink"/>
                <w:noProof/>
              </w:rPr>
              <w:t>Socioeconomic status</w:t>
            </w:r>
            <w:r w:rsidR="003762A0">
              <w:rPr>
                <w:noProof/>
                <w:webHidden/>
              </w:rPr>
              <w:tab/>
            </w:r>
            <w:r w:rsidR="003762A0">
              <w:rPr>
                <w:noProof/>
                <w:webHidden/>
              </w:rPr>
              <w:fldChar w:fldCharType="begin"/>
            </w:r>
            <w:r w:rsidR="003762A0">
              <w:rPr>
                <w:noProof/>
                <w:webHidden/>
              </w:rPr>
              <w:instrText xml:space="preserve"> PAGEREF _Toc492454266 \h </w:instrText>
            </w:r>
            <w:r w:rsidR="003762A0">
              <w:rPr>
                <w:noProof/>
                <w:webHidden/>
              </w:rPr>
            </w:r>
            <w:r w:rsidR="003762A0">
              <w:rPr>
                <w:noProof/>
                <w:webHidden/>
              </w:rPr>
              <w:fldChar w:fldCharType="separate"/>
            </w:r>
            <w:r>
              <w:rPr>
                <w:noProof/>
                <w:webHidden/>
              </w:rPr>
              <w:t>18</w:t>
            </w:r>
            <w:r w:rsidR="003762A0">
              <w:rPr>
                <w:noProof/>
                <w:webHidden/>
              </w:rPr>
              <w:fldChar w:fldCharType="end"/>
            </w:r>
          </w:hyperlink>
        </w:p>
        <w:p w14:paraId="143B2EEB" w14:textId="77777777" w:rsidR="003762A0" w:rsidRDefault="00E05F5D">
          <w:pPr>
            <w:pStyle w:val="TOC2"/>
            <w:tabs>
              <w:tab w:val="right" w:leader="dot" w:pos="9016"/>
            </w:tabs>
            <w:rPr>
              <w:noProof/>
              <w:lang w:eastAsia="en-AU"/>
            </w:rPr>
          </w:pPr>
          <w:hyperlink w:anchor="_Toc492454267" w:history="1">
            <w:r w:rsidR="003762A0" w:rsidRPr="0010058C">
              <w:rPr>
                <w:rStyle w:val="Hyperlink"/>
                <w:noProof/>
              </w:rPr>
              <w:t>Regional status</w:t>
            </w:r>
            <w:r w:rsidR="003762A0">
              <w:rPr>
                <w:noProof/>
                <w:webHidden/>
              </w:rPr>
              <w:tab/>
            </w:r>
            <w:r w:rsidR="003762A0">
              <w:rPr>
                <w:noProof/>
                <w:webHidden/>
              </w:rPr>
              <w:fldChar w:fldCharType="begin"/>
            </w:r>
            <w:r w:rsidR="003762A0">
              <w:rPr>
                <w:noProof/>
                <w:webHidden/>
              </w:rPr>
              <w:instrText xml:space="preserve"> PAGEREF _Toc492454267 \h </w:instrText>
            </w:r>
            <w:r w:rsidR="003762A0">
              <w:rPr>
                <w:noProof/>
                <w:webHidden/>
              </w:rPr>
            </w:r>
            <w:r w:rsidR="003762A0">
              <w:rPr>
                <w:noProof/>
                <w:webHidden/>
              </w:rPr>
              <w:fldChar w:fldCharType="separate"/>
            </w:r>
            <w:r>
              <w:rPr>
                <w:noProof/>
                <w:webHidden/>
              </w:rPr>
              <w:t>19</w:t>
            </w:r>
            <w:r w:rsidR="003762A0">
              <w:rPr>
                <w:noProof/>
                <w:webHidden/>
              </w:rPr>
              <w:fldChar w:fldCharType="end"/>
            </w:r>
          </w:hyperlink>
        </w:p>
        <w:p w14:paraId="3D8397C8" w14:textId="77777777" w:rsidR="003762A0" w:rsidRDefault="00E05F5D">
          <w:pPr>
            <w:pStyle w:val="TOC2"/>
            <w:tabs>
              <w:tab w:val="right" w:leader="dot" w:pos="9016"/>
            </w:tabs>
            <w:rPr>
              <w:noProof/>
              <w:lang w:eastAsia="en-AU"/>
            </w:rPr>
          </w:pPr>
          <w:hyperlink w:anchor="_Toc492454268" w:history="1">
            <w:r w:rsidR="003762A0" w:rsidRPr="0010058C">
              <w:rPr>
                <w:rStyle w:val="Hyperlink"/>
                <w:noProof/>
              </w:rPr>
              <w:t>Indigenous status</w:t>
            </w:r>
            <w:r w:rsidR="003762A0">
              <w:rPr>
                <w:noProof/>
                <w:webHidden/>
              </w:rPr>
              <w:tab/>
            </w:r>
            <w:r w:rsidR="003762A0">
              <w:rPr>
                <w:noProof/>
                <w:webHidden/>
              </w:rPr>
              <w:fldChar w:fldCharType="begin"/>
            </w:r>
            <w:r w:rsidR="003762A0">
              <w:rPr>
                <w:noProof/>
                <w:webHidden/>
              </w:rPr>
              <w:instrText xml:space="preserve"> PAGEREF _Toc492454268 \h </w:instrText>
            </w:r>
            <w:r w:rsidR="003762A0">
              <w:rPr>
                <w:noProof/>
                <w:webHidden/>
              </w:rPr>
            </w:r>
            <w:r w:rsidR="003762A0">
              <w:rPr>
                <w:noProof/>
                <w:webHidden/>
              </w:rPr>
              <w:fldChar w:fldCharType="separate"/>
            </w:r>
            <w:r>
              <w:rPr>
                <w:noProof/>
                <w:webHidden/>
              </w:rPr>
              <w:t>20</w:t>
            </w:r>
            <w:r w:rsidR="003762A0">
              <w:rPr>
                <w:noProof/>
                <w:webHidden/>
              </w:rPr>
              <w:fldChar w:fldCharType="end"/>
            </w:r>
          </w:hyperlink>
        </w:p>
        <w:p w14:paraId="7C62A626" w14:textId="77777777" w:rsidR="003762A0" w:rsidRDefault="00E05F5D">
          <w:pPr>
            <w:pStyle w:val="TOC1"/>
            <w:tabs>
              <w:tab w:val="left" w:pos="440"/>
              <w:tab w:val="right" w:leader="dot" w:pos="9016"/>
            </w:tabs>
            <w:rPr>
              <w:noProof/>
              <w:lang w:eastAsia="en-AU"/>
            </w:rPr>
          </w:pPr>
          <w:hyperlink w:anchor="_Toc492454269" w:history="1">
            <w:r w:rsidR="003762A0" w:rsidRPr="0010058C">
              <w:rPr>
                <w:rStyle w:val="Hyperlink"/>
                <w:noProof/>
              </w:rPr>
              <w:t>8.</w:t>
            </w:r>
            <w:r w:rsidR="003762A0">
              <w:rPr>
                <w:noProof/>
                <w:lang w:eastAsia="en-AU"/>
              </w:rPr>
              <w:tab/>
            </w:r>
            <w:r w:rsidR="003762A0" w:rsidRPr="0010058C">
              <w:rPr>
                <w:rStyle w:val="Hyperlink"/>
                <w:noProof/>
              </w:rPr>
              <w:t>University Group</w:t>
            </w:r>
            <w:r w:rsidR="003762A0">
              <w:rPr>
                <w:noProof/>
                <w:webHidden/>
              </w:rPr>
              <w:tab/>
            </w:r>
            <w:r w:rsidR="003762A0">
              <w:rPr>
                <w:noProof/>
                <w:webHidden/>
              </w:rPr>
              <w:fldChar w:fldCharType="begin"/>
            </w:r>
            <w:r w:rsidR="003762A0">
              <w:rPr>
                <w:noProof/>
                <w:webHidden/>
              </w:rPr>
              <w:instrText xml:space="preserve"> PAGEREF _Toc492454269 \h </w:instrText>
            </w:r>
            <w:r w:rsidR="003762A0">
              <w:rPr>
                <w:noProof/>
                <w:webHidden/>
              </w:rPr>
            </w:r>
            <w:r w:rsidR="003762A0">
              <w:rPr>
                <w:noProof/>
                <w:webHidden/>
              </w:rPr>
              <w:fldChar w:fldCharType="separate"/>
            </w:r>
            <w:r>
              <w:rPr>
                <w:noProof/>
                <w:webHidden/>
              </w:rPr>
              <w:t>22</w:t>
            </w:r>
            <w:r w:rsidR="003762A0">
              <w:rPr>
                <w:noProof/>
                <w:webHidden/>
              </w:rPr>
              <w:fldChar w:fldCharType="end"/>
            </w:r>
          </w:hyperlink>
        </w:p>
        <w:p w14:paraId="6F8CFF7B" w14:textId="77777777" w:rsidR="003762A0" w:rsidRDefault="00E05F5D">
          <w:pPr>
            <w:pStyle w:val="TOC2"/>
            <w:tabs>
              <w:tab w:val="right" w:leader="dot" w:pos="9016"/>
            </w:tabs>
            <w:rPr>
              <w:noProof/>
              <w:lang w:eastAsia="en-AU"/>
            </w:rPr>
          </w:pPr>
          <w:hyperlink w:anchor="_Toc492454270" w:history="1">
            <w:r w:rsidR="003762A0" w:rsidRPr="0010058C">
              <w:rPr>
                <w:rStyle w:val="Hyperlink"/>
                <w:noProof/>
              </w:rPr>
              <w:t>Applications</w:t>
            </w:r>
            <w:r w:rsidR="003762A0">
              <w:rPr>
                <w:noProof/>
                <w:webHidden/>
              </w:rPr>
              <w:tab/>
            </w:r>
            <w:r w:rsidR="003762A0">
              <w:rPr>
                <w:noProof/>
                <w:webHidden/>
              </w:rPr>
              <w:fldChar w:fldCharType="begin"/>
            </w:r>
            <w:r w:rsidR="003762A0">
              <w:rPr>
                <w:noProof/>
                <w:webHidden/>
              </w:rPr>
              <w:instrText xml:space="preserve"> PAGEREF _Toc492454270 \h </w:instrText>
            </w:r>
            <w:r w:rsidR="003762A0">
              <w:rPr>
                <w:noProof/>
                <w:webHidden/>
              </w:rPr>
            </w:r>
            <w:r w:rsidR="003762A0">
              <w:rPr>
                <w:noProof/>
                <w:webHidden/>
              </w:rPr>
              <w:fldChar w:fldCharType="separate"/>
            </w:r>
            <w:r>
              <w:rPr>
                <w:noProof/>
                <w:webHidden/>
              </w:rPr>
              <w:t>22</w:t>
            </w:r>
            <w:r w:rsidR="003762A0">
              <w:rPr>
                <w:noProof/>
                <w:webHidden/>
              </w:rPr>
              <w:fldChar w:fldCharType="end"/>
            </w:r>
          </w:hyperlink>
        </w:p>
        <w:p w14:paraId="0F31FF4F" w14:textId="77777777" w:rsidR="003762A0" w:rsidRDefault="00E05F5D">
          <w:pPr>
            <w:pStyle w:val="TOC2"/>
            <w:tabs>
              <w:tab w:val="right" w:leader="dot" w:pos="9016"/>
            </w:tabs>
            <w:rPr>
              <w:noProof/>
              <w:lang w:eastAsia="en-AU"/>
            </w:rPr>
          </w:pPr>
          <w:hyperlink w:anchor="_Toc492454271" w:history="1">
            <w:r w:rsidR="003762A0" w:rsidRPr="0010058C">
              <w:rPr>
                <w:rStyle w:val="Hyperlink"/>
                <w:noProof/>
              </w:rPr>
              <w:t>Offers</w:t>
            </w:r>
            <w:r w:rsidR="003762A0">
              <w:rPr>
                <w:noProof/>
                <w:webHidden/>
              </w:rPr>
              <w:tab/>
            </w:r>
            <w:r w:rsidR="003762A0">
              <w:rPr>
                <w:noProof/>
                <w:webHidden/>
              </w:rPr>
              <w:fldChar w:fldCharType="begin"/>
            </w:r>
            <w:r w:rsidR="003762A0">
              <w:rPr>
                <w:noProof/>
                <w:webHidden/>
              </w:rPr>
              <w:instrText xml:space="preserve"> PAGEREF _Toc492454271 \h </w:instrText>
            </w:r>
            <w:r w:rsidR="003762A0">
              <w:rPr>
                <w:noProof/>
                <w:webHidden/>
              </w:rPr>
            </w:r>
            <w:r w:rsidR="003762A0">
              <w:rPr>
                <w:noProof/>
                <w:webHidden/>
              </w:rPr>
              <w:fldChar w:fldCharType="separate"/>
            </w:r>
            <w:r>
              <w:rPr>
                <w:noProof/>
                <w:webHidden/>
              </w:rPr>
              <w:t>22</w:t>
            </w:r>
            <w:r w:rsidR="003762A0">
              <w:rPr>
                <w:noProof/>
                <w:webHidden/>
              </w:rPr>
              <w:fldChar w:fldCharType="end"/>
            </w:r>
          </w:hyperlink>
        </w:p>
        <w:p w14:paraId="0C1C234A" w14:textId="77777777" w:rsidR="003762A0" w:rsidRDefault="00E05F5D">
          <w:pPr>
            <w:pStyle w:val="TOC2"/>
            <w:tabs>
              <w:tab w:val="right" w:leader="dot" w:pos="9016"/>
            </w:tabs>
            <w:rPr>
              <w:noProof/>
              <w:lang w:eastAsia="en-AU"/>
            </w:rPr>
          </w:pPr>
          <w:hyperlink w:anchor="_Toc492454272" w:history="1">
            <w:r w:rsidR="003762A0" w:rsidRPr="0010058C">
              <w:rPr>
                <w:rStyle w:val="Hyperlink"/>
                <w:noProof/>
              </w:rPr>
              <w:t>Offer rates</w:t>
            </w:r>
            <w:r w:rsidR="003762A0">
              <w:rPr>
                <w:noProof/>
                <w:webHidden/>
              </w:rPr>
              <w:tab/>
            </w:r>
            <w:r w:rsidR="003762A0">
              <w:rPr>
                <w:noProof/>
                <w:webHidden/>
              </w:rPr>
              <w:fldChar w:fldCharType="begin"/>
            </w:r>
            <w:r w:rsidR="003762A0">
              <w:rPr>
                <w:noProof/>
                <w:webHidden/>
              </w:rPr>
              <w:instrText xml:space="preserve"> PAGEREF _Toc492454272 \h </w:instrText>
            </w:r>
            <w:r w:rsidR="003762A0">
              <w:rPr>
                <w:noProof/>
                <w:webHidden/>
              </w:rPr>
            </w:r>
            <w:r w:rsidR="003762A0">
              <w:rPr>
                <w:noProof/>
                <w:webHidden/>
              </w:rPr>
              <w:fldChar w:fldCharType="separate"/>
            </w:r>
            <w:r>
              <w:rPr>
                <w:noProof/>
                <w:webHidden/>
              </w:rPr>
              <w:t>22</w:t>
            </w:r>
            <w:r w:rsidR="003762A0">
              <w:rPr>
                <w:noProof/>
                <w:webHidden/>
              </w:rPr>
              <w:fldChar w:fldCharType="end"/>
            </w:r>
          </w:hyperlink>
        </w:p>
        <w:p w14:paraId="2E827A18" w14:textId="77777777" w:rsidR="003762A0" w:rsidRDefault="00E05F5D">
          <w:pPr>
            <w:pStyle w:val="TOC1"/>
            <w:tabs>
              <w:tab w:val="left" w:pos="440"/>
              <w:tab w:val="right" w:leader="dot" w:pos="9016"/>
            </w:tabs>
            <w:rPr>
              <w:noProof/>
              <w:lang w:eastAsia="en-AU"/>
            </w:rPr>
          </w:pPr>
          <w:hyperlink w:anchor="_Toc492454273" w:history="1">
            <w:r w:rsidR="003762A0" w:rsidRPr="0010058C">
              <w:rPr>
                <w:rStyle w:val="Hyperlink"/>
                <w:noProof/>
              </w:rPr>
              <w:t>9.</w:t>
            </w:r>
            <w:r w:rsidR="003762A0">
              <w:rPr>
                <w:noProof/>
                <w:lang w:eastAsia="en-AU"/>
              </w:rPr>
              <w:tab/>
            </w:r>
            <w:r w:rsidR="003762A0" w:rsidRPr="0010058C">
              <w:rPr>
                <w:rStyle w:val="Hyperlink"/>
                <w:noProof/>
              </w:rPr>
              <w:t>TAC Applications and Offers</w:t>
            </w:r>
            <w:r w:rsidR="003762A0">
              <w:rPr>
                <w:noProof/>
                <w:webHidden/>
              </w:rPr>
              <w:tab/>
            </w:r>
            <w:r w:rsidR="003762A0">
              <w:rPr>
                <w:noProof/>
                <w:webHidden/>
              </w:rPr>
              <w:fldChar w:fldCharType="begin"/>
            </w:r>
            <w:r w:rsidR="003762A0">
              <w:rPr>
                <w:noProof/>
                <w:webHidden/>
              </w:rPr>
              <w:instrText xml:space="preserve"> PAGEREF _Toc492454273 \h </w:instrText>
            </w:r>
            <w:r w:rsidR="003762A0">
              <w:rPr>
                <w:noProof/>
                <w:webHidden/>
              </w:rPr>
            </w:r>
            <w:r w:rsidR="003762A0">
              <w:rPr>
                <w:noProof/>
                <w:webHidden/>
              </w:rPr>
              <w:fldChar w:fldCharType="separate"/>
            </w:r>
            <w:r>
              <w:rPr>
                <w:noProof/>
                <w:webHidden/>
              </w:rPr>
              <w:t>24</w:t>
            </w:r>
            <w:r w:rsidR="003762A0">
              <w:rPr>
                <w:noProof/>
                <w:webHidden/>
              </w:rPr>
              <w:fldChar w:fldCharType="end"/>
            </w:r>
          </w:hyperlink>
        </w:p>
        <w:p w14:paraId="5E92A4A3" w14:textId="77777777" w:rsidR="003762A0" w:rsidRDefault="00E05F5D">
          <w:pPr>
            <w:pStyle w:val="TOC2"/>
            <w:tabs>
              <w:tab w:val="right" w:leader="dot" w:pos="9016"/>
            </w:tabs>
            <w:rPr>
              <w:noProof/>
              <w:lang w:eastAsia="en-AU"/>
            </w:rPr>
          </w:pPr>
          <w:hyperlink w:anchor="_Toc492454274" w:history="1">
            <w:r w:rsidR="003762A0" w:rsidRPr="0010058C">
              <w:rPr>
                <w:rStyle w:val="Hyperlink"/>
                <w:noProof/>
              </w:rPr>
              <w:t>TAC Applications</w:t>
            </w:r>
            <w:r w:rsidR="003762A0">
              <w:rPr>
                <w:noProof/>
                <w:webHidden/>
              </w:rPr>
              <w:tab/>
            </w:r>
            <w:r w:rsidR="003762A0">
              <w:rPr>
                <w:noProof/>
                <w:webHidden/>
              </w:rPr>
              <w:fldChar w:fldCharType="begin"/>
            </w:r>
            <w:r w:rsidR="003762A0">
              <w:rPr>
                <w:noProof/>
                <w:webHidden/>
              </w:rPr>
              <w:instrText xml:space="preserve"> PAGEREF _Toc492454274 \h </w:instrText>
            </w:r>
            <w:r w:rsidR="003762A0">
              <w:rPr>
                <w:noProof/>
                <w:webHidden/>
              </w:rPr>
            </w:r>
            <w:r w:rsidR="003762A0">
              <w:rPr>
                <w:noProof/>
                <w:webHidden/>
              </w:rPr>
              <w:fldChar w:fldCharType="separate"/>
            </w:r>
            <w:r>
              <w:rPr>
                <w:noProof/>
                <w:webHidden/>
              </w:rPr>
              <w:t>24</w:t>
            </w:r>
            <w:r w:rsidR="003762A0">
              <w:rPr>
                <w:noProof/>
                <w:webHidden/>
              </w:rPr>
              <w:fldChar w:fldCharType="end"/>
            </w:r>
          </w:hyperlink>
        </w:p>
        <w:p w14:paraId="3AC2EAB7" w14:textId="77777777" w:rsidR="003762A0" w:rsidRDefault="00E05F5D">
          <w:pPr>
            <w:pStyle w:val="TOC2"/>
            <w:tabs>
              <w:tab w:val="right" w:leader="dot" w:pos="9016"/>
            </w:tabs>
            <w:rPr>
              <w:noProof/>
              <w:lang w:eastAsia="en-AU"/>
            </w:rPr>
          </w:pPr>
          <w:hyperlink w:anchor="_Toc492454275" w:history="1">
            <w:r w:rsidR="003762A0" w:rsidRPr="0010058C">
              <w:rPr>
                <w:rStyle w:val="Hyperlink"/>
                <w:noProof/>
              </w:rPr>
              <w:t>Prior Education – TAC applications</w:t>
            </w:r>
            <w:r w:rsidR="003762A0">
              <w:rPr>
                <w:noProof/>
                <w:webHidden/>
              </w:rPr>
              <w:tab/>
            </w:r>
            <w:r w:rsidR="003762A0">
              <w:rPr>
                <w:noProof/>
                <w:webHidden/>
              </w:rPr>
              <w:fldChar w:fldCharType="begin"/>
            </w:r>
            <w:r w:rsidR="003762A0">
              <w:rPr>
                <w:noProof/>
                <w:webHidden/>
              </w:rPr>
              <w:instrText xml:space="preserve"> PAGEREF _Toc492454275 \h </w:instrText>
            </w:r>
            <w:r w:rsidR="003762A0">
              <w:rPr>
                <w:noProof/>
                <w:webHidden/>
              </w:rPr>
            </w:r>
            <w:r w:rsidR="003762A0">
              <w:rPr>
                <w:noProof/>
                <w:webHidden/>
              </w:rPr>
              <w:fldChar w:fldCharType="separate"/>
            </w:r>
            <w:r>
              <w:rPr>
                <w:noProof/>
                <w:webHidden/>
              </w:rPr>
              <w:t>24</w:t>
            </w:r>
            <w:r w:rsidR="003762A0">
              <w:rPr>
                <w:noProof/>
                <w:webHidden/>
              </w:rPr>
              <w:fldChar w:fldCharType="end"/>
            </w:r>
          </w:hyperlink>
        </w:p>
        <w:p w14:paraId="62B33EBA" w14:textId="77777777" w:rsidR="003762A0" w:rsidRDefault="00E05F5D">
          <w:pPr>
            <w:pStyle w:val="TOC2"/>
            <w:tabs>
              <w:tab w:val="right" w:leader="dot" w:pos="9016"/>
            </w:tabs>
            <w:rPr>
              <w:noProof/>
              <w:lang w:eastAsia="en-AU"/>
            </w:rPr>
          </w:pPr>
          <w:hyperlink w:anchor="_Toc492454276" w:history="1">
            <w:r w:rsidR="003762A0" w:rsidRPr="0010058C">
              <w:rPr>
                <w:rStyle w:val="Hyperlink"/>
                <w:noProof/>
              </w:rPr>
              <w:t>TAC Offers</w:t>
            </w:r>
            <w:r w:rsidR="003762A0">
              <w:rPr>
                <w:noProof/>
                <w:webHidden/>
              </w:rPr>
              <w:tab/>
            </w:r>
            <w:r w:rsidR="003762A0">
              <w:rPr>
                <w:noProof/>
                <w:webHidden/>
              </w:rPr>
              <w:fldChar w:fldCharType="begin"/>
            </w:r>
            <w:r w:rsidR="003762A0">
              <w:rPr>
                <w:noProof/>
                <w:webHidden/>
              </w:rPr>
              <w:instrText xml:space="preserve"> PAGEREF _Toc492454276 \h </w:instrText>
            </w:r>
            <w:r w:rsidR="003762A0">
              <w:rPr>
                <w:noProof/>
                <w:webHidden/>
              </w:rPr>
            </w:r>
            <w:r w:rsidR="003762A0">
              <w:rPr>
                <w:noProof/>
                <w:webHidden/>
              </w:rPr>
              <w:fldChar w:fldCharType="separate"/>
            </w:r>
            <w:r>
              <w:rPr>
                <w:noProof/>
                <w:webHidden/>
              </w:rPr>
              <w:t>25</w:t>
            </w:r>
            <w:r w:rsidR="003762A0">
              <w:rPr>
                <w:noProof/>
                <w:webHidden/>
              </w:rPr>
              <w:fldChar w:fldCharType="end"/>
            </w:r>
          </w:hyperlink>
        </w:p>
        <w:p w14:paraId="117A5405" w14:textId="77777777" w:rsidR="003762A0" w:rsidRDefault="00E05F5D">
          <w:pPr>
            <w:pStyle w:val="TOC2"/>
            <w:tabs>
              <w:tab w:val="right" w:leader="dot" w:pos="9016"/>
            </w:tabs>
            <w:rPr>
              <w:noProof/>
              <w:lang w:eastAsia="en-AU"/>
            </w:rPr>
          </w:pPr>
          <w:hyperlink w:anchor="_Toc492454277" w:history="1">
            <w:r w:rsidR="003762A0" w:rsidRPr="0010058C">
              <w:rPr>
                <w:rStyle w:val="Hyperlink"/>
                <w:noProof/>
              </w:rPr>
              <w:t>Prior Education – TAC offers</w:t>
            </w:r>
            <w:r w:rsidR="003762A0">
              <w:rPr>
                <w:noProof/>
                <w:webHidden/>
              </w:rPr>
              <w:tab/>
            </w:r>
            <w:r w:rsidR="003762A0">
              <w:rPr>
                <w:noProof/>
                <w:webHidden/>
              </w:rPr>
              <w:fldChar w:fldCharType="begin"/>
            </w:r>
            <w:r w:rsidR="003762A0">
              <w:rPr>
                <w:noProof/>
                <w:webHidden/>
              </w:rPr>
              <w:instrText xml:space="preserve"> PAGEREF _Toc492454277 \h </w:instrText>
            </w:r>
            <w:r w:rsidR="003762A0">
              <w:rPr>
                <w:noProof/>
                <w:webHidden/>
              </w:rPr>
            </w:r>
            <w:r w:rsidR="003762A0">
              <w:rPr>
                <w:noProof/>
                <w:webHidden/>
              </w:rPr>
              <w:fldChar w:fldCharType="separate"/>
            </w:r>
            <w:r>
              <w:rPr>
                <w:noProof/>
                <w:webHidden/>
              </w:rPr>
              <w:t>25</w:t>
            </w:r>
            <w:r w:rsidR="003762A0">
              <w:rPr>
                <w:noProof/>
                <w:webHidden/>
              </w:rPr>
              <w:fldChar w:fldCharType="end"/>
            </w:r>
          </w:hyperlink>
        </w:p>
        <w:p w14:paraId="1CF5ED41" w14:textId="77777777" w:rsidR="003762A0" w:rsidRDefault="00E05F5D">
          <w:pPr>
            <w:pStyle w:val="TOC1"/>
            <w:tabs>
              <w:tab w:val="left" w:pos="660"/>
              <w:tab w:val="right" w:leader="dot" w:pos="9016"/>
            </w:tabs>
            <w:rPr>
              <w:noProof/>
              <w:lang w:eastAsia="en-AU"/>
            </w:rPr>
          </w:pPr>
          <w:hyperlink w:anchor="_Toc492454278" w:history="1">
            <w:r w:rsidR="003762A0" w:rsidRPr="0010058C">
              <w:rPr>
                <w:rStyle w:val="Hyperlink"/>
                <w:noProof/>
              </w:rPr>
              <w:t>10.</w:t>
            </w:r>
            <w:r w:rsidR="003762A0">
              <w:rPr>
                <w:noProof/>
                <w:lang w:eastAsia="en-AU"/>
              </w:rPr>
              <w:tab/>
            </w:r>
            <w:r w:rsidR="003762A0" w:rsidRPr="0010058C">
              <w:rPr>
                <w:rStyle w:val="Hyperlink"/>
                <w:noProof/>
              </w:rPr>
              <w:t>Direct applications and offers</w:t>
            </w:r>
            <w:r w:rsidR="003762A0">
              <w:rPr>
                <w:noProof/>
                <w:webHidden/>
              </w:rPr>
              <w:tab/>
            </w:r>
            <w:r w:rsidR="003762A0">
              <w:rPr>
                <w:noProof/>
                <w:webHidden/>
              </w:rPr>
              <w:fldChar w:fldCharType="begin"/>
            </w:r>
            <w:r w:rsidR="003762A0">
              <w:rPr>
                <w:noProof/>
                <w:webHidden/>
              </w:rPr>
              <w:instrText xml:space="preserve"> PAGEREF _Toc492454278 \h </w:instrText>
            </w:r>
            <w:r w:rsidR="003762A0">
              <w:rPr>
                <w:noProof/>
                <w:webHidden/>
              </w:rPr>
            </w:r>
            <w:r w:rsidR="003762A0">
              <w:rPr>
                <w:noProof/>
                <w:webHidden/>
              </w:rPr>
              <w:fldChar w:fldCharType="separate"/>
            </w:r>
            <w:r>
              <w:rPr>
                <w:noProof/>
                <w:webHidden/>
              </w:rPr>
              <w:t>27</w:t>
            </w:r>
            <w:r w:rsidR="003762A0">
              <w:rPr>
                <w:noProof/>
                <w:webHidden/>
              </w:rPr>
              <w:fldChar w:fldCharType="end"/>
            </w:r>
          </w:hyperlink>
        </w:p>
        <w:p w14:paraId="219B9B40" w14:textId="77777777" w:rsidR="003762A0" w:rsidRDefault="00E05F5D">
          <w:pPr>
            <w:pStyle w:val="TOC2"/>
            <w:tabs>
              <w:tab w:val="right" w:leader="dot" w:pos="9016"/>
            </w:tabs>
            <w:rPr>
              <w:noProof/>
              <w:lang w:eastAsia="en-AU"/>
            </w:rPr>
          </w:pPr>
          <w:hyperlink w:anchor="_Toc492454279" w:history="1">
            <w:r w:rsidR="003762A0" w:rsidRPr="0010058C">
              <w:rPr>
                <w:rStyle w:val="Hyperlink"/>
                <w:noProof/>
              </w:rPr>
              <w:t>Applications</w:t>
            </w:r>
            <w:r w:rsidR="003762A0">
              <w:rPr>
                <w:noProof/>
                <w:webHidden/>
              </w:rPr>
              <w:tab/>
            </w:r>
            <w:r w:rsidR="003762A0">
              <w:rPr>
                <w:noProof/>
                <w:webHidden/>
              </w:rPr>
              <w:fldChar w:fldCharType="begin"/>
            </w:r>
            <w:r w:rsidR="003762A0">
              <w:rPr>
                <w:noProof/>
                <w:webHidden/>
              </w:rPr>
              <w:instrText xml:space="preserve"> PAGEREF _Toc492454279 \h </w:instrText>
            </w:r>
            <w:r w:rsidR="003762A0">
              <w:rPr>
                <w:noProof/>
                <w:webHidden/>
              </w:rPr>
            </w:r>
            <w:r w:rsidR="003762A0">
              <w:rPr>
                <w:noProof/>
                <w:webHidden/>
              </w:rPr>
              <w:fldChar w:fldCharType="separate"/>
            </w:r>
            <w:r>
              <w:rPr>
                <w:noProof/>
                <w:webHidden/>
              </w:rPr>
              <w:t>27</w:t>
            </w:r>
            <w:r w:rsidR="003762A0">
              <w:rPr>
                <w:noProof/>
                <w:webHidden/>
              </w:rPr>
              <w:fldChar w:fldCharType="end"/>
            </w:r>
          </w:hyperlink>
        </w:p>
        <w:p w14:paraId="699FA869" w14:textId="77777777" w:rsidR="003762A0" w:rsidRDefault="00E05F5D">
          <w:pPr>
            <w:pStyle w:val="TOC2"/>
            <w:tabs>
              <w:tab w:val="right" w:leader="dot" w:pos="9016"/>
            </w:tabs>
            <w:rPr>
              <w:noProof/>
              <w:lang w:eastAsia="en-AU"/>
            </w:rPr>
          </w:pPr>
          <w:hyperlink w:anchor="_Toc492454280" w:history="1">
            <w:r w:rsidR="003762A0" w:rsidRPr="0010058C">
              <w:rPr>
                <w:rStyle w:val="Hyperlink"/>
                <w:noProof/>
              </w:rPr>
              <w:t>Offers</w:t>
            </w:r>
            <w:r w:rsidR="003762A0">
              <w:rPr>
                <w:noProof/>
                <w:webHidden/>
              </w:rPr>
              <w:tab/>
            </w:r>
            <w:r w:rsidR="003762A0">
              <w:rPr>
                <w:noProof/>
                <w:webHidden/>
              </w:rPr>
              <w:fldChar w:fldCharType="begin"/>
            </w:r>
            <w:r w:rsidR="003762A0">
              <w:rPr>
                <w:noProof/>
                <w:webHidden/>
              </w:rPr>
              <w:instrText xml:space="preserve"> PAGEREF _Toc492454280 \h </w:instrText>
            </w:r>
            <w:r w:rsidR="003762A0">
              <w:rPr>
                <w:noProof/>
                <w:webHidden/>
              </w:rPr>
            </w:r>
            <w:r w:rsidR="003762A0">
              <w:rPr>
                <w:noProof/>
                <w:webHidden/>
              </w:rPr>
              <w:fldChar w:fldCharType="separate"/>
            </w:r>
            <w:r>
              <w:rPr>
                <w:noProof/>
                <w:webHidden/>
              </w:rPr>
              <w:t>27</w:t>
            </w:r>
            <w:r w:rsidR="003762A0">
              <w:rPr>
                <w:noProof/>
                <w:webHidden/>
              </w:rPr>
              <w:fldChar w:fldCharType="end"/>
            </w:r>
          </w:hyperlink>
        </w:p>
        <w:p w14:paraId="2D0CACE5" w14:textId="77777777" w:rsidR="003762A0" w:rsidRDefault="00E05F5D">
          <w:pPr>
            <w:pStyle w:val="TOC1"/>
            <w:tabs>
              <w:tab w:val="left" w:pos="660"/>
              <w:tab w:val="right" w:leader="dot" w:pos="9016"/>
            </w:tabs>
            <w:rPr>
              <w:noProof/>
              <w:lang w:eastAsia="en-AU"/>
            </w:rPr>
          </w:pPr>
          <w:hyperlink w:anchor="_Toc492454281" w:history="1">
            <w:r w:rsidR="003762A0" w:rsidRPr="0010058C">
              <w:rPr>
                <w:rStyle w:val="Hyperlink"/>
                <w:noProof/>
              </w:rPr>
              <w:t>11.</w:t>
            </w:r>
            <w:r w:rsidR="003762A0">
              <w:rPr>
                <w:noProof/>
                <w:lang w:eastAsia="en-AU"/>
              </w:rPr>
              <w:tab/>
            </w:r>
            <w:r w:rsidR="003762A0" w:rsidRPr="0010058C">
              <w:rPr>
                <w:rStyle w:val="Hyperlink"/>
                <w:noProof/>
              </w:rPr>
              <w:t>Data Qualifications</w:t>
            </w:r>
            <w:r w:rsidR="003762A0">
              <w:rPr>
                <w:noProof/>
                <w:webHidden/>
              </w:rPr>
              <w:tab/>
            </w:r>
            <w:r w:rsidR="003762A0">
              <w:rPr>
                <w:noProof/>
                <w:webHidden/>
              </w:rPr>
              <w:fldChar w:fldCharType="begin"/>
            </w:r>
            <w:r w:rsidR="003762A0">
              <w:rPr>
                <w:noProof/>
                <w:webHidden/>
              </w:rPr>
              <w:instrText xml:space="preserve"> PAGEREF _Toc492454281 \h </w:instrText>
            </w:r>
            <w:r w:rsidR="003762A0">
              <w:rPr>
                <w:noProof/>
                <w:webHidden/>
              </w:rPr>
            </w:r>
            <w:r w:rsidR="003762A0">
              <w:rPr>
                <w:noProof/>
                <w:webHidden/>
              </w:rPr>
              <w:fldChar w:fldCharType="separate"/>
            </w:r>
            <w:r>
              <w:rPr>
                <w:noProof/>
                <w:webHidden/>
              </w:rPr>
              <w:t>29</w:t>
            </w:r>
            <w:r w:rsidR="003762A0">
              <w:rPr>
                <w:noProof/>
                <w:webHidden/>
              </w:rPr>
              <w:fldChar w:fldCharType="end"/>
            </w:r>
          </w:hyperlink>
        </w:p>
        <w:p w14:paraId="5A51A47B" w14:textId="77777777" w:rsidR="003762A0" w:rsidRDefault="00E05F5D">
          <w:pPr>
            <w:pStyle w:val="TOC1"/>
            <w:tabs>
              <w:tab w:val="left" w:pos="660"/>
              <w:tab w:val="right" w:leader="dot" w:pos="9016"/>
            </w:tabs>
            <w:rPr>
              <w:noProof/>
              <w:lang w:eastAsia="en-AU"/>
            </w:rPr>
          </w:pPr>
          <w:hyperlink w:anchor="_Toc492454282" w:history="1">
            <w:r w:rsidR="003762A0" w:rsidRPr="0010058C">
              <w:rPr>
                <w:rStyle w:val="Hyperlink"/>
                <w:noProof/>
              </w:rPr>
              <w:t>12.</w:t>
            </w:r>
            <w:r w:rsidR="003762A0">
              <w:rPr>
                <w:noProof/>
                <w:lang w:eastAsia="en-AU"/>
              </w:rPr>
              <w:tab/>
            </w:r>
            <w:r w:rsidR="003762A0" w:rsidRPr="0010058C">
              <w:rPr>
                <w:rStyle w:val="Hyperlink"/>
                <w:noProof/>
              </w:rPr>
              <w:t>Glossary</w:t>
            </w:r>
            <w:r w:rsidR="003762A0">
              <w:rPr>
                <w:noProof/>
                <w:webHidden/>
              </w:rPr>
              <w:tab/>
            </w:r>
            <w:r w:rsidR="003762A0">
              <w:rPr>
                <w:noProof/>
                <w:webHidden/>
              </w:rPr>
              <w:fldChar w:fldCharType="begin"/>
            </w:r>
            <w:r w:rsidR="003762A0">
              <w:rPr>
                <w:noProof/>
                <w:webHidden/>
              </w:rPr>
              <w:instrText xml:space="preserve"> PAGEREF _Toc492454282 \h </w:instrText>
            </w:r>
            <w:r w:rsidR="003762A0">
              <w:rPr>
                <w:noProof/>
                <w:webHidden/>
              </w:rPr>
            </w:r>
            <w:r w:rsidR="003762A0">
              <w:rPr>
                <w:noProof/>
                <w:webHidden/>
              </w:rPr>
              <w:fldChar w:fldCharType="separate"/>
            </w:r>
            <w:r>
              <w:rPr>
                <w:noProof/>
                <w:webHidden/>
              </w:rPr>
              <w:t>30</w:t>
            </w:r>
            <w:r w:rsidR="003762A0">
              <w:rPr>
                <w:noProof/>
                <w:webHidden/>
              </w:rPr>
              <w:fldChar w:fldCharType="end"/>
            </w:r>
          </w:hyperlink>
        </w:p>
        <w:p w14:paraId="091FF3FB" w14:textId="77777777" w:rsidR="003762A0" w:rsidRDefault="00E05F5D">
          <w:pPr>
            <w:pStyle w:val="TOC2"/>
            <w:tabs>
              <w:tab w:val="right" w:leader="dot" w:pos="9016"/>
            </w:tabs>
            <w:rPr>
              <w:noProof/>
              <w:lang w:eastAsia="en-AU"/>
            </w:rPr>
          </w:pPr>
          <w:hyperlink w:anchor="_Toc492454283" w:history="1">
            <w:r w:rsidR="003762A0" w:rsidRPr="0010058C">
              <w:rPr>
                <w:rStyle w:val="Hyperlink"/>
                <w:noProof/>
              </w:rPr>
              <w:t>University Group</w:t>
            </w:r>
            <w:r w:rsidR="003762A0">
              <w:rPr>
                <w:noProof/>
                <w:webHidden/>
              </w:rPr>
              <w:tab/>
            </w:r>
            <w:r w:rsidR="003762A0">
              <w:rPr>
                <w:noProof/>
                <w:webHidden/>
              </w:rPr>
              <w:fldChar w:fldCharType="begin"/>
            </w:r>
            <w:r w:rsidR="003762A0">
              <w:rPr>
                <w:noProof/>
                <w:webHidden/>
              </w:rPr>
              <w:instrText xml:space="preserve"> PAGEREF _Toc492454283 \h </w:instrText>
            </w:r>
            <w:r w:rsidR="003762A0">
              <w:rPr>
                <w:noProof/>
                <w:webHidden/>
              </w:rPr>
            </w:r>
            <w:r w:rsidR="003762A0">
              <w:rPr>
                <w:noProof/>
                <w:webHidden/>
              </w:rPr>
              <w:fldChar w:fldCharType="separate"/>
            </w:r>
            <w:r>
              <w:rPr>
                <w:noProof/>
                <w:webHidden/>
              </w:rPr>
              <w:t>30</w:t>
            </w:r>
            <w:r w:rsidR="003762A0">
              <w:rPr>
                <w:noProof/>
                <w:webHidden/>
              </w:rPr>
              <w:fldChar w:fldCharType="end"/>
            </w:r>
          </w:hyperlink>
        </w:p>
        <w:p w14:paraId="29DF89E0" w14:textId="77777777" w:rsidR="003762A0" w:rsidRDefault="00E05F5D">
          <w:pPr>
            <w:pStyle w:val="TOC3"/>
            <w:tabs>
              <w:tab w:val="right" w:leader="dot" w:pos="9016"/>
            </w:tabs>
            <w:rPr>
              <w:noProof/>
              <w:lang w:eastAsia="en-AU"/>
            </w:rPr>
          </w:pPr>
          <w:hyperlink w:anchor="_Toc492454284" w:history="1">
            <w:r w:rsidR="003762A0" w:rsidRPr="0010058C">
              <w:rPr>
                <w:rStyle w:val="Hyperlink"/>
                <w:noProof/>
              </w:rPr>
              <w:t>Australian Technology Network</w:t>
            </w:r>
            <w:r w:rsidR="003762A0">
              <w:rPr>
                <w:noProof/>
                <w:webHidden/>
              </w:rPr>
              <w:tab/>
            </w:r>
            <w:r w:rsidR="003762A0">
              <w:rPr>
                <w:noProof/>
                <w:webHidden/>
              </w:rPr>
              <w:fldChar w:fldCharType="begin"/>
            </w:r>
            <w:r w:rsidR="003762A0">
              <w:rPr>
                <w:noProof/>
                <w:webHidden/>
              </w:rPr>
              <w:instrText xml:space="preserve"> PAGEREF _Toc492454284 \h </w:instrText>
            </w:r>
            <w:r w:rsidR="003762A0">
              <w:rPr>
                <w:noProof/>
                <w:webHidden/>
              </w:rPr>
            </w:r>
            <w:r w:rsidR="003762A0">
              <w:rPr>
                <w:noProof/>
                <w:webHidden/>
              </w:rPr>
              <w:fldChar w:fldCharType="separate"/>
            </w:r>
            <w:r>
              <w:rPr>
                <w:noProof/>
                <w:webHidden/>
              </w:rPr>
              <w:t>30</w:t>
            </w:r>
            <w:r w:rsidR="003762A0">
              <w:rPr>
                <w:noProof/>
                <w:webHidden/>
              </w:rPr>
              <w:fldChar w:fldCharType="end"/>
            </w:r>
          </w:hyperlink>
        </w:p>
        <w:p w14:paraId="7FB917DC" w14:textId="77777777" w:rsidR="003762A0" w:rsidRDefault="00E05F5D">
          <w:pPr>
            <w:pStyle w:val="TOC3"/>
            <w:tabs>
              <w:tab w:val="right" w:leader="dot" w:pos="9016"/>
            </w:tabs>
            <w:rPr>
              <w:noProof/>
              <w:lang w:eastAsia="en-AU"/>
            </w:rPr>
          </w:pPr>
          <w:hyperlink w:anchor="_Toc492454285" w:history="1">
            <w:r w:rsidR="003762A0" w:rsidRPr="0010058C">
              <w:rPr>
                <w:rStyle w:val="Hyperlink"/>
                <w:noProof/>
              </w:rPr>
              <w:t>Group of Eight</w:t>
            </w:r>
            <w:r w:rsidR="003762A0">
              <w:rPr>
                <w:noProof/>
                <w:webHidden/>
              </w:rPr>
              <w:tab/>
            </w:r>
            <w:r w:rsidR="003762A0">
              <w:rPr>
                <w:noProof/>
                <w:webHidden/>
              </w:rPr>
              <w:fldChar w:fldCharType="begin"/>
            </w:r>
            <w:r w:rsidR="003762A0">
              <w:rPr>
                <w:noProof/>
                <w:webHidden/>
              </w:rPr>
              <w:instrText xml:space="preserve"> PAGEREF _Toc492454285 \h </w:instrText>
            </w:r>
            <w:r w:rsidR="003762A0">
              <w:rPr>
                <w:noProof/>
                <w:webHidden/>
              </w:rPr>
            </w:r>
            <w:r w:rsidR="003762A0">
              <w:rPr>
                <w:noProof/>
                <w:webHidden/>
              </w:rPr>
              <w:fldChar w:fldCharType="separate"/>
            </w:r>
            <w:r>
              <w:rPr>
                <w:noProof/>
                <w:webHidden/>
              </w:rPr>
              <w:t>30</w:t>
            </w:r>
            <w:r w:rsidR="003762A0">
              <w:rPr>
                <w:noProof/>
                <w:webHidden/>
              </w:rPr>
              <w:fldChar w:fldCharType="end"/>
            </w:r>
          </w:hyperlink>
        </w:p>
        <w:p w14:paraId="7AD549AE" w14:textId="77777777" w:rsidR="003762A0" w:rsidRDefault="00E05F5D">
          <w:pPr>
            <w:pStyle w:val="TOC3"/>
            <w:tabs>
              <w:tab w:val="right" w:leader="dot" w:pos="9016"/>
            </w:tabs>
            <w:rPr>
              <w:noProof/>
              <w:lang w:eastAsia="en-AU"/>
            </w:rPr>
          </w:pPr>
          <w:hyperlink w:anchor="_Toc492454286" w:history="1">
            <w:r w:rsidR="003762A0" w:rsidRPr="0010058C">
              <w:rPr>
                <w:rStyle w:val="Hyperlink"/>
                <w:noProof/>
              </w:rPr>
              <w:t>Innovative Research Universities</w:t>
            </w:r>
            <w:r w:rsidR="003762A0">
              <w:rPr>
                <w:noProof/>
                <w:webHidden/>
              </w:rPr>
              <w:tab/>
            </w:r>
            <w:r w:rsidR="003762A0">
              <w:rPr>
                <w:noProof/>
                <w:webHidden/>
              </w:rPr>
              <w:fldChar w:fldCharType="begin"/>
            </w:r>
            <w:r w:rsidR="003762A0">
              <w:rPr>
                <w:noProof/>
                <w:webHidden/>
              </w:rPr>
              <w:instrText xml:space="preserve"> PAGEREF _Toc492454286 \h </w:instrText>
            </w:r>
            <w:r w:rsidR="003762A0">
              <w:rPr>
                <w:noProof/>
                <w:webHidden/>
              </w:rPr>
            </w:r>
            <w:r w:rsidR="003762A0">
              <w:rPr>
                <w:noProof/>
                <w:webHidden/>
              </w:rPr>
              <w:fldChar w:fldCharType="separate"/>
            </w:r>
            <w:r>
              <w:rPr>
                <w:noProof/>
                <w:webHidden/>
              </w:rPr>
              <w:t>30</w:t>
            </w:r>
            <w:r w:rsidR="003762A0">
              <w:rPr>
                <w:noProof/>
                <w:webHidden/>
              </w:rPr>
              <w:fldChar w:fldCharType="end"/>
            </w:r>
          </w:hyperlink>
        </w:p>
        <w:p w14:paraId="637894AA" w14:textId="77777777" w:rsidR="003762A0" w:rsidRDefault="00E05F5D">
          <w:pPr>
            <w:pStyle w:val="TOC3"/>
            <w:tabs>
              <w:tab w:val="right" w:leader="dot" w:pos="9016"/>
            </w:tabs>
            <w:rPr>
              <w:noProof/>
              <w:lang w:eastAsia="en-AU"/>
            </w:rPr>
          </w:pPr>
          <w:hyperlink w:anchor="_Toc492454287" w:history="1">
            <w:r w:rsidR="003762A0" w:rsidRPr="0010058C">
              <w:rPr>
                <w:rStyle w:val="Hyperlink"/>
                <w:noProof/>
              </w:rPr>
              <w:t>Regional Universities Network</w:t>
            </w:r>
            <w:r w:rsidR="003762A0">
              <w:rPr>
                <w:noProof/>
                <w:webHidden/>
              </w:rPr>
              <w:tab/>
            </w:r>
            <w:r w:rsidR="003762A0">
              <w:rPr>
                <w:noProof/>
                <w:webHidden/>
              </w:rPr>
              <w:fldChar w:fldCharType="begin"/>
            </w:r>
            <w:r w:rsidR="003762A0">
              <w:rPr>
                <w:noProof/>
                <w:webHidden/>
              </w:rPr>
              <w:instrText xml:space="preserve"> PAGEREF _Toc492454287 \h </w:instrText>
            </w:r>
            <w:r w:rsidR="003762A0">
              <w:rPr>
                <w:noProof/>
                <w:webHidden/>
              </w:rPr>
            </w:r>
            <w:r w:rsidR="003762A0">
              <w:rPr>
                <w:noProof/>
                <w:webHidden/>
              </w:rPr>
              <w:fldChar w:fldCharType="separate"/>
            </w:r>
            <w:r>
              <w:rPr>
                <w:noProof/>
                <w:webHidden/>
              </w:rPr>
              <w:t>31</w:t>
            </w:r>
            <w:r w:rsidR="003762A0">
              <w:rPr>
                <w:noProof/>
                <w:webHidden/>
              </w:rPr>
              <w:fldChar w:fldCharType="end"/>
            </w:r>
          </w:hyperlink>
        </w:p>
        <w:p w14:paraId="45497A61" w14:textId="77777777" w:rsidR="00EF4A38" w:rsidRDefault="00EF4A38">
          <w:r>
            <w:rPr>
              <w:b/>
              <w:bCs/>
              <w:noProof/>
            </w:rPr>
            <w:fldChar w:fldCharType="end"/>
          </w:r>
        </w:p>
      </w:sdtContent>
    </w:sdt>
    <w:p w14:paraId="45497A62" w14:textId="77777777" w:rsidR="00EF4A38" w:rsidRDefault="00EF4A38" w:rsidP="00EF4A38">
      <w:pPr>
        <w:pStyle w:val="numberedpara"/>
        <w:numPr>
          <w:ilvl w:val="0"/>
          <w:numId w:val="0"/>
        </w:numPr>
        <w:tabs>
          <w:tab w:val="left" w:pos="720"/>
        </w:tabs>
        <w:spacing w:before="120" w:after="120"/>
        <w:rPr>
          <w:sz w:val="20"/>
          <w:szCs w:val="20"/>
        </w:rPr>
        <w:sectPr w:rsidR="00EF4A38" w:rsidSect="00EF4A38">
          <w:type w:val="continuous"/>
          <w:pgSz w:w="11906" w:h="16838"/>
          <w:pgMar w:top="3544" w:right="1440" w:bottom="1440" w:left="1440" w:header="708" w:footer="708" w:gutter="0"/>
          <w:cols w:space="708"/>
          <w:docGrid w:linePitch="360"/>
        </w:sectPr>
      </w:pPr>
    </w:p>
    <w:p w14:paraId="45497A63" w14:textId="26D39640" w:rsidR="00130923" w:rsidRPr="00A02290" w:rsidRDefault="00130923">
      <w:r>
        <w:lastRenderedPageBreak/>
        <w:br w:type="page"/>
      </w:r>
    </w:p>
    <w:sdt>
      <w:sdtPr>
        <w:rPr>
          <w:sz w:val="52"/>
        </w:rPr>
        <w:alias w:val="Title"/>
        <w:tag w:val=""/>
        <w:id w:val="-508135187"/>
        <w:dataBinding w:prefixMappings="xmlns:ns0='http://purl.org/dc/elements/1.1/' xmlns:ns1='http://schemas.openxmlformats.org/package/2006/metadata/core-properties' " w:xpath="/ns1:coreProperties[1]/ns0:title[1]" w:storeItemID="{6C3C8BC8-F283-45AE-878A-BAB7291924A1}"/>
        <w:text/>
      </w:sdtPr>
      <w:sdtEndPr/>
      <w:sdtContent>
        <w:p w14:paraId="45497A64" w14:textId="5267BFFC" w:rsidR="00C10C19" w:rsidRDefault="00CA743F" w:rsidP="00AC65DA">
          <w:pPr>
            <w:pStyle w:val="Title"/>
            <w:rPr>
              <w:sz w:val="52"/>
            </w:rPr>
          </w:pPr>
          <w:r>
            <w:rPr>
              <w:sz w:val="52"/>
            </w:rPr>
            <w:t>Undergraduate Applications and Offers, February 2017</w:t>
          </w:r>
        </w:p>
      </w:sdtContent>
    </w:sdt>
    <w:p w14:paraId="247F4575" w14:textId="77777777" w:rsidR="00341597" w:rsidRPr="00B67C70" w:rsidRDefault="00341597" w:rsidP="00E87DB2">
      <w:pPr>
        <w:pStyle w:val="Heading1"/>
        <w:pageBreakBefore w:val="0"/>
      </w:pPr>
      <w:bookmarkStart w:id="1" w:name="_Toc480816330"/>
      <w:bookmarkStart w:id="2" w:name="_Toc492454240"/>
      <w:r w:rsidRPr="00B67C70">
        <w:t>Introduction</w:t>
      </w:r>
      <w:bookmarkEnd w:id="1"/>
      <w:bookmarkEnd w:id="2"/>
      <w:r w:rsidRPr="00B67C70">
        <w:t xml:space="preserve"> </w:t>
      </w:r>
    </w:p>
    <w:p w14:paraId="41985991" w14:textId="77777777" w:rsidR="00341597" w:rsidRPr="00CA743F" w:rsidRDefault="00341597" w:rsidP="00CA743F">
      <w:pPr>
        <w:pStyle w:val="Heading2"/>
      </w:pPr>
      <w:bookmarkStart w:id="3" w:name="_Toc416445732"/>
      <w:bookmarkStart w:id="4" w:name="_Toc492454241"/>
      <w:r w:rsidRPr="00CA743F">
        <w:t>Purpose of the Report</w:t>
      </w:r>
      <w:bookmarkEnd w:id="3"/>
      <w:bookmarkEnd w:id="4"/>
    </w:p>
    <w:p w14:paraId="0CB0F522" w14:textId="77777777" w:rsidR="00341597" w:rsidRDefault="00341597" w:rsidP="00341597">
      <w:r w:rsidRPr="00C94512">
        <w:t>This report looks at</w:t>
      </w:r>
      <w:r>
        <w:t xml:space="preserve"> the</w:t>
      </w:r>
      <w:r w:rsidRPr="00C94512">
        <w:t xml:space="preserve"> </w:t>
      </w:r>
      <w:r>
        <w:t>third round</w:t>
      </w:r>
      <w:r w:rsidRPr="00C94512">
        <w:t xml:space="preserve"> </w:t>
      </w:r>
      <w:r>
        <w:t xml:space="preserve">data submission on </w:t>
      </w:r>
      <w:r w:rsidRPr="00C94512">
        <w:t xml:space="preserve">applications </w:t>
      </w:r>
      <w:r>
        <w:t>and offers processed through</w:t>
      </w:r>
      <w:r w:rsidRPr="00C94512">
        <w:t xml:space="preserve"> Tertiary Admissions Centres (</w:t>
      </w:r>
      <w:proofErr w:type="spellStart"/>
      <w:r w:rsidRPr="00C94512">
        <w:t>TACs</w:t>
      </w:r>
      <w:proofErr w:type="spellEnd"/>
      <w:r w:rsidRPr="00C94512">
        <w:t>)</w:t>
      </w:r>
      <w:r>
        <w:t xml:space="preserve"> and the first round data submission on applications made directly to universities</w:t>
      </w:r>
      <w:r w:rsidRPr="00C94512">
        <w:t xml:space="preserve"> fo</w:t>
      </w:r>
      <w:r>
        <w:t>r the first semester of the 2017</w:t>
      </w:r>
      <w:r w:rsidRPr="00C94512">
        <w:t xml:space="preserve"> academic year. It provides trends in the number of </w:t>
      </w:r>
      <w:r>
        <w:t xml:space="preserve">applications, offers and </w:t>
      </w:r>
      <w:r w:rsidRPr="00C94512">
        <w:t>characteristics of applicants</w:t>
      </w:r>
      <w:r>
        <w:t>. As such, these trends are leading indicators of the response of universities to the demand for higher education in 2017.</w:t>
      </w:r>
    </w:p>
    <w:p w14:paraId="7BB8CA93" w14:textId="77777777" w:rsidR="00341597" w:rsidRPr="00CA743F" w:rsidRDefault="00341597" w:rsidP="00CA743F">
      <w:pPr>
        <w:pStyle w:val="Heading2"/>
      </w:pPr>
      <w:bookmarkStart w:id="5" w:name="_Toc416445733"/>
      <w:bookmarkStart w:id="6" w:name="_Toc492454242"/>
      <w:r w:rsidRPr="00CA743F">
        <w:t>Overview of the Data</w:t>
      </w:r>
      <w:bookmarkEnd w:id="5"/>
      <w:bookmarkEnd w:id="6"/>
    </w:p>
    <w:p w14:paraId="7B407690" w14:textId="77777777" w:rsidR="00341597" w:rsidRDefault="00341597" w:rsidP="00341597">
      <w:r w:rsidRPr="00C94512">
        <w:t xml:space="preserve">Data in this report </w:t>
      </w:r>
      <w:r>
        <w:t xml:space="preserve">are </w:t>
      </w:r>
      <w:r w:rsidRPr="00C94512">
        <w:t xml:space="preserve">derived from the University Applications and Offers Data Collection.  The data </w:t>
      </w:r>
      <w:r>
        <w:t>refer to</w:t>
      </w:r>
      <w:r w:rsidRPr="00C94512">
        <w:t xml:space="preserve"> domestic undergraduate student applications</w:t>
      </w:r>
      <w:r>
        <w:t xml:space="preserve"> and offers</w:t>
      </w:r>
      <w:r w:rsidRPr="00C94512">
        <w:t xml:space="preserve"> as of </w:t>
      </w:r>
      <w:r>
        <w:t>27</w:t>
      </w:r>
      <w:r w:rsidRPr="00C94512">
        <w:t xml:space="preserve"> </w:t>
      </w:r>
      <w:r>
        <w:t xml:space="preserve">February 2017. </w:t>
      </w:r>
      <w:r w:rsidRPr="00C94512">
        <w:t xml:space="preserve">While </w:t>
      </w:r>
      <w:r w:rsidRPr="00CE02BF">
        <w:t xml:space="preserve">over </w:t>
      </w:r>
      <w:r w:rsidRPr="00C12A5E">
        <w:t>98%</w:t>
      </w:r>
      <w:r w:rsidRPr="00C94512">
        <w:t xml:space="preserve"> of all first semester applications</w:t>
      </w:r>
      <w:r>
        <w:t xml:space="preserve"> data, both Tertiary Admissions Centres (TAC)</w:t>
      </w:r>
      <w:r w:rsidRPr="00C94512">
        <w:t xml:space="preserve"> </w:t>
      </w:r>
      <w:r>
        <w:t>and direct,</w:t>
      </w:r>
      <w:r w:rsidRPr="00C94512">
        <w:t xml:space="preserve"> are received by this date, applicants can </w:t>
      </w:r>
      <w:r>
        <w:t>make decisions on their offers</w:t>
      </w:r>
      <w:r w:rsidRPr="00C94512">
        <w:t xml:space="preserve"> until the close of the application process. </w:t>
      </w:r>
    </w:p>
    <w:p w14:paraId="73117A9B" w14:textId="77777777" w:rsidR="00341597" w:rsidRDefault="00341597" w:rsidP="00341597">
      <w:r w:rsidRPr="0051282E">
        <w:t>Applications and offers reports are published on the department’s website:</w:t>
      </w:r>
      <w:r>
        <w:t xml:space="preserve"> </w:t>
      </w:r>
    </w:p>
    <w:p w14:paraId="009975BD" w14:textId="77777777" w:rsidR="00341597" w:rsidRPr="00A02290" w:rsidRDefault="00E05F5D" w:rsidP="00341597">
      <w:hyperlink r:id="rId20" w:history="1">
        <w:r w:rsidR="00341597" w:rsidRPr="0051282E">
          <w:rPr>
            <w:rFonts w:ascii="Calibri" w:hAnsi="Calibri"/>
            <w:u w:val="single"/>
          </w:rPr>
          <w:t>www.education.gov.au/higher-education-statistics</w:t>
        </w:r>
      </w:hyperlink>
      <w:r w:rsidR="00341597" w:rsidRPr="00A02290">
        <w:t>.</w:t>
      </w:r>
    </w:p>
    <w:p w14:paraId="1A4676A8" w14:textId="77777777" w:rsidR="00341597" w:rsidRPr="00CA743F" w:rsidRDefault="00341597" w:rsidP="00CA743F">
      <w:pPr>
        <w:pStyle w:val="Heading2"/>
      </w:pPr>
      <w:bookmarkStart w:id="7" w:name="_Toc416445734"/>
      <w:bookmarkStart w:id="8" w:name="_Toc492454243"/>
      <w:r w:rsidRPr="00CA743F">
        <w:t>Acknowledgements</w:t>
      </w:r>
      <w:bookmarkEnd w:id="7"/>
      <w:bookmarkEnd w:id="8"/>
    </w:p>
    <w:p w14:paraId="1C42B7D8" w14:textId="77777777" w:rsidR="00341597" w:rsidRDefault="00341597" w:rsidP="00341597">
      <w:r>
        <w:t>The department</w:t>
      </w:r>
      <w:r w:rsidRPr="00665B76">
        <w:t xml:space="preserve"> would like to thank all officers of </w:t>
      </w:r>
      <w:proofErr w:type="spellStart"/>
      <w:r w:rsidRPr="00665B76">
        <w:t>TACs</w:t>
      </w:r>
      <w:proofErr w:type="spellEnd"/>
      <w:r>
        <w:t xml:space="preserve"> and universities</w:t>
      </w:r>
      <w:r w:rsidRPr="00665B76">
        <w:t xml:space="preserve"> for submitting high quality </w:t>
      </w:r>
      <w:r>
        <w:t>applications and offers data for the 2017</w:t>
      </w:r>
      <w:r w:rsidRPr="00665B76">
        <w:t xml:space="preserve"> academic year.</w:t>
      </w:r>
    </w:p>
    <w:p w14:paraId="469389E9" w14:textId="77777777" w:rsidR="00341597" w:rsidRPr="00B67C70" w:rsidRDefault="00341597" w:rsidP="00B67C70">
      <w:pPr>
        <w:pStyle w:val="Heading1"/>
      </w:pPr>
      <w:bookmarkStart w:id="9" w:name="_Toc416445735"/>
      <w:bookmarkStart w:id="10" w:name="_Toc447188862"/>
      <w:bookmarkStart w:id="11" w:name="_Toc480816331"/>
      <w:bookmarkStart w:id="12" w:name="_Toc492454244"/>
      <w:r w:rsidRPr="00B67C70">
        <w:lastRenderedPageBreak/>
        <w:t>Highlights</w:t>
      </w:r>
      <w:bookmarkEnd w:id="9"/>
      <w:bookmarkEnd w:id="10"/>
      <w:bookmarkEnd w:id="11"/>
      <w:bookmarkEnd w:id="12"/>
      <w:r w:rsidRPr="00B67C70">
        <w:t xml:space="preserve"> </w:t>
      </w:r>
    </w:p>
    <w:p w14:paraId="251E86D3" w14:textId="77777777" w:rsidR="00341597" w:rsidRPr="00CA743F" w:rsidRDefault="00341597" w:rsidP="00CA743F">
      <w:pPr>
        <w:pStyle w:val="Heading2"/>
      </w:pPr>
      <w:bookmarkStart w:id="13" w:name="_Toc492454245"/>
      <w:bookmarkStart w:id="14" w:name="_Toc416445736"/>
      <w:r w:rsidRPr="00CA743F">
        <w:t>Total Applications and Offers – TAC and Direct</w:t>
      </w:r>
      <w:bookmarkEnd w:id="13"/>
    </w:p>
    <w:p w14:paraId="1F272059" w14:textId="77777777" w:rsidR="00341597" w:rsidRPr="00AC1937" w:rsidRDefault="00341597" w:rsidP="00B67C70">
      <w:pPr>
        <w:pStyle w:val="ListParagraph"/>
      </w:pPr>
      <w:r w:rsidRPr="00AC1937">
        <w:t xml:space="preserve">The </w:t>
      </w:r>
      <w:r>
        <w:t>actual</w:t>
      </w:r>
      <w:r w:rsidRPr="00AC1937">
        <w:t xml:space="preserve"> number of individuals applying either through a TAC or directl</w:t>
      </w:r>
      <w:r>
        <w:t>y for a university place in 2017</w:t>
      </w:r>
      <w:r w:rsidRPr="00AC1937">
        <w:t xml:space="preserve"> was </w:t>
      </w:r>
      <w:r w:rsidRPr="00AF4FC3">
        <w:t>340,027, an increase of 1.4</w:t>
      </w:r>
      <w:r>
        <w:t>% compared to 2016</w:t>
      </w:r>
      <w:r w:rsidRPr="00AC1937">
        <w:t>.</w:t>
      </w:r>
      <w:r>
        <w:t xml:space="preserve"> The increase in applications at this same point in time in 2016 was 1.9%.</w:t>
      </w:r>
      <w:r w:rsidRPr="00AC1937">
        <w:t xml:space="preserve"> Direct applicants made up </w:t>
      </w:r>
      <w:r>
        <w:t>33.1</w:t>
      </w:r>
      <w:r w:rsidRPr="00AC1937">
        <w:t>% of total</w:t>
      </w:r>
      <w:r>
        <w:t xml:space="preserve"> applicants in 2017.</w:t>
      </w:r>
    </w:p>
    <w:p w14:paraId="3B10CC0D" w14:textId="77777777" w:rsidR="00341597" w:rsidRDefault="00341597" w:rsidP="00B67C70">
      <w:pPr>
        <w:pStyle w:val="ListParagraph"/>
      </w:pPr>
      <w:r>
        <w:t>There were 281,</w:t>
      </w:r>
      <w:r w:rsidRPr="00AF4FC3">
        <w:t xml:space="preserve">113 </w:t>
      </w:r>
      <w:r w:rsidRPr="00AC1937">
        <w:t>unique</w:t>
      </w:r>
      <w:r>
        <w:t xml:space="preserve"> offers made, a decrease of 0.2% on 2016</w:t>
      </w:r>
      <w:r w:rsidRPr="00AC1937">
        <w:t xml:space="preserve">. </w:t>
      </w:r>
      <w:r>
        <w:t xml:space="preserve">The increase in offers in 2016 was 1.2%. </w:t>
      </w:r>
      <w:r w:rsidRPr="00AC1937">
        <w:t xml:space="preserve">Direct offers accounted for </w:t>
      </w:r>
      <w:r>
        <w:t>31.8</w:t>
      </w:r>
      <w:r w:rsidRPr="00AC1937">
        <w:t>% of total offers</w:t>
      </w:r>
      <w:r>
        <w:t xml:space="preserve"> in 2017.</w:t>
      </w:r>
    </w:p>
    <w:p w14:paraId="0E70E0C6" w14:textId="77777777" w:rsidR="00341597" w:rsidRPr="00AC1937" w:rsidRDefault="00341597" w:rsidP="00B67C70">
      <w:pPr>
        <w:pStyle w:val="ListParagraph"/>
      </w:pPr>
      <w:r>
        <w:t>Unique applications and offers refer to the number of individuals who may apply or receive an offer both through a TAC or direct through a university. Hence, the number of unique or individual applications and offers is less than the sum of TAC and direct applications and offers shown elsewhere in this report.</w:t>
      </w:r>
    </w:p>
    <w:p w14:paraId="1B6BBB70" w14:textId="77777777" w:rsidR="00341597" w:rsidRPr="00AC1937" w:rsidRDefault="00341597" w:rsidP="00B67C70">
      <w:pPr>
        <w:pStyle w:val="ListParagraph"/>
      </w:pPr>
      <w:r w:rsidRPr="00AC1937">
        <w:t xml:space="preserve">The offer rate </w:t>
      </w:r>
      <w:r>
        <w:t>in 2017</w:t>
      </w:r>
      <w:r w:rsidRPr="00AC1937">
        <w:t xml:space="preserve"> was </w:t>
      </w:r>
      <w:r>
        <w:t>82.7</w:t>
      </w:r>
      <w:r w:rsidRPr="00AC1937">
        <w:t>%</w:t>
      </w:r>
      <w:r>
        <w:t>, a decline of 1.3</w:t>
      </w:r>
      <w:r w:rsidRPr="00AC1937">
        <w:t xml:space="preserve"> percentage points from the previous year.</w:t>
      </w:r>
    </w:p>
    <w:p w14:paraId="0F027150" w14:textId="77777777" w:rsidR="00341597" w:rsidRPr="00AC1937" w:rsidRDefault="00341597" w:rsidP="00B67C70">
      <w:pPr>
        <w:pStyle w:val="ListParagraph"/>
      </w:pPr>
      <w:r w:rsidRPr="00AC1937">
        <w:t>Following the introduction of the demand driven system from 2012, the offer rate measures the way in which universities choose to respond to student demand.</w:t>
      </w:r>
    </w:p>
    <w:p w14:paraId="6BC1B153" w14:textId="77777777" w:rsidR="00341597" w:rsidRPr="0098521D" w:rsidRDefault="00341597" w:rsidP="00B67C70">
      <w:pPr>
        <w:pStyle w:val="ListParagraph"/>
      </w:pPr>
      <w:r w:rsidRPr="00AC1937">
        <w:t>N</w:t>
      </w:r>
      <w:r>
        <w:t>ationally, Year 12 applicants de</w:t>
      </w:r>
      <w:r w:rsidRPr="00AC1937">
        <w:t xml:space="preserve">creased by </w:t>
      </w:r>
      <w:r>
        <w:t>1.3</w:t>
      </w:r>
      <w:r w:rsidRPr="00AC1937">
        <w:t xml:space="preserve">% and </w:t>
      </w:r>
      <w:r>
        <w:t>the number of offers to Year 12 applicants de</w:t>
      </w:r>
      <w:r w:rsidRPr="00AC1937">
        <w:t xml:space="preserve">creased by </w:t>
      </w:r>
      <w:r>
        <w:t>1.4%</w:t>
      </w:r>
      <w:r w:rsidRPr="00AC1937">
        <w:t xml:space="preserve">. The number of non-Year 12 applicants increased by </w:t>
      </w:r>
      <w:r>
        <w:t>3.3</w:t>
      </w:r>
      <w:r w:rsidRPr="00AC1937">
        <w:t xml:space="preserve">% and offers to non-Year 12 applicants </w:t>
      </w:r>
      <w:r>
        <w:t>increased by 0.8</w:t>
      </w:r>
      <w:r w:rsidRPr="00AC1937">
        <w:t>%. The offer rate for Year 12 applicants was 87.1%</w:t>
      </w:r>
      <w:r>
        <w:t>,</w:t>
      </w:r>
      <w:r w:rsidRPr="00AC1937">
        <w:t xml:space="preserve"> which was higher than the offer rate of </w:t>
      </w:r>
      <w:r>
        <w:t>79.6</w:t>
      </w:r>
      <w:r w:rsidRPr="00AC1937">
        <w:t>% for non-Year 12 applicants</w:t>
      </w:r>
      <w:r w:rsidRPr="0098521D">
        <w:t xml:space="preserve">. </w:t>
      </w:r>
    </w:p>
    <w:p w14:paraId="00BC9DE4" w14:textId="77777777" w:rsidR="00341597" w:rsidRPr="00CA743F" w:rsidRDefault="00341597" w:rsidP="00CA743F">
      <w:pPr>
        <w:pStyle w:val="Heading2"/>
      </w:pPr>
      <w:bookmarkStart w:id="15" w:name="_Toc492454246"/>
      <w:r w:rsidRPr="00CA743F">
        <w:t>Field of education</w:t>
      </w:r>
      <w:bookmarkEnd w:id="15"/>
    </w:p>
    <w:p w14:paraId="5F01D41F" w14:textId="77777777" w:rsidR="00341597" w:rsidRDefault="00341597" w:rsidP="00B67C70">
      <w:pPr>
        <w:pStyle w:val="ListParagraph"/>
      </w:pPr>
      <w:r w:rsidRPr="00E24093">
        <w:t xml:space="preserve">Nationally, the most popular broad field of education (in terms of number of applications) in 2017 was Health (86,392 </w:t>
      </w:r>
      <w:r>
        <w:t>applicants or 25.4% of all applicants</w:t>
      </w:r>
      <w:r w:rsidRPr="00E24093">
        <w:t>). This was followed by Society and Culture (75,571 app</w:t>
      </w:r>
      <w:r>
        <w:t>licant</w:t>
      </w:r>
      <w:r w:rsidRPr="00E24093">
        <w:t>s or 22.2%) and Management a</w:t>
      </w:r>
      <w:r>
        <w:t>nd Commerce (43,421 applicants</w:t>
      </w:r>
      <w:r w:rsidRPr="00E24093">
        <w:t xml:space="preserve"> or 12.8%).</w:t>
      </w:r>
    </w:p>
    <w:p w14:paraId="64338E1D" w14:textId="77777777" w:rsidR="00341597" w:rsidRDefault="00341597" w:rsidP="00B67C70">
      <w:pPr>
        <w:pStyle w:val="ListParagraph"/>
      </w:pPr>
      <w:r w:rsidRPr="00AC1937">
        <w:t>Fields of education that recorded stronges</w:t>
      </w:r>
      <w:r>
        <w:t>t growth in applications in 2017</w:t>
      </w:r>
      <w:r w:rsidRPr="00AC1937">
        <w:t xml:space="preserve"> were </w:t>
      </w:r>
      <w:r>
        <w:t xml:space="preserve">Architecture and Building </w:t>
      </w:r>
      <w:r w:rsidRPr="00E24093">
        <w:t>(10.1%). This was followed by Information Technology (8.5%) and Natural and Physical Sciences (4.9%).</w:t>
      </w:r>
    </w:p>
    <w:p w14:paraId="28DFE692" w14:textId="77777777" w:rsidR="00341597" w:rsidRDefault="00341597" w:rsidP="00B67C70">
      <w:pPr>
        <w:pStyle w:val="ListParagraph"/>
      </w:pPr>
      <w:r w:rsidRPr="00AC1937">
        <w:t>Society and Culture received t</w:t>
      </w:r>
      <w:r>
        <w:t xml:space="preserve">he largest number of offers </w:t>
      </w:r>
      <w:r w:rsidRPr="00E24093">
        <w:t>(64,337 or 22.9% of total offers). This was followed by Health</w:t>
      </w:r>
      <w:r>
        <w:t xml:space="preserve"> </w:t>
      </w:r>
      <w:r w:rsidRPr="00E24093">
        <w:t>(63,792 or 22.7% of total offers).</w:t>
      </w:r>
    </w:p>
    <w:p w14:paraId="309D486E" w14:textId="77777777" w:rsidR="00341597" w:rsidRDefault="00341597" w:rsidP="00B67C70">
      <w:pPr>
        <w:pStyle w:val="ListParagraph"/>
      </w:pPr>
      <w:r w:rsidRPr="00E24093">
        <w:t xml:space="preserve">Information Technology recorded the largest increase in offers (6.9%).  This was followed </w:t>
      </w:r>
      <w:r>
        <w:t xml:space="preserve">by </w:t>
      </w:r>
      <w:r w:rsidRPr="00E24093">
        <w:t>Natural and Physical Sciences (4.5%).</w:t>
      </w:r>
      <w:r>
        <w:t xml:space="preserve"> </w:t>
      </w:r>
    </w:p>
    <w:p w14:paraId="1CF07230" w14:textId="77777777" w:rsidR="00341597" w:rsidRDefault="00341597" w:rsidP="00B67C70">
      <w:pPr>
        <w:pStyle w:val="ListParagraph"/>
      </w:pPr>
      <w:r w:rsidRPr="00AC1937">
        <w:t>Natural and Physical Sciences ha</w:t>
      </w:r>
      <w:r>
        <w:t>d the highest offer rate at 96.8</w:t>
      </w:r>
      <w:r w:rsidRPr="00AC1937">
        <w:t>%</w:t>
      </w:r>
      <w:r>
        <w:t>,</w:t>
      </w:r>
      <w:r w:rsidRPr="00AC1937">
        <w:t xml:space="preserve"> </w:t>
      </w:r>
      <w:r>
        <w:t>but showed a decline in 2017</w:t>
      </w:r>
      <w:r w:rsidRPr="00AC1937">
        <w:t xml:space="preserve"> of </w:t>
      </w:r>
      <w:r>
        <w:t>0.4</w:t>
      </w:r>
      <w:r w:rsidRPr="00AC1937">
        <w:t xml:space="preserve"> percentage points. Health had the lo</w:t>
      </w:r>
      <w:r>
        <w:t>west offer rate of 73.8% in 2017</w:t>
      </w:r>
      <w:r w:rsidRPr="00AC1937">
        <w:t xml:space="preserve">. </w:t>
      </w:r>
      <w:r>
        <w:t>Architecture and Building</w:t>
      </w:r>
      <w:r w:rsidRPr="00AC1937">
        <w:t xml:space="preserve"> experienced the largest fall </w:t>
      </w:r>
      <w:r>
        <w:t>in the offer rate in 2017 of 4.1</w:t>
      </w:r>
      <w:r w:rsidRPr="00AC1937">
        <w:t xml:space="preserve"> percentage points.</w:t>
      </w:r>
    </w:p>
    <w:p w14:paraId="4F596730" w14:textId="77777777" w:rsidR="00341597" w:rsidRPr="00CA743F" w:rsidRDefault="00341597" w:rsidP="00CA743F">
      <w:pPr>
        <w:pStyle w:val="Heading2"/>
      </w:pPr>
      <w:bookmarkStart w:id="16" w:name="_Toc492454247"/>
      <w:r w:rsidRPr="00CA743F">
        <w:lastRenderedPageBreak/>
        <w:t>Underrepresented groups</w:t>
      </w:r>
      <w:bookmarkEnd w:id="16"/>
    </w:p>
    <w:p w14:paraId="33D88EC7" w14:textId="77777777" w:rsidR="00341597" w:rsidRDefault="00341597" w:rsidP="00B67C70">
      <w:pPr>
        <w:pStyle w:val="ListParagraph"/>
      </w:pPr>
      <w:r w:rsidRPr="00822B78">
        <w:t xml:space="preserve">In 2017, applicants from a low SES background increased by 1.5%. On the other hand, applications from medium and high SES backgrounds experienced </w:t>
      </w:r>
      <w:r>
        <w:t>slower</w:t>
      </w:r>
      <w:r w:rsidRPr="00822B78">
        <w:t xml:space="preserve"> growth</w:t>
      </w:r>
      <w:r>
        <w:t xml:space="preserve"> of</w:t>
      </w:r>
      <w:r w:rsidRPr="00822B78">
        <w:t xml:space="preserve"> 0.4% and 0.8%, respectively</w:t>
      </w:r>
      <w:r>
        <w:t>.</w:t>
      </w:r>
    </w:p>
    <w:p w14:paraId="15EA492E" w14:textId="77777777" w:rsidR="00341597" w:rsidRDefault="00341597" w:rsidP="00B67C70">
      <w:pPr>
        <w:pStyle w:val="ListParagraph"/>
      </w:pPr>
      <w:r>
        <w:t xml:space="preserve">In 2017, offers to applicants from a high SES background have shown the smallest decrease (-0.5%) compared with offers to applicants from a low SES background (-0.6%) and medium SES background (-1.0%). </w:t>
      </w:r>
    </w:p>
    <w:p w14:paraId="580617DE" w14:textId="77777777" w:rsidR="00341597" w:rsidRPr="00AC1937" w:rsidRDefault="00341597" w:rsidP="00B67C70">
      <w:pPr>
        <w:pStyle w:val="ListParagraph"/>
      </w:pPr>
      <w:r>
        <w:t>Applicants from a low SES background were less likely to receive an offer</w:t>
      </w:r>
      <w:r w:rsidRPr="00822B78">
        <w:t xml:space="preserve"> compared with medium SES and high SES applicants.</w:t>
      </w:r>
      <w:r>
        <w:t xml:space="preserve"> Their offer rate was 81.0% compared with 82.8% for applicants from a medium SES background and 84.1% for applicants from a high SES background in 2017.</w:t>
      </w:r>
    </w:p>
    <w:p w14:paraId="7CCE754A" w14:textId="77777777" w:rsidR="00341597" w:rsidRDefault="00341597" w:rsidP="00B67C70">
      <w:pPr>
        <w:pStyle w:val="ListParagraph"/>
      </w:pPr>
      <w:r>
        <w:t xml:space="preserve">In 2017, applications from metropolitan residents increased by 1.3%, while applications from non-metropolitan residents decreased by 0.8%. </w:t>
      </w:r>
    </w:p>
    <w:p w14:paraId="17768954" w14:textId="77777777" w:rsidR="00341597" w:rsidRDefault="00341597" w:rsidP="00B67C70">
      <w:pPr>
        <w:pStyle w:val="ListParagraph"/>
      </w:pPr>
      <w:r>
        <w:t xml:space="preserve">Offers made to metropolitan applicants decreased by 0.5% compared with a decrease of 1.6% in offers made to non-metropolitan applicants. </w:t>
      </w:r>
    </w:p>
    <w:p w14:paraId="397F0F24" w14:textId="77777777" w:rsidR="00341597" w:rsidRDefault="00341597" w:rsidP="00B67C70">
      <w:pPr>
        <w:pStyle w:val="ListParagraph"/>
      </w:pPr>
      <w:r>
        <w:t xml:space="preserve">Applications from non-metropolitan residents were more likely to result in an offer compared with applications from metropolitan residents, 85.4% compared with 82.1% respectively. </w:t>
      </w:r>
    </w:p>
    <w:p w14:paraId="5A74B7AF" w14:textId="77777777" w:rsidR="00341597" w:rsidRPr="00AC1937" w:rsidRDefault="00341597" w:rsidP="00B67C70">
      <w:pPr>
        <w:pStyle w:val="ListParagraph"/>
      </w:pPr>
      <w:r w:rsidRPr="00AC1937">
        <w:t xml:space="preserve">Nationally, there were </w:t>
      </w:r>
      <w:r>
        <w:t>7120</w:t>
      </w:r>
      <w:r w:rsidRPr="00AC1937">
        <w:t xml:space="preserve"> applicants from an Indigenous background, an increase of </w:t>
      </w:r>
      <w:r>
        <w:t>5.5% from 2016</w:t>
      </w:r>
      <w:r w:rsidRPr="00AC1937">
        <w:t xml:space="preserve"> and offers to Indigenous applicants increased by </w:t>
      </w:r>
      <w:r>
        <w:t>3.3</w:t>
      </w:r>
      <w:r w:rsidRPr="00AC1937">
        <w:t>%.</w:t>
      </w:r>
    </w:p>
    <w:p w14:paraId="4AB7AC16" w14:textId="77777777" w:rsidR="00341597" w:rsidRDefault="00341597" w:rsidP="00B67C70">
      <w:pPr>
        <w:pStyle w:val="ListParagraph"/>
      </w:pPr>
      <w:r w:rsidRPr="00AC1937">
        <w:t>The offer rate fo</w:t>
      </w:r>
      <w:r>
        <w:t>r Indigenous applicants was 79.5</w:t>
      </w:r>
      <w:r w:rsidRPr="00AC1937">
        <w:t>%</w:t>
      </w:r>
      <w:r>
        <w:t>,</w:t>
      </w:r>
      <w:r w:rsidRPr="00AC1937">
        <w:t xml:space="preserve"> which was </w:t>
      </w:r>
      <w:r>
        <w:t>1.7</w:t>
      </w:r>
      <w:r w:rsidRPr="00AC1937">
        <w:t xml:space="preserve"> percentage points lower than the offer rate for persons who identified as non-Indigenous</w:t>
      </w:r>
      <w:r w:rsidRPr="0098521D">
        <w:t xml:space="preserve">.  </w:t>
      </w:r>
    </w:p>
    <w:p w14:paraId="035196F8" w14:textId="77777777" w:rsidR="00341597" w:rsidRPr="00CA743F" w:rsidRDefault="00341597" w:rsidP="00CA743F">
      <w:pPr>
        <w:pStyle w:val="Heading2"/>
      </w:pPr>
      <w:bookmarkStart w:id="17" w:name="_Toc416445739"/>
      <w:bookmarkStart w:id="18" w:name="_Toc492454248"/>
      <w:r w:rsidRPr="00CA743F">
        <w:t>Australian Tertiary Admission Rank (</w:t>
      </w:r>
      <w:proofErr w:type="spellStart"/>
      <w:r w:rsidRPr="00CA743F">
        <w:t>ATAR</w:t>
      </w:r>
      <w:proofErr w:type="spellEnd"/>
      <w:r w:rsidRPr="00CA743F">
        <w:t>)</w:t>
      </w:r>
      <w:bookmarkEnd w:id="17"/>
      <w:bookmarkEnd w:id="18"/>
    </w:p>
    <w:p w14:paraId="6C196CCD" w14:textId="77777777" w:rsidR="00341597" w:rsidRDefault="00341597" w:rsidP="00B67C70">
      <w:pPr>
        <w:pStyle w:val="ListParagraph"/>
      </w:pPr>
      <w:bookmarkStart w:id="19" w:name="_Toc416445740"/>
      <w:r>
        <w:t xml:space="preserve">In 2017, 27.8% of all offers made to applicants were for those with an </w:t>
      </w:r>
      <w:proofErr w:type="spellStart"/>
      <w:r>
        <w:t>ATAR</w:t>
      </w:r>
      <w:proofErr w:type="spellEnd"/>
      <w:r>
        <w:t xml:space="preserve"> of at least 70.05.  Offers to applicants who achieved an </w:t>
      </w:r>
      <w:proofErr w:type="spellStart"/>
      <w:r>
        <w:t>ATAR</w:t>
      </w:r>
      <w:proofErr w:type="spellEnd"/>
      <w:r>
        <w:t xml:space="preserve"> above 90 accounted for 10.1% of all applicants. </w:t>
      </w:r>
    </w:p>
    <w:p w14:paraId="266FE3F8" w14:textId="77777777" w:rsidR="00341597" w:rsidRDefault="00341597" w:rsidP="00B67C70">
      <w:pPr>
        <w:pStyle w:val="ListParagraph"/>
      </w:pPr>
      <w:r>
        <w:t xml:space="preserve">The share of offers for applicants in the </w:t>
      </w:r>
      <w:proofErr w:type="spellStart"/>
      <w:r>
        <w:t>ATAR</w:t>
      </w:r>
      <w:proofErr w:type="spellEnd"/>
      <w:r>
        <w:t xml:space="preserve"> band 50.00 or less has decreased from 3.4% in 2016 to 2.7% in 2017 or from 9486 to 7657.</w:t>
      </w:r>
    </w:p>
    <w:p w14:paraId="2D89764A" w14:textId="77777777" w:rsidR="00341597" w:rsidRPr="0098521D" w:rsidRDefault="00341597" w:rsidP="00B67C70">
      <w:pPr>
        <w:pStyle w:val="ListParagraph"/>
      </w:pPr>
      <w:r w:rsidRPr="00D95706">
        <w:t xml:space="preserve">During this time, the likelihood of an applicant with a low </w:t>
      </w:r>
      <w:proofErr w:type="spellStart"/>
      <w:r w:rsidRPr="00D95706">
        <w:t>ATAR</w:t>
      </w:r>
      <w:proofErr w:type="spellEnd"/>
      <w:r w:rsidRPr="00D95706">
        <w:t xml:space="preserve"> receiving an offer has recorded a greater increase than an applicant with a higher </w:t>
      </w:r>
      <w:proofErr w:type="spellStart"/>
      <w:r w:rsidRPr="00D95706">
        <w:t>ATAR</w:t>
      </w:r>
      <w:proofErr w:type="spellEnd"/>
      <w:r w:rsidRPr="00D95706">
        <w:t xml:space="preserve">. In part, this is because offer rates for applicants with a higher </w:t>
      </w:r>
      <w:proofErr w:type="spellStart"/>
      <w:r w:rsidRPr="00D95706">
        <w:t>ATAR</w:t>
      </w:r>
      <w:proofErr w:type="spellEnd"/>
      <w:r w:rsidRPr="00D95706">
        <w:t xml:space="preserve"> are starting from a higher base so there is less scope for an increase in offer rates.  Offer rates for Year </w:t>
      </w:r>
      <w:r>
        <w:t>12 applicants in the 50.00 or less</w:t>
      </w:r>
      <w:r w:rsidRPr="00D95706">
        <w:t xml:space="preserve"> </w:t>
      </w:r>
      <w:proofErr w:type="spellStart"/>
      <w:r>
        <w:t>ATAR</w:t>
      </w:r>
      <w:proofErr w:type="spellEnd"/>
      <w:r>
        <w:t xml:space="preserve"> band </w:t>
      </w:r>
      <w:r w:rsidRPr="00D95706">
        <w:t>increase</w:t>
      </w:r>
      <w:r>
        <w:t>d from 39.7</w:t>
      </w:r>
      <w:r w:rsidRPr="00D95706">
        <w:t xml:space="preserve">% </w:t>
      </w:r>
      <w:r>
        <w:t>(16,995 applicants) in 2014</w:t>
      </w:r>
      <w:r w:rsidRPr="00D95706">
        <w:t xml:space="preserve"> to 48.5% </w:t>
      </w:r>
      <w:r>
        <w:t>(16,527) in 2017</w:t>
      </w:r>
      <w:r w:rsidRPr="00D95706">
        <w:t xml:space="preserve">. The offer rates for the top three </w:t>
      </w:r>
      <w:proofErr w:type="spellStart"/>
      <w:r w:rsidRPr="00D95706">
        <w:t>ATAR</w:t>
      </w:r>
      <w:proofErr w:type="spellEnd"/>
      <w:r w:rsidRPr="00D95706">
        <w:t xml:space="preserve"> bands, while already high, have remained relatively steady. </w:t>
      </w:r>
      <w:bookmarkEnd w:id="19"/>
    </w:p>
    <w:p w14:paraId="0D8BBC85" w14:textId="77F79FD5" w:rsidR="00341597" w:rsidRPr="00CA743F" w:rsidRDefault="00341597" w:rsidP="00CA743F">
      <w:pPr>
        <w:pStyle w:val="Heading2"/>
      </w:pPr>
      <w:bookmarkStart w:id="20" w:name="_Toc492454249"/>
      <w:r w:rsidRPr="00CA743F">
        <w:t>Applications and Offers through Tertiary Admissions Centres</w:t>
      </w:r>
      <w:bookmarkEnd w:id="20"/>
    </w:p>
    <w:bookmarkEnd w:id="14"/>
    <w:p w14:paraId="44CBE04E" w14:textId="77777777" w:rsidR="00341597" w:rsidRDefault="00341597" w:rsidP="00B67C70">
      <w:pPr>
        <w:pStyle w:val="ListParagraph"/>
      </w:pPr>
      <w:r>
        <w:t>As of 27</w:t>
      </w:r>
      <w:r w:rsidRPr="00DE06CC">
        <w:t xml:space="preserve"> February 201</w:t>
      </w:r>
      <w:r>
        <w:t>7</w:t>
      </w:r>
      <w:r w:rsidRPr="00DE06CC">
        <w:t xml:space="preserve">, </w:t>
      </w:r>
      <w:r w:rsidRPr="0044237C">
        <w:t>there</w:t>
      </w:r>
      <w:r w:rsidRPr="00E17E2C">
        <w:t xml:space="preserve"> were </w:t>
      </w:r>
      <w:r>
        <w:t>265,678 applications</w:t>
      </w:r>
      <w:r w:rsidRPr="0044237C">
        <w:t xml:space="preserve"> </w:t>
      </w:r>
      <w:r>
        <w:t>made through</w:t>
      </w:r>
      <w:r w:rsidRPr="000D03EC">
        <w:t xml:space="preserve"> Tertiary Admissions Centres</w:t>
      </w:r>
      <w:r>
        <w:t xml:space="preserve"> (</w:t>
      </w:r>
      <w:proofErr w:type="spellStart"/>
      <w:r>
        <w:t>TACs</w:t>
      </w:r>
      <w:proofErr w:type="spellEnd"/>
      <w:r>
        <w:t>). This is a decrease</w:t>
      </w:r>
      <w:r w:rsidRPr="00E17E2C">
        <w:t xml:space="preserve"> of</w:t>
      </w:r>
      <w:r>
        <w:t xml:space="preserve"> 2.5</w:t>
      </w:r>
      <w:r w:rsidRPr="00E17E2C">
        <w:t>%</w:t>
      </w:r>
      <w:r>
        <w:t>,</w:t>
      </w:r>
      <w:r w:rsidRPr="00E17E2C">
        <w:t xml:space="preserve"> com</w:t>
      </w:r>
      <w:r>
        <w:t>pared with the same time in 2016. This follows a de</w:t>
      </w:r>
      <w:r w:rsidRPr="00E17E2C">
        <w:t xml:space="preserve">crease of </w:t>
      </w:r>
      <w:r>
        <w:t>0.8% at the same point in time between 2015 and 201</w:t>
      </w:r>
      <w:bookmarkStart w:id="21" w:name="_Toc416445737"/>
      <w:r>
        <w:t>6.</w:t>
      </w:r>
      <w:r w:rsidRPr="00327B50">
        <w:t xml:space="preserve"> </w:t>
      </w:r>
    </w:p>
    <w:p w14:paraId="5C68EDB2" w14:textId="77777777" w:rsidR="00341597" w:rsidRDefault="00341597" w:rsidP="00B67C70">
      <w:pPr>
        <w:pStyle w:val="ListParagraph"/>
      </w:pPr>
      <w:r>
        <w:t>There were 214,553</w:t>
      </w:r>
      <w:r w:rsidRPr="00327B50">
        <w:t xml:space="preserve"> off</w:t>
      </w:r>
      <w:r>
        <w:t>ers made in 2017, a de</w:t>
      </w:r>
      <w:r w:rsidRPr="00327B50">
        <w:t xml:space="preserve">crease of </w:t>
      </w:r>
      <w:r>
        <w:t>2.9%</w:t>
      </w:r>
      <w:r w:rsidRPr="00327B50">
        <w:t xml:space="preserve"> com</w:t>
      </w:r>
      <w:r>
        <w:t>pared with the same time in 2016</w:t>
      </w:r>
      <w:r w:rsidRPr="00327B50">
        <w:t>.</w:t>
      </w:r>
      <w:r>
        <w:t xml:space="preserve"> </w:t>
      </w:r>
      <w:r w:rsidRPr="00327B50">
        <w:t xml:space="preserve">This follows a decrease of </w:t>
      </w:r>
      <w:r>
        <w:t>1.2% between 2015 and 2016</w:t>
      </w:r>
      <w:r w:rsidRPr="00327B50">
        <w:t xml:space="preserve">. </w:t>
      </w:r>
    </w:p>
    <w:p w14:paraId="4073ABF1" w14:textId="77777777" w:rsidR="00341597" w:rsidRDefault="00341597" w:rsidP="00B67C70">
      <w:pPr>
        <w:pStyle w:val="ListParagraph"/>
      </w:pPr>
      <w:r w:rsidRPr="00B27CE8">
        <w:lastRenderedPageBreak/>
        <w:t>More than four-fifths of applications (</w:t>
      </w:r>
      <w:r>
        <w:t>80.8</w:t>
      </w:r>
      <w:r w:rsidRPr="00B27CE8">
        <w:t>%) attracted an offer in 201</w:t>
      </w:r>
      <w:r>
        <w:t>7, a de</w:t>
      </w:r>
      <w:r w:rsidRPr="00B27CE8">
        <w:t xml:space="preserve">crease of </w:t>
      </w:r>
      <w:r>
        <w:t xml:space="preserve">0.4 </w:t>
      </w:r>
      <w:r w:rsidRPr="00B27CE8">
        <w:t>percentage points</w:t>
      </w:r>
      <w:r>
        <w:t xml:space="preserve"> over 2016</w:t>
      </w:r>
      <w:r w:rsidRPr="00B27CE8">
        <w:t>. This follows</w:t>
      </w:r>
      <w:r>
        <w:t xml:space="preserve"> a de</w:t>
      </w:r>
      <w:r w:rsidRPr="00B27CE8">
        <w:t xml:space="preserve">crease of </w:t>
      </w:r>
      <w:r>
        <w:t>0.3</w:t>
      </w:r>
      <w:r w:rsidRPr="00B27CE8">
        <w:t xml:space="preserve"> </w:t>
      </w:r>
      <w:r>
        <w:t>percentage points</w:t>
      </w:r>
      <w:r w:rsidRPr="00B27CE8">
        <w:t xml:space="preserve"> </w:t>
      </w:r>
      <w:r>
        <w:t xml:space="preserve">between 2015 and </w:t>
      </w:r>
      <w:r w:rsidRPr="00B27CE8">
        <w:t>201</w:t>
      </w:r>
      <w:r>
        <w:t>6</w:t>
      </w:r>
      <w:r w:rsidRPr="00B27CE8">
        <w:t>.</w:t>
      </w:r>
    </w:p>
    <w:p w14:paraId="30981411" w14:textId="77777777" w:rsidR="00341597" w:rsidRPr="00CA743F" w:rsidRDefault="00341597" w:rsidP="00CA743F">
      <w:pPr>
        <w:pStyle w:val="Heading2"/>
      </w:pPr>
      <w:bookmarkStart w:id="22" w:name="_Toc416445744"/>
      <w:bookmarkStart w:id="23" w:name="_Toc492454250"/>
      <w:bookmarkEnd w:id="21"/>
      <w:r w:rsidRPr="00CA743F">
        <w:t>Direct Applications and offers</w:t>
      </w:r>
      <w:bookmarkEnd w:id="22"/>
      <w:bookmarkEnd w:id="23"/>
    </w:p>
    <w:p w14:paraId="5546B002" w14:textId="77777777" w:rsidR="00341597" w:rsidRPr="00023F46" w:rsidRDefault="00341597" w:rsidP="00B67C70">
      <w:pPr>
        <w:pStyle w:val="ListParagraph"/>
      </w:pPr>
      <w:r w:rsidRPr="00023F46">
        <w:t xml:space="preserve">The total number of applications (per person per university) made directly </w:t>
      </w:r>
      <w:r>
        <w:t>to universities in 2017 was 126,270, an increase of 18.3% when compared with 2016</w:t>
      </w:r>
      <w:r w:rsidRPr="00023F46">
        <w:t xml:space="preserve">. </w:t>
      </w:r>
    </w:p>
    <w:p w14:paraId="13DB22C8" w14:textId="77777777" w:rsidR="00341597" w:rsidRPr="00023F46" w:rsidRDefault="00341597" w:rsidP="00B67C70">
      <w:pPr>
        <w:pStyle w:val="ListParagraph"/>
      </w:pPr>
      <w:r>
        <w:t xml:space="preserve">There were </w:t>
      </w:r>
      <w:r w:rsidRPr="001842FD">
        <w:t xml:space="preserve">95,279 </w:t>
      </w:r>
      <w:r w:rsidRPr="00023F46">
        <w:t xml:space="preserve">offers resulting from direct </w:t>
      </w:r>
      <w:r>
        <w:t>applications, an increase of 12.4</w:t>
      </w:r>
      <w:r w:rsidRPr="00023F46">
        <w:t>% betwee</w:t>
      </w:r>
      <w:r>
        <w:t>n 2016 and 2017</w:t>
      </w:r>
      <w:r w:rsidRPr="00023F46">
        <w:t xml:space="preserve">. </w:t>
      </w:r>
    </w:p>
    <w:p w14:paraId="58D21544" w14:textId="77777777" w:rsidR="00341597" w:rsidRDefault="00341597" w:rsidP="00B67C70">
      <w:pPr>
        <w:pStyle w:val="ListParagraph"/>
      </w:pPr>
      <w:r w:rsidRPr="00023F46">
        <w:t xml:space="preserve">Offer rates in relation to direct applications decreased from </w:t>
      </w:r>
      <w:r>
        <w:t>79.4% to 75.4</w:t>
      </w:r>
      <w:r w:rsidRPr="00023F46">
        <w:t>% over the same period.</w:t>
      </w:r>
    </w:p>
    <w:p w14:paraId="1025BD5D" w14:textId="77777777" w:rsidR="00341597" w:rsidRPr="00B67C70" w:rsidRDefault="00341597" w:rsidP="00B67C70">
      <w:pPr>
        <w:pStyle w:val="ListParagraph"/>
      </w:pPr>
      <w:r w:rsidRPr="00023F46">
        <w:t>Compared to TAC applicants, direct applicants were less likely to be Year 12 students and hence were more likely to be older.  Female and Indigenous applicants made up a larger share of direct applicants than TAC applicants.</w:t>
      </w:r>
    </w:p>
    <w:p w14:paraId="674F3339" w14:textId="11C6BBF7" w:rsidR="00341597" w:rsidRPr="00B67C70" w:rsidRDefault="00341597" w:rsidP="00B67C70">
      <w:pPr>
        <w:pStyle w:val="Heading1"/>
      </w:pPr>
      <w:bookmarkStart w:id="24" w:name="_Toc480816332"/>
      <w:bookmarkStart w:id="25" w:name="_Toc492454251"/>
      <w:r w:rsidRPr="00B67C70">
        <w:lastRenderedPageBreak/>
        <w:t>Applicants</w:t>
      </w:r>
      <w:bookmarkEnd w:id="24"/>
      <w:bookmarkEnd w:id="25"/>
    </w:p>
    <w:p w14:paraId="646CEEFE" w14:textId="77777777" w:rsidR="00341597" w:rsidRPr="00CA743F" w:rsidRDefault="00341597" w:rsidP="00CA743F">
      <w:pPr>
        <w:pStyle w:val="Heading2"/>
      </w:pPr>
      <w:bookmarkStart w:id="26" w:name="_Toc492454252"/>
      <w:r w:rsidRPr="00CA743F">
        <w:t>Number of Applicants</w:t>
      </w:r>
      <w:bookmarkEnd w:id="26"/>
    </w:p>
    <w:p w14:paraId="42196595" w14:textId="77777777" w:rsidR="00341597" w:rsidRDefault="00341597" w:rsidP="00341597">
      <w:r>
        <w:t>As of 27 February 2017</w:t>
      </w:r>
      <w:r w:rsidRPr="00304A07">
        <w:t xml:space="preserve">, there were </w:t>
      </w:r>
      <w:r>
        <w:t>265,678</w:t>
      </w:r>
      <w:r w:rsidRPr="00304A07">
        <w:t xml:space="preserve"> applications </w:t>
      </w:r>
      <w:r>
        <w:t xml:space="preserve">were made through </w:t>
      </w:r>
      <w:proofErr w:type="spellStart"/>
      <w:r>
        <w:t>TACs</w:t>
      </w:r>
      <w:proofErr w:type="spellEnd"/>
      <w:r>
        <w:t>, including double counting of applicants who had submitted applications in several states</w:t>
      </w:r>
      <w:r w:rsidRPr="00304A07">
        <w:t xml:space="preserve">. </w:t>
      </w:r>
      <w:r>
        <w:t xml:space="preserve">When individual applicants were counted, this decreased to </w:t>
      </w:r>
      <w:r w:rsidRPr="00BC4F09">
        <w:t>240</w:t>
      </w:r>
      <w:r>
        <w:t>,</w:t>
      </w:r>
      <w:r w:rsidRPr="00BC4F09">
        <w:t>576</w:t>
      </w:r>
      <w:r>
        <w:t xml:space="preserve">. On the other hand, there were </w:t>
      </w:r>
      <w:r w:rsidRPr="006A36FD">
        <w:t>118,964</w:t>
      </w:r>
      <w:r>
        <w:t xml:space="preserve"> applicants who applied directly to universities (reduced from </w:t>
      </w:r>
      <w:r w:rsidRPr="006A36FD">
        <w:t xml:space="preserve">126,270 </w:t>
      </w:r>
      <w:r>
        <w:t xml:space="preserve">direct applications). The total number of applicants across Australia by February </w:t>
      </w:r>
      <w:proofErr w:type="gramStart"/>
      <w:r>
        <w:t>2017,</w:t>
      </w:r>
      <w:proofErr w:type="gramEnd"/>
      <w:r>
        <w:t xml:space="preserve"> therefore was, </w:t>
      </w:r>
      <w:r w:rsidRPr="006A36FD">
        <w:t>359,540</w:t>
      </w:r>
      <w:r>
        <w:t xml:space="preserve"> adding both TAC and direct applicants together.</w:t>
      </w:r>
    </w:p>
    <w:p w14:paraId="635AE0C4" w14:textId="77777777" w:rsidR="00341597" w:rsidRPr="003755C0" w:rsidRDefault="00341597" w:rsidP="00341597">
      <w:r>
        <w:t xml:space="preserve">Further analysis shows that there was an overlap of  </w:t>
      </w:r>
      <w:r w:rsidRPr="00DF4FFA">
        <w:t>19,513</w:t>
      </w:r>
      <w:r>
        <w:t xml:space="preserve"> applicants who applied through </w:t>
      </w:r>
      <w:proofErr w:type="spellStart"/>
      <w:r>
        <w:t>TACs</w:t>
      </w:r>
      <w:proofErr w:type="spellEnd"/>
      <w:r>
        <w:t xml:space="preserve"> as well as directly to universities, hence the number of individuals (</w:t>
      </w:r>
      <w:proofErr w:type="spellStart"/>
      <w:r>
        <w:t>ie</w:t>
      </w:r>
      <w:proofErr w:type="spellEnd"/>
      <w:r>
        <w:t xml:space="preserve">, unique applicants) that applied for a university place in February 2017 was </w:t>
      </w:r>
      <w:r w:rsidRPr="00DF4FFA">
        <w:t>340,027</w:t>
      </w:r>
      <w:r>
        <w:t>, an increase of 1.4% compared to 2016. Direct applicants made up of 33.1% of total applicants until the end of February 2017.</w:t>
      </w:r>
    </w:p>
    <w:p w14:paraId="306D9EAA" w14:textId="77777777" w:rsidR="00341597" w:rsidRPr="00CA743F" w:rsidRDefault="00341597" w:rsidP="00CA743F">
      <w:pPr>
        <w:pStyle w:val="Heading2"/>
      </w:pPr>
      <w:bookmarkStart w:id="27" w:name="_Toc492454253"/>
      <w:r w:rsidRPr="00CA743F">
        <w:t>State and Territory</w:t>
      </w:r>
      <w:bookmarkEnd w:id="27"/>
    </w:p>
    <w:p w14:paraId="7AB4DB4F" w14:textId="3907ADCE" w:rsidR="00341597" w:rsidRPr="00B67C70" w:rsidRDefault="00341597" w:rsidP="00B67C70">
      <w:r>
        <w:t xml:space="preserve">Compared with 2016, WA recorded the largest growth in applicants (5.3%), followed by Victoria (4.0%), NT (2.3%) and Queensland (1.1%). </w:t>
      </w:r>
      <w:proofErr w:type="gramStart"/>
      <w:r>
        <w:t>ACT (-3.2%), NSW and Tasmania (-0.9%) and South Australia (-0.2%) experienced negative growth.</w:t>
      </w:r>
      <w:proofErr w:type="gramEnd"/>
    </w:p>
    <w:p w14:paraId="31F02F09" w14:textId="5524C5B7" w:rsidR="00D21F72" w:rsidRDefault="00D21F72" w:rsidP="00D21F72">
      <w:pPr>
        <w:pStyle w:val="Caption"/>
        <w:keepNext/>
      </w:pPr>
      <w:bookmarkStart w:id="28" w:name="_Toc492453632"/>
      <w:bookmarkStart w:id="29" w:name="_Toc492453857"/>
      <w:r>
        <w:t xml:space="preserve">Table </w:t>
      </w:r>
      <w:fldSimple w:instr=" SEQ Table \* ARABIC ">
        <w:r w:rsidR="00E05F5D">
          <w:rPr>
            <w:noProof/>
          </w:rPr>
          <w:t>1</w:t>
        </w:r>
      </w:fldSimple>
      <w:r>
        <w:t xml:space="preserve">: </w:t>
      </w:r>
      <w:r w:rsidRPr="00A27BCF">
        <w:t>Applicants by states and territory, February 2016 and February 2017</w:t>
      </w:r>
      <w:bookmarkEnd w:id="28"/>
      <w:bookmarkEnd w:id="29"/>
    </w:p>
    <w:tbl>
      <w:tblPr>
        <w:tblStyle w:val="DEEWRTable"/>
        <w:tblW w:w="5000" w:type="pct"/>
        <w:tblLook w:val="04A0" w:firstRow="1" w:lastRow="0" w:firstColumn="1" w:lastColumn="0" w:noHBand="0" w:noVBand="1"/>
      </w:tblPr>
      <w:tblGrid>
        <w:gridCol w:w="2919"/>
        <w:gridCol w:w="2257"/>
        <w:gridCol w:w="2033"/>
        <w:gridCol w:w="2033"/>
      </w:tblGrid>
      <w:tr w:rsidR="00341597" w:rsidRPr="00B875BD" w14:paraId="6E8C19BE" w14:textId="77777777" w:rsidTr="003415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9" w:type="pct"/>
            <w:noWrap/>
            <w:hideMark/>
          </w:tcPr>
          <w:p w14:paraId="074E5007" w14:textId="77777777" w:rsidR="00341597" w:rsidRPr="00A02290" w:rsidRDefault="00341597" w:rsidP="00341597">
            <w:r w:rsidRPr="00A02290">
              <w:t>State/Territory</w:t>
            </w:r>
          </w:p>
        </w:tc>
        <w:tc>
          <w:tcPr>
            <w:tcW w:w="1221" w:type="pct"/>
          </w:tcPr>
          <w:p w14:paraId="6260C66D" w14:textId="77777777" w:rsidR="00341597" w:rsidRPr="00511DE9" w:rsidRDefault="00341597" w:rsidP="007F72E7">
            <w:pPr>
              <w:jc w:val="right"/>
              <w:cnfStyle w:val="100000000000" w:firstRow="1" w:lastRow="0" w:firstColumn="0" w:lastColumn="0" w:oddVBand="0" w:evenVBand="0" w:oddHBand="0" w:evenHBand="0" w:firstRowFirstColumn="0" w:firstRowLastColumn="0" w:lastRowFirstColumn="0" w:lastRowLastColumn="0"/>
            </w:pPr>
            <w:r>
              <w:t>2016</w:t>
            </w:r>
          </w:p>
        </w:tc>
        <w:tc>
          <w:tcPr>
            <w:tcW w:w="1100" w:type="pct"/>
            <w:noWrap/>
            <w:hideMark/>
          </w:tcPr>
          <w:p w14:paraId="35A9320B" w14:textId="77777777" w:rsidR="00341597" w:rsidRPr="00511DE9" w:rsidRDefault="00341597" w:rsidP="007F72E7">
            <w:pPr>
              <w:jc w:val="right"/>
              <w:cnfStyle w:val="100000000000" w:firstRow="1" w:lastRow="0" w:firstColumn="0" w:lastColumn="0" w:oddVBand="0" w:evenVBand="0" w:oddHBand="0" w:evenHBand="0" w:firstRowFirstColumn="0" w:firstRowLastColumn="0" w:lastRowFirstColumn="0" w:lastRowLastColumn="0"/>
            </w:pPr>
            <w:r>
              <w:t>2017</w:t>
            </w:r>
          </w:p>
        </w:tc>
        <w:tc>
          <w:tcPr>
            <w:tcW w:w="1100" w:type="pct"/>
            <w:noWrap/>
            <w:hideMark/>
          </w:tcPr>
          <w:p w14:paraId="36F19FCC" w14:textId="77777777" w:rsidR="00341597" w:rsidRPr="00511DE9" w:rsidRDefault="00341597" w:rsidP="007F72E7">
            <w:pPr>
              <w:jc w:val="right"/>
              <w:cnfStyle w:val="100000000000" w:firstRow="1" w:lastRow="0" w:firstColumn="0" w:lastColumn="0" w:oddVBand="0" w:evenVBand="0" w:oddHBand="0" w:evenHBand="0" w:firstRowFirstColumn="0" w:firstRowLastColumn="0" w:lastRowFirstColumn="0" w:lastRowLastColumn="0"/>
            </w:pPr>
            <w:r>
              <w:t xml:space="preserve">% </w:t>
            </w:r>
            <w:r w:rsidRPr="00511DE9">
              <w:t>Change</w:t>
            </w:r>
          </w:p>
        </w:tc>
      </w:tr>
      <w:tr w:rsidR="00341597" w:rsidRPr="00B875BD" w14:paraId="3E0839BA" w14:textId="77777777" w:rsidTr="00341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9" w:type="pct"/>
            <w:noWrap/>
            <w:hideMark/>
          </w:tcPr>
          <w:p w14:paraId="0FC4768D" w14:textId="77777777" w:rsidR="00341597" w:rsidRPr="00B875BD" w:rsidRDefault="00341597" w:rsidP="00341597">
            <w:r>
              <w:t>NSW</w:t>
            </w:r>
          </w:p>
        </w:tc>
        <w:tc>
          <w:tcPr>
            <w:tcW w:w="1221" w:type="pct"/>
          </w:tcPr>
          <w:p w14:paraId="7F04C1AE" w14:textId="77777777" w:rsidR="00341597" w:rsidRPr="00B27CD4" w:rsidRDefault="00341597" w:rsidP="007F72E7">
            <w:pPr>
              <w:jc w:val="right"/>
              <w:cnfStyle w:val="000000100000" w:firstRow="0" w:lastRow="0" w:firstColumn="0" w:lastColumn="0" w:oddVBand="0" w:evenVBand="0" w:oddHBand="1" w:evenHBand="0" w:firstRowFirstColumn="0" w:firstRowLastColumn="0" w:lastRowFirstColumn="0" w:lastRowLastColumn="0"/>
            </w:pPr>
            <w:r w:rsidRPr="00B27CD4">
              <w:t>108,923</w:t>
            </w:r>
          </w:p>
        </w:tc>
        <w:tc>
          <w:tcPr>
            <w:tcW w:w="1100" w:type="pct"/>
            <w:noWrap/>
          </w:tcPr>
          <w:p w14:paraId="748734D5" w14:textId="77777777" w:rsidR="00341597" w:rsidRPr="00B27CD4" w:rsidRDefault="00341597" w:rsidP="007F72E7">
            <w:pPr>
              <w:jc w:val="right"/>
              <w:cnfStyle w:val="000000100000" w:firstRow="0" w:lastRow="0" w:firstColumn="0" w:lastColumn="0" w:oddVBand="0" w:evenVBand="0" w:oddHBand="1" w:evenHBand="0" w:firstRowFirstColumn="0" w:firstRowLastColumn="0" w:lastRowFirstColumn="0" w:lastRowLastColumn="0"/>
            </w:pPr>
            <w:r w:rsidRPr="00B27CD4">
              <w:t>107,955</w:t>
            </w:r>
          </w:p>
        </w:tc>
        <w:tc>
          <w:tcPr>
            <w:tcW w:w="1100" w:type="pct"/>
            <w:noWrap/>
          </w:tcPr>
          <w:p w14:paraId="0202BC8E" w14:textId="77777777" w:rsidR="00341597" w:rsidRPr="00B27CD4" w:rsidRDefault="00341597" w:rsidP="007F72E7">
            <w:pPr>
              <w:jc w:val="right"/>
              <w:cnfStyle w:val="000000100000" w:firstRow="0" w:lastRow="0" w:firstColumn="0" w:lastColumn="0" w:oddVBand="0" w:evenVBand="0" w:oddHBand="1" w:evenHBand="0" w:firstRowFirstColumn="0" w:firstRowLastColumn="0" w:lastRowFirstColumn="0" w:lastRowLastColumn="0"/>
            </w:pPr>
            <w:r w:rsidRPr="00B27CD4">
              <w:t>-0.9%</w:t>
            </w:r>
          </w:p>
        </w:tc>
      </w:tr>
      <w:tr w:rsidR="00341597" w:rsidRPr="00B875BD" w14:paraId="597F27B8" w14:textId="77777777" w:rsidTr="00341597">
        <w:tc>
          <w:tcPr>
            <w:cnfStyle w:val="001000000000" w:firstRow="0" w:lastRow="0" w:firstColumn="1" w:lastColumn="0" w:oddVBand="0" w:evenVBand="0" w:oddHBand="0" w:evenHBand="0" w:firstRowFirstColumn="0" w:firstRowLastColumn="0" w:lastRowFirstColumn="0" w:lastRowLastColumn="0"/>
            <w:tcW w:w="1579" w:type="pct"/>
            <w:noWrap/>
            <w:hideMark/>
          </w:tcPr>
          <w:p w14:paraId="5C9B5981" w14:textId="77777777" w:rsidR="00341597" w:rsidRPr="00B875BD" w:rsidRDefault="00341597" w:rsidP="00341597">
            <w:r>
              <w:t>VIC</w:t>
            </w:r>
          </w:p>
        </w:tc>
        <w:tc>
          <w:tcPr>
            <w:tcW w:w="1221" w:type="pct"/>
          </w:tcPr>
          <w:p w14:paraId="4EC59EE7" w14:textId="77777777" w:rsidR="00341597" w:rsidRPr="00B27CD4"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B27CD4">
              <w:t>87,427</w:t>
            </w:r>
          </w:p>
        </w:tc>
        <w:tc>
          <w:tcPr>
            <w:tcW w:w="1100" w:type="pct"/>
            <w:noWrap/>
          </w:tcPr>
          <w:p w14:paraId="0E6DD31F" w14:textId="77777777" w:rsidR="00341597" w:rsidRPr="00B27CD4"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B27CD4">
              <w:t>90,892</w:t>
            </w:r>
          </w:p>
        </w:tc>
        <w:tc>
          <w:tcPr>
            <w:tcW w:w="1100" w:type="pct"/>
            <w:noWrap/>
          </w:tcPr>
          <w:p w14:paraId="2648FF84" w14:textId="77777777" w:rsidR="00341597" w:rsidRPr="00B27CD4"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B27CD4">
              <w:t>4.0%</w:t>
            </w:r>
          </w:p>
        </w:tc>
      </w:tr>
      <w:tr w:rsidR="00341597" w:rsidRPr="00B875BD" w14:paraId="2EF6BB22" w14:textId="77777777" w:rsidTr="00341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9" w:type="pct"/>
            <w:noWrap/>
            <w:hideMark/>
          </w:tcPr>
          <w:p w14:paraId="7E23A398" w14:textId="77777777" w:rsidR="00341597" w:rsidRPr="00B875BD" w:rsidRDefault="00341597" w:rsidP="00341597">
            <w:r w:rsidRPr="00B875BD">
              <w:t>Q</w:t>
            </w:r>
            <w:r>
              <w:t>LD</w:t>
            </w:r>
          </w:p>
        </w:tc>
        <w:tc>
          <w:tcPr>
            <w:tcW w:w="1221" w:type="pct"/>
          </w:tcPr>
          <w:p w14:paraId="3847F1AF" w14:textId="77777777" w:rsidR="00341597" w:rsidRPr="00B27CD4" w:rsidRDefault="00341597" w:rsidP="007F72E7">
            <w:pPr>
              <w:jc w:val="right"/>
              <w:cnfStyle w:val="000000100000" w:firstRow="0" w:lastRow="0" w:firstColumn="0" w:lastColumn="0" w:oddVBand="0" w:evenVBand="0" w:oddHBand="1" w:evenHBand="0" w:firstRowFirstColumn="0" w:firstRowLastColumn="0" w:lastRowFirstColumn="0" w:lastRowLastColumn="0"/>
            </w:pPr>
            <w:r w:rsidRPr="00B27CD4">
              <w:t>65,239</w:t>
            </w:r>
          </w:p>
        </w:tc>
        <w:tc>
          <w:tcPr>
            <w:tcW w:w="1100" w:type="pct"/>
            <w:noWrap/>
          </w:tcPr>
          <w:p w14:paraId="3B0F9CF8" w14:textId="77777777" w:rsidR="00341597" w:rsidRPr="00B27CD4" w:rsidRDefault="00341597" w:rsidP="007F72E7">
            <w:pPr>
              <w:jc w:val="right"/>
              <w:cnfStyle w:val="000000100000" w:firstRow="0" w:lastRow="0" w:firstColumn="0" w:lastColumn="0" w:oddVBand="0" w:evenVBand="0" w:oddHBand="1" w:evenHBand="0" w:firstRowFirstColumn="0" w:firstRowLastColumn="0" w:lastRowFirstColumn="0" w:lastRowLastColumn="0"/>
            </w:pPr>
            <w:r w:rsidRPr="00B27CD4">
              <w:t>65,941</w:t>
            </w:r>
          </w:p>
        </w:tc>
        <w:tc>
          <w:tcPr>
            <w:tcW w:w="1100" w:type="pct"/>
            <w:noWrap/>
          </w:tcPr>
          <w:p w14:paraId="61059A20" w14:textId="77777777" w:rsidR="00341597" w:rsidRPr="00B27CD4" w:rsidRDefault="00341597" w:rsidP="007F72E7">
            <w:pPr>
              <w:jc w:val="right"/>
              <w:cnfStyle w:val="000000100000" w:firstRow="0" w:lastRow="0" w:firstColumn="0" w:lastColumn="0" w:oddVBand="0" w:evenVBand="0" w:oddHBand="1" w:evenHBand="0" w:firstRowFirstColumn="0" w:firstRowLastColumn="0" w:lastRowFirstColumn="0" w:lastRowLastColumn="0"/>
            </w:pPr>
            <w:r w:rsidRPr="00B27CD4">
              <w:t>1.1%</w:t>
            </w:r>
          </w:p>
        </w:tc>
      </w:tr>
      <w:tr w:rsidR="00341597" w:rsidRPr="00B875BD" w14:paraId="36E7F9B7" w14:textId="77777777" w:rsidTr="00341597">
        <w:tc>
          <w:tcPr>
            <w:cnfStyle w:val="001000000000" w:firstRow="0" w:lastRow="0" w:firstColumn="1" w:lastColumn="0" w:oddVBand="0" w:evenVBand="0" w:oddHBand="0" w:evenHBand="0" w:firstRowFirstColumn="0" w:firstRowLastColumn="0" w:lastRowFirstColumn="0" w:lastRowLastColumn="0"/>
            <w:tcW w:w="1579" w:type="pct"/>
            <w:noWrap/>
            <w:hideMark/>
          </w:tcPr>
          <w:p w14:paraId="4A75C458" w14:textId="77777777" w:rsidR="00341597" w:rsidRPr="00B875BD" w:rsidRDefault="00341597" w:rsidP="00341597">
            <w:r w:rsidRPr="00B875BD">
              <w:t>WA</w:t>
            </w:r>
          </w:p>
        </w:tc>
        <w:tc>
          <w:tcPr>
            <w:tcW w:w="1221" w:type="pct"/>
          </w:tcPr>
          <w:p w14:paraId="22FA3844" w14:textId="77777777" w:rsidR="00341597" w:rsidRPr="00B27CD4"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B27CD4">
              <w:t>29,527</w:t>
            </w:r>
          </w:p>
        </w:tc>
        <w:tc>
          <w:tcPr>
            <w:tcW w:w="1100" w:type="pct"/>
            <w:noWrap/>
          </w:tcPr>
          <w:p w14:paraId="744D4970" w14:textId="77777777" w:rsidR="00341597" w:rsidRPr="00B27CD4"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B27CD4">
              <w:t>31,092</w:t>
            </w:r>
          </w:p>
        </w:tc>
        <w:tc>
          <w:tcPr>
            <w:tcW w:w="1100" w:type="pct"/>
            <w:noWrap/>
          </w:tcPr>
          <w:p w14:paraId="54074B7E" w14:textId="77777777" w:rsidR="00341597" w:rsidRPr="00B27CD4"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B27CD4">
              <w:t>5.3%</w:t>
            </w:r>
          </w:p>
        </w:tc>
      </w:tr>
      <w:tr w:rsidR="00341597" w:rsidRPr="00B875BD" w14:paraId="4B5B8B5E" w14:textId="77777777" w:rsidTr="00341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9" w:type="pct"/>
            <w:noWrap/>
            <w:hideMark/>
          </w:tcPr>
          <w:p w14:paraId="7C63AC41" w14:textId="77777777" w:rsidR="00341597" w:rsidRPr="00B875BD" w:rsidRDefault="00341597" w:rsidP="00341597">
            <w:r>
              <w:t>SA</w:t>
            </w:r>
          </w:p>
        </w:tc>
        <w:tc>
          <w:tcPr>
            <w:tcW w:w="1221" w:type="pct"/>
          </w:tcPr>
          <w:p w14:paraId="16D44475" w14:textId="77777777" w:rsidR="00341597" w:rsidRPr="00B27CD4" w:rsidRDefault="00341597" w:rsidP="007F72E7">
            <w:pPr>
              <w:jc w:val="right"/>
              <w:cnfStyle w:val="000000100000" w:firstRow="0" w:lastRow="0" w:firstColumn="0" w:lastColumn="0" w:oddVBand="0" w:evenVBand="0" w:oddHBand="1" w:evenHBand="0" w:firstRowFirstColumn="0" w:firstRowLastColumn="0" w:lastRowFirstColumn="0" w:lastRowLastColumn="0"/>
            </w:pPr>
            <w:r w:rsidRPr="00B27CD4">
              <w:t>24,714</w:t>
            </w:r>
          </w:p>
        </w:tc>
        <w:tc>
          <w:tcPr>
            <w:tcW w:w="1100" w:type="pct"/>
            <w:noWrap/>
          </w:tcPr>
          <w:p w14:paraId="6853064E" w14:textId="77777777" w:rsidR="00341597" w:rsidRPr="00B27CD4" w:rsidRDefault="00341597" w:rsidP="007F72E7">
            <w:pPr>
              <w:jc w:val="right"/>
              <w:cnfStyle w:val="000000100000" w:firstRow="0" w:lastRow="0" w:firstColumn="0" w:lastColumn="0" w:oddVBand="0" w:evenVBand="0" w:oddHBand="1" w:evenHBand="0" w:firstRowFirstColumn="0" w:firstRowLastColumn="0" w:lastRowFirstColumn="0" w:lastRowLastColumn="0"/>
            </w:pPr>
            <w:r w:rsidRPr="00B27CD4">
              <w:t>24,673</w:t>
            </w:r>
          </w:p>
        </w:tc>
        <w:tc>
          <w:tcPr>
            <w:tcW w:w="1100" w:type="pct"/>
            <w:noWrap/>
          </w:tcPr>
          <w:p w14:paraId="5425DB51" w14:textId="77777777" w:rsidR="00341597" w:rsidRPr="00B27CD4" w:rsidRDefault="00341597" w:rsidP="007F72E7">
            <w:pPr>
              <w:jc w:val="right"/>
              <w:cnfStyle w:val="000000100000" w:firstRow="0" w:lastRow="0" w:firstColumn="0" w:lastColumn="0" w:oddVBand="0" w:evenVBand="0" w:oddHBand="1" w:evenHBand="0" w:firstRowFirstColumn="0" w:firstRowLastColumn="0" w:lastRowFirstColumn="0" w:lastRowLastColumn="0"/>
            </w:pPr>
            <w:r w:rsidRPr="00B27CD4">
              <w:t>-0.2%</w:t>
            </w:r>
          </w:p>
        </w:tc>
      </w:tr>
      <w:tr w:rsidR="00341597" w:rsidRPr="00B875BD" w14:paraId="118B9D29" w14:textId="77777777" w:rsidTr="00341597">
        <w:tc>
          <w:tcPr>
            <w:cnfStyle w:val="001000000000" w:firstRow="0" w:lastRow="0" w:firstColumn="1" w:lastColumn="0" w:oddVBand="0" w:evenVBand="0" w:oddHBand="0" w:evenHBand="0" w:firstRowFirstColumn="0" w:firstRowLastColumn="0" w:lastRowFirstColumn="0" w:lastRowLastColumn="0"/>
            <w:tcW w:w="1579" w:type="pct"/>
            <w:noWrap/>
            <w:hideMark/>
          </w:tcPr>
          <w:p w14:paraId="11FE5FEE" w14:textId="77777777" w:rsidR="00341597" w:rsidRPr="00B875BD" w:rsidRDefault="00341597" w:rsidP="00341597">
            <w:r w:rsidRPr="00B875BD">
              <w:t>T</w:t>
            </w:r>
            <w:r>
              <w:t>AS</w:t>
            </w:r>
          </w:p>
        </w:tc>
        <w:tc>
          <w:tcPr>
            <w:tcW w:w="1221" w:type="pct"/>
          </w:tcPr>
          <w:p w14:paraId="66B2EB93" w14:textId="77777777" w:rsidR="00341597" w:rsidRPr="00B27CD4"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B27CD4">
              <w:t>7,775</w:t>
            </w:r>
          </w:p>
        </w:tc>
        <w:tc>
          <w:tcPr>
            <w:tcW w:w="1100" w:type="pct"/>
            <w:noWrap/>
          </w:tcPr>
          <w:p w14:paraId="7904567E" w14:textId="77777777" w:rsidR="00341597" w:rsidRPr="00B27CD4"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B27CD4">
              <w:t>7,702</w:t>
            </w:r>
          </w:p>
        </w:tc>
        <w:tc>
          <w:tcPr>
            <w:tcW w:w="1100" w:type="pct"/>
            <w:noWrap/>
          </w:tcPr>
          <w:p w14:paraId="367715C9" w14:textId="77777777" w:rsidR="00341597" w:rsidRPr="00B27CD4"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B27CD4">
              <w:t>-0.9%</w:t>
            </w:r>
          </w:p>
        </w:tc>
      </w:tr>
      <w:tr w:rsidR="00341597" w:rsidRPr="00B875BD" w14:paraId="01B275A4" w14:textId="77777777" w:rsidTr="00341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9" w:type="pct"/>
            <w:noWrap/>
          </w:tcPr>
          <w:p w14:paraId="3418D8E8" w14:textId="77777777" w:rsidR="00341597" w:rsidRPr="00B875BD" w:rsidRDefault="00341597" w:rsidP="00341597">
            <w:r>
              <w:t>ACT</w:t>
            </w:r>
          </w:p>
        </w:tc>
        <w:tc>
          <w:tcPr>
            <w:tcW w:w="1221" w:type="pct"/>
          </w:tcPr>
          <w:p w14:paraId="3845F9CC" w14:textId="77777777" w:rsidR="00341597" w:rsidRPr="00B27CD4" w:rsidRDefault="00341597" w:rsidP="007F72E7">
            <w:pPr>
              <w:jc w:val="right"/>
              <w:cnfStyle w:val="000000100000" w:firstRow="0" w:lastRow="0" w:firstColumn="0" w:lastColumn="0" w:oddVBand="0" w:evenVBand="0" w:oddHBand="1" w:evenHBand="0" w:firstRowFirstColumn="0" w:firstRowLastColumn="0" w:lastRowFirstColumn="0" w:lastRowLastColumn="0"/>
            </w:pPr>
            <w:r w:rsidRPr="00B27CD4">
              <w:t>6,511</w:t>
            </w:r>
          </w:p>
        </w:tc>
        <w:tc>
          <w:tcPr>
            <w:tcW w:w="1100" w:type="pct"/>
            <w:noWrap/>
          </w:tcPr>
          <w:p w14:paraId="6F8CE5D1" w14:textId="77777777" w:rsidR="00341597" w:rsidRPr="00B27CD4" w:rsidRDefault="00341597" w:rsidP="007F72E7">
            <w:pPr>
              <w:jc w:val="right"/>
              <w:cnfStyle w:val="000000100000" w:firstRow="0" w:lastRow="0" w:firstColumn="0" w:lastColumn="0" w:oddVBand="0" w:evenVBand="0" w:oddHBand="1" w:evenHBand="0" w:firstRowFirstColumn="0" w:firstRowLastColumn="0" w:lastRowFirstColumn="0" w:lastRowLastColumn="0"/>
            </w:pPr>
            <w:r w:rsidRPr="00B27CD4">
              <w:t>6,304</w:t>
            </w:r>
          </w:p>
        </w:tc>
        <w:tc>
          <w:tcPr>
            <w:tcW w:w="1100" w:type="pct"/>
            <w:noWrap/>
          </w:tcPr>
          <w:p w14:paraId="0B59738C" w14:textId="77777777" w:rsidR="00341597" w:rsidRPr="00B27CD4" w:rsidRDefault="00341597" w:rsidP="007F72E7">
            <w:pPr>
              <w:jc w:val="right"/>
              <w:cnfStyle w:val="000000100000" w:firstRow="0" w:lastRow="0" w:firstColumn="0" w:lastColumn="0" w:oddVBand="0" w:evenVBand="0" w:oddHBand="1" w:evenHBand="0" w:firstRowFirstColumn="0" w:firstRowLastColumn="0" w:lastRowFirstColumn="0" w:lastRowLastColumn="0"/>
            </w:pPr>
            <w:r w:rsidRPr="00B27CD4">
              <w:t>-3.2%</w:t>
            </w:r>
          </w:p>
        </w:tc>
      </w:tr>
      <w:tr w:rsidR="00341597" w:rsidRPr="00B875BD" w14:paraId="743BC5AE" w14:textId="77777777" w:rsidTr="00341597">
        <w:tc>
          <w:tcPr>
            <w:cnfStyle w:val="001000000000" w:firstRow="0" w:lastRow="0" w:firstColumn="1" w:lastColumn="0" w:oddVBand="0" w:evenVBand="0" w:oddHBand="0" w:evenHBand="0" w:firstRowFirstColumn="0" w:firstRowLastColumn="0" w:lastRowFirstColumn="0" w:lastRowLastColumn="0"/>
            <w:tcW w:w="1579" w:type="pct"/>
            <w:noWrap/>
          </w:tcPr>
          <w:p w14:paraId="3657B566" w14:textId="77777777" w:rsidR="00341597" w:rsidRPr="00B875BD" w:rsidRDefault="00341597" w:rsidP="00341597">
            <w:r>
              <w:t>NT</w:t>
            </w:r>
          </w:p>
        </w:tc>
        <w:tc>
          <w:tcPr>
            <w:tcW w:w="1221" w:type="pct"/>
          </w:tcPr>
          <w:p w14:paraId="5DD6D2F6" w14:textId="77777777" w:rsidR="00341597" w:rsidRPr="00B27CD4"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B27CD4">
              <w:t>2,386</w:t>
            </w:r>
          </w:p>
        </w:tc>
        <w:tc>
          <w:tcPr>
            <w:tcW w:w="1100" w:type="pct"/>
            <w:noWrap/>
          </w:tcPr>
          <w:p w14:paraId="15680E19" w14:textId="77777777" w:rsidR="00341597" w:rsidRPr="00B27CD4"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B27CD4">
              <w:t>2,441</w:t>
            </w:r>
          </w:p>
        </w:tc>
        <w:tc>
          <w:tcPr>
            <w:tcW w:w="1100" w:type="pct"/>
            <w:noWrap/>
          </w:tcPr>
          <w:p w14:paraId="53F189AE" w14:textId="77777777" w:rsidR="00341597" w:rsidRPr="00B27CD4"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B27CD4">
              <w:t>2.3%</w:t>
            </w:r>
          </w:p>
        </w:tc>
      </w:tr>
      <w:tr w:rsidR="00341597" w:rsidRPr="00B875BD" w14:paraId="39DFD09A" w14:textId="77777777" w:rsidTr="00341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9" w:type="pct"/>
            <w:noWrap/>
          </w:tcPr>
          <w:p w14:paraId="341B8C83" w14:textId="195417D4" w:rsidR="00341597" w:rsidRPr="00A02290" w:rsidRDefault="00341597" w:rsidP="00341597">
            <w:r w:rsidRPr="00A02290">
              <w:t>Australia</w:t>
            </w:r>
          </w:p>
        </w:tc>
        <w:tc>
          <w:tcPr>
            <w:tcW w:w="1221" w:type="pct"/>
          </w:tcPr>
          <w:p w14:paraId="1FEA5170" w14:textId="77777777" w:rsidR="00341597" w:rsidRPr="00B27CD4" w:rsidRDefault="00341597" w:rsidP="007F72E7">
            <w:pPr>
              <w:jc w:val="right"/>
              <w:cnfStyle w:val="000000100000" w:firstRow="0" w:lastRow="0" w:firstColumn="0" w:lastColumn="0" w:oddVBand="0" w:evenVBand="0" w:oddHBand="1" w:evenHBand="0" w:firstRowFirstColumn="0" w:firstRowLastColumn="0" w:lastRowFirstColumn="0" w:lastRowLastColumn="0"/>
            </w:pPr>
            <w:r w:rsidRPr="00B27CD4">
              <w:t>335,327</w:t>
            </w:r>
          </w:p>
        </w:tc>
        <w:tc>
          <w:tcPr>
            <w:tcW w:w="1100" w:type="pct"/>
            <w:noWrap/>
          </w:tcPr>
          <w:p w14:paraId="7B42F2FA" w14:textId="77777777" w:rsidR="00341597" w:rsidRPr="00B27CD4" w:rsidRDefault="00341597" w:rsidP="007F72E7">
            <w:pPr>
              <w:jc w:val="right"/>
              <w:cnfStyle w:val="000000100000" w:firstRow="0" w:lastRow="0" w:firstColumn="0" w:lastColumn="0" w:oddVBand="0" w:evenVBand="0" w:oddHBand="1" w:evenHBand="0" w:firstRowFirstColumn="0" w:firstRowLastColumn="0" w:lastRowFirstColumn="0" w:lastRowLastColumn="0"/>
            </w:pPr>
            <w:r w:rsidRPr="00B27CD4">
              <w:t>340,027</w:t>
            </w:r>
          </w:p>
        </w:tc>
        <w:tc>
          <w:tcPr>
            <w:tcW w:w="1100" w:type="pct"/>
            <w:noWrap/>
          </w:tcPr>
          <w:p w14:paraId="527050FD" w14:textId="77777777" w:rsidR="00341597" w:rsidRPr="00B27CD4" w:rsidRDefault="00341597" w:rsidP="007F72E7">
            <w:pPr>
              <w:jc w:val="right"/>
              <w:cnfStyle w:val="000000100000" w:firstRow="0" w:lastRow="0" w:firstColumn="0" w:lastColumn="0" w:oddVBand="0" w:evenVBand="0" w:oddHBand="1" w:evenHBand="0" w:firstRowFirstColumn="0" w:firstRowLastColumn="0" w:lastRowFirstColumn="0" w:lastRowLastColumn="0"/>
            </w:pPr>
            <w:r w:rsidRPr="00B27CD4">
              <w:t>1.4%</w:t>
            </w:r>
          </w:p>
        </w:tc>
      </w:tr>
    </w:tbl>
    <w:p w14:paraId="5A5283DA" w14:textId="77777777" w:rsidR="00341597" w:rsidRPr="00CA743F" w:rsidRDefault="00341597" w:rsidP="00CA743F">
      <w:pPr>
        <w:pStyle w:val="Heading2"/>
      </w:pPr>
      <w:bookmarkStart w:id="30" w:name="_Toc492454254"/>
      <w:r w:rsidRPr="00CA743F">
        <w:t>Prior Education</w:t>
      </w:r>
      <w:bookmarkEnd w:id="30"/>
    </w:p>
    <w:p w14:paraId="2A992F38" w14:textId="77777777" w:rsidR="00341597" w:rsidRPr="00AC1937" w:rsidRDefault="00341597" w:rsidP="00B67C70">
      <w:pPr>
        <w:pStyle w:val="ListParagraph"/>
      </w:pPr>
      <w:r>
        <w:t>Nationally, Year 12 applications, de</w:t>
      </w:r>
      <w:r w:rsidRPr="00731A44">
        <w:t xml:space="preserve">creased by </w:t>
      </w:r>
      <w:r>
        <w:t>1.3</w:t>
      </w:r>
      <w:r w:rsidRPr="00731A44">
        <w:t>%</w:t>
      </w:r>
      <w:r w:rsidRPr="00B875BD">
        <w:t xml:space="preserve"> in 201</w:t>
      </w:r>
      <w:r>
        <w:t>7,</w:t>
      </w:r>
      <w:r w:rsidRPr="00B875BD">
        <w:t xml:space="preserve"> following an increase of </w:t>
      </w:r>
      <w:r>
        <w:t>2.2</w:t>
      </w:r>
      <w:r w:rsidRPr="00B875BD">
        <w:t>% in 201</w:t>
      </w:r>
      <w:r>
        <w:t>6 (excluding WA)</w:t>
      </w:r>
      <w:r w:rsidRPr="00B875BD">
        <w:t xml:space="preserve">. </w:t>
      </w:r>
    </w:p>
    <w:p w14:paraId="51B535D5" w14:textId="77777777" w:rsidR="00341597" w:rsidRPr="00AC1937" w:rsidRDefault="00341597" w:rsidP="00B67C70">
      <w:pPr>
        <w:pStyle w:val="ListParagraph"/>
      </w:pPr>
      <w:r>
        <w:t>NSW (-2.4%), Victoria (-0.9%), South Australia (-1.8%) and Tasmania (-18.3%) recorded de</w:t>
      </w:r>
      <w:r w:rsidRPr="00B875BD">
        <w:t>creases in Year 12 applications</w:t>
      </w:r>
      <w:r>
        <w:t xml:space="preserve">. </w:t>
      </w:r>
    </w:p>
    <w:p w14:paraId="2FDF18F4" w14:textId="77777777" w:rsidR="00341597" w:rsidRDefault="00341597" w:rsidP="00B67C70">
      <w:pPr>
        <w:pStyle w:val="ListParagraph"/>
      </w:pPr>
      <w:r>
        <w:t>All states and territories recorded increases in Non-Year 12 applications, except for the ACT in 2017.</w:t>
      </w:r>
      <w:r w:rsidRPr="00E76113">
        <w:t xml:space="preserve"> </w:t>
      </w:r>
      <w:r>
        <w:t>WA recorded the largest increase (8.9%) in non-Year 12 applications.</w:t>
      </w:r>
    </w:p>
    <w:p w14:paraId="74A1FDB3" w14:textId="77777777" w:rsidR="00341597" w:rsidRDefault="00341597" w:rsidP="00B67C70">
      <w:pPr>
        <w:pStyle w:val="ListParagraph"/>
      </w:pPr>
      <w:r w:rsidRPr="0037181E">
        <w:t xml:space="preserve">This is in line with a broader trend in recent years that has seen non-Year 12 applicants less likely to apply for admission through </w:t>
      </w:r>
      <w:proofErr w:type="spellStart"/>
      <w:r w:rsidRPr="0037181E">
        <w:t>TACs</w:t>
      </w:r>
      <w:proofErr w:type="spellEnd"/>
      <w:r w:rsidRPr="0037181E">
        <w:t xml:space="preserve"> and more likely to apply directly to universities.</w:t>
      </w:r>
    </w:p>
    <w:p w14:paraId="73F859E9" w14:textId="3BAB3F88" w:rsidR="00D21F72" w:rsidRDefault="00D21F72" w:rsidP="00D21F72">
      <w:pPr>
        <w:pStyle w:val="Caption"/>
        <w:keepNext/>
      </w:pPr>
      <w:bookmarkStart w:id="31" w:name="_Toc492453633"/>
      <w:bookmarkStart w:id="32" w:name="_Toc492453858"/>
      <w:r>
        <w:lastRenderedPageBreak/>
        <w:t xml:space="preserve">Table </w:t>
      </w:r>
      <w:fldSimple w:instr=" SEQ Table \* ARABIC ">
        <w:r w:rsidR="00E05F5D">
          <w:rPr>
            <w:noProof/>
          </w:rPr>
          <w:t>2</w:t>
        </w:r>
      </w:fldSimple>
      <w:r>
        <w:t xml:space="preserve">: </w:t>
      </w:r>
      <w:r w:rsidRPr="00FF0CDA">
        <w:t>Applicants by Year 12 status, by state and territory, February 2016 and February 2017</w:t>
      </w:r>
      <w:bookmarkEnd w:id="31"/>
      <w:bookmarkEnd w:id="32"/>
    </w:p>
    <w:tbl>
      <w:tblPr>
        <w:tblStyle w:val="DEEWRTable"/>
        <w:tblW w:w="5000" w:type="pct"/>
        <w:tblLook w:val="04A0" w:firstRow="1" w:lastRow="0" w:firstColumn="1" w:lastColumn="0" w:noHBand="0" w:noVBand="1"/>
      </w:tblPr>
      <w:tblGrid>
        <w:gridCol w:w="2024"/>
        <w:gridCol w:w="1229"/>
        <w:gridCol w:w="1229"/>
        <w:gridCol w:w="1152"/>
        <w:gridCol w:w="1229"/>
        <w:gridCol w:w="1229"/>
        <w:gridCol w:w="1150"/>
      </w:tblGrid>
      <w:tr w:rsidR="00341597" w:rsidRPr="000A02E1" w14:paraId="4FCB88C4" w14:textId="77777777" w:rsidTr="00D21F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pct"/>
            <w:vMerge w:val="restart"/>
            <w:noWrap/>
            <w:hideMark/>
          </w:tcPr>
          <w:p w14:paraId="0CFB3CAC" w14:textId="77777777" w:rsidR="00341597" w:rsidRPr="00716FEE" w:rsidRDefault="00341597" w:rsidP="00341597">
            <w:r w:rsidRPr="00716FEE">
              <w:t>State/Territory</w:t>
            </w:r>
          </w:p>
        </w:tc>
        <w:tc>
          <w:tcPr>
            <w:tcW w:w="1953" w:type="pct"/>
            <w:gridSpan w:val="3"/>
            <w:noWrap/>
            <w:hideMark/>
          </w:tcPr>
          <w:p w14:paraId="1D533B2C" w14:textId="77777777" w:rsidR="00341597" w:rsidRPr="00716FEE" w:rsidRDefault="00341597" w:rsidP="007F72E7">
            <w:pPr>
              <w:jc w:val="center"/>
              <w:cnfStyle w:val="100000000000" w:firstRow="1" w:lastRow="0" w:firstColumn="0" w:lastColumn="0" w:oddVBand="0" w:evenVBand="0" w:oddHBand="0" w:evenHBand="0" w:firstRowFirstColumn="0" w:firstRowLastColumn="0" w:lastRowFirstColumn="0" w:lastRowLastColumn="0"/>
            </w:pPr>
            <w:r w:rsidRPr="00716FEE">
              <w:t>Year 12</w:t>
            </w:r>
          </w:p>
        </w:tc>
        <w:tc>
          <w:tcPr>
            <w:tcW w:w="1952" w:type="pct"/>
            <w:gridSpan w:val="3"/>
            <w:tcBorders>
              <w:bottom w:val="nil"/>
            </w:tcBorders>
            <w:noWrap/>
            <w:hideMark/>
          </w:tcPr>
          <w:p w14:paraId="1D11D2AA" w14:textId="77777777" w:rsidR="00341597" w:rsidRPr="00716FEE" w:rsidRDefault="00341597" w:rsidP="007F72E7">
            <w:pPr>
              <w:jc w:val="center"/>
              <w:cnfStyle w:val="100000000000" w:firstRow="1" w:lastRow="0" w:firstColumn="0" w:lastColumn="0" w:oddVBand="0" w:evenVBand="0" w:oddHBand="0" w:evenHBand="0" w:firstRowFirstColumn="0" w:firstRowLastColumn="0" w:lastRowFirstColumn="0" w:lastRowLastColumn="0"/>
            </w:pPr>
            <w:r w:rsidRPr="00716FEE">
              <w:t>Non-Year 12</w:t>
            </w:r>
          </w:p>
        </w:tc>
      </w:tr>
      <w:tr w:rsidR="00341597" w:rsidRPr="000A02E1" w14:paraId="49ADBE0E" w14:textId="77777777" w:rsidTr="00D21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pct"/>
            <w:vMerge/>
            <w:noWrap/>
            <w:hideMark/>
          </w:tcPr>
          <w:p w14:paraId="4E4AAC35" w14:textId="77777777" w:rsidR="00341597" w:rsidRPr="00716FEE" w:rsidRDefault="00341597" w:rsidP="00341597"/>
        </w:tc>
        <w:tc>
          <w:tcPr>
            <w:tcW w:w="665" w:type="pct"/>
            <w:noWrap/>
          </w:tcPr>
          <w:p w14:paraId="21BD4167" w14:textId="77777777" w:rsidR="00341597" w:rsidRPr="00956BAB" w:rsidRDefault="00341597" w:rsidP="007F72E7">
            <w:pPr>
              <w:jc w:val="right"/>
              <w:cnfStyle w:val="000000100000" w:firstRow="0" w:lastRow="0" w:firstColumn="0" w:lastColumn="0" w:oddVBand="0" w:evenVBand="0" w:oddHBand="1" w:evenHBand="0" w:firstRowFirstColumn="0" w:firstRowLastColumn="0" w:lastRowFirstColumn="0" w:lastRowLastColumn="0"/>
              <w:rPr>
                <w:b/>
              </w:rPr>
            </w:pPr>
            <w:r w:rsidRPr="00956BAB">
              <w:rPr>
                <w:b/>
              </w:rPr>
              <w:t>2016</w:t>
            </w:r>
          </w:p>
        </w:tc>
        <w:tc>
          <w:tcPr>
            <w:tcW w:w="665" w:type="pct"/>
            <w:noWrap/>
          </w:tcPr>
          <w:p w14:paraId="7482BF37" w14:textId="77777777" w:rsidR="00341597" w:rsidRPr="00956BAB" w:rsidRDefault="00341597" w:rsidP="007F72E7">
            <w:pPr>
              <w:jc w:val="right"/>
              <w:cnfStyle w:val="000000100000" w:firstRow="0" w:lastRow="0" w:firstColumn="0" w:lastColumn="0" w:oddVBand="0" w:evenVBand="0" w:oddHBand="1" w:evenHBand="0" w:firstRowFirstColumn="0" w:firstRowLastColumn="0" w:lastRowFirstColumn="0" w:lastRowLastColumn="0"/>
              <w:rPr>
                <w:b/>
              </w:rPr>
            </w:pPr>
            <w:r w:rsidRPr="00956BAB">
              <w:rPr>
                <w:b/>
              </w:rPr>
              <w:t>2017</w:t>
            </w:r>
          </w:p>
        </w:tc>
        <w:tc>
          <w:tcPr>
            <w:tcW w:w="623" w:type="pct"/>
            <w:tcBorders>
              <w:right w:val="single" w:sz="4" w:space="0" w:color="auto"/>
            </w:tcBorders>
            <w:noWrap/>
          </w:tcPr>
          <w:p w14:paraId="56EEA707" w14:textId="77777777" w:rsidR="00341597" w:rsidRPr="00956BAB" w:rsidRDefault="00341597" w:rsidP="007F72E7">
            <w:pPr>
              <w:jc w:val="right"/>
              <w:cnfStyle w:val="000000100000" w:firstRow="0" w:lastRow="0" w:firstColumn="0" w:lastColumn="0" w:oddVBand="0" w:evenVBand="0" w:oddHBand="1" w:evenHBand="0" w:firstRowFirstColumn="0" w:firstRowLastColumn="0" w:lastRowFirstColumn="0" w:lastRowLastColumn="0"/>
              <w:rPr>
                <w:b/>
              </w:rPr>
            </w:pPr>
            <w:r w:rsidRPr="00956BAB">
              <w:rPr>
                <w:b/>
              </w:rPr>
              <w:t>Change</w:t>
            </w:r>
          </w:p>
        </w:tc>
        <w:tc>
          <w:tcPr>
            <w:tcW w:w="665" w:type="pct"/>
            <w:tcBorders>
              <w:left w:val="single" w:sz="4" w:space="0" w:color="auto"/>
              <w:bottom w:val="nil"/>
            </w:tcBorders>
            <w:noWrap/>
          </w:tcPr>
          <w:p w14:paraId="1C8A8FBC" w14:textId="77777777" w:rsidR="00341597" w:rsidRPr="00956BAB" w:rsidRDefault="00341597" w:rsidP="007F72E7">
            <w:pPr>
              <w:jc w:val="right"/>
              <w:cnfStyle w:val="000000100000" w:firstRow="0" w:lastRow="0" w:firstColumn="0" w:lastColumn="0" w:oddVBand="0" w:evenVBand="0" w:oddHBand="1" w:evenHBand="0" w:firstRowFirstColumn="0" w:firstRowLastColumn="0" w:lastRowFirstColumn="0" w:lastRowLastColumn="0"/>
              <w:rPr>
                <w:b/>
              </w:rPr>
            </w:pPr>
            <w:r w:rsidRPr="00956BAB">
              <w:rPr>
                <w:b/>
              </w:rPr>
              <w:t>2016</w:t>
            </w:r>
          </w:p>
        </w:tc>
        <w:tc>
          <w:tcPr>
            <w:tcW w:w="665" w:type="pct"/>
            <w:tcBorders>
              <w:bottom w:val="nil"/>
            </w:tcBorders>
            <w:noWrap/>
          </w:tcPr>
          <w:p w14:paraId="0AB8F11F" w14:textId="77777777" w:rsidR="00341597" w:rsidRPr="00956BAB" w:rsidRDefault="00341597" w:rsidP="007F72E7">
            <w:pPr>
              <w:jc w:val="right"/>
              <w:cnfStyle w:val="000000100000" w:firstRow="0" w:lastRow="0" w:firstColumn="0" w:lastColumn="0" w:oddVBand="0" w:evenVBand="0" w:oddHBand="1" w:evenHBand="0" w:firstRowFirstColumn="0" w:firstRowLastColumn="0" w:lastRowFirstColumn="0" w:lastRowLastColumn="0"/>
              <w:rPr>
                <w:b/>
              </w:rPr>
            </w:pPr>
            <w:r w:rsidRPr="00956BAB">
              <w:rPr>
                <w:b/>
              </w:rPr>
              <w:t>2017</w:t>
            </w:r>
          </w:p>
        </w:tc>
        <w:tc>
          <w:tcPr>
            <w:tcW w:w="622" w:type="pct"/>
            <w:tcBorders>
              <w:bottom w:val="nil"/>
            </w:tcBorders>
            <w:noWrap/>
          </w:tcPr>
          <w:p w14:paraId="7406F339" w14:textId="77777777" w:rsidR="00341597" w:rsidRPr="00956BAB" w:rsidRDefault="00341597" w:rsidP="007F72E7">
            <w:pPr>
              <w:jc w:val="right"/>
              <w:cnfStyle w:val="000000100000" w:firstRow="0" w:lastRow="0" w:firstColumn="0" w:lastColumn="0" w:oddVBand="0" w:evenVBand="0" w:oddHBand="1" w:evenHBand="0" w:firstRowFirstColumn="0" w:firstRowLastColumn="0" w:lastRowFirstColumn="0" w:lastRowLastColumn="0"/>
              <w:rPr>
                <w:b/>
              </w:rPr>
            </w:pPr>
            <w:r w:rsidRPr="00956BAB">
              <w:rPr>
                <w:b/>
              </w:rPr>
              <w:t>Change</w:t>
            </w:r>
          </w:p>
        </w:tc>
      </w:tr>
      <w:tr w:rsidR="00341597" w:rsidRPr="000A02E1" w14:paraId="664F7F88" w14:textId="77777777" w:rsidTr="00D21F72">
        <w:tc>
          <w:tcPr>
            <w:cnfStyle w:val="001000000000" w:firstRow="0" w:lastRow="0" w:firstColumn="1" w:lastColumn="0" w:oddVBand="0" w:evenVBand="0" w:oddHBand="0" w:evenHBand="0" w:firstRowFirstColumn="0" w:firstRowLastColumn="0" w:lastRowFirstColumn="0" w:lastRowLastColumn="0"/>
            <w:tcW w:w="1095" w:type="pct"/>
            <w:hideMark/>
          </w:tcPr>
          <w:p w14:paraId="2960EB97" w14:textId="77777777" w:rsidR="00341597" w:rsidRPr="00773E8A" w:rsidRDefault="00341597" w:rsidP="00341597">
            <w:r w:rsidRPr="00773E8A">
              <w:t>NSW</w:t>
            </w:r>
          </w:p>
        </w:tc>
        <w:tc>
          <w:tcPr>
            <w:tcW w:w="665" w:type="pct"/>
            <w:noWrap/>
          </w:tcPr>
          <w:p w14:paraId="063AC4CB" w14:textId="77777777" w:rsidR="00341597" w:rsidRPr="006D06A7"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6D06A7">
              <w:t>45,379</w:t>
            </w:r>
          </w:p>
        </w:tc>
        <w:tc>
          <w:tcPr>
            <w:tcW w:w="665" w:type="pct"/>
            <w:noWrap/>
          </w:tcPr>
          <w:p w14:paraId="179C576C" w14:textId="77777777" w:rsidR="00341597" w:rsidRPr="006D06A7"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6D06A7">
              <w:t>44,295</w:t>
            </w:r>
          </w:p>
        </w:tc>
        <w:tc>
          <w:tcPr>
            <w:tcW w:w="623" w:type="pct"/>
            <w:tcBorders>
              <w:right w:val="single" w:sz="4" w:space="0" w:color="auto"/>
            </w:tcBorders>
            <w:noWrap/>
          </w:tcPr>
          <w:p w14:paraId="63D27C22" w14:textId="77777777" w:rsidR="00341597" w:rsidRPr="006D06A7"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6D06A7">
              <w:t>-2.4%</w:t>
            </w:r>
          </w:p>
        </w:tc>
        <w:tc>
          <w:tcPr>
            <w:tcW w:w="665" w:type="pct"/>
            <w:tcBorders>
              <w:left w:val="single" w:sz="4" w:space="0" w:color="auto"/>
              <w:bottom w:val="nil"/>
            </w:tcBorders>
            <w:noWrap/>
          </w:tcPr>
          <w:p w14:paraId="1CF12382" w14:textId="77777777" w:rsidR="00341597" w:rsidRPr="00EF27CE"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EF27CE">
              <w:t>63,544</w:t>
            </w:r>
          </w:p>
        </w:tc>
        <w:tc>
          <w:tcPr>
            <w:tcW w:w="665" w:type="pct"/>
            <w:tcBorders>
              <w:bottom w:val="nil"/>
            </w:tcBorders>
            <w:noWrap/>
          </w:tcPr>
          <w:p w14:paraId="69EBEF11" w14:textId="77777777" w:rsidR="00341597" w:rsidRPr="00EF27CE"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EF27CE">
              <w:t>63,660</w:t>
            </w:r>
          </w:p>
        </w:tc>
        <w:tc>
          <w:tcPr>
            <w:tcW w:w="622" w:type="pct"/>
            <w:tcBorders>
              <w:bottom w:val="nil"/>
            </w:tcBorders>
            <w:noWrap/>
          </w:tcPr>
          <w:p w14:paraId="1B3F4BE6" w14:textId="77777777" w:rsidR="00341597" w:rsidRPr="00EF27CE"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EF27CE">
              <w:t>0.2%</w:t>
            </w:r>
          </w:p>
        </w:tc>
      </w:tr>
      <w:tr w:rsidR="00341597" w:rsidRPr="00B875BD" w14:paraId="6C60D36E" w14:textId="77777777" w:rsidTr="00D21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pct"/>
            <w:hideMark/>
          </w:tcPr>
          <w:p w14:paraId="12DC8177" w14:textId="77777777" w:rsidR="00341597" w:rsidRPr="00773E8A" w:rsidRDefault="00341597" w:rsidP="00341597">
            <w:r w:rsidRPr="00773E8A">
              <w:t>VIC</w:t>
            </w:r>
          </w:p>
        </w:tc>
        <w:tc>
          <w:tcPr>
            <w:tcW w:w="665" w:type="pct"/>
            <w:noWrap/>
          </w:tcPr>
          <w:p w14:paraId="305F6BC7" w14:textId="77777777" w:rsidR="00341597" w:rsidRPr="006D06A7" w:rsidRDefault="00341597" w:rsidP="007F72E7">
            <w:pPr>
              <w:jc w:val="right"/>
              <w:cnfStyle w:val="000000100000" w:firstRow="0" w:lastRow="0" w:firstColumn="0" w:lastColumn="0" w:oddVBand="0" w:evenVBand="0" w:oddHBand="1" w:evenHBand="0" w:firstRowFirstColumn="0" w:firstRowLastColumn="0" w:lastRowFirstColumn="0" w:lastRowLastColumn="0"/>
            </w:pPr>
            <w:r w:rsidRPr="006D06A7">
              <w:t>40,497</w:t>
            </w:r>
          </w:p>
        </w:tc>
        <w:tc>
          <w:tcPr>
            <w:tcW w:w="665" w:type="pct"/>
            <w:noWrap/>
          </w:tcPr>
          <w:p w14:paraId="57B677F3" w14:textId="77777777" w:rsidR="00341597" w:rsidRPr="006D06A7" w:rsidRDefault="00341597" w:rsidP="007F72E7">
            <w:pPr>
              <w:jc w:val="right"/>
              <w:cnfStyle w:val="000000100000" w:firstRow="0" w:lastRow="0" w:firstColumn="0" w:lastColumn="0" w:oddVBand="0" w:evenVBand="0" w:oddHBand="1" w:evenHBand="0" w:firstRowFirstColumn="0" w:firstRowLastColumn="0" w:lastRowFirstColumn="0" w:lastRowLastColumn="0"/>
            </w:pPr>
            <w:r w:rsidRPr="006D06A7">
              <w:t>40,152</w:t>
            </w:r>
          </w:p>
        </w:tc>
        <w:tc>
          <w:tcPr>
            <w:tcW w:w="623" w:type="pct"/>
            <w:tcBorders>
              <w:right w:val="single" w:sz="4" w:space="0" w:color="auto"/>
            </w:tcBorders>
            <w:noWrap/>
          </w:tcPr>
          <w:p w14:paraId="0E248A22" w14:textId="77777777" w:rsidR="00341597" w:rsidRPr="006D06A7" w:rsidRDefault="00341597" w:rsidP="007F72E7">
            <w:pPr>
              <w:jc w:val="right"/>
              <w:cnfStyle w:val="000000100000" w:firstRow="0" w:lastRow="0" w:firstColumn="0" w:lastColumn="0" w:oddVBand="0" w:evenVBand="0" w:oddHBand="1" w:evenHBand="0" w:firstRowFirstColumn="0" w:firstRowLastColumn="0" w:lastRowFirstColumn="0" w:lastRowLastColumn="0"/>
            </w:pPr>
            <w:r w:rsidRPr="006D06A7">
              <w:t>-0.9%</w:t>
            </w:r>
          </w:p>
        </w:tc>
        <w:tc>
          <w:tcPr>
            <w:tcW w:w="665" w:type="pct"/>
            <w:tcBorders>
              <w:left w:val="single" w:sz="4" w:space="0" w:color="auto"/>
              <w:bottom w:val="nil"/>
            </w:tcBorders>
            <w:noWrap/>
          </w:tcPr>
          <w:p w14:paraId="2AD40090" w14:textId="77777777" w:rsidR="00341597" w:rsidRPr="00EF27CE" w:rsidRDefault="00341597" w:rsidP="007F72E7">
            <w:pPr>
              <w:jc w:val="right"/>
              <w:cnfStyle w:val="000000100000" w:firstRow="0" w:lastRow="0" w:firstColumn="0" w:lastColumn="0" w:oddVBand="0" w:evenVBand="0" w:oddHBand="1" w:evenHBand="0" w:firstRowFirstColumn="0" w:firstRowLastColumn="0" w:lastRowFirstColumn="0" w:lastRowLastColumn="0"/>
            </w:pPr>
            <w:r w:rsidRPr="00EF27CE">
              <w:t>46,930</w:t>
            </w:r>
          </w:p>
        </w:tc>
        <w:tc>
          <w:tcPr>
            <w:tcW w:w="665" w:type="pct"/>
            <w:tcBorders>
              <w:bottom w:val="nil"/>
            </w:tcBorders>
            <w:noWrap/>
          </w:tcPr>
          <w:p w14:paraId="22264F5C" w14:textId="77777777" w:rsidR="00341597" w:rsidRPr="00EF27CE" w:rsidRDefault="00341597" w:rsidP="007F72E7">
            <w:pPr>
              <w:jc w:val="right"/>
              <w:cnfStyle w:val="000000100000" w:firstRow="0" w:lastRow="0" w:firstColumn="0" w:lastColumn="0" w:oddVBand="0" w:evenVBand="0" w:oddHBand="1" w:evenHBand="0" w:firstRowFirstColumn="0" w:firstRowLastColumn="0" w:lastRowFirstColumn="0" w:lastRowLastColumn="0"/>
            </w:pPr>
            <w:r w:rsidRPr="00EF27CE">
              <w:t>50,740</w:t>
            </w:r>
          </w:p>
        </w:tc>
        <w:tc>
          <w:tcPr>
            <w:tcW w:w="622" w:type="pct"/>
            <w:tcBorders>
              <w:bottom w:val="nil"/>
            </w:tcBorders>
            <w:noWrap/>
          </w:tcPr>
          <w:p w14:paraId="32BF34FE" w14:textId="77777777" w:rsidR="00341597" w:rsidRPr="00EF27CE" w:rsidRDefault="00341597" w:rsidP="007F72E7">
            <w:pPr>
              <w:jc w:val="right"/>
              <w:cnfStyle w:val="000000100000" w:firstRow="0" w:lastRow="0" w:firstColumn="0" w:lastColumn="0" w:oddVBand="0" w:evenVBand="0" w:oddHBand="1" w:evenHBand="0" w:firstRowFirstColumn="0" w:firstRowLastColumn="0" w:lastRowFirstColumn="0" w:lastRowLastColumn="0"/>
            </w:pPr>
            <w:r w:rsidRPr="00EF27CE">
              <w:t>8.1%</w:t>
            </w:r>
          </w:p>
        </w:tc>
      </w:tr>
      <w:tr w:rsidR="00341597" w:rsidRPr="00B875BD" w14:paraId="2CC25877" w14:textId="77777777" w:rsidTr="00D21F72">
        <w:tc>
          <w:tcPr>
            <w:cnfStyle w:val="001000000000" w:firstRow="0" w:lastRow="0" w:firstColumn="1" w:lastColumn="0" w:oddVBand="0" w:evenVBand="0" w:oddHBand="0" w:evenHBand="0" w:firstRowFirstColumn="0" w:firstRowLastColumn="0" w:lastRowFirstColumn="0" w:lastRowLastColumn="0"/>
            <w:tcW w:w="1095" w:type="pct"/>
            <w:hideMark/>
          </w:tcPr>
          <w:p w14:paraId="599C1706" w14:textId="77777777" w:rsidR="00341597" w:rsidRPr="00773E8A" w:rsidRDefault="00341597" w:rsidP="00341597">
            <w:r w:rsidRPr="00773E8A">
              <w:t>QLD</w:t>
            </w:r>
          </w:p>
        </w:tc>
        <w:tc>
          <w:tcPr>
            <w:tcW w:w="665" w:type="pct"/>
            <w:noWrap/>
          </w:tcPr>
          <w:p w14:paraId="542C28F4" w14:textId="77777777" w:rsidR="00341597" w:rsidRPr="006D06A7"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6D06A7">
              <w:t>25,488</w:t>
            </w:r>
          </w:p>
        </w:tc>
        <w:tc>
          <w:tcPr>
            <w:tcW w:w="665" w:type="pct"/>
            <w:noWrap/>
          </w:tcPr>
          <w:p w14:paraId="3D2C086F" w14:textId="77777777" w:rsidR="00341597" w:rsidRPr="006D06A7"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6D06A7">
              <w:t>25,603</w:t>
            </w:r>
          </w:p>
        </w:tc>
        <w:tc>
          <w:tcPr>
            <w:tcW w:w="623" w:type="pct"/>
            <w:tcBorders>
              <w:right w:val="single" w:sz="4" w:space="0" w:color="auto"/>
            </w:tcBorders>
            <w:noWrap/>
          </w:tcPr>
          <w:p w14:paraId="5D4C6476" w14:textId="77777777" w:rsidR="00341597" w:rsidRPr="006D06A7"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6D06A7">
              <w:t>0.5%</w:t>
            </w:r>
          </w:p>
        </w:tc>
        <w:tc>
          <w:tcPr>
            <w:tcW w:w="665" w:type="pct"/>
            <w:tcBorders>
              <w:left w:val="single" w:sz="4" w:space="0" w:color="auto"/>
              <w:bottom w:val="nil"/>
            </w:tcBorders>
            <w:noWrap/>
          </w:tcPr>
          <w:p w14:paraId="56B6F069" w14:textId="77777777" w:rsidR="00341597" w:rsidRPr="00EF27CE"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EF27CE">
              <w:t>39,751</w:t>
            </w:r>
          </w:p>
        </w:tc>
        <w:tc>
          <w:tcPr>
            <w:tcW w:w="665" w:type="pct"/>
            <w:tcBorders>
              <w:bottom w:val="nil"/>
            </w:tcBorders>
            <w:noWrap/>
          </w:tcPr>
          <w:p w14:paraId="4331DB6A" w14:textId="77777777" w:rsidR="00341597" w:rsidRPr="00EF27CE"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EF27CE">
              <w:t>40,338</w:t>
            </w:r>
          </w:p>
        </w:tc>
        <w:tc>
          <w:tcPr>
            <w:tcW w:w="622" w:type="pct"/>
            <w:tcBorders>
              <w:bottom w:val="nil"/>
            </w:tcBorders>
            <w:noWrap/>
          </w:tcPr>
          <w:p w14:paraId="6ABB413B" w14:textId="77777777" w:rsidR="00341597" w:rsidRPr="00EF27CE"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EF27CE">
              <w:t>1.5%</w:t>
            </w:r>
          </w:p>
        </w:tc>
      </w:tr>
      <w:tr w:rsidR="00341597" w:rsidRPr="00B875BD" w14:paraId="27FC02D3" w14:textId="77777777" w:rsidTr="00D21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pct"/>
            <w:hideMark/>
          </w:tcPr>
          <w:p w14:paraId="36C89384" w14:textId="77777777" w:rsidR="00341597" w:rsidRPr="00773E8A" w:rsidRDefault="00341597" w:rsidP="00341597">
            <w:r w:rsidRPr="00773E8A">
              <w:t>WA</w:t>
            </w:r>
          </w:p>
        </w:tc>
        <w:tc>
          <w:tcPr>
            <w:tcW w:w="665" w:type="pct"/>
            <w:noWrap/>
          </w:tcPr>
          <w:p w14:paraId="47CFF0F7" w14:textId="77777777" w:rsidR="00341597" w:rsidRPr="006D06A7" w:rsidRDefault="00341597" w:rsidP="007F72E7">
            <w:pPr>
              <w:jc w:val="right"/>
              <w:cnfStyle w:val="000000100000" w:firstRow="0" w:lastRow="0" w:firstColumn="0" w:lastColumn="0" w:oddVBand="0" w:evenVBand="0" w:oddHBand="1" w:evenHBand="0" w:firstRowFirstColumn="0" w:firstRowLastColumn="0" w:lastRowFirstColumn="0" w:lastRowLastColumn="0"/>
            </w:pPr>
            <w:r w:rsidRPr="006D06A7">
              <w:t>12,481</w:t>
            </w:r>
          </w:p>
        </w:tc>
        <w:tc>
          <w:tcPr>
            <w:tcW w:w="665" w:type="pct"/>
            <w:noWrap/>
          </w:tcPr>
          <w:p w14:paraId="0F5C0E8C" w14:textId="77777777" w:rsidR="00341597" w:rsidRPr="006D06A7" w:rsidRDefault="00341597" w:rsidP="007F72E7">
            <w:pPr>
              <w:jc w:val="right"/>
              <w:cnfStyle w:val="000000100000" w:firstRow="0" w:lastRow="0" w:firstColumn="0" w:lastColumn="0" w:oddVBand="0" w:evenVBand="0" w:oddHBand="1" w:evenHBand="0" w:firstRowFirstColumn="0" w:firstRowLastColumn="0" w:lastRowFirstColumn="0" w:lastRowLastColumn="0"/>
            </w:pPr>
            <w:r w:rsidRPr="006D06A7">
              <w:t>12,521</w:t>
            </w:r>
          </w:p>
        </w:tc>
        <w:tc>
          <w:tcPr>
            <w:tcW w:w="623" w:type="pct"/>
            <w:tcBorders>
              <w:right w:val="single" w:sz="4" w:space="0" w:color="auto"/>
            </w:tcBorders>
            <w:noWrap/>
          </w:tcPr>
          <w:p w14:paraId="59A6CA07" w14:textId="77777777" w:rsidR="00341597" w:rsidRPr="006D06A7" w:rsidRDefault="00341597" w:rsidP="007F72E7">
            <w:pPr>
              <w:jc w:val="right"/>
              <w:cnfStyle w:val="000000100000" w:firstRow="0" w:lastRow="0" w:firstColumn="0" w:lastColumn="0" w:oddVBand="0" w:evenVBand="0" w:oddHBand="1" w:evenHBand="0" w:firstRowFirstColumn="0" w:firstRowLastColumn="0" w:lastRowFirstColumn="0" w:lastRowLastColumn="0"/>
            </w:pPr>
            <w:r w:rsidRPr="006D06A7">
              <w:t>0.3%</w:t>
            </w:r>
          </w:p>
        </w:tc>
        <w:tc>
          <w:tcPr>
            <w:tcW w:w="665" w:type="pct"/>
            <w:tcBorders>
              <w:left w:val="single" w:sz="4" w:space="0" w:color="auto"/>
              <w:bottom w:val="nil"/>
            </w:tcBorders>
            <w:noWrap/>
          </w:tcPr>
          <w:p w14:paraId="6EA15F15" w14:textId="77777777" w:rsidR="00341597" w:rsidRPr="00EF27CE" w:rsidRDefault="00341597" w:rsidP="007F72E7">
            <w:pPr>
              <w:jc w:val="right"/>
              <w:cnfStyle w:val="000000100000" w:firstRow="0" w:lastRow="0" w:firstColumn="0" w:lastColumn="0" w:oddVBand="0" w:evenVBand="0" w:oddHBand="1" w:evenHBand="0" w:firstRowFirstColumn="0" w:firstRowLastColumn="0" w:lastRowFirstColumn="0" w:lastRowLastColumn="0"/>
            </w:pPr>
            <w:r w:rsidRPr="00EF27CE">
              <w:t>17,046</w:t>
            </w:r>
          </w:p>
        </w:tc>
        <w:tc>
          <w:tcPr>
            <w:tcW w:w="665" w:type="pct"/>
            <w:tcBorders>
              <w:bottom w:val="nil"/>
            </w:tcBorders>
            <w:noWrap/>
          </w:tcPr>
          <w:p w14:paraId="3FC9A217" w14:textId="77777777" w:rsidR="00341597" w:rsidRPr="00EF27CE" w:rsidRDefault="00341597" w:rsidP="007F72E7">
            <w:pPr>
              <w:jc w:val="right"/>
              <w:cnfStyle w:val="000000100000" w:firstRow="0" w:lastRow="0" w:firstColumn="0" w:lastColumn="0" w:oddVBand="0" w:evenVBand="0" w:oddHBand="1" w:evenHBand="0" w:firstRowFirstColumn="0" w:firstRowLastColumn="0" w:lastRowFirstColumn="0" w:lastRowLastColumn="0"/>
            </w:pPr>
            <w:r w:rsidRPr="00EF27CE">
              <w:t>18,571</w:t>
            </w:r>
          </w:p>
        </w:tc>
        <w:tc>
          <w:tcPr>
            <w:tcW w:w="622" w:type="pct"/>
            <w:tcBorders>
              <w:bottom w:val="nil"/>
            </w:tcBorders>
            <w:noWrap/>
          </w:tcPr>
          <w:p w14:paraId="355C10C4" w14:textId="77777777" w:rsidR="00341597" w:rsidRPr="00EF27CE" w:rsidRDefault="00341597" w:rsidP="007F72E7">
            <w:pPr>
              <w:jc w:val="right"/>
              <w:cnfStyle w:val="000000100000" w:firstRow="0" w:lastRow="0" w:firstColumn="0" w:lastColumn="0" w:oddVBand="0" w:evenVBand="0" w:oddHBand="1" w:evenHBand="0" w:firstRowFirstColumn="0" w:firstRowLastColumn="0" w:lastRowFirstColumn="0" w:lastRowLastColumn="0"/>
            </w:pPr>
            <w:r w:rsidRPr="00EF27CE">
              <w:t>8.9%</w:t>
            </w:r>
          </w:p>
        </w:tc>
      </w:tr>
      <w:tr w:rsidR="00341597" w:rsidRPr="00B875BD" w14:paraId="401A193F" w14:textId="77777777" w:rsidTr="00D21F72">
        <w:tc>
          <w:tcPr>
            <w:cnfStyle w:val="001000000000" w:firstRow="0" w:lastRow="0" w:firstColumn="1" w:lastColumn="0" w:oddVBand="0" w:evenVBand="0" w:oddHBand="0" w:evenHBand="0" w:firstRowFirstColumn="0" w:firstRowLastColumn="0" w:lastRowFirstColumn="0" w:lastRowLastColumn="0"/>
            <w:tcW w:w="1095" w:type="pct"/>
            <w:hideMark/>
          </w:tcPr>
          <w:p w14:paraId="0A052768" w14:textId="77777777" w:rsidR="00341597" w:rsidRPr="00773E8A" w:rsidRDefault="00341597" w:rsidP="00341597">
            <w:r w:rsidRPr="00773E8A">
              <w:t>SA</w:t>
            </w:r>
          </w:p>
        </w:tc>
        <w:tc>
          <w:tcPr>
            <w:tcW w:w="665" w:type="pct"/>
            <w:noWrap/>
          </w:tcPr>
          <w:p w14:paraId="02C57097" w14:textId="77777777" w:rsidR="00341597" w:rsidRPr="006D06A7"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6D06A7">
              <w:t>10,154</w:t>
            </w:r>
          </w:p>
        </w:tc>
        <w:tc>
          <w:tcPr>
            <w:tcW w:w="665" w:type="pct"/>
            <w:noWrap/>
          </w:tcPr>
          <w:p w14:paraId="6B7CFFFC" w14:textId="77777777" w:rsidR="00341597" w:rsidRPr="006D06A7"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6D06A7">
              <w:t>9,970</w:t>
            </w:r>
          </w:p>
        </w:tc>
        <w:tc>
          <w:tcPr>
            <w:tcW w:w="623" w:type="pct"/>
            <w:tcBorders>
              <w:right w:val="single" w:sz="4" w:space="0" w:color="auto"/>
            </w:tcBorders>
            <w:noWrap/>
          </w:tcPr>
          <w:p w14:paraId="35754A0E" w14:textId="77777777" w:rsidR="00341597" w:rsidRPr="006D06A7"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6D06A7">
              <w:t>-1.8%</w:t>
            </w:r>
          </w:p>
        </w:tc>
        <w:tc>
          <w:tcPr>
            <w:tcW w:w="665" w:type="pct"/>
            <w:tcBorders>
              <w:left w:val="single" w:sz="4" w:space="0" w:color="auto"/>
              <w:bottom w:val="nil"/>
            </w:tcBorders>
            <w:noWrap/>
          </w:tcPr>
          <w:p w14:paraId="6FA6CDE1" w14:textId="77777777" w:rsidR="00341597" w:rsidRPr="00EF27CE"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EF27CE">
              <w:t>14,560</w:t>
            </w:r>
          </w:p>
        </w:tc>
        <w:tc>
          <w:tcPr>
            <w:tcW w:w="665" w:type="pct"/>
            <w:tcBorders>
              <w:bottom w:val="nil"/>
            </w:tcBorders>
            <w:noWrap/>
          </w:tcPr>
          <w:p w14:paraId="6D3525EC" w14:textId="77777777" w:rsidR="00341597" w:rsidRPr="00EF27CE"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EF27CE">
              <w:t>14,703</w:t>
            </w:r>
          </w:p>
        </w:tc>
        <w:tc>
          <w:tcPr>
            <w:tcW w:w="622" w:type="pct"/>
            <w:tcBorders>
              <w:bottom w:val="nil"/>
            </w:tcBorders>
            <w:noWrap/>
          </w:tcPr>
          <w:p w14:paraId="2AFCD23C" w14:textId="77777777" w:rsidR="00341597" w:rsidRPr="00EF27CE"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EF27CE">
              <w:t>1.0%</w:t>
            </w:r>
          </w:p>
        </w:tc>
      </w:tr>
      <w:tr w:rsidR="00341597" w:rsidRPr="00B875BD" w14:paraId="142E3AC9" w14:textId="77777777" w:rsidTr="00D21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pct"/>
            <w:hideMark/>
          </w:tcPr>
          <w:p w14:paraId="44474A5F" w14:textId="77777777" w:rsidR="00341597" w:rsidRPr="00773E8A" w:rsidRDefault="00341597" w:rsidP="00341597">
            <w:r w:rsidRPr="00773E8A">
              <w:t>TAS</w:t>
            </w:r>
          </w:p>
        </w:tc>
        <w:tc>
          <w:tcPr>
            <w:tcW w:w="665" w:type="pct"/>
            <w:noWrap/>
          </w:tcPr>
          <w:p w14:paraId="7DFCF919" w14:textId="77777777" w:rsidR="00341597" w:rsidRPr="006D06A7" w:rsidRDefault="00341597" w:rsidP="007F72E7">
            <w:pPr>
              <w:jc w:val="right"/>
              <w:cnfStyle w:val="000000100000" w:firstRow="0" w:lastRow="0" w:firstColumn="0" w:lastColumn="0" w:oddVBand="0" w:evenVBand="0" w:oddHBand="1" w:evenHBand="0" w:firstRowFirstColumn="0" w:firstRowLastColumn="0" w:lastRowFirstColumn="0" w:lastRowLastColumn="0"/>
            </w:pPr>
            <w:r w:rsidRPr="006D06A7">
              <w:t>2,118</w:t>
            </w:r>
          </w:p>
        </w:tc>
        <w:tc>
          <w:tcPr>
            <w:tcW w:w="665" w:type="pct"/>
            <w:noWrap/>
          </w:tcPr>
          <w:p w14:paraId="6CED2512" w14:textId="77777777" w:rsidR="00341597" w:rsidRPr="006D06A7" w:rsidRDefault="00341597" w:rsidP="007F72E7">
            <w:pPr>
              <w:jc w:val="right"/>
              <w:cnfStyle w:val="000000100000" w:firstRow="0" w:lastRow="0" w:firstColumn="0" w:lastColumn="0" w:oddVBand="0" w:evenVBand="0" w:oddHBand="1" w:evenHBand="0" w:firstRowFirstColumn="0" w:firstRowLastColumn="0" w:lastRowFirstColumn="0" w:lastRowLastColumn="0"/>
            </w:pPr>
            <w:r w:rsidRPr="006D06A7">
              <w:t>1,730</w:t>
            </w:r>
          </w:p>
        </w:tc>
        <w:tc>
          <w:tcPr>
            <w:tcW w:w="623" w:type="pct"/>
            <w:tcBorders>
              <w:right w:val="single" w:sz="4" w:space="0" w:color="auto"/>
            </w:tcBorders>
            <w:noWrap/>
          </w:tcPr>
          <w:p w14:paraId="60B42071" w14:textId="77777777" w:rsidR="00341597" w:rsidRPr="006D06A7" w:rsidRDefault="00341597" w:rsidP="007F72E7">
            <w:pPr>
              <w:jc w:val="right"/>
              <w:cnfStyle w:val="000000100000" w:firstRow="0" w:lastRow="0" w:firstColumn="0" w:lastColumn="0" w:oddVBand="0" w:evenVBand="0" w:oddHBand="1" w:evenHBand="0" w:firstRowFirstColumn="0" w:firstRowLastColumn="0" w:lastRowFirstColumn="0" w:lastRowLastColumn="0"/>
            </w:pPr>
            <w:r w:rsidRPr="006D06A7">
              <w:t>-18.3%</w:t>
            </w:r>
          </w:p>
        </w:tc>
        <w:tc>
          <w:tcPr>
            <w:tcW w:w="665" w:type="pct"/>
            <w:tcBorders>
              <w:left w:val="single" w:sz="4" w:space="0" w:color="auto"/>
              <w:bottom w:val="nil"/>
            </w:tcBorders>
            <w:noWrap/>
          </w:tcPr>
          <w:p w14:paraId="794D8775" w14:textId="77777777" w:rsidR="00341597" w:rsidRPr="00EF27CE" w:rsidRDefault="00341597" w:rsidP="007F72E7">
            <w:pPr>
              <w:jc w:val="right"/>
              <w:cnfStyle w:val="000000100000" w:firstRow="0" w:lastRow="0" w:firstColumn="0" w:lastColumn="0" w:oddVBand="0" w:evenVBand="0" w:oddHBand="1" w:evenHBand="0" w:firstRowFirstColumn="0" w:firstRowLastColumn="0" w:lastRowFirstColumn="0" w:lastRowLastColumn="0"/>
            </w:pPr>
            <w:r w:rsidRPr="00EF27CE">
              <w:t>5,657</w:t>
            </w:r>
          </w:p>
        </w:tc>
        <w:tc>
          <w:tcPr>
            <w:tcW w:w="665" w:type="pct"/>
            <w:tcBorders>
              <w:bottom w:val="nil"/>
            </w:tcBorders>
            <w:noWrap/>
          </w:tcPr>
          <w:p w14:paraId="2E528FBD" w14:textId="77777777" w:rsidR="00341597" w:rsidRPr="00EF27CE" w:rsidRDefault="00341597" w:rsidP="007F72E7">
            <w:pPr>
              <w:jc w:val="right"/>
              <w:cnfStyle w:val="000000100000" w:firstRow="0" w:lastRow="0" w:firstColumn="0" w:lastColumn="0" w:oddVBand="0" w:evenVBand="0" w:oddHBand="1" w:evenHBand="0" w:firstRowFirstColumn="0" w:firstRowLastColumn="0" w:lastRowFirstColumn="0" w:lastRowLastColumn="0"/>
            </w:pPr>
            <w:r w:rsidRPr="00EF27CE">
              <w:t>5,972</w:t>
            </w:r>
          </w:p>
        </w:tc>
        <w:tc>
          <w:tcPr>
            <w:tcW w:w="622" w:type="pct"/>
            <w:tcBorders>
              <w:bottom w:val="nil"/>
            </w:tcBorders>
            <w:noWrap/>
          </w:tcPr>
          <w:p w14:paraId="3060FF48" w14:textId="77777777" w:rsidR="00341597" w:rsidRPr="00EF27CE" w:rsidRDefault="00341597" w:rsidP="007F72E7">
            <w:pPr>
              <w:jc w:val="right"/>
              <w:cnfStyle w:val="000000100000" w:firstRow="0" w:lastRow="0" w:firstColumn="0" w:lastColumn="0" w:oddVBand="0" w:evenVBand="0" w:oddHBand="1" w:evenHBand="0" w:firstRowFirstColumn="0" w:firstRowLastColumn="0" w:lastRowFirstColumn="0" w:lastRowLastColumn="0"/>
            </w:pPr>
            <w:r w:rsidRPr="00EF27CE">
              <w:t>5.6%</w:t>
            </w:r>
          </w:p>
        </w:tc>
      </w:tr>
      <w:tr w:rsidR="00341597" w:rsidRPr="00B875BD" w14:paraId="378D41D3" w14:textId="77777777" w:rsidTr="00D21F72">
        <w:tc>
          <w:tcPr>
            <w:cnfStyle w:val="001000000000" w:firstRow="0" w:lastRow="0" w:firstColumn="1" w:lastColumn="0" w:oddVBand="0" w:evenVBand="0" w:oddHBand="0" w:evenHBand="0" w:firstRowFirstColumn="0" w:firstRowLastColumn="0" w:lastRowFirstColumn="0" w:lastRowLastColumn="0"/>
            <w:tcW w:w="1095" w:type="pct"/>
          </w:tcPr>
          <w:p w14:paraId="4C91EB63" w14:textId="77777777" w:rsidR="00341597" w:rsidRPr="00773E8A" w:rsidRDefault="00341597" w:rsidP="00341597">
            <w:r w:rsidRPr="00773E8A">
              <w:t>ACT</w:t>
            </w:r>
          </w:p>
        </w:tc>
        <w:tc>
          <w:tcPr>
            <w:tcW w:w="665" w:type="pct"/>
            <w:noWrap/>
          </w:tcPr>
          <w:p w14:paraId="150021EA" w14:textId="77777777" w:rsidR="00341597" w:rsidRPr="006D06A7"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6D06A7">
              <w:t>2,202</w:t>
            </w:r>
          </w:p>
        </w:tc>
        <w:tc>
          <w:tcPr>
            <w:tcW w:w="665" w:type="pct"/>
            <w:noWrap/>
          </w:tcPr>
          <w:p w14:paraId="4121C588" w14:textId="77777777" w:rsidR="00341597" w:rsidRPr="006D06A7"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6D06A7">
              <w:t>2,216</w:t>
            </w:r>
          </w:p>
        </w:tc>
        <w:tc>
          <w:tcPr>
            <w:tcW w:w="623" w:type="pct"/>
            <w:tcBorders>
              <w:right w:val="single" w:sz="4" w:space="0" w:color="auto"/>
            </w:tcBorders>
            <w:noWrap/>
          </w:tcPr>
          <w:p w14:paraId="47A3BCBC" w14:textId="77777777" w:rsidR="00341597" w:rsidRPr="006D06A7"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6D06A7">
              <w:t>0.6%</w:t>
            </w:r>
          </w:p>
        </w:tc>
        <w:tc>
          <w:tcPr>
            <w:tcW w:w="665" w:type="pct"/>
            <w:tcBorders>
              <w:left w:val="single" w:sz="4" w:space="0" w:color="auto"/>
              <w:bottom w:val="nil"/>
            </w:tcBorders>
            <w:noWrap/>
          </w:tcPr>
          <w:p w14:paraId="6F8C5954" w14:textId="77777777" w:rsidR="00341597" w:rsidRPr="00EF27CE"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EF27CE">
              <w:t>4,309</w:t>
            </w:r>
          </w:p>
        </w:tc>
        <w:tc>
          <w:tcPr>
            <w:tcW w:w="665" w:type="pct"/>
            <w:tcBorders>
              <w:bottom w:val="nil"/>
            </w:tcBorders>
            <w:noWrap/>
          </w:tcPr>
          <w:p w14:paraId="764BCDF8" w14:textId="77777777" w:rsidR="00341597" w:rsidRPr="00EF27CE"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EF27CE">
              <w:t>4,088</w:t>
            </w:r>
          </w:p>
        </w:tc>
        <w:tc>
          <w:tcPr>
            <w:tcW w:w="622" w:type="pct"/>
            <w:tcBorders>
              <w:bottom w:val="nil"/>
            </w:tcBorders>
            <w:noWrap/>
          </w:tcPr>
          <w:p w14:paraId="552996DB" w14:textId="77777777" w:rsidR="00341597" w:rsidRPr="00EF27CE"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EF27CE">
              <w:t>-5.1%</w:t>
            </w:r>
          </w:p>
        </w:tc>
      </w:tr>
      <w:tr w:rsidR="00341597" w:rsidRPr="00B875BD" w14:paraId="3D827FAA" w14:textId="77777777" w:rsidTr="00D21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pct"/>
          </w:tcPr>
          <w:p w14:paraId="41231591" w14:textId="77777777" w:rsidR="00341597" w:rsidRPr="00773E8A" w:rsidRDefault="00341597" w:rsidP="00341597">
            <w:r w:rsidRPr="00773E8A">
              <w:t>NT</w:t>
            </w:r>
          </w:p>
        </w:tc>
        <w:tc>
          <w:tcPr>
            <w:tcW w:w="665" w:type="pct"/>
            <w:noWrap/>
          </w:tcPr>
          <w:p w14:paraId="79FF3450" w14:textId="77777777" w:rsidR="00341597" w:rsidRPr="006D06A7" w:rsidRDefault="00341597" w:rsidP="007F72E7">
            <w:pPr>
              <w:jc w:val="right"/>
              <w:cnfStyle w:val="000000100000" w:firstRow="0" w:lastRow="0" w:firstColumn="0" w:lastColumn="0" w:oddVBand="0" w:evenVBand="0" w:oddHBand="1" w:evenHBand="0" w:firstRowFirstColumn="0" w:firstRowLastColumn="0" w:lastRowFirstColumn="0" w:lastRowLastColumn="0"/>
            </w:pPr>
            <w:r w:rsidRPr="006D06A7">
              <w:t>721</w:t>
            </w:r>
          </w:p>
        </w:tc>
        <w:tc>
          <w:tcPr>
            <w:tcW w:w="665" w:type="pct"/>
            <w:noWrap/>
          </w:tcPr>
          <w:p w14:paraId="4E86DCB2" w14:textId="77777777" w:rsidR="00341597" w:rsidRPr="006D06A7" w:rsidRDefault="00341597" w:rsidP="007F72E7">
            <w:pPr>
              <w:jc w:val="right"/>
              <w:cnfStyle w:val="000000100000" w:firstRow="0" w:lastRow="0" w:firstColumn="0" w:lastColumn="0" w:oddVBand="0" w:evenVBand="0" w:oddHBand="1" w:evenHBand="0" w:firstRowFirstColumn="0" w:firstRowLastColumn="0" w:lastRowFirstColumn="0" w:lastRowLastColumn="0"/>
            </w:pPr>
            <w:r w:rsidRPr="006D06A7">
              <w:t>741</w:t>
            </w:r>
          </w:p>
        </w:tc>
        <w:tc>
          <w:tcPr>
            <w:tcW w:w="623" w:type="pct"/>
            <w:tcBorders>
              <w:right w:val="single" w:sz="4" w:space="0" w:color="auto"/>
            </w:tcBorders>
            <w:noWrap/>
          </w:tcPr>
          <w:p w14:paraId="26CD6744" w14:textId="77777777" w:rsidR="00341597" w:rsidRDefault="00341597" w:rsidP="007F72E7">
            <w:pPr>
              <w:jc w:val="right"/>
              <w:cnfStyle w:val="000000100000" w:firstRow="0" w:lastRow="0" w:firstColumn="0" w:lastColumn="0" w:oddVBand="0" w:evenVBand="0" w:oddHBand="1" w:evenHBand="0" w:firstRowFirstColumn="0" w:firstRowLastColumn="0" w:lastRowFirstColumn="0" w:lastRowLastColumn="0"/>
            </w:pPr>
            <w:r w:rsidRPr="006D06A7">
              <w:t>2.8%</w:t>
            </w:r>
          </w:p>
        </w:tc>
        <w:tc>
          <w:tcPr>
            <w:tcW w:w="665" w:type="pct"/>
            <w:tcBorders>
              <w:left w:val="single" w:sz="4" w:space="0" w:color="auto"/>
              <w:bottom w:val="nil"/>
            </w:tcBorders>
            <w:noWrap/>
          </w:tcPr>
          <w:p w14:paraId="30FF63EF" w14:textId="77777777" w:rsidR="00341597" w:rsidRPr="00EF27CE" w:rsidRDefault="00341597" w:rsidP="007F72E7">
            <w:pPr>
              <w:jc w:val="right"/>
              <w:cnfStyle w:val="000000100000" w:firstRow="0" w:lastRow="0" w:firstColumn="0" w:lastColumn="0" w:oddVBand="0" w:evenVBand="0" w:oddHBand="1" w:evenHBand="0" w:firstRowFirstColumn="0" w:firstRowLastColumn="0" w:lastRowFirstColumn="0" w:lastRowLastColumn="0"/>
            </w:pPr>
            <w:r w:rsidRPr="00EF27CE">
              <w:t>1,665</w:t>
            </w:r>
          </w:p>
        </w:tc>
        <w:tc>
          <w:tcPr>
            <w:tcW w:w="665" w:type="pct"/>
            <w:tcBorders>
              <w:bottom w:val="nil"/>
            </w:tcBorders>
            <w:noWrap/>
          </w:tcPr>
          <w:p w14:paraId="50A9A58F" w14:textId="77777777" w:rsidR="00341597" w:rsidRPr="00EF27CE" w:rsidRDefault="00341597" w:rsidP="007F72E7">
            <w:pPr>
              <w:jc w:val="right"/>
              <w:cnfStyle w:val="000000100000" w:firstRow="0" w:lastRow="0" w:firstColumn="0" w:lastColumn="0" w:oddVBand="0" w:evenVBand="0" w:oddHBand="1" w:evenHBand="0" w:firstRowFirstColumn="0" w:firstRowLastColumn="0" w:lastRowFirstColumn="0" w:lastRowLastColumn="0"/>
            </w:pPr>
            <w:r w:rsidRPr="00EF27CE">
              <w:t>1,700</w:t>
            </w:r>
          </w:p>
        </w:tc>
        <w:tc>
          <w:tcPr>
            <w:tcW w:w="622" w:type="pct"/>
            <w:tcBorders>
              <w:bottom w:val="nil"/>
            </w:tcBorders>
            <w:noWrap/>
          </w:tcPr>
          <w:p w14:paraId="174141B5" w14:textId="77777777" w:rsidR="00341597" w:rsidRDefault="00341597" w:rsidP="007F72E7">
            <w:pPr>
              <w:jc w:val="right"/>
              <w:cnfStyle w:val="000000100000" w:firstRow="0" w:lastRow="0" w:firstColumn="0" w:lastColumn="0" w:oddVBand="0" w:evenVBand="0" w:oddHBand="1" w:evenHBand="0" w:firstRowFirstColumn="0" w:firstRowLastColumn="0" w:lastRowFirstColumn="0" w:lastRowLastColumn="0"/>
            </w:pPr>
            <w:r w:rsidRPr="00EF27CE">
              <w:t>2.1%</w:t>
            </w:r>
          </w:p>
        </w:tc>
      </w:tr>
      <w:tr w:rsidR="00341597" w:rsidRPr="00B875BD" w14:paraId="70090BE1" w14:textId="77777777" w:rsidTr="00D21F72">
        <w:tc>
          <w:tcPr>
            <w:cnfStyle w:val="001000000000" w:firstRow="0" w:lastRow="0" w:firstColumn="1" w:lastColumn="0" w:oddVBand="0" w:evenVBand="0" w:oddHBand="0" w:evenHBand="0" w:firstRowFirstColumn="0" w:firstRowLastColumn="0" w:lastRowFirstColumn="0" w:lastRowLastColumn="0"/>
            <w:tcW w:w="1095" w:type="pct"/>
          </w:tcPr>
          <w:p w14:paraId="52687E77" w14:textId="77777777" w:rsidR="00341597" w:rsidRPr="00A02290" w:rsidRDefault="00341597" w:rsidP="00341597">
            <w:r w:rsidRPr="00A02290">
              <w:t>Australia</w:t>
            </w:r>
          </w:p>
        </w:tc>
        <w:tc>
          <w:tcPr>
            <w:tcW w:w="665" w:type="pct"/>
            <w:noWrap/>
          </w:tcPr>
          <w:p w14:paraId="0DC86FAE" w14:textId="77777777" w:rsidR="00341597" w:rsidRPr="00BA1AAC"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BA1AAC">
              <w:t>139,408</w:t>
            </w:r>
          </w:p>
        </w:tc>
        <w:tc>
          <w:tcPr>
            <w:tcW w:w="665" w:type="pct"/>
            <w:noWrap/>
          </w:tcPr>
          <w:p w14:paraId="5D710E85" w14:textId="77777777" w:rsidR="00341597" w:rsidRPr="00BA1AAC"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BA1AAC">
              <w:t>137,572</w:t>
            </w:r>
          </w:p>
        </w:tc>
        <w:tc>
          <w:tcPr>
            <w:tcW w:w="623" w:type="pct"/>
            <w:tcBorders>
              <w:right w:val="single" w:sz="4" w:space="0" w:color="auto"/>
            </w:tcBorders>
            <w:noWrap/>
          </w:tcPr>
          <w:p w14:paraId="5546F9E1" w14:textId="77777777" w:rsidR="00341597" w:rsidRPr="00BA1AAC"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BA1AAC">
              <w:t>-1.3%</w:t>
            </w:r>
          </w:p>
        </w:tc>
        <w:tc>
          <w:tcPr>
            <w:tcW w:w="665" w:type="pct"/>
            <w:tcBorders>
              <w:left w:val="single" w:sz="4" w:space="0" w:color="auto"/>
              <w:bottom w:val="single" w:sz="4" w:space="0" w:color="auto"/>
            </w:tcBorders>
            <w:noWrap/>
          </w:tcPr>
          <w:p w14:paraId="1EED065B" w14:textId="77777777" w:rsidR="00341597" w:rsidRPr="00BA1AAC"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BA1AAC">
              <w:t>195,919</w:t>
            </w:r>
          </w:p>
        </w:tc>
        <w:tc>
          <w:tcPr>
            <w:tcW w:w="665" w:type="pct"/>
            <w:tcBorders>
              <w:bottom w:val="single" w:sz="4" w:space="0" w:color="auto"/>
            </w:tcBorders>
            <w:noWrap/>
          </w:tcPr>
          <w:p w14:paraId="06198DD4" w14:textId="77777777" w:rsidR="00341597" w:rsidRPr="00BA1AAC"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BA1AAC">
              <w:t>202,455</w:t>
            </w:r>
          </w:p>
        </w:tc>
        <w:tc>
          <w:tcPr>
            <w:tcW w:w="622" w:type="pct"/>
            <w:tcBorders>
              <w:bottom w:val="single" w:sz="4" w:space="0" w:color="auto"/>
            </w:tcBorders>
            <w:noWrap/>
          </w:tcPr>
          <w:p w14:paraId="1D62BD68" w14:textId="77777777" w:rsidR="00341597" w:rsidRPr="00BA1AAC"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BA1AAC">
              <w:t>3.3%</w:t>
            </w:r>
          </w:p>
        </w:tc>
      </w:tr>
    </w:tbl>
    <w:p w14:paraId="2619B36C" w14:textId="77777777" w:rsidR="00341597" w:rsidRDefault="00341597" w:rsidP="00B359D9"/>
    <w:p w14:paraId="4304F34D" w14:textId="77777777" w:rsidR="00341597" w:rsidRPr="004F2B5D" w:rsidRDefault="00341597" w:rsidP="00B67C70">
      <w:pPr>
        <w:pStyle w:val="ListParagraph"/>
      </w:pPr>
      <w:r w:rsidRPr="004F2B5D">
        <w:t>Nationally, Year 12 applications represent</w:t>
      </w:r>
      <w:r>
        <w:t xml:space="preserve"> 40.5% of total applications, a de</w:t>
      </w:r>
      <w:r w:rsidRPr="004F2B5D">
        <w:t xml:space="preserve">crease of </w:t>
      </w:r>
      <w:r>
        <w:t>1.1</w:t>
      </w:r>
      <w:r w:rsidRPr="004F2B5D">
        <w:t> percentage points compared with 201</w:t>
      </w:r>
      <w:r>
        <w:t>6</w:t>
      </w:r>
      <w:r w:rsidRPr="004F2B5D">
        <w:t>.</w:t>
      </w:r>
    </w:p>
    <w:p w14:paraId="4E344810" w14:textId="77777777" w:rsidR="00341597" w:rsidRPr="00B67C70" w:rsidRDefault="00341597" w:rsidP="00B67C70">
      <w:pPr>
        <w:pStyle w:val="ListParagraph"/>
      </w:pPr>
      <w:r w:rsidRPr="00B67C70">
        <w:t xml:space="preserve">Victoria recorded the highest proportion of Year 12 applications (44.2%) and Tasmania recorded the lowest proportion of Year applications (22.5%). </w:t>
      </w:r>
    </w:p>
    <w:p w14:paraId="4B06161C" w14:textId="058EB14B" w:rsidR="00341597" w:rsidRPr="00A7538D" w:rsidRDefault="00341597" w:rsidP="00341597">
      <w:pPr>
        <w:rPr>
          <w:bCs/>
        </w:rPr>
      </w:pPr>
      <w:r w:rsidRPr="00A7538D">
        <w:t>Table 3: Proportion of Year 12 highest preference applications by state and territory, February 2016 and February 2017</w:t>
      </w:r>
      <w:bookmarkStart w:id="33" w:name="_Toc244329147"/>
      <w:bookmarkStart w:id="34" w:name="_Toc247959711"/>
      <w:bookmarkStart w:id="35" w:name="_Toc247959796"/>
    </w:p>
    <w:p w14:paraId="4A182711" w14:textId="2455C101" w:rsidR="00D21F72" w:rsidRDefault="00D21F72" w:rsidP="00D21F72">
      <w:pPr>
        <w:pStyle w:val="Caption"/>
        <w:keepNext/>
      </w:pPr>
      <w:bookmarkStart w:id="36" w:name="_Toc492453634"/>
      <w:bookmarkStart w:id="37" w:name="_Toc492453859"/>
      <w:r>
        <w:t xml:space="preserve">Table </w:t>
      </w:r>
      <w:fldSimple w:instr=" SEQ Table \* ARABIC ">
        <w:r w:rsidR="00E05F5D">
          <w:rPr>
            <w:noProof/>
          </w:rPr>
          <w:t>3</w:t>
        </w:r>
      </w:fldSimple>
      <w:r>
        <w:t xml:space="preserve">: </w:t>
      </w:r>
      <w:r w:rsidRPr="00E26422">
        <w:t>Proportion of Year 12 highest preference applications by state and territory, February 2016 and February 2017</w:t>
      </w:r>
      <w:bookmarkEnd w:id="36"/>
      <w:bookmarkEnd w:id="37"/>
    </w:p>
    <w:tbl>
      <w:tblPr>
        <w:tblStyle w:val="DEEWRTable"/>
        <w:tblW w:w="5000" w:type="pct"/>
        <w:tblLook w:val="04A0" w:firstRow="1" w:lastRow="0" w:firstColumn="1" w:lastColumn="0" w:noHBand="0" w:noVBand="1"/>
      </w:tblPr>
      <w:tblGrid>
        <w:gridCol w:w="2919"/>
        <w:gridCol w:w="2257"/>
        <w:gridCol w:w="2033"/>
        <w:gridCol w:w="2033"/>
      </w:tblGrid>
      <w:tr w:rsidR="00341597" w:rsidRPr="00A02290" w14:paraId="320C3602" w14:textId="77777777" w:rsidTr="003415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9" w:type="pct"/>
            <w:noWrap/>
            <w:hideMark/>
          </w:tcPr>
          <w:p w14:paraId="438B0584" w14:textId="77777777" w:rsidR="00341597" w:rsidRPr="00A02290" w:rsidRDefault="00341597" w:rsidP="00A02290">
            <w:r w:rsidRPr="00A02290">
              <w:t>State/Territory</w:t>
            </w:r>
          </w:p>
        </w:tc>
        <w:tc>
          <w:tcPr>
            <w:tcW w:w="1221" w:type="pct"/>
          </w:tcPr>
          <w:p w14:paraId="475F6E85" w14:textId="77777777" w:rsidR="00341597" w:rsidRPr="00A02290" w:rsidRDefault="00341597" w:rsidP="007F72E7">
            <w:pPr>
              <w:jc w:val="right"/>
              <w:cnfStyle w:val="100000000000" w:firstRow="1" w:lastRow="0" w:firstColumn="0" w:lastColumn="0" w:oddVBand="0" w:evenVBand="0" w:oddHBand="0" w:evenHBand="0" w:firstRowFirstColumn="0" w:firstRowLastColumn="0" w:lastRowFirstColumn="0" w:lastRowLastColumn="0"/>
            </w:pPr>
            <w:r w:rsidRPr="00A02290">
              <w:t>2016</w:t>
            </w:r>
          </w:p>
        </w:tc>
        <w:tc>
          <w:tcPr>
            <w:tcW w:w="1100" w:type="pct"/>
            <w:noWrap/>
            <w:hideMark/>
          </w:tcPr>
          <w:p w14:paraId="331FCECA" w14:textId="77777777" w:rsidR="00341597" w:rsidRPr="00A02290" w:rsidRDefault="00341597" w:rsidP="007F72E7">
            <w:pPr>
              <w:jc w:val="right"/>
              <w:cnfStyle w:val="100000000000" w:firstRow="1" w:lastRow="0" w:firstColumn="0" w:lastColumn="0" w:oddVBand="0" w:evenVBand="0" w:oddHBand="0" w:evenHBand="0" w:firstRowFirstColumn="0" w:firstRowLastColumn="0" w:lastRowFirstColumn="0" w:lastRowLastColumn="0"/>
            </w:pPr>
            <w:r w:rsidRPr="00A02290">
              <w:t>2017</w:t>
            </w:r>
          </w:p>
        </w:tc>
        <w:tc>
          <w:tcPr>
            <w:tcW w:w="1100" w:type="pct"/>
            <w:noWrap/>
            <w:hideMark/>
          </w:tcPr>
          <w:p w14:paraId="664CF97E" w14:textId="77777777" w:rsidR="00341597" w:rsidRPr="00A02290" w:rsidRDefault="00341597" w:rsidP="007F72E7">
            <w:pPr>
              <w:jc w:val="right"/>
              <w:cnfStyle w:val="100000000000" w:firstRow="1" w:lastRow="0" w:firstColumn="0" w:lastColumn="0" w:oddVBand="0" w:evenVBand="0" w:oddHBand="0" w:evenHBand="0" w:firstRowFirstColumn="0" w:firstRowLastColumn="0" w:lastRowFirstColumn="0" w:lastRowLastColumn="0"/>
            </w:pPr>
            <w:r w:rsidRPr="00A02290">
              <w:t>Change</w:t>
            </w:r>
          </w:p>
        </w:tc>
      </w:tr>
      <w:tr w:rsidR="00341597" w:rsidRPr="00A02290" w14:paraId="6AD1139D" w14:textId="77777777" w:rsidTr="00341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9" w:type="pct"/>
            <w:noWrap/>
            <w:hideMark/>
          </w:tcPr>
          <w:p w14:paraId="1980BF66" w14:textId="77777777" w:rsidR="00341597" w:rsidRPr="00A02290" w:rsidRDefault="00341597" w:rsidP="00A02290">
            <w:r w:rsidRPr="00A02290">
              <w:t>NSW</w:t>
            </w:r>
          </w:p>
        </w:tc>
        <w:tc>
          <w:tcPr>
            <w:tcW w:w="1221" w:type="pct"/>
          </w:tcPr>
          <w:p w14:paraId="7B3B6945" w14:textId="77777777" w:rsidR="00341597" w:rsidRPr="00A02290" w:rsidRDefault="00341597" w:rsidP="007F72E7">
            <w:pPr>
              <w:jc w:val="right"/>
              <w:cnfStyle w:val="000000100000" w:firstRow="0" w:lastRow="0" w:firstColumn="0" w:lastColumn="0" w:oddVBand="0" w:evenVBand="0" w:oddHBand="1" w:evenHBand="0" w:firstRowFirstColumn="0" w:firstRowLastColumn="0" w:lastRowFirstColumn="0" w:lastRowLastColumn="0"/>
            </w:pPr>
            <w:r w:rsidRPr="00A02290">
              <w:t>41.7%</w:t>
            </w:r>
          </w:p>
        </w:tc>
        <w:tc>
          <w:tcPr>
            <w:tcW w:w="1100" w:type="pct"/>
            <w:noWrap/>
          </w:tcPr>
          <w:p w14:paraId="31426544" w14:textId="77777777" w:rsidR="00341597" w:rsidRPr="00A02290" w:rsidRDefault="00341597" w:rsidP="007F72E7">
            <w:pPr>
              <w:jc w:val="right"/>
              <w:cnfStyle w:val="000000100000" w:firstRow="0" w:lastRow="0" w:firstColumn="0" w:lastColumn="0" w:oddVBand="0" w:evenVBand="0" w:oddHBand="1" w:evenHBand="0" w:firstRowFirstColumn="0" w:firstRowLastColumn="0" w:lastRowFirstColumn="0" w:lastRowLastColumn="0"/>
            </w:pPr>
            <w:r w:rsidRPr="00A02290">
              <w:t>41.0%</w:t>
            </w:r>
          </w:p>
        </w:tc>
        <w:tc>
          <w:tcPr>
            <w:tcW w:w="1100" w:type="pct"/>
            <w:noWrap/>
          </w:tcPr>
          <w:p w14:paraId="5B33BC71" w14:textId="77777777" w:rsidR="00341597" w:rsidRPr="00A02290" w:rsidRDefault="00341597" w:rsidP="007F72E7">
            <w:pPr>
              <w:jc w:val="right"/>
              <w:cnfStyle w:val="000000100000" w:firstRow="0" w:lastRow="0" w:firstColumn="0" w:lastColumn="0" w:oddVBand="0" w:evenVBand="0" w:oddHBand="1" w:evenHBand="0" w:firstRowFirstColumn="0" w:firstRowLastColumn="0" w:lastRowFirstColumn="0" w:lastRowLastColumn="0"/>
            </w:pPr>
            <w:r w:rsidRPr="00A02290">
              <w:t>-0.6 p. p</w:t>
            </w:r>
          </w:p>
        </w:tc>
      </w:tr>
      <w:tr w:rsidR="00341597" w:rsidRPr="00A02290" w14:paraId="060404C5" w14:textId="77777777" w:rsidTr="00341597">
        <w:tc>
          <w:tcPr>
            <w:cnfStyle w:val="001000000000" w:firstRow="0" w:lastRow="0" w:firstColumn="1" w:lastColumn="0" w:oddVBand="0" w:evenVBand="0" w:oddHBand="0" w:evenHBand="0" w:firstRowFirstColumn="0" w:firstRowLastColumn="0" w:lastRowFirstColumn="0" w:lastRowLastColumn="0"/>
            <w:tcW w:w="1579" w:type="pct"/>
            <w:noWrap/>
            <w:hideMark/>
          </w:tcPr>
          <w:p w14:paraId="71EA62B2" w14:textId="77777777" w:rsidR="00341597" w:rsidRPr="00A02290" w:rsidRDefault="00341597" w:rsidP="00A02290">
            <w:r w:rsidRPr="00A02290">
              <w:t>VIC</w:t>
            </w:r>
          </w:p>
        </w:tc>
        <w:tc>
          <w:tcPr>
            <w:tcW w:w="1221" w:type="pct"/>
          </w:tcPr>
          <w:p w14:paraId="47D93FD3" w14:textId="77777777" w:rsidR="00341597" w:rsidRPr="00A02290"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A02290">
              <w:t>46.3%</w:t>
            </w:r>
          </w:p>
        </w:tc>
        <w:tc>
          <w:tcPr>
            <w:tcW w:w="1100" w:type="pct"/>
            <w:noWrap/>
          </w:tcPr>
          <w:p w14:paraId="7472508D" w14:textId="77777777" w:rsidR="00341597" w:rsidRPr="00A02290"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A02290">
              <w:t>44.2%</w:t>
            </w:r>
          </w:p>
        </w:tc>
        <w:tc>
          <w:tcPr>
            <w:tcW w:w="1100" w:type="pct"/>
            <w:noWrap/>
          </w:tcPr>
          <w:p w14:paraId="60891553" w14:textId="77777777" w:rsidR="00341597" w:rsidRPr="00A02290"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A02290">
              <w:t>-2.1 p. p</w:t>
            </w:r>
          </w:p>
        </w:tc>
      </w:tr>
      <w:tr w:rsidR="00341597" w:rsidRPr="00A02290" w14:paraId="4F9CF1F8" w14:textId="77777777" w:rsidTr="00341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9" w:type="pct"/>
            <w:noWrap/>
            <w:hideMark/>
          </w:tcPr>
          <w:p w14:paraId="6337B775" w14:textId="77777777" w:rsidR="00341597" w:rsidRPr="00A02290" w:rsidRDefault="00341597" w:rsidP="00A02290">
            <w:r w:rsidRPr="00A02290">
              <w:t>QLD</w:t>
            </w:r>
          </w:p>
        </w:tc>
        <w:tc>
          <w:tcPr>
            <w:tcW w:w="1221" w:type="pct"/>
          </w:tcPr>
          <w:p w14:paraId="6B85DEB0" w14:textId="77777777" w:rsidR="00341597" w:rsidRPr="00A02290" w:rsidRDefault="00341597" w:rsidP="007F72E7">
            <w:pPr>
              <w:jc w:val="right"/>
              <w:cnfStyle w:val="000000100000" w:firstRow="0" w:lastRow="0" w:firstColumn="0" w:lastColumn="0" w:oddVBand="0" w:evenVBand="0" w:oddHBand="1" w:evenHBand="0" w:firstRowFirstColumn="0" w:firstRowLastColumn="0" w:lastRowFirstColumn="0" w:lastRowLastColumn="0"/>
            </w:pPr>
            <w:r w:rsidRPr="00A02290">
              <w:t>39.1%</w:t>
            </w:r>
          </w:p>
        </w:tc>
        <w:tc>
          <w:tcPr>
            <w:tcW w:w="1100" w:type="pct"/>
            <w:noWrap/>
          </w:tcPr>
          <w:p w14:paraId="09BD0851" w14:textId="77777777" w:rsidR="00341597" w:rsidRPr="00A02290" w:rsidRDefault="00341597" w:rsidP="007F72E7">
            <w:pPr>
              <w:jc w:val="right"/>
              <w:cnfStyle w:val="000000100000" w:firstRow="0" w:lastRow="0" w:firstColumn="0" w:lastColumn="0" w:oddVBand="0" w:evenVBand="0" w:oddHBand="1" w:evenHBand="0" w:firstRowFirstColumn="0" w:firstRowLastColumn="0" w:lastRowFirstColumn="0" w:lastRowLastColumn="0"/>
            </w:pPr>
            <w:r w:rsidRPr="00A02290">
              <w:t>38.8%</w:t>
            </w:r>
          </w:p>
        </w:tc>
        <w:tc>
          <w:tcPr>
            <w:tcW w:w="1100" w:type="pct"/>
            <w:noWrap/>
          </w:tcPr>
          <w:p w14:paraId="33F4C100" w14:textId="77777777" w:rsidR="00341597" w:rsidRPr="00A02290" w:rsidRDefault="00341597" w:rsidP="007F72E7">
            <w:pPr>
              <w:jc w:val="right"/>
              <w:cnfStyle w:val="000000100000" w:firstRow="0" w:lastRow="0" w:firstColumn="0" w:lastColumn="0" w:oddVBand="0" w:evenVBand="0" w:oddHBand="1" w:evenHBand="0" w:firstRowFirstColumn="0" w:firstRowLastColumn="0" w:lastRowFirstColumn="0" w:lastRowLastColumn="0"/>
            </w:pPr>
            <w:r w:rsidRPr="00A02290">
              <w:t>-0.2 p. p</w:t>
            </w:r>
          </w:p>
        </w:tc>
      </w:tr>
      <w:tr w:rsidR="00341597" w:rsidRPr="00A02290" w14:paraId="521D6121" w14:textId="77777777" w:rsidTr="00341597">
        <w:tc>
          <w:tcPr>
            <w:cnfStyle w:val="001000000000" w:firstRow="0" w:lastRow="0" w:firstColumn="1" w:lastColumn="0" w:oddVBand="0" w:evenVBand="0" w:oddHBand="0" w:evenHBand="0" w:firstRowFirstColumn="0" w:firstRowLastColumn="0" w:lastRowFirstColumn="0" w:lastRowLastColumn="0"/>
            <w:tcW w:w="1579" w:type="pct"/>
            <w:noWrap/>
            <w:hideMark/>
          </w:tcPr>
          <w:p w14:paraId="52FB902F" w14:textId="77777777" w:rsidR="00341597" w:rsidRPr="00A02290" w:rsidRDefault="00341597" w:rsidP="00A02290">
            <w:r w:rsidRPr="00A02290">
              <w:t>WA</w:t>
            </w:r>
          </w:p>
        </w:tc>
        <w:tc>
          <w:tcPr>
            <w:tcW w:w="1221" w:type="pct"/>
          </w:tcPr>
          <w:p w14:paraId="17D733CB" w14:textId="77777777" w:rsidR="00341597" w:rsidRPr="00A02290"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A02290">
              <w:t>42.3%</w:t>
            </w:r>
          </w:p>
        </w:tc>
        <w:tc>
          <w:tcPr>
            <w:tcW w:w="1100" w:type="pct"/>
            <w:noWrap/>
          </w:tcPr>
          <w:p w14:paraId="35EAA89F" w14:textId="77777777" w:rsidR="00341597" w:rsidRPr="00A02290"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A02290">
              <w:t>40.3%</w:t>
            </w:r>
          </w:p>
        </w:tc>
        <w:tc>
          <w:tcPr>
            <w:tcW w:w="1100" w:type="pct"/>
            <w:noWrap/>
          </w:tcPr>
          <w:p w14:paraId="0653A63F" w14:textId="77777777" w:rsidR="00341597" w:rsidRPr="00A02290"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A02290">
              <w:t>-2.0 p. p</w:t>
            </w:r>
          </w:p>
        </w:tc>
      </w:tr>
      <w:tr w:rsidR="00341597" w:rsidRPr="00A02290" w14:paraId="4EF1049F" w14:textId="77777777" w:rsidTr="00341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9" w:type="pct"/>
            <w:noWrap/>
            <w:hideMark/>
          </w:tcPr>
          <w:p w14:paraId="4C240934" w14:textId="77777777" w:rsidR="00341597" w:rsidRPr="00A02290" w:rsidRDefault="00341597" w:rsidP="00A02290">
            <w:r w:rsidRPr="00A02290">
              <w:t>SA</w:t>
            </w:r>
          </w:p>
        </w:tc>
        <w:tc>
          <w:tcPr>
            <w:tcW w:w="1221" w:type="pct"/>
          </w:tcPr>
          <w:p w14:paraId="1D81DE0B" w14:textId="77777777" w:rsidR="00341597" w:rsidRPr="00A02290" w:rsidRDefault="00341597" w:rsidP="007F72E7">
            <w:pPr>
              <w:jc w:val="right"/>
              <w:cnfStyle w:val="000000100000" w:firstRow="0" w:lastRow="0" w:firstColumn="0" w:lastColumn="0" w:oddVBand="0" w:evenVBand="0" w:oddHBand="1" w:evenHBand="0" w:firstRowFirstColumn="0" w:firstRowLastColumn="0" w:lastRowFirstColumn="0" w:lastRowLastColumn="0"/>
            </w:pPr>
            <w:r w:rsidRPr="00A02290">
              <w:t>41.1%</w:t>
            </w:r>
          </w:p>
        </w:tc>
        <w:tc>
          <w:tcPr>
            <w:tcW w:w="1100" w:type="pct"/>
            <w:noWrap/>
          </w:tcPr>
          <w:p w14:paraId="1A3010C8" w14:textId="77777777" w:rsidR="00341597" w:rsidRPr="00A02290" w:rsidRDefault="00341597" w:rsidP="007F72E7">
            <w:pPr>
              <w:jc w:val="right"/>
              <w:cnfStyle w:val="000000100000" w:firstRow="0" w:lastRow="0" w:firstColumn="0" w:lastColumn="0" w:oddVBand="0" w:evenVBand="0" w:oddHBand="1" w:evenHBand="0" w:firstRowFirstColumn="0" w:firstRowLastColumn="0" w:lastRowFirstColumn="0" w:lastRowLastColumn="0"/>
            </w:pPr>
            <w:r w:rsidRPr="00A02290">
              <w:t>40.4%</w:t>
            </w:r>
          </w:p>
        </w:tc>
        <w:tc>
          <w:tcPr>
            <w:tcW w:w="1100" w:type="pct"/>
            <w:noWrap/>
          </w:tcPr>
          <w:p w14:paraId="410098C1" w14:textId="77777777" w:rsidR="00341597" w:rsidRPr="00A02290" w:rsidRDefault="00341597" w:rsidP="007F72E7">
            <w:pPr>
              <w:jc w:val="right"/>
              <w:cnfStyle w:val="000000100000" w:firstRow="0" w:lastRow="0" w:firstColumn="0" w:lastColumn="0" w:oddVBand="0" w:evenVBand="0" w:oddHBand="1" w:evenHBand="0" w:firstRowFirstColumn="0" w:firstRowLastColumn="0" w:lastRowFirstColumn="0" w:lastRowLastColumn="0"/>
            </w:pPr>
            <w:r w:rsidRPr="00A02290">
              <w:t>-0.7 p. p</w:t>
            </w:r>
          </w:p>
        </w:tc>
      </w:tr>
      <w:tr w:rsidR="00341597" w:rsidRPr="00A02290" w14:paraId="285B8292" w14:textId="77777777" w:rsidTr="00341597">
        <w:tc>
          <w:tcPr>
            <w:cnfStyle w:val="001000000000" w:firstRow="0" w:lastRow="0" w:firstColumn="1" w:lastColumn="0" w:oddVBand="0" w:evenVBand="0" w:oddHBand="0" w:evenHBand="0" w:firstRowFirstColumn="0" w:firstRowLastColumn="0" w:lastRowFirstColumn="0" w:lastRowLastColumn="0"/>
            <w:tcW w:w="1579" w:type="pct"/>
            <w:noWrap/>
            <w:hideMark/>
          </w:tcPr>
          <w:p w14:paraId="0F4B1FCE" w14:textId="77777777" w:rsidR="00341597" w:rsidRPr="00A02290" w:rsidRDefault="00341597" w:rsidP="00A02290">
            <w:r w:rsidRPr="00A02290">
              <w:t>TAS</w:t>
            </w:r>
          </w:p>
        </w:tc>
        <w:tc>
          <w:tcPr>
            <w:tcW w:w="1221" w:type="pct"/>
          </w:tcPr>
          <w:p w14:paraId="500FE5B8" w14:textId="77777777" w:rsidR="00341597" w:rsidRPr="00A02290"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A02290">
              <w:t>27.2%</w:t>
            </w:r>
          </w:p>
        </w:tc>
        <w:tc>
          <w:tcPr>
            <w:tcW w:w="1100" w:type="pct"/>
            <w:noWrap/>
          </w:tcPr>
          <w:p w14:paraId="0CECB36A" w14:textId="77777777" w:rsidR="00341597" w:rsidRPr="00A02290"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A02290">
              <w:t>22.5%</w:t>
            </w:r>
          </w:p>
        </w:tc>
        <w:tc>
          <w:tcPr>
            <w:tcW w:w="1100" w:type="pct"/>
            <w:noWrap/>
          </w:tcPr>
          <w:p w14:paraId="6FABAEBD" w14:textId="77777777" w:rsidR="00341597" w:rsidRPr="00A02290"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A02290">
              <w:t>-4.8 p. p</w:t>
            </w:r>
          </w:p>
        </w:tc>
      </w:tr>
      <w:tr w:rsidR="00341597" w:rsidRPr="00A02290" w14:paraId="5AE4D8D4" w14:textId="77777777" w:rsidTr="00341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9" w:type="pct"/>
            <w:noWrap/>
          </w:tcPr>
          <w:p w14:paraId="59ACE2E5" w14:textId="77777777" w:rsidR="00341597" w:rsidRPr="00A02290" w:rsidRDefault="00341597" w:rsidP="00A02290">
            <w:r w:rsidRPr="00A02290">
              <w:t>ACT</w:t>
            </w:r>
          </w:p>
        </w:tc>
        <w:tc>
          <w:tcPr>
            <w:tcW w:w="1221" w:type="pct"/>
          </w:tcPr>
          <w:p w14:paraId="58894C72" w14:textId="77777777" w:rsidR="00341597" w:rsidRPr="00A02290" w:rsidRDefault="00341597" w:rsidP="007F72E7">
            <w:pPr>
              <w:jc w:val="right"/>
              <w:cnfStyle w:val="000000100000" w:firstRow="0" w:lastRow="0" w:firstColumn="0" w:lastColumn="0" w:oddVBand="0" w:evenVBand="0" w:oddHBand="1" w:evenHBand="0" w:firstRowFirstColumn="0" w:firstRowLastColumn="0" w:lastRowFirstColumn="0" w:lastRowLastColumn="0"/>
            </w:pPr>
            <w:r w:rsidRPr="00A02290">
              <w:t>33.8%</w:t>
            </w:r>
          </w:p>
        </w:tc>
        <w:tc>
          <w:tcPr>
            <w:tcW w:w="1100" w:type="pct"/>
            <w:noWrap/>
          </w:tcPr>
          <w:p w14:paraId="2646A8C7" w14:textId="77777777" w:rsidR="00341597" w:rsidRPr="00A02290" w:rsidRDefault="00341597" w:rsidP="007F72E7">
            <w:pPr>
              <w:jc w:val="right"/>
              <w:cnfStyle w:val="000000100000" w:firstRow="0" w:lastRow="0" w:firstColumn="0" w:lastColumn="0" w:oddVBand="0" w:evenVBand="0" w:oddHBand="1" w:evenHBand="0" w:firstRowFirstColumn="0" w:firstRowLastColumn="0" w:lastRowFirstColumn="0" w:lastRowLastColumn="0"/>
            </w:pPr>
            <w:r w:rsidRPr="00A02290">
              <w:t>35.2%</w:t>
            </w:r>
          </w:p>
        </w:tc>
        <w:tc>
          <w:tcPr>
            <w:tcW w:w="1100" w:type="pct"/>
            <w:noWrap/>
          </w:tcPr>
          <w:p w14:paraId="7FC59B54" w14:textId="77777777" w:rsidR="00341597" w:rsidRPr="00A02290" w:rsidRDefault="00341597" w:rsidP="007F72E7">
            <w:pPr>
              <w:jc w:val="right"/>
              <w:cnfStyle w:val="000000100000" w:firstRow="0" w:lastRow="0" w:firstColumn="0" w:lastColumn="0" w:oddVBand="0" w:evenVBand="0" w:oddHBand="1" w:evenHBand="0" w:firstRowFirstColumn="0" w:firstRowLastColumn="0" w:lastRowFirstColumn="0" w:lastRowLastColumn="0"/>
            </w:pPr>
            <w:r w:rsidRPr="00A02290">
              <w:t>1.3 p. p</w:t>
            </w:r>
          </w:p>
        </w:tc>
      </w:tr>
      <w:tr w:rsidR="00341597" w:rsidRPr="00A02290" w14:paraId="58F3A3CF" w14:textId="77777777" w:rsidTr="00341597">
        <w:tc>
          <w:tcPr>
            <w:cnfStyle w:val="001000000000" w:firstRow="0" w:lastRow="0" w:firstColumn="1" w:lastColumn="0" w:oddVBand="0" w:evenVBand="0" w:oddHBand="0" w:evenHBand="0" w:firstRowFirstColumn="0" w:firstRowLastColumn="0" w:lastRowFirstColumn="0" w:lastRowLastColumn="0"/>
            <w:tcW w:w="1579" w:type="pct"/>
            <w:noWrap/>
          </w:tcPr>
          <w:p w14:paraId="185F2BD6" w14:textId="77777777" w:rsidR="00341597" w:rsidRPr="00A02290" w:rsidRDefault="00341597" w:rsidP="00A02290">
            <w:r w:rsidRPr="00A02290">
              <w:t>NT</w:t>
            </w:r>
          </w:p>
        </w:tc>
        <w:tc>
          <w:tcPr>
            <w:tcW w:w="1221" w:type="pct"/>
          </w:tcPr>
          <w:p w14:paraId="16217D06" w14:textId="77777777" w:rsidR="00341597" w:rsidRPr="00A02290"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A02290">
              <w:t>30.2%</w:t>
            </w:r>
          </w:p>
        </w:tc>
        <w:tc>
          <w:tcPr>
            <w:tcW w:w="1100" w:type="pct"/>
            <w:noWrap/>
          </w:tcPr>
          <w:p w14:paraId="1DC5FF36" w14:textId="77777777" w:rsidR="00341597" w:rsidRPr="00A02290"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A02290">
              <w:t>30.4%</w:t>
            </w:r>
          </w:p>
        </w:tc>
        <w:tc>
          <w:tcPr>
            <w:tcW w:w="1100" w:type="pct"/>
            <w:noWrap/>
          </w:tcPr>
          <w:p w14:paraId="4FDC7EA7" w14:textId="77777777" w:rsidR="00341597" w:rsidRPr="00A02290"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A02290">
              <w:t>0.1 p. p</w:t>
            </w:r>
          </w:p>
        </w:tc>
      </w:tr>
      <w:tr w:rsidR="00341597" w:rsidRPr="00A02290" w14:paraId="252F2ABA" w14:textId="77777777" w:rsidTr="00341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9" w:type="pct"/>
            <w:noWrap/>
          </w:tcPr>
          <w:p w14:paraId="15E01F8F" w14:textId="77777777" w:rsidR="00341597" w:rsidRPr="00A02290" w:rsidRDefault="00341597" w:rsidP="00A02290">
            <w:r w:rsidRPr="00A02290">
              <w:t>Australia</w:t>
            </w:r>
          </w:p>
        </w:tc>
        <w:tc>
          <w:tcPr>
            <w:tcW w:w="1221" w:type="pct"/>
          </w:tcPr>
          <w:p w14:paraId="52275EE1" w14:textId="77777777" w:rsidR="00341597" w:rsidRPr="00A02290" w:rsidRDefault="00341597" w:rsidP="007F72E7">
            <w:pPr>
              <w:jc w:val="right"/>
              <w:cnfStyle w:val="000000100000" w:firstRow="0" w:lastRow="0" w:firstColumn="0" w:lastColumn="0" w:oddVBand="0" w:evenVBand="0" w:oddHBand="1" w:evenHBand="0" w:firstRowFirstColumn="0" w:firstRowLastColumn="0" w:lastRowFirstColumn="0" w:lastRowLastColumn="0"/>
            </w:pPr>
            <w:r w:rsidRPr="00A02290">
              <w:t>41.6%</w:t>
            </w:r>
          </w:p>
        </w:tc>
        <w:tc>
          <w:tcPr>
            <w:tcW w:w="1100" w:type="pct"/>
            <w:noWrap/>
          </w:tcPr>
          <w:p w14:paraId="4B6FC4D7" w14:textId="77777777" w:rsidR="00341597" w:rsidRPr="00A02290" w:rsidRDefault="00341597" w:rsidP="007F72E7">
            <w:pPr>
              <w:jc w:val="right"/>
              <w:cnfStyle w:val="000000100000" w:firstRow="0" w:lastRow="0" w:firstColumn="0" w:lastColumn="0" w:oddVBand="0" w:evenVBand="0" w:oddHBand="1" w:evenHBand="0" w:firstRowFirstColumn="0" w:firstRowLastColumn="0" w:lastRowFirstColumn="0" w:lastRowLastColumn="0"/>
            </w:pPr>
            <w:r w:rsidRPr="00A02290">
              <w:t>40.5%</w:t>
            </w:r>
          </w:p>
        </w:tc>
        <w:tc>
          <w:tcPr>
            <w:tcW w:w="1100" w:type="pct"/>
            <w:noWrap/>
          </w:tcPr>
          <w:p w14:paraId="19DF438D" w14:textId="77777777" w:rsidR="00341597" w:rsidRPr="00A02290" w:rsidRDefault="00341597" w:rsidP="007F72E7">
            <w:pPr>
              <w:jc w:val="right"/>
              <w:cnfStyle w:val="000000100000" w:firstRow="0" w:lastRow="0" w:firstColumn="0" w:lastColumn="0" w:oddVBand="0" w:evenVBand="0" w:oddHBand="1" w:evenHBand="0" w:firstRowFirstColumn="0" w:firstRowLastColumn="0" w:lastRowFirstColumn="0" w:lastRowLastColumn="0"/>
            </w:pPr>
            <w:r w:rsidRPr="00A02290">
              <w:t>-1.1 p. p</w:t>
            </w:r>
          </w:p>
        </w:tc>
      </w:tr>
    </w:tbl>
    <w:p w14:paraId="1D86E562" w14:textId="77777777" w:rsidR="00341597" w:rsidRDefault="00341597" w:rsidP="00341597"/>
    <w:p w14:paraId="5B1AA2D6" w14:textId="77777777" w:rsidR="00341597" w:rsidRPr="00B67C70" w:rsidRDefault="00341597" w:rsidP="00B67C70">
      <w:pPr>
        <w:pStyle w:val="Heading1"/>
      </w:pPr>
      <w:bookmarkStart w:id="38" w:name="_Toc416445748"/>
      <w:bookmarkStart w:id="39" w:name="_Toc447188864"/>
      <w:bookmarkStart w:id="40" w:name="_Toc480816333"/>
      <w:bookmarkStart w:id="41" w:name="_Toc492454255"/>
      <w:r w:rsidRPr="00B67C70">
        <w:lastRenderedPageBreak/>
        <w:t>Offers</w:t>
      </w:r>
      <w:bookmarkEnd w:id="38"/>
      <w:bookmarkEnd w:id="39"/>
      <w:bookmarkEnd w:id="40"/>
      <w:bookmarkEnd w:id="41"/>
      <w:r w:rsidRPr="00B67C70">
        <w:t xml:space="preserve"> </w:t>
      </w:r>
    </w:p>
    <w:p w14:paraId="27E5DB76" w14:textId="77777777" w:rsidR="00341597" w:rsidRPr="00CA743F" w:rsidRDefault="00341597" w:rsidP="00CA743F">
      <w:pPr>
        <w:pStyle w:val="Heading2"/>
      </w:pPr>
      <w:bookmarkStart w:id="42" w:name="_Toc416445749"/>
      <w:bookmarkStart w:id="43" w:name="_Toc492454256"/>
      <w:r w:rsidRPr="00CA743F">
        <w:t>Overall trends</w:t>
      </w:r>
      <w:bookmarkEnd w:id="42"/>
      <w:bookmarkEnd w:id="43"/>
    </w:p>
    <w:p w14:paraId="3821110A" w14:textId="77777777" w:rsidR="00341597" w:rsidRDefault="00341597" w:rsidP="00341597">
      <w:r>
        <w:t xml:space="preserve">Combined offers made through </w:t>
      </w:r>
      <w:proofErr w:type="spellStart"/>
      <w:r>
        <w:t>TACs</w:t>
      </w:r>
      <w:proofErr w:type="spellEnd"/>
      <w:r>
        <w:t xml:space="preserve"> and offers made directly </w:t>
      </w:r>
      <w:r w:rsidRPr="00DD1112">
        <w:t>by</w:t>
      </w:r>
      <w:r>
        <w:t xml:space="preserve"> universities shows that there were 292,995 offers made until 27 February 2017. There were 199,736 unique offers made through </w:t>
      </w:r>
      <w:proofErr w:type="spellStart"/>
      <w:r>
        <w:t>TACs</w:t>
      </w:r>
      <w:proofErr w:type="spellEnd"/>
      <w:r>
        <w:t xml:space="preserve"> and 93,259 unique offers made directly by universities. Accounting for 11,882 applicants who were offered a place both though </w:t>
      </w:r>
      <w:proofErr w:type="spellStart"/>
      <w:r>
        <w:t>TACs</w:t>
      </w:r>
      <w:proofErr w:type="spellEnd"/>
      <w:r>
        <w:t xml:space="preserve"> and directly by universities, the total number of applicants who received an offer across Australia was 281, 113 until the end of February 2017, a decrease of 0.2% on 2016. Offers made to direct applicants accounted for 31.8% of total offers. </w:t>
      </w:r>
    </w:p>
    <w:p w14:paraId="679777EF" w14:textId="77777777" w:rsidR="00341597" w:rsidRPr="00CA743F" w:rsidRDefault="00341597" w:rsidP="00CA743F">
      <w:pPr>
        <w:pStyle w:val="Heading2"/>
      </w:pPr>
      <w:bookmarkStart w:id="44" w:name="_Toc492454257"/>
      <w:r w:rsidRPr="00CA743F">
        <w:t>State and Territory</w:t>
      </w:r>
      <w:bookmarkEnd w:id="44"/>
    </w:p>
    <w:p w14:paraId="38E0FAB8" w14:textId="77777777" w:rsidR="00341597" w:rsidRPr="00966076" w:rsidRDefault="00341597" w:rsidP="00341597">
      <w:pPr>
        <w:rPr>
          <w:rFonts w:eastAsiaTheme="majorEastAsia"/>
        </w:rPr>
      </w:pPr>
      <w:r>
        <w:rPr>
          <w:rFonts w:eastAsiaTheme="majorEastAsia"/>
        </w:rPr>
        <w:t>Victoria (1.6%), Queensland (1.0%), NT (0.9%) and WA (0.1%) recorded growth in offers in 2017. All other states and territories recorded negative growth in offers, ranging from -2.2% in Tasmania to -0.3% in SA.</w:t>
      </w:r>
    </w:p>
    <w:p w14:paraId="11F83395" w14:textId="1C789621" w:rsidR="00D21F72" w:rsidRDefault="00D21F72" w:rsidP="00D21F72">
      <w:pPr>
        <w:pStyle w:val="Caption"/>
        <w:keepNext/>
      </w:pPr>
      <w:bookmarkStart w:id="45" w:name="_Toc492453635"/>
      <w:bookmarkStart w:id="46" w:name="_Toc492453860"/>
      <w:r>
        <w:t xml:space="preserve">Table </w:t>
      </w:r>
      <w:fldSimple w:instr=" SEQ Table \* ARABIC ">
        <w:r w:rsidR="00E05F5D">
          <w:rPr>
            <w:noProof/>
          </w:rPr>
          <w:t>4</w:t>
        </w:r>
      </w:fldSimple>
      <w:r>
        <w:t xml:space="preserve">: </w:t>
      </w:r>
      <w:r w:rsidRPr="00987B1A">
        <w:t>Applicants receiving offers and offer rates by state and territory, February 2016 and February 2017</w:t>
      </w:r>
      <w:bookmarkEnd w:id="45"/>
      <w:bookmarkEnd w:id="46"/>
    </w:p>
    <w:tbl>
      <w:tblPr>
        <w:tblStyle w:val="DEEWRTable"/>
        <w:tblW w:w="5000" w:type="pct"/>
        <w:tblLook w:val="04A0" w:firstRow="1" w:lastRow="0" w:firstColumn="1" w:lastColumn="0" w:noHBand="0" w:noVBand="1"/>
      </w:tblPr>
      <w:tblGrid>
        <w:gridCol w:w="2145"/>
        <w:gridCol w:w="1266"/>
        <w:gridCol w:w="1266"/>
        <w:gridCol w:w="1203"/>
        <w:gridCol w:w="1035"/>
        <w:gridCol w:w="1035"/>
        <w:gridCol w:w="1292"/>
      </w:tblGrid>
      <w:tr w:rsidR="00341597" w:rsidRPr="00B875BD" w14:paraId="6A04DC18" w14:textId="77777777" w:rsidTr="00D321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pct"/>
            <w:vMerge w:val="restart"/>
            <w:noWrap/>
            <w:hideMark/>
          </w:tcPr>
          <w:p w14:paraId="3F179CA1" w14:textId="77777777" w:rsidR="00341597" w:rsidRPr="00A02290" w:rsidRDefault="00341597" w:rsidP="00341597">
            <w:r w:rsidRPr="00A02290">
              <w:t>State/Territory</w:t>
            </w:r>
          </w:p>
        </w:tc>
        <w:tc>
          <w:tcPr>
            <w:tcW w:w="2021" w:type="pct"/>
            <w:gridSpan w:val="3"/>
            <w:noWrap/>
            <w:hideMark/>
          </w:tcPr>
          <w:p w14:paraId="07E090E7" w14:textId="77777777" w:rsidR="00341597" w:rsidRPr="00645580" w:rsidRDefault="00341597" w:rsidP="00E87DB2">
            <w:pPr>
              <w:jc w:val="center"/>
              <w:cnfStyle w:val="100000000000" w:firstRow="1" w:lastRow="0" w:firstColumn="0" w:lastColumn="0" w:oddVBand="0" w:evenVBand="0" w:oddHBand="0" w:evenHBand="0" w:firstRowFirstColumn="0" w:firstRowLastColumn="0" w:lastRowFirstColumn="0" w:lastRowLastColumn="0"/>
            </w:pPr>
            <w:r w:rsidRPr="00645580">
              <w:t>Offers</w:t>
            </w:r>
          </w:p>
        </w:tc>
        <w:tc>
          <w:tcPr>
            <w:tcW w:w="1819" w:type="pct"/>
            <w:gridSpan w:val="3"/>
            <w:tcBorders>
              <w:bottom w:val="nil"/>
            </w:tcBorders>
            <w:noWrap/>
            <w:hideMark/>
          </w:tcPr>
          <w:p w14:paraId="4D239B2D" w14:textId="77777777" w:rsidR="00341597" w:rsidRPr="00645580" w:rsidRDefault="00341597" w:rsidP="00E87DB2">
            <w:pPr>
              <w:jc w:val="center"/>
              <w:cnfStyle w:val="100000000000" w:firstRow="1" w:lastRow="0" w:firstColumn="0" w:lastColumn="0" w:oddVBand="0" w:evenVBand="0" w:oddHBand="0" w:evenHBand="0" w:firstRowFirstColumn="0" w:firstRowLastColumn="0" w:lastRowFirstColumn="0" w:lastRowLastColumn="0"/>
            </w:pPr>
            <w:r w:rsidRPr="00645580">
              <w:t>Offer rates</w:t>
            </w:r>
          </w:p>
        </w:tc>
      </w:tr>
      <w:tr w:rsidR="00341597" w:rsidRPr="00B875BD" w14:paraId="582BCF88" w14:textId="77777777" w:rsidTr="00D21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pct"/>
            <w:vMerge/>
            <w:noWrap/>
            <w:hideMark/>
          </w:tcPr>
          <w:p w14:paraId="577C8140" w14:textId="77777777" w:rsidR="00341597" w:rsidRPr="00645580" w:rsidRDefault="00341597" w:rsidP="00341597">
            <w:pPr>
              <w:rPr>
                <w:b w:val="0"/>
              </w:rPr>
            </w:pPr>
          </w:p>
        </w:tc>
        <w:tc>
          <w:tcPr>
            <w:tcW w:w="685" w:type="pct"/>
            <w:noWrap/>
          </w:tcPr>
          <w:p w14:paraId="5E7749BE" w14:textId="77777777" w:rsidR="00341597" w:rsidRPr="00956BAB" w:rsidRDefault="00341597" w:rsidP="00E87DB2">
            <w:pPr>
              <w:jc w:val="right"/>
              <w:cnfStyle w:val="000000100000" w:firstRow="0" w:lastRow="0" w:firstColumn="0" w:lastColumn="0" w:oddVBand="0" w:evenVBand="0" w:oddHBand="1" w:evenHBand="0" w:firstRowFirstColumn="0" w:firstRowLastColumn="0" w:lastRowFirstColumn="0" w:lastRowLastColumn="0"/>
              <w:rPr>
                <w:b/>
              </w:rPr>
            </w:pPr>
            <w:r w:rsidRPr="00956BAB">
              <w:rPr>
                <w:b/>
              </w:rPr>
              <w:t>2016</w:t>
            </w:r>
          </w:p>
        </w:tc>
        <w:tc>
          <w:tcPr>
            <w:tcW w:w="685" w:type="pct"/>
            <w:noWrap/>
            <w:hideMark/>
          </w:tcPr>
          <w:p w14:paraId="2154E188" w14:textId="77777777" w:rsidR="00341597" w:rsidRPr="00956BAB" w:rsidRDefault="00341597" w:rsidP="00E87DB2">
            <w:pPr>
              <w:jc w:val="right"/>
              <w:cnfStyle w:val="000000100000" w:firstRow="0" w:lastRow="0" w:firstColumn="0" w:lastColumn="0" w:oddVBand="0" w:evenVBand="0" w:oddHBand="1" w:evenHBand="0" w:firstRowFirstColumn="0" w:firstRowLastColumn="0" w:lastRowFirstColumn="0" w:lastRowLastColumn="0"/>
              <w:rPr>
                <w:b/>
              </w:rPr>
            </w:pPr>
            <w:r w:rsidRPr="00956BAB">
              <w:rPr>
                <w:b/>
              </w:rPr>
              <w:t>2017</w:t>
            </w:r>
          </w:p>
        </w:tc>
        <w:tc>
          <w:tcPr>
            <w:tcW w:w="651" w:type="pct"/>
            <w:tcBorders>
              <w:right w:val="single" w:sz="4" w:space="0" w:color="auto"/>
            </w:tcBorders>
            <w:noWrap/>
            <w:hideMark/>
          </w:tcPr>
          <w:p w14:paraId="505CDA46" w14:textId="77777777" w:rsidR="00341597" w:rsidRPr="00956BAB" w:rsidRDefault="00341597" w:rsidP="00E87DB2">
            <w:pPr>
              <w:jc w:val="right"/>
              <w:cnfStyle w:val="000000100000" w:firstRow="0" w:lastRow="0" w:firstColumn="0" w:lastColumn="0" w:oddVBand="0" w:evenVBand="0" w:oddHBand="1" w:evenHBand="0" w:firstRowFirstColumn="0" w:firstRowLastColumn="0" w:lastRowFirstColumn="0" w:lastRowLastColumn="0"/>
              <w:rPr>
                <w:b/>
              </w:rPr>
            </w:pPr>
            <w:r w:rsidRPr="00956BAB">
              <w:rPr>
                <w:b/>
              </w:rPr>
              <w:t>Change</w:t>
            </w:r>
          </w:p>
        </w:tc>
        <w:tc>
          <w:tcPr>
            <w:tcW w:w="560" w:type="pct"/>
            <w:tcBorders>
              <w:left w:val="single" w:sz="4" w:space="0" w:color="auto"/>
              <w:bottom w:val="nil"/>
            </w:tcBorders>
            <w:noWrap/>
            <w:hideMark/>
          </w:tcPr>
          <w:p w14:paraId="152E8E4B" w14:textId="77777777" w:rsidR="00341597" w:rsidRPr="00956BAB" w:rsidRDefault="00341597" w:rsidP="00E87DB2">
            <w:pPr>
              <w:jc w:val="right"/>
              <w:cnfStyle w:val="000000100000" w:firstRow="0" w:lastRow="0" w:firstColumn="0" w:lastColumn="0" w:oddVBand="0" w:evenVBand="0" w:oddHBand="1" w:evenHBand="0" w:firstRowFirstColumn="0" w:firstRowLastColumn="0" w:lastRowFirstColumn="0" w:lastRowLastColumn="0"/>
              <w:rPr>
                <w:b/>
              </w:rPr>
            </w:pPr>
            <w:r w:rsidRPr="00956BAB">
              <w:rPr>
                <w:b/>
              </w:rPr>
              <w:t>2016</w:t>
            </w:r>
          </w:p>
        </w:tc>
        <w:tc>
          <w:tcPr>
            <w:tcW w:w="560" w:type="pct"/>
            <w:tcBorders>
              <w:bottom w:val="nil"/>
            </w:tcBorders>
            <w:noWrap/>
            <w:hideMark/>
          </w:tcPr>
          <w:p w14:paraId="36158513" w14:textId="77777777" w:rsidR="00341597" w:rsidRPr="00956BAB" w:rsidRDefault="00341597" w:rsidP="00E87DB2">
            <w:pPr>
              <w:jc w:val="right"/>
              <w:cnfStyle w:val="000000100000" w:firstRow="0" w:lastRow="0" w:firstColumn="0" w:lastColumn="0" w:oddVBand="0" w:evenVBand="0" w:oddHBand="1" w:evenHBand="0" w:firstRowFirstColumn="0" w:firstRowLastColumn="0" w:lastRowFirstColumn="0" w:lastRowLastColumn="0"/>
              <w:rPr>
                <w:b/>
              </w:rPr>
            </w:pPr>
            <w:r w:rsidRPr="00956BAB">
              <w:rPr>
                <w:b/>
              </w:rPr>
              <w:t>2017</w:t>
            </w:r>
          </w:p>
        </w:tc>
        <w:tc>
          <w:tcPr>
            <w:tcW w:w="699" w:type="pct"/>
            <w:tcBorders>
              <w:bottom w:val="nil"/>
            </w:tcBorders>
            <w:noWrap/>
            <w:hideMark/>
          </w:tcPr>
          <w:p w14:paraId="729EFBB9" w14:textId="77777777" w:rsidR="00341597" w:rsidRPr="00956BAB" w:rsidRDefault="00341597" w:rsidP="00E87DB2">
            <w:pPr>
              <w:jc w:val="right"/>
              <w:cnfStyle w:val="000000100000" w:firstRow="0" w:lastRow="0" w:firstColumn="0" w:lastColumn="0" w:oddVBand="0" w:evenVBand="0" w:oddHBand="1" w:evenHBand="0" w:firstRowFirstColumn="0" w:firstRowLastColumn="0" w:lastRowFirstColumn="0" w:lastRowLastColumn="0"/>
              <w:rPr>
                <w:b/>
              </w:rPr>
            </w:pPr>
            <w:r w:rsidRPr="00956BAB">
              <w:rPr>
                <w:b/>
              </w:rPr>
              <w:t xml:space="preserve">Change </w:t>
            </w:r>
          </w:p>
        </w:tc>
      </w:tr>
      <w:tr w:rsidR="00341597" w:rsidRPr="00B875BD" w14:paraId="2DC45627" w14:textId="77777777" w:rsidTr="00D21F72">
        <w:tc>
          <w:tcPr>
            <w:cnfStyle w:val="001000000000" w:firstRow="0" w:lastRow="0" w:firstColumn="1" w:lastColumn="0" w:oddVBand="0" w:evenVBand="0" w:oddHBand="0" w:evenHBand="0" w:firstRowFirstColumn="0" w:firstRowLastColumn="0" w:lastRowFirstColumn="0" w:lastRowLastColumn="0"/>
            <w:tcW w:w="1160" w:type="pct"/>
          </w:tcPr>
          <w:p w14:paraId="23C580D4" w14:textId="77777777" w:rsidR="00341597" w:rsidRPr="00B27185" w:rsidRDefault="00341597" w:rsidP="00341597">
            <w:r w:rsidRPr="00B27185">
              <w:t>NSW</w:t>
            </w:r>
          </w:p>
        </w:tc>
        <w:tc>
          <w:tcPr>
            <w:tcW w:w="685" w:type="pct"/>
            <w:noWrap/>
          </w:tcPr>
          <w:p w14:paraId="6AEC187C" w14:textId="77777777" w:rsidR="00341597" w:rsidRPr="00734BAC"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734BAC">
              <w:t>93,775</w:t>
            </w:r>
          </w:p>
        </w:tc>
        <w:tc>
          <w:tcPr>
            <w:tcW w:w="685" w:type="pct"/>
            <w:noWrap/>
          </w:tcPr>
          <w:p w14:paraId="7E743438" w14:textId="77777777" w:rsidR="00341597" w:rsidRPr="00734BAC"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734BAC">
              <w:t>91,767</w:t>
            </w:r>
          </w:p>
        </w:tc>
        <w:tc>
          <w:tcPr>
            <w:tcW w:w="651" w:type="pct"/>
            <w:tcBorders>
              <w:right w:val="single" w:sz="4" w:space="0" w:color="auto"/>
            </w:tcBorders>
            <w:noWrap/>
          </w:tcPr>
          <w:p w14:paraId="4B044D31" w14:textId="77777777" w:rsidR="00341597" w:rsidRPr="00734BAC"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734BAC">
              <w:t>-2.1%</w:t>
            </w:r>
          </w:p>
        </w:tc>
        <w:tc>
          <w:tcPr>
            <w:tcW w:w="560" w:type="pct"/>
            <w:tcBorders>
              <w:left w:val="single" w:sz="4" w:space="0" w:color="auto"/>
              <w:bottom w:val="nil"/>
            </w:tcBorders>
            <w:noWrap/>
          </w:tcPr>
          <w:p w14:paraId="7F122C96" w14:textId="77777777" w:rsidR="00341597" w:rsidRPr="00D1357E"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D1357E">
              <w:t>86.1%</w:t>
            </w:r>
          </w:p>
        </w:tc>
        <w:tc>
          <w:tcPr>
            <w:tcW w:w="560" w:type="pct"/>
            <w:tcBorders>
              <w:bottom w:val="nil"/>
            </w:tcBorders>
            <w:noWrap/>
          </w:tcPr>
          <w:p w14:paraId="774563E2" w14:textId="77777777" w:rsidR="00341597" w:rsidRPr="00D1357E"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D1357E">
              <w:t>85.0%</w:t>
            </w:r>
          </w:p>
        </w:tc>
        <w:tc>
          <w:tcPr>
            <w:tcW w:w="699" w:type="pct"/>
            <w:tcBorders>
              <w:bottom w:val="nil"/>
            </w:tcBorders>
            <w:noWrap/>
          </w:tcPr>
          <w:p w14:paraId="3C15DCCC" w14:textId="77777777" w:rsidR="00341597" w:rsidRPr="00D1357E"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D1357E">
              <w:t>-1.1</w:t>
            </w:r>
            <w:r>
              <w:t xml:space="preserve"> p. p</w:t>
            </w:r>
          </w:p>
        </w:tc>
      </w:tr>
      <w:tr w:rsidR="00341597" w:rsidRPr="00B875BD" w14:paraId="1880911A" w14:textId="77777777" w:rsidTr="00D21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pct"/>
          </w:tcPr>
          <w:p w14:paraId="6029DA0D" w14:textId="77777777" w:rsidR="00341597" w:rsidRPr="00B27185" w:rsidRDefault="00341597" w:rsidP="00341597">
            <w:r w:rsidRPr="00B27185">
              <w:t>VIC</w:t>
            </w:r>
          </w:p>
        </w:tc>
        <w:tc>
          <w:tcPr>
            <w:tcW w:w="685" w:type="pct"/>
            <w:noWrap/>
          </w:tcPr>
          <w:p w14:paraId="409F144B" w14:textId="77777777" w:rsidR="00341597" w:rsidRPr="00734BAC"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734BAC">
              <w:t>69,567</w:t>
            </w:r>
          </w:p>
        </w:tc>
        <w:tc>
          <w:tcPr>
            <w:tcW w:w="685" w:type="pct"/>
            <w:noWrap/>
          </w:tcPr>
          <w:p w14:paraId="31DA467B" w14:textId="77777777" w:rsidR="00341597" w:rsidRPr="00734BAC"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734BAC">
              <w:t>70,684</w:t>
            </w:r>
          </w:p>
        </w:tc>
        <w:tc>
          <w:tcPr>
            <w:tcW w:w="651" w:type="pct"/>
            <w:tcBorders>
              <w:right w:val="single" w:sz="4" w:space="0" w:color="auto"/>
            </w:tcBorders>
            <w:noWrap/>
          </w:tcPr>
          <w:p w14:paraId="1DCEB03B" w14:textId="77777777" w:rsidR="00341597" w:rsidRPr="00734BAC"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734BAC">
              <w:t>1.6%</w:t>
            </w:r>
          </w:p>
        </w:tc>
        <w:tc>
          <w:tcPr>
            <w:tcW w:w="560" w:type="pct"/>
            <w:tcBorders>
              <w:left w:val="single" w:sz="4" w:space="0" w:color="auto"/>
              <w:bottom w:val="nil"/>
            </w:tcBorders>
            <w:noWrap/>
          </w:tcPr>
          <w:p w14:paraId="1D4B8F38" w14:textId="77777777" w:rsidR="00341597" w:rsidRPr="00D1357E"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D1357E">
              <w:t>79.6%</w:t>
            </w:r>
          </w:p>
        </w:tc>
        <w:tc>
          <w:tcPr>
            <w:tcW w:w="560" w:type="pct"/>
            <w:tcBorders>
              <w:bottom w:val="nil"/>
            </w:tcBorders>
            <w:noWrap/>
          </w:tcPr>
          <w:p w14:paraId="76C20B44" w14:textId="77777777" w:rsidR="00341597" w:rsidRPr="00D1357E"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D1357E">
              <w:t>77.8%</w:t>
            </w:r>
          </w:p>
        </w:tc>
        <w:tc>
          <w:tcPr>
            <w:tcW w:w="699" w:type="pct"/>
            <w:tcBorders>
              <w:bottom w:val="nil"/>
            </w:tcBorders>
            <w:noWrap/>
          </w:tcPr>
          <w:p w14:paraId="0D372B30" w14:textId="77777777" w:rsidR="00341597" w:rsidRPr="00D1357E"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D1357E">
              <w:t>-1.8</w:t>
            </w:r>
            <w:r>
              <w:t xml:space="preserve"> </w:t>
            </w:r>
            <w:r w:rsidRPr="002B36CE">
              <w:t>p. p</w:t>
            </w:r>
          </w:p>
        </w:tc>
      </w:tr>
      <w:tr w:rsidR="00341597" w:rsidRPr="00B875BD" w14:paraId="38632702" w14:textId="77777777" w:rsidTr="00D21F72">
        <w:tc>
          <w:tcPr>
            <w:cnfStyle w:val="001000000000" w:firstRow="0" w:lastRow="0" w:firstColumn="1" w:lastColumn="0" w:oddVBand="0" w:evenVBand="0" w:oddHBand="0" w:evenHBand="0" w:firstRowFirstColumn="0" w:firstRowLastColumn="0" w:lastRowFirstColumn="0" w:lastRowLastColumn="0"/>
            <w:tcW w:w="1160" w:type="pct"/>
          </w:tcPr>
          <w:p w14:paraId="174B62EC" w14:textId="77777777" w:rsidR="00341597" w:rsidRPr="00B27185" w:rsidRDefault="00341597" w:rsidP="00341597">
            <w:r w:rsidRPr="00B27185">
              <w:t>QLD</w:t>
            </w:r>
          </w:p>
        </w:tc>
        <w:tc>
          <w:tcPr>
            <w:tcW w:w="685" w:type="pct"/>
            <w:noWrap/>
          </w:tcPr>
          <w:p w14:paraId="421EAE5B" w14:textId="77777777" w:rsidR="00341597" w:rsidRPr="00734BAC"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734BAC">
              <w:t>56,529</w:t>
            </w:r>
          </w:p>
        </w:tc>
        <w:tc>
          <w:tcPr>
            <w:tcW w:w="685" w:type="pct"/>
            <w:noWrap/>
          </w:tcPr>
          <w:p w14:paraId="2E13C2DC" w14:textId="77777777" w:rsidR="00341597" w:rsidRPr="00734BAC"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734BAC">
              <w:t>57,079</w:t>
            </w:r>
          </w:p>
        </w:tc>
        <w:tc>
          <w:tcPr>
            <w:tcW w:w="651" w:type="pct"/>
            <w:tcBorders>
              <w:right w:val="single" w:sz="4" w:space="0" w:color="auto"/>
            </w:tcBorders>
            <w:noWrap/>
          </w:tcPr>
          <w:p w14:paraId="472737AE" w14:textId="77777777" w:rsidR="00341597" w:rsidRPr="00734BAC"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734BAC">
              <w:t>1.0%</w:t>
            </w:r>
          </w:p>
        </w:tc>
        <w:tc>
          <w:tcPr>
            <w:tcW w:w="560" w:type="pct"/>
            <w:tcBorders>
              <w:left w:val="single" w:sz="4" w:space="0" w:color="auto"/>
              <w:bottom w:val="nil"/>
            </w:tcBorders>
            <w:noWrap/>
          </w:tcPr>
          <w:p w14:paraId="468FEC2C" w14:textId="77777777" w:rsidR="00341597" w:rsidRPr="00D1357E"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D1357E">
              <w:t>86.6%</w:t>
            </w:r>
          </w:p>
        </w:tc>
        <w:tc>
          <w:tcPr>
            <w:tcW w:w="560" w:type="pct"/>
            <w:tcBorders>
              <w:bottom w:val="nil"/>
            </w:tcBorders>
            <w:noWrap/>
          </w:tcPr>
          <w:p w14:paraId="1A642549" w14:textId="77777777" w:rsidR="00341597" w:rsidRPr="00D1357E"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D1357E">
              <w:t>86.6%</w:t>
            </w:r>
          </w:p>
        </w:tc>
        <w:tc>
          <w:tcPr>
            <w:tcW w:w="699" w:type="pct"/>
            <w:tcBorders>
              <w:bottom w:val="nil"/>
            </w:tcBorders>
            <w:noWrap/>
          </w:tcPr>
          <w:p w14:paraId="0EF71812" w14:textId="77777777" w:rsidR="00341597" w:rsidRPr="00D1357E"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D1357E">
              <w:t>-0.1</w:t>
            </w:r>
            <w:r>
              <w:t xml:space="preserve"> </w:t>
            </w:r>
            <w:r w:rsidRPr="002B36CE">
              <w:t>p. p</w:t>
            </w:r>
          </w:p>
        </w:tc>
      </w:tr>
      <w:tr w:rsidR="00341597" w:rsidRPr="00B875BD" w14:paraId="5CA3BCAE" w14:textId="77777777" w:rsidTr="00D21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pct"/>
          </w:tcPr>
          <w:p w14:paraId="4EDC419B" w14:textId="77777777" w:rsidR="00341597" w:rsidRPr="00B27185" w:rsidRDefault="00341597" w:rsidP="00341597">
            <w:r w:rsidRPr="00B27185">
              <w:t>WA</w:t>
            </w:r>
          </w:p>
        </w:tc>
        <w:tc>
          <w:tcPr>
            <w:tcW w:w="685" w:type="pct"/>
            <w:noWrap/>
          </w:tcPr>
          <w:p w14:paraId="72CDB4E4" w14:textId="77777777" w:rsidR="00341597" w:rsidRPr="00734BAC"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734BAC">
              <w:t>25,007</w:t>
            </w:r>
          </w:p>
        </w:tc>
        <w:tc>
          <w:tcPr>
            <w:tcW w:w="685" w:type="pct"/>
            <w:noWrap/>
          </w:tcPr>
          <w:p w14:paraId="58A18A02" w14:textId="77777777" w:rsidR="00341597" w:rsidRPr="00734BAC"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734BAC">
              <w:t>25,036</w:t>
            </w:r>
          </w:p>
        </w:tc>
        <w:tc>
          <w:tcPr>
            <w:tcW w:w="651" w:type="pct"/>
            <w:tcBorders>
              <w:right w:val="single" w:sz="4" w:space="0" w:color="auto"/>
            </w:tcBorders>
            <w:noWrap/>
          </w:tcPr>
          <w:p w14:paraId="4838603E" w14:textId="77777777" w:rsidR="00341597" w:rsidRPr="00734BAC"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734BAC">
              <w:t>0.1%</w:t>
            </w:r>
          </w:p>
        </w:tc>
        <w:tc>
          <w:tcPr>
            <w:tcW w:w="560" w:type="pct"/>
            <w:tcBorders>
              <w:left w:val="single" w:sz="4" w:space="0" w:color="auto"/>
              <w:bottom w:val="nil"/>
            </w:tcBorders>
            <w:noWrap/>
          </w:tcPr>
          <w:p w14:paraId="35D10B7B" w14:textId="77777777" w:rsidR="00341597" w:rsidRPr="00D1357E"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D1357E">
              <w:t>84.7%</w:t>
            </w:r>
          </w:p>
        </w:tc>
        <w:tc>
          <w:tcPr>
            <w:tcW w:w="560" w:type="pct"/>
            <w:tcBorders>
              <w:bottom w:val="nil"/>
            </w:tcBorders>
            <w:noWrap/>
          </w:tcPr>
          <w:p w14:paraId="2FB2492C" w14:textId="77777777" w:rsidR="00341597" w:rsidRPr="00D1357E"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D1357E">
              <w:t>80.5%</w:t>
            </w:r>
          </w:p>
        </w:tc>
        <w:tc>
          <w:tcPr>
            <w:tcW w:w="699" w:type="pct"/>
            <w:tcBorders>
              <w:bottom w:val="nil"/>
            </w:tcBorders>
            <w:noWrap/>
          </w:tcPr>
          <w:p w14:paraId="65ADEE81" w14:textId="77777777" w:rsidR="00341597" w:rsidRPr="00D1357E"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D1357E">
              <w:t>-4.2</w:t>
            </w:r>
            <w:r>
              <w:t xml:space="preserve"> </w:t>
            </w:r>
            <w:r w:rsidRPr="002B36CE">
              <w:t>p. p</w:t>
            </w:r>
          </w:p>
        </w:tc>
      </w:tr>
      <w:tr w:rsidR="00341597" w:rsidRPr="00B875BD" w14:paraId="46A358CE" w14:textId="77777777" w:rsidTr="00D21F72">
        <w:tc>
          <w:tcPr>
            <w:cnfStyle w:val="001000000000" w:firstRow="0" w:lastRow="0" w:firstColumn="1" w:lastColumn="0" w:oddVBand="0" w:evenVBand="0" w:oddHBand="0" w:evenHBand="0" w:firstRowFirstColumn="0" w:firstRowLastColumn="0" w:lastRowFirstColumn="0" w:lastRowLastColumn="0"/>
            <w:tcW w:w="1160" w:type="pct"/>
          </w:tcPr>
          <w:p w14:paraId="108A35AE" w14:textId="77777777" w:rsidR="00341597" w:rsidRPr="00B27185" w:rsidRDefault="00341597" w:rsidP="00341597">
            <w:r w:rsidRPr="00B27185">
              <w:t>SA</w:t>
            </w:r>
          </w:p>
        </w:tc>
        <w:tc>
          <w:tcPr>
            <w:tcW w:w="685" w:type="pct"/>
            <w:noWrap/>
          </w:tcPr>
          <w:p w14:paraId="213A1F37" w14:textId="77777777" w:rsidR="00341597" w:rsidRPr="00734BAC"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734BAC">
              <w:t>20,248</w:t>
            </w:r>
          </w:p>
        </w:tc>
        <w:tc>
          <w:tcPr>
            <w:tcW w:w="685" w:type="pct"/>
            <w:noWrap/>
          </w:tcPr>
          <w:p w14:paraId="4DCC5400" w14:textId="77777777" w:rsidR="00341597" w:rsidRPr="00734BAC"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734BAC">
              <w:t>20,187</w:t>
            </w:r>
          </w:p>
        </w:tc>
        <w:tc>
          <w:tcPr>
            <w:tcW w:w="651" w:type="pct"/>
            <w:tcBorders>
              <w:right w:val="single" w:sz="4" w:space="0" w:color="auto"/>
            </w:tcBorders>
            <w:noWrap/>
          </w:tcPr>
          <w:p w14:paraId="32BF67BB" w14:textId="77777777" w:rsidR="00341597" w:rsidRPr="00734BAC"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734BAC">
              <w:t>-0.3%</w:t>
            </w:r>
          </w:p>
        </w:tc>
        <w:tc>
          <w:tcPr>
            <w:tcW w:w="560" w:type="pct"/>
            <w:tcBorders>
              <w:left w:val="single" w:sz="4" w:space="0" w:color="auto"/>
              <w:bottom w:val="nil"/>
            </w:tcBorders>
            <w:noWrap/>
          </w:tcPr>
          <w:p w14:paraId="73FB41B4" w14:textId="77777777" w:rsidR="00341597" w:rsidRPr="00D1357E"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D1357E">
              <w:t>81.9%</w:t>
            </w:r>
          </w:p>
        </w:tc>
        <w:tc>
          <w:tcPr>
            <w:tcW w:w="560" w:type="pct"/>
            <w:tcBorders>
              <w:bottom w:val="nil"/>
            </w:tcBorders>
            <w:noWrap/>
          </w:tcPr>
          <w:p w14:paraId="09148F41" w14:textId="77777777" w:rsidR="00341597" w:rsidRPr="00D1357E"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D1357E">
              <w:t>81.8%</w:t>
            </w:r>
          </w:p>
        </w:tc>
        <w:tc>
          <w:tcPr>
            <w:tcW w:w="699" w:type="pct"/>
            <w:tcBorders>
              <w:bottom w:val="nil"/>
            </w:tcBorders>
            <w:noWrap/>
          </w:tcPr>
          <w:p w14:paraId="74C863A3" w14:textId="77777777" w:rsidR="00341597" w:rsidRPr="00D1357E"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D1357E">
              <w:t>-0.1</w:t>
            </w:r>
            <w:r>
              <w:t xml:space="preserve"> </w:t>
            </w:r>
            <w:r w:rsidRPr="002B36CE">
              <w:t>p. p</w:t>
            </w:r>
          </w:p>
        </w:tc>
      </w:tr>
      <w:tr w:rsidR="00341597" w:rsidRPr="00B875BD" w14:paraId="557B110E" w14:textId="77777777" w:rsidTr="00D21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pct"/>
          </w:tcPr>
          <w:p w14:paraId="0392A298" w14:textId="77777777" w:rsidR="00341597" w:rsidRPr="00B27185" w:rsidRDefault="00341597" w:rsidP="00341597">
            <w:r w:rsidRPr="00B27185">
              <w:t>TAS</w:t>
            </w:r>
          </w:p>
        </w:tc>
        <w:tc>
          <w:tcPr>
            <w:tcW w:w="685" w:type="pct"/>
            <w:noWrap/>
          </w:tcPr>
          <w:p w14:paraId="2B7446D6" w14:textId="77777777" w:rsidR="00341597" w:rsidRPr="00734BAC"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734BAC">
              <w:t>7,100</w:t>
            </w:r>
          </w:p>
        </w:tc>
        <w:tc>
          <w:tcPr>
            <w:tcW w:w="685" w:type="pct"/>
            <w:noWrap/>
          </w:tcPr>
          <w:p w14:paraId="26CE3A43" w14:textId="77777777" w:rsidR="00341597" w:rsidRPr="00734BAC"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734BAC">
              <w:t>6,946</w:t>
            </w:r>
          </w:p>
        </w:tc>
        <w:tc>
          <w:tcPr>
            <w:tcW w:w="651" w:type="pct"/>
            <w:tcBorders>
              <w:right w:val="single" w:sz="4" w:space="0" w:color="auto"/>
            </w:tcBorders>
            <w:noWrap/>
          </w:tcPr>
          <w:p w14:paraId="509DF0DC" w14:textId="77777777" w:rsidR="00341597" w:rsidRPr="00734BAC"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734BAC">
              <w:t>-2.2%</w:t>
            </w:r>
          </w:p>
        </w:tc>
        <w:tc>
          <w:tcPr>
            <w:tcW w:w="560" w:type="pct"/>
            <w:tcBorders>
              <w:left w:val="single" w:sz="4" w:space="0" w:color="auto"/>
              <w:bottom w:val="nil"/>
            </w:tcBorders>
            <w:noWrap/>
          </w:tcPr>
          <w:p w14:paraId="562DFD90" w14:textId="77777777" w:rsidR="00341597" w:rsidRPr="00D1357E"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D1357E">
              <w:t>91.3%</w:t>
            </w:r>
          </w:p>
        </w:tc>
        <w:tc>
          <w:tcPr>
            <w:tcW w:w="560" w:type="pct"/>
            <w:tcBorders>
              <w:bottom w:val="nil"/>
            </w:tcBorders>
            <w:noWrap/>
          </w:tcPr>
          <w:p w14:paraId="3D656EC1" w14:textId="77777777" w:rsidR="00341597" w:rsidRPr="00D1357E"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D1357E">
              <w:t>90.2%</w:t>
            </w:r>
          </w:p>
        </w:tc>
        <w:tc>
          <w:tcPr>
            <w:tcW w:w="699" w:type="pct"/>
            <w:tcBorders>
              <w:bottom w:val="nil"/>
            </w:tcBorders>
            <w:noWrap/>
          </w:tcPr>
          <w:p w14:paraId="7756BC19" w14:textId="77777777" w:rsidR="00341597" w:rsidRPr="00D1357E"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D1357E">
              <w:t>-1.1</w:t>
            </w:r>
            <w:r>
              <w:t xml:space="preserve"> </w:t>
            </w:r>
            <w:r w:rsidRPr="002B36CE">
              <w:t>p. p</w:t>
            </w:r>
          </w:p>
        </w:tc>
      </w:tr>
      <w:tr w:rsidR="00341597" w:rsidRPr="00B875BD" w14:paraId="194493C5" w14:textId="77777777" w:rsidTr="00D21F72">
        <w:tc>
          <w:tcPr>
            <w:cnfStyle w:val="001000000000" w:firstRow="0" w:lastRow="0" w:firstColumn="1" w:lastColumn="0" w:oddVBand="0" w:evenVBand="0" w:oddHBand="0" w:evenHBand="0" w:firstRowFirstColumn="0" w:firstRowLastColumn="0" w:lastRowFirstColumn="0" w:lastRowLastColumn="0"/>
            <w:tcW w:w="1160" w:type="pct"/>
          </w:tcPr>
          <w:p w14:paraId="6D4A173B" w14:textId="77777777" w:rsidR="00341597" w:rsidRPr="00B27185" w:rsidRDefault="00341597" w:rsidP="00341597">
            <w:r w:rsidRPr="00B27185">
              <w:t>ACT</w:t>
            </w:r>
          </w:p>
        </w:tc>
        <w:tc>
          <w:tcPr>
            <w:tcW w:w="685" w:type="pct"/>
            <w:noWrap/>
          </w:tcPr>
          <w:p w14:paraId="4E6A27C5" w14:textId="77777777" w:rsidR="00341597" w:rsidRPr="00734BAC"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734BAC">
              <w:t>5,486</w:t>
            </w:r>
          </w:p>
        </w:tc>
        <w:tc>
          <w:tcPr>
            <w:tcW w:w="685" w:type="pct"/>
            <w:noWrap/>
          </w:tcPr>
          <w:p w14:paraId="59849BA3" w14:textId="77777777" w:rsidR="00341597" w:rsidRPr="00734BAC"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734BAC">
              <w:t>5,457</w:t>
            </w:r>
          </w:p>
        </w:tc>
        <w:tc>
          <w:tcPr>
            <w:tcW w:w="651" w:type="pct"/>
            <w:tcBorders>
              <w:right w:val="single" w:sz="4" w:space="0" w:color="auto"/>
            </w:tcBorders>
            <w:noWrap/>
          </w:tcPr>
          <w:p w14:paraId="4F53ABB5" w14:textId="77777777" w:rsidR="00341597" w:rsidRPr="00734BAC"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734BAC">
              <w:t>-0.5%</w:t>
            </w:r>
          </w:p>
        </w:tc>
        <w:tc>
          <w:tcPr>
            <w:tcW w:w="560" w:type="pct"/>
            <w:tcBorders>
              <w:left w:val="single" w:sz="4" w:space="0" w:color="auto"/>
              <w:bottom w:val="nil"/>
            </w:tcBorders>
            <w:noWrap/>
          </w:tcPr>
          <w:p w14:paraId="57EF2362" w14:textId="77777777" w:rsidR="00341597" w:rsidRPr="00D1357E"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D1357E">
              <w:t>84.3%</w:t>
            </w:r>
          </w:p>
        </w:tc>
        <w:tc>
          <w:tcPr>
            <w:tcW w:w="560" w:type="pct"/>
            <w:tcBorders>
              <w:bottom w:val="nil"/>
            </w:tcBorders>
            <w:noWrap/>
          </w:tcPr>
          <w:p w14:paraId="0C2D3E45" w14:textId="77777777" w:rsidR="00341597" w:rsidRPr="00D1357E"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D1357E">
              <w:t>86.6%</w:t>
            </w:r>
          </w:p>
        </w:tc>
        <w:tc>
          <w:tcPr>
            <w:tcW w:w="699" w:type="pct"/>
            <w:tcBorders>
              <w:bottom w:val="nil"/>
            </w:tcBorders>
            <w:noWrap/>
          </w:tcPr>
          <w:p w14:paraId="3EBAA479" w14:textId="77777777" w:rsidR="00341597" w:rsidRPr="00D1357E"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D1357E">
              <w:t>2.3</w:t>
            </w:r>
            <w:r>
              <w:t xml:space="preserve"> </w:t>
            </w:r>
            <w:r w:rsidRPr="002B36CE">
              <w:t>p. p</w:t>
            </w:r>
          </w:p>
        </w:tc>
      </w:tr>
      <w:tr w:rsidR="00341597" w:rsidRPr="00B875BD" w14:paraId="68A4E701" w14:textId="77777777" w:rsidTr="00D21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pct"/>
          </w:tcPr>
          <w:p w14:paraId="76E5AFED" w14:textId="77777777" w:rsidR="00341597" w:rsidRPr="00B27185" w:rsidRDefault="00341597" w:rsidP="00341597">
            <w:r w:rsidRPr="00B27185">
              <w:t>NT</w:t>
            </w:r>
          </w:p>
        </w:tc>
        <w:tc>
          <w:tcPr>
            <w:tcW w:w="685" w:type="pct"/>
            <w:noWrap/>
          </w:tcPr>
          <w:p w14:paraId="649AFC40" w14:textId="77777777" w:rsidR="00341597" w:rsidRPr="00734BAC"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734BAC">
              <w:t>1,850</w:t>
            </w:r>
          </w:p>
        </w:tc>
        <w:tc>
          <w:tcPr>
            <w:tcW w:w="685" w:type="pct"/>
            <w:noWrap/>
          </w:tcPr>
          <w:p w14:paraId="28CC0555" w14:textId="77777777" w:rsidR="00341597" w:rsidRPr="00734BAC"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734BAC">
              <w:t>1,867</w:t>
            </w:r>
          </w:p>
        </w:tc>
        <w:tc>
          <w:tcPr>
            <w:tcW w:w="651" w:type="pct"/>
            <w:tcBorders>
              <w:right w:val="single" w:sz="4" w:space="0" w:color="auto"/>
            </w:tcBorders>
            <w:noWrap/>
          </w:tcPr>
          <w:p w14:paraId="35F55ECD" w14:textId="77777777" w:rsidR="00341597"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734BAC">
              <w:t>0.9%</w:t>
            </w:r>
          </w:p>
        </w:tc>
        <w:tc>
          <w:tcPr>
            <w:tcW w:w="560" w:type="pct"/>
            <w:tcBorders>
              <w:left w:val="single" w:sz="4" w:space="0" w:color="auto"/>
              <w:bottom w:val="nil"/>
            </w:tcBorders>
            <w:noWrap/>
          </w:tcPr>
          <w:p w14:paraId="2142BEE8" w14:textId="77777777" w:rsidR="00341597" w:rsidRPr="00D1357E"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D1357E">
              <w:t>77.5%</w:t>
            </w:r>
          </w:p>
        </w:tc>
        <w:tc>
          <w:tcPr>
            <w:tcW w:w="560" w:type="pct"/>
            <w:tcBorders>
              <w:bottom w:val="nil"/>
            </w:tcBorders>
            <w:noWrap/>
          </w:tcPr>
          <w:p w14:paraId="18A29B5B" w14:textId="77777777" w:rsidR="00341597" w:rsidRPr="00D1357E"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D1357E">
              <w:t>76.5%</w:t>
            </w:r>
          </w:p>
        </w:tc>
        <w:tc>
          <w:tcPr>
            <w:tcW w:w="699" w:type="pct"/>
            <w:tcBorders>
              <w:bottom w:val="nil"/>
            </w:tcBorders>
            <w:noWrap/>
          </w:tcPr>
          <w:p w14:paraId="312EBA11" w14:textId="77777777" w:rsidR="00341597"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D1357E">
              <w:t>-1.1</w:t>
            </w:r>
            <w:r>
              <w:t xml:space="preserve"> </w:t>
            </w:r>
            <w:r w:rsidRPr="002B36CE">
              <w:t>p. p</w:t>
            </w:r>
          </w:p>
        </w:tc>
      </w:tr>
      <w:tr w:rsidR="00341597" w:rsidRPr="00B875BD" w14:paraId="7858C4B8" w14:textId="77777777" w:rsidTr="00D21F72">
        <w:tc>
          <w:tcPr>
            <w:cnfStyle w:val="001000000000" w:firstRow="0" w:lastRow="0" w:firstColumn="1" w:lastColumn="0" w:oddVBand="0" w:evenVBand="0" w:oddHBand="0" w:evenHBand="0" w:firstRowFirstColumn="0" w:firstRowLastColumn="0" w:lastRowFirstColumn="0" w:lastRowLastColumn="0"/>
            <w:tcW w:w="1160" w:type="pct"/>
          </w:tcPr>
          <w:p w14:paraId="193F007C" w14:textId="77777777" w:rsidR="00341597" w:rsidRPr="00A02290" w:rsidRDefault="00341597" w:rsidP="00341597">
            <w:r w:rsidRPr="00A02290">
              <w:t>Australia</w:t>
            </w:r>
          </w:p>
        </w:tc>
        <w:tc>
          <w:tcPr>
            <w:tcW w:w="685" w:type="pct"/>
            <w:noWrap/>
          </w:tcPr>
          <w:p w14:paraId="210256D6" w14:textId="77777777" w:rsidR="00341597" w:rsidRPr="007C3DB0"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7C3DB0">
              <w:t>281,549</w:t>
            </w:r>
          </w:p>
        </w:tc>
        <w:tc>
          <w:tcPr>
            <w:tcW w:w="685" w:type="pct"/>
            <w:noWrap/>
          </w:tcPr>
          <w:p w14:paraId="71CA15A6" w14:textId="77777777" w:rsidR="00341597" w:rsidRPr="007C3DB0"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7C3DB0">
              <w:t>281,113</w:t>
            </w:r>
          </w:p>
        </w:tc>
        <w:tc>
          <w:tcPr>
            <w:tcW w:w="651" w:type="pct"/>
            <w:tcBorders>
              <w:right w:val="single" w:sz="4" w:space="0" w:color="auto"/>
            </w:tcBorders>
            <w:noWrap/>
          </w:tcPr>
          <w:p w14:paraId="70AD6D33" w14:textId="77777777" w:rsidR="00341597" w:rsidRPr="007C3DB0"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7C3DB0">
              <w:t>-0.2%</w:t>
            </w:r>
          </w:p>
        </w:tc>
        <w:tc>
          <w:tcPr>
            <w:tcW w:w="560" w:type="pct"/>
            <w:tcBorders>
              <w:left w:val="single" w:sz="4" w:space="0" w:color="auto"/>
              <w:bottom w:val="single" w:sz="4" w:space="0" w:color="auto"/>
            </w:tcBorders>
            <w:noWrap/>
          </w:tcPr>
          <w:p w14:paraId="48432CF2" w14:textId="77777777" w:rsidR="00341597" w:rsidRPr="007C3DB0"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7C3DB0">
              <w:t>84.0%</w:t>
            </w:r>
          </w:p>
        </w:tc>
        <w:tc>
          <w:tcPr>
            <w:tcW w:w="560" w:type="pct"/>
            <w:tcBorders>
              <w:bottom w:val="single" w:sz="4" w:space="0" w:color="auto"/>
            </w:tcBorders>
            <w:noWrap/>
          </w:tcPr>
          <w:p w14:paraId="54201DA6" w14:textId="77777777" w:rsidR="00341597" w:rsidRPr="007C3DB0"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7C3DB0">
              <w:t>82.7%</w:t>
            </w:r>
          </w:p>
        </w:tc>
        <w:tc>
          <w:tcPr>
            <w:tcW w:w="699" w:type="pct"/>
            <w:tcBorders>
              <w:bottom w:val="single" w:sz="4" w:space="0" w:color="auto"/>
            </w:tcBorders>
            <w:noWrap/>
          </w:tcPr>
          <w:p w14:paraId="6F1E4C0F" w14:textId="77777777" w:rsidR="00341597" w:rsidRPr="007C3DB0"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7C3DB0">
              <w:t>-1.3 p. p</w:t>
            </w:r>
          </w:p>
        </w:tc>
      </w:tr>
    </w:tbl>
    <w:p w14:paraId="007FCEFE" w14:textId="77777777" w:rsidR="00341597" w:rsidRDefault="00341597" w:rsidP="00A02290">
      <w:pPr>
        <w:pStyle w:val="Heading2"/>
      </w:pPr>
      <w:bookmarkStart w:id="47" w:name="_Toc492454258"/>
      <w:bookmarkStart w:id="48" w:name="_Toc416445750"/>
      <w:r>
        <w:t>Offer rate</w:t>
      </w:r>
      <w:bookmarkEnd w:id="47"/>
    </w:p>
    <w:p w14:paraId="42349B66" w14:textId="77777777" w:rsidR="00341597" w:rsidRDefault="00341597" w:rsidP="00341597">
      <w:r>
        <w:t xml:space="preserve">The national offer rate in 2017 was 82.7%, a decline of 1.3 percentage points from the previous year. Tasmania recorded the highest offer rate (90.2%) while on the other hand Victoria recorded the lowest offer rate (76.5%) in 2017. The offer rate was down in 2017 in all states and territories except for the ACT. </w:t>
      </w:r>
    </w:p>
    <w:p w14:paraId="773A6993" w14:textId="77777777" w:rsidR="00341597" w:rsidRPr="00CA743F" w:rsidRDefault="00341597" w:rsidP="00CA743F">
      <w:pPr>
        <w:pStyle w:val="Heading2"/>
      </w:pPr>
      <w:bookmarkStart w:id="49" w:name="_Toc492454259"/>
      <w:r w:rsidRPr="00CA743F">
        <w:t>Year 12 status</w:t>
      </w:r>
      <w:bookmarkEnd w:id="48"/>
      <w:bookmarkEnd w:id="49"/>
    </w:p>
    <w:p w14:paraId="16F129AF" w14:textId="77777777" w:rsidR="00341597" w:rsidRPr="00AC1937" w:rsidRDefault="00341597" w:rsidP="00B67C70">
      <w:pPr>
        <w:pStyle w:val="ListParagraph"/>
      </w:pPr>
      <w:r w:rsidRPr="00B16AFB">
        <w:t>Nationally</w:t>
      </w:r>
      <w:r>
        <w:t>, offers to Year 12 applicants de</w:t>
      </w:r>
      <w:r w:rsidRPr="00B16AFB">
        <w:t xml:space="preserve">creased by </w:t>
      </w:r>
      <w:r>
        <w:t>1.4</w:t>
      </w:r>
      <w:r w:rsidRPr="00B16AFB">
        <w:t>% in 201</w:t>
      </w:r>
      <w:r>
        <w:t>7. This follows an increase of 3.3% in 2016 (excluding WA).</w:t>
      </w:r>
    </w:p>
    <w:p w14:paraId="3CD8ED06" w14:textId="77777777" w:rsidR="00341597" w:rsidRPr="00AC1937" w:rsidRDefault="00341597" w:rsidP="00B67C70">
      <w:pPr>
        <w:pStyle w:val="ListParagraph"/>
      </w:pPr>
      <w:r>
        <w:t xml:space="preserve">Tasmania recorded the largest decline in offers to Year 12 applicants (18.2%), followed by NSW (5.3%) and WA (3.7%). </w:t>
      </w:r>
    </w:p>
    <w:p w14:paraId="6909DFD6" w14:textId="77777777" w:rsidR="00341597" w:rsidRDefault="00341597" w:rsidP="00341597">
      <w:r>
        <w:t>Nationally, o</w:t>
      </w:r>
      <w:r w:rsidRPr="00B16AFB">
        <w:t>ffer</w:t>
      </w:r>
      <w:r>
        <w:t xml:space="preserve">s to non-Year 12 applicants increased </w:t>
      </w:r>
      <w:r w:rsidRPr="00610ECF">
        <w:t>by 0.8</w:t>
      </w:r>
      <w:r w:rsidRPr="003B4067">
        <w:t>%</w:t>
      </w:r>
      <w:r w:rsidRPr="00B16AFB">
        <w:t>.</w:t>
      </w:r>
      <w:r>
        <w:t xml:space="preserve"> This follows a fall of 0.2% in 2016 (excluding WA).</w:t>
      </w:r>
    </w:p>
    <w:p w14:paraId="34454C3E" w14:textId="6E498F14" w:rsidR="00D21F72" w:rsidRDefault="00D21F72" w:rsidP="00D21F72">
      <w:pPr>
        <w:pStyle w:val="Caption"/>
        <w:keepNext/>
      </w:pPr>
      <w:bookmarkStart w:id="50" w:name="_Toc492453636"/>
      <w:bookmarkStart w:id="51" w:name="_Toc492453861"/>
      <w:r>
        <w:lastRenderedPageBreak/>
        <w:t xml:space="preserve">Table </w:t>
      </w:r>
      <w:fldSimple w:instr=" SEQ Table \* ARABIC ">
        <w:r w:rsidR="00E05F5D">
          <w:rPr>
            <w:noProof/>
          </w:rPr>
          <w:t>5</w:t>
        </w:r>
      </w:fldSimple>
      <w:r w:rsidRPr="00D16160">
        <w:t>: Offers by Year 12 status, by state and territory, February 2016 and February 2017</w:t>
      </w:r>
      <w:bookmarkEnd w:id="50"/>
      <w:bookmarkEnd w:id="51"/>
    </w:p>
    <w:tbl>
      <w:tblPr>
        <w:tblStyle w:val="DEEWRTable"/>
        <w:tblW w:w="5000" w:type="pct"/>
        <w:tblLook w:val="04A0" w:firstRow="1" w:lastRow="0" w:firstColumn="1" w:lastColumn="0" w:noHBand="0" w:noVBand="1"/>
      </w:tblPr>
      <w:tblGrid>
        <w:gridCol w:w="1868"/>
        <w:gridCol w:w="1264"/>
        <w:gridCol w:w="1192"/>
        <w:gridCol w:w="1194"/>
        <w:gridCol w:w="1342"/>
        <w:gridCol w:w="1192"/>
        <w:gridCol w:w="1190"/>
      </w:tblGrid>
      <w:tr w:rsidR="00341597" w:rsidRPr="00B875BD" w14:paraId="5999531E" w14:textId="77777777" w:rsidTr="00D21F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0" w:type="pct"/>
            <w:vMerge w:val="restart"/>
            <w:noWrap/>
            <w:hideMark/>
          </w:tcPr>
          <w:p w14:paraId="4A8B46DA" w14:textId="77777777" w:rsidR="00341597" w:rsidRPr="00A02290" w:rsidRDefault="00341597" w:rsidP="00341597">
            <w:r w:rsidRPr="00A02290">
              <w:t>State/Territory</w:t>
            </w:r>
          </w:p>
        </w:tc>
        <w:tc>
          <w:tcPr>
            <w:tcW w:w="1975" w:type="pct"/>
            <w:gridSpan w:val="3"/>
            <w:noWrap/>
            <w:hideMark/>
          </w:tcPr>
          <w:p w14:paraId="5C29E326" w14:textId="77777777" w:rsidR="00341597" w:rsidRPr="005876E9" w:rsidRDefault="00341597" w:rsidP="00E87DB2">
            <w:pPr>
              <w:jc w:val="center"/>
              <w:cnfStyle w:val="100000000000" w:firstRow="1" w:lastRow="0" w:firstColumn="0" w:lastColumn="0" w:oddVBand="0" w:evenVBand="0" w:oddHBand="0" w:evenHBand="0" w:firstRowFirstColumn="0" w:firstRowLastColumn="0" w:lastRowFirstColumn="0" w:lastRowLastColumn="0"/>
            </w:pPr>
            <w:r w:rsidRPr="005876E9">
              <w:t>Year 12</w:t>
            </w:r>
          </w:p>
        </w:tc>
        <w:tc>
          <w:tcPr>
            <w:tcW w:w="2016" w:type="pct"/>
            <w:gridSpan w:val="3"/>
            <w:tcBorders>
              <w:bottom w:val="nil"/>
            </w:tcBorders>
            <w:noWrap/>
            <w:hideMark/>
          </w:tcPr>
          <w:p w14:paraId="4DFC0D5C" w14:textId="77777777" w:rsidR="00341597" w:rsidRPr="005876E9" w:rsidRDefault="00341597" w:rsidP="00E87DB2">
            <w:pPr>
              <w:jc w:val="center"/>
              <w:cnfStyle w:val="100000000000" w:firstRow="1" w:lastRow="0" w:firstColumn="0" w:lastColumn="0" w:oddVBand="0" w:evenVBand="0" w:oddHBand="0" w:evenHBand="0" w:firstRowFirstColumn="0" w:firstRowLastColumn="0" w:lastRowFirstColumn="0" w:lastRowLastColumn="0"/>
            </w:pPr>
            <w:r w:rsidRPr="005876E9">
              <w:t>Non-Year 12</w:t>
            </w:r>
          </w:p>
        </w:tc>
      </w:tr>
      <w:tr w:rsidR="00341597" w:rsidRPr="00B875BD" w14:paraId="7FCCCBA8" w14:textId="77777777" w:rsidTr="00D21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0" w:type="pct"/>
            <w:vMerge/>
            <w:hideMark/>
          </w:tcPr>
          <w:p w14:paraId="6A1697CA" w14:textId="77777777" w:rsidR="00341597" w:rsidRPr="005876E9" w:rsidRDefault="00341597" w:rsidP="00341597">
            <w:pPr>
              <w:rPr>
                <w:b w:val="0"/>
              </w:rPr>
            </w:pPr>
          </w:p>
        </w:tc>
        <w:tc>
          <w:tcPr>
            <w:tcW w:w="684" w:type="pct"/>
            <w:noWrap/>
            <w:hideMark/>
          </w:tcPr>
          <w:p w14:paraId="7FC9FDD1" w14:textId="77777777" w:rsidR="00341597" w:rsidRPr="00956BAB" w:rsidRDefault="00341597" w:rsidP="00E87DB2">
            <w:pPr>
              <w:jc w:val="right"/>
              <w:cnfStyle w:val="000000100000" w:firstRow="0" w:lastRow="0" w:firstColumn="0" w:lastColumn="0" w:oddVBand="0" w:evenVBand="0" w:oddHBand="1" w:evenHBand="0" w:firstRowFirstColumn="0" w:firstRowLastColumn="0" w:lastRowFirstColumn="0" w:lastRowLastColumn="0"/>
              <w:rPr>
                <w:b/>
              </w:rPr>
            </w:pPr>
            <w:r w:rsidRPr="00956BAB">
              <w:rPr>
                <w:b/>
              </w:rPr>
              <w:t>2016</w:t>
            </w:r>
          </w:p>
        </w:tc>
        <w:tc>
          <w:tcPr>
            <w:tcW w:w="645" w:type="pct"/>
            <w:noWrap/>
            <w:hideMark/>
          </w:tcPr>
          <w:p w14:paraId="031B282D" w14:textId="77777777" w:rsidR="00341597" w:rsidRPr="00956BAB" w:rsidRDefault="00341597" w:rsidP="00E87DB2">
            <w:pPr>
              <w:jc w:val="right"/>
              <w:cnfStyle w:val="000000100000" w:firstRow="0" w:lastRow="0" w:firstColumn="0" w:lastColumn="0" w:oddVBand="0" w:evenVBand="0" w:oddHBand="1" w:evenHBand="0" w:firstRowFirstColumn="0" w:firstRowLastColumn="0" w:lastRowFirstColumn="0" w:lastRowLastColumn="0"/>
              <w:rPr>
                <w:b/>
              </w:rPr>
            </w:pPr>
            <w:r w:rsidRPr="00956BAB">
              <w:rPr>
                <w:b/>
              </w:rPr>
              <w:t>2017</w:t>
            </w:r>
          </w:p>
        </w:tc>
        <w:tc>
          <w:tcPr>
            <w:tcW w:w="645" w:type="pct"/>
            <w:tcBorders>
              <w:right w:val="single" w:sz="4" w:space="0" w:color="auto"/>
            </w:tcBorders>
            <w:noWrap/>
            <w:hideMark/>
          </w:tcPr>
          <w:p w14:paraId="43E0F361" w14:textId="77777777" w:rsidR="00341597" w:rsidRPr="00956BAB" w:rsidRDefault="00341597" w:rsidP="00E87DB2">
            <w:pPr>
              <w:jc w:val="right"/>
              <w:cnfStyle w:val="000000100000" w:firstRow="0" w:lastRow="0" w:firstColumn="0" w:lastColumn="0" w:oddVBand="0" w:evenVBand="0" w:oddHBand="1" w:evenHBand="0" w:firstRowFirstColumn="0" w:firstRowLastColumn="0" w:lastRowFirstColumn="0" w:lastRowLastColumn="0"/>
              <w:rPr>
                <w:b/>
              </w:rPr>
            </w:pPr>
            <w:r w:rsidRPr="00956BAB">
              <w:rPr>
                <w:b/>
              </w:rPr>
              <w:t>Change</w:t>
            </w:r>
          </w:p>
        </w:tc>
        <w:tc>
          <w:tcPr>
            <w:tcW w:w="726" w:type="pct"/>
            <w:tcBorders>
              <w:left w:val="single" w:sz="4" w:space="0" w:color="auto"/>
              <w:bottom w:val="nil"/>
            </w:tcBorders>
            <w:noWrap/>
            <w:hideMark/>
          </w:tcPr>
          <w:p w14:paraId="27E5B073" w14:textId="77777777" w:rsidR="00341597" w:rsidRPr="00956BAB" w:rsidRDefault="00341597" w:rsidP="00E87DB2">
            <w:pPr>
              <w:jc w:val="right"/>
              <w:cnfStyle w:val="000000100000" w:firstRow="0" w:lastRow="0" w:firstColumn="0" w:lastColumn="0" w:oddVBand="0" w:evenVBand="0" w:oddHBand="1" w:evenHBand="0" w:firstRowFirstColumn="0" w:firstRowLastColumn="0" w:lastRowFirstColumn="0" w:lastRowLastColumn="0"/>
              <w:rPr>
                <w:b/>
              </w:rPr>
            </w:pPr>
            <w:r w:rsidRPr="00956BAB">
              <w:rPr>
                <w:b/>
              </w:rPr>
              <w:t>2016</w:t>
            </w:r>
          </w:p>
        </w:tc>
        <w:tc>
          <w:tcPr>
            <w:tcW w:w="645" w:type="pct"/>
            <w:tcBorders>
              <w:bottom w:val="nil"/>
            </w:tcBorders>
            <w:noWrap/>
            <w:hideMark/>
          </w:tcPr>
          <w:p w14:paraId="31AEFEF3" w14:textId="77777777" w:rsidR="00341597" w:rsidRPr="00956BAB" w:rsidRDefault="00341597" w:rsidP="00E87DB2">
            <w:pPr>
              <w:jc w:val="right"/>
              <w:cnfStyle w:val="000000100000" w:firstRow="0" w:lastRow="0" w:firstColumn="0" w:lastColumn="0" w:oddVBand="0" w:evenVBand="0" w:oddHBand="1" w:evenHBand="0" w:firstRowFirstColumn="0" w:firstRowLastColumn="0" w:lastRowFirstColumn="0" w:lastRowLastColumn="0"/>
              <w:rPr>
                <w:b/>
              </w:rPr>
            </w:pPr>
            <w:r w:rsidRPr="00956BAB">
              <w:rPr>
                <w:b/>
              </w:rPr>
              <w:t>2017</w:t>
            </w:r>
          </w:p>
        </w:tc>
        <w:tc>
          <w:tcPr>
            <w:tcW w:w="645" w:type="pct"/>
            <w:tcBorders>
              <w:bottom w:val="nil"/>
            </w:tcBorders>
            <w:noWrap/>
            <w:hideMark/>
          </w:tcPr>
          <w:p w14:paraId="21777B95" w14:textId="77777777" w:rsidR="00341597" w:rsidRPr="00956BAB" w:rsidRDefault="00341597" w:rsidP="00E87DB2">
            <w:pPr>
              <w:jc w:val="right"/>
              <w:cnfStyle w:val="000000100000" w:firstRow="0" w:lastRow="0" w:firstColumn="0" w:lastColumn="0" w:oddVBand="0" w:evenVBand="0" w:oddHBand="1" w:evenHBand="0" w:firstRowFirstColumn="0" w:firstRowLastColumn="0" w:lastRowFirstColumn="0" w:lastRowLastColumn="0"/>
              <w:rPr>
                <w:b/>
              </w:rPr>
            </w:pPr>
            <w:r w:rsidRPr="00956BAB">
              <w:rPr>
                <w:b/>
              </w:rPr>
              <w:t>Change</w:t>
            </w:r>
          </w:p>
        </w:tc>
      </w:tr>
      <w:tr w:rsidR="00341597" w:rsidRPr="00B875BD" w14:paraId="4A32A428" w14:textId="77777777" w:rsidTr="00D21F72">
        <w:tc>
          <w:tcPr>
            <w:cnfStyle w:val="001000000000" w:firstRow="0" w:lastRow="0" w:firstColumn="1" w:lastColumn="0" w:oddVBand="0" w:evenVBand="0" w:oddHBand="0" w:evenHBand="0" w:firstRowFirstColumn="0" w:firstRowLastColumn="0" w:lastRowFirstColumn="0" w:lastRowLastColumn="0"/>
            <w:tcW w:w="1010" w:type="pct"/>
          </w:tcPr>
          <w:p w14:paraId="6EADE5A3" w14:textId="77777777" w:rsidR="00341597" w:rsidRPr="00466956" w:rsidRDefault="00341597" w:rsidP="00341597">
            <w:r w:rsidRPr="00466956">
              <w:t>NSW</w:t>
            </w:r>
          </w:p>
        </w:tc>
        <w:tc>
          <w:tcPr>
            <w:tcW w:w="684" w:type="pct"/>
            <w:noWrap/>
          </w:tcPr>
          <w:p w14:paraId="204F96ED" w14:textId="77777777" w:rsidR="00341597" w:rsidRPr="00B360E6"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B360E6">
              <w:t>40</w:t>
            </w:r>
            <w:r>
              <w:t>,</w:t>
            </w:r>
            <w:r w:rsidRPr="00B360E6">
              <w:t>947</w:t>
            </w:r>
          </w:p>
        </w:tc>
        <w:tc>
          <w:tcPr>
            <w:tcW w:w="645" w:type="pct"/>
            <w:noWrap/>
          </w:tcPr>
          <w:p w14:paraId="285DCD8D" w14:textId="77777777" w:rsidR="00341597" w:rsidRPr="0044458F"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44458F">
              <w:t>38</w:t>
            </w:r>
            <w:r>
              <w:t>,</w:t>
            </w:r>
            <w:r w:rsidRPr="0044458F">
              <w:t>781</w:t>
            </w:r>
          </w:p>
        </w:tc>
        <w:tc>
          <w:tcPr>
            <w:tcW w:w="645" w:type="pct"/>
            <w:tcBorders>
              <w:right w:val="single" w:sz="4" w:space="0" w:color="auto"/>
            </w:tcBorders>
            <w:noWrap/>
          </w:tcPr>
          <w:p w14:paraId="31A370B1" w14:textId="77777777" w:rsidR="00341597" w:rsidRPr="009C72F6"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9C72F6">
              <w:t>-5.3%</w:t>
            </w:r>
          </w:p>
        </w:tc>
        <w:tc>
          <w:tcPr>
            <w:tcW w:w="726" w:type="pct"/>
            <w:tcBorders>
              <w:left w:val="single" w:sz="4" w:space="0" w:color="auto"/>
              <w:bottom w:val="nil"/>
            </w:tcBorders>
            <w:noWrap/>
          </w:tcPr>
          <w:p w14:paraId="6627014D" w14:textId="77777777" w:rsidR="00341597" w:rsidRPr="00CD4D22"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CD4D22">
              <w:t>52,828</w:t>
            </w:r>
          </w:p>
        </w:tc>
        <w:tc>
          <w:tcPr>
            <w:tcW w:w="645" w:type="pct"/>
            <w:tcBorders>
              <w:bottom w:val="nil"/>
            </w:tcBorders>
            <w:noWrap/>
          </w:tcPr>
          <w:p w14:paraId="0169E05C" w14:textId="77777777" w:rsidR="00341597" w:rsidRPr="00342BA6"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342BA6">
              <w:t>52,986</w:t>
            </w:r>
          </w:p>
        </w:tc>
        <w:tc>
          <w:tcPr>
            <w:tcW w:w="645" w:type="pct"/>
            <w:tcBorders>
              <w:bottom w:val="nil"/>
            </w:tcBorders>
            <w:noWrap/>
          </w:tcPr>
          <w:p w14:paraId="55D0E6CA" w14:textId="77777777" w:rsidR="00341597" w:rsidRPr="00C63944"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C63944">
              <w:t>0.3%</w:t>
            </w:r>
          </w:p>
        </w:tc>
      </w:tr>
      <w:tr w:rsidR="00341597" w:rsidRPr="00B875BD" w14:paraId="525888F8" w14:textId="77777777" w:rsidTr="00D21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0" w:type="pct"/>
          </w:tcPr>
          <w:p w14:paraId="13D0707F" w14:textId="77777777" w:rsidR="00341597" w:rsidRPr="00466956" w:rsidRDefault="00341597" w:rsidP="00341597">
            <w:r w:rsidRPr="00466956">
              <w:t>VIC</w:t>
            </w:r>
          </w:p>
        </w:tc>
        <w:tc>
          <w:tcPr>
            <w:tcW w:w="684" w:type="pct"/>
            <w:noWrap/>
          </w:tcPr>
          <w:p w14:paraId="3E786312" w14:textId="77777777" w:rsidR="00341597" w:rsidRPr="00B360E6"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B360E6">
              <w:t>32</w:t>
            </w:r>
            <w:r>
              <w:t>,</w:t>
            </w:r>
            <w:r w:rsidRPr="00B360E6">
              <w:t>745</w:t>
            </w:r>
          </w:p>
        </w:tc>
        <w:tc>
          <w:tcPr>
            <w:tcW w:w="645" w:type="pct"/>
            <w:noWrap/>
          </w:tcPr>
          <w:p w14:paraId="2B7D8674" w14:textId="77777777" w:rsidR="00341597" w:rsidRPr="0044458F"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44458F">
              <w:t>33</w:t>
            </w:r>
            <w:r>
              <w:t>,</w:t>
            </w:r>
            <w:r w:rsidRPr="0044458F">
              <w:t>552</w:t>
            </w:r>
          </w:p>
        </w:tc>
        <w:tc>
          <w:tcPr>
            <w:tcW w:w="645" w:type="pct"/>
            <w:tcBorders>
              <w:right w:val="single" w:sz="4" w:space="0" w:color="auto"/>
            </w:tcBorders>
            <w:noWrap/>
          </w:tcPr>
          <w:p w14:paraId="099BCC9D" w14:textId="77777777" w:rsidR="00341597" w:rsidRPr="009C72F6"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9C72F6">
              <w:t>2.5%</w:t>
            </w:r>
          </w:p>
        </w:tc>
        <w:tc>
          <w:tcPr>
            <w:tcW w:w="726" w:type="pct"/>
            <w:tcBorders>
              <w:left w:val="single" w:sz="4" w:space="0" w:color="auto"/>
              <w:bottom w:val="nil"/>
            </w:tcBorders>
            <w:noWrap/>
          </w:tcPr>
          <w:p w14:paraId="3905468D" w14:textId="77777777" w:rsidR="00341597" w:rsidRPr="00CD4D22"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CD4D22">
              <w:t>36,822</w:t>
            </w:r>
          </w:p>
        </w:tc>
        <w:tc>
          <w:tcPr>
            <w:tcW w:w="645" w:type="pct"/>
            <w:tcBorders>
              <w:bottom w:val="nil"/>
            </w:tcBorders>
            <w:noWrap/>
          </w:tcPr>
          <w:p w14:paraId="1A706CD0" w14:textId="77777777" w:rsidR="00341597" w:rsidRPr="00342BA6"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342BA6">
              <w:t>37,132</w:t>
            </w:r>
          </w:p>
        </w:tc>
        <w:tc>
          <w:tcPr>
            <w:tcW w:w="645" w:type="pct"/>
            <w:tcBorders>
              <w:bottom w:val="nil"/>
            </w:tcBorders>
            <w:noWrap/>
          </w:tcPr>
          <w:p w14:paraId="660B1604" w14:textId="77777777" w:rsidR="00341597" w:rsidRPr="00C63944"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C63944">
              <w:t>0.8%</w:t>
            </w:r>
          </w:p>
        </w:tc>
      </w:tr>
      <w:tr w:rsidR="00341597" w:rsidRPr="00B875BD" w14:paraId="385E87BD" w14:textId="77777777" w:rsidTr="00D21F72">
        <w:tc>
          <w:tcPr>
            <w:cnfStyle w:val="001000000000" w:firstRow="0" w:lastRow="0" w:firstColumn="1" w:lastColumn="0" w:oddVBand="0" w:evenVBand="0" w:oddHBand="0" w:evenHBand="0" w:firstRowFirstColumn="0" w:firstRowLastColumn="0" w:lastRowFirstColumn="0" w:lastRowLastColumn="0"/>
            <w:tcW w:w="1010" w:type="pct"/>
          </w:tcPr>
          <w:p w14:paraId="298B730D" w14:textId="77777777" w:rsidR="00341597" w:rsidRPr="00466956" w:rsidRDefault="00341597" w:rsidP="00341597">
            <w:r w:rsidRPr="00466956">
              <w:t>QLD</w:t>
            </w:r>
          </w:p>
        </w:tc>
        <w:tc>
          <w:tcPr>
            <w:tcW w:w="684" w:type="pct"/>
            <w:noWrap/>
          </w:tcPr>
          <w:p w14:paraId="65C99535" w14:textId="77777777" w:rsidR="00341597" w:rsidRPr="00B360E6"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B360E6">
              <w:t>23</w:t>
            </w:r>
            <w:r>
              <w:t>,</w:t>
            </w:r>
            <w:r w:rsidRPr="00B360E6">
              <w:t>257</w:t>
            </w:r>
          </w:p>
        </w:tc>
        <w:tc>
          <w:tcPr>
            <w:tcW w:w="645" w:type="pct"/>
            <w:noWrap/>
          </w:tcPr>
          <w:p w14:paraId="016E0A25" w14:textId="77777777" w:rsidR="00341597" w:rsidRPr="0044458F"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44458F">
              <w:t>23</w:t>
            </w:r>
            <w:r>
              <w:t>,</w:t>
            </w:r>
            <w:r w:rsidRPr="0044458F">
              <w:t>581</w:t>
            </w:r>
          </w:p>
        </w:tc>
        <w:tc>
          <w:tcPr>
            <w:tcW w:w="645" w:type="pct"/>
            <w:tcBorders>
              <w:right w:val="single" w:sz="4" w:space="0" w:color="auto"/>
            </w:tcBorders>
            <w:noWrap/>
          </w:tcPr>
          <w:p w14:paraId="7587D287" w14:textId="77777777" w:rsidR="00341597" w:rsidRPr="009C72F6"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9C72F6">
              <w:t>1.4%</w:t>
            </w:r>
          </w:p>
        </w:tc>
        <w:tc>
          <w:tcPr>
            <w:tcW w:w="726" w:type="pct"/>
            <w:tcBorders>
              <w:left w:val="single" w:sz="4" w:space="0" w:color="auto"/>
              <w:bottom w:val="nil"/>
            </w:tcBorders>
            <w:noWrap/>
          </w:tcPr>
          <w:p w14:paraId="76A481DF" w14:textId="77777777" w:rsidR="00341597" w:rsidRPr="00CD4D22"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CD4D22">
              <w:t>33,272</w:t>
            </w:r>
          </w:p>
        </w:tc>
        <w:tc>
          <w:tcPr>
            <w:tcW w:w="645" w:type="pct"/>
            <w:tcBorders>
              <w:bottom w:val="nil"/>
            </w:tcBorders>
            <w:noWrap/>
          </w:tcPr>
          <w:p w14:paraId="201744EB" w14:textId="77777777" w:rsidR="00341597" w:rsidRPr="00342BA6"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342BA6">
              <w:t>33,498</w:t>
            </w:r>
          </w:p>
        </w:tc>
        <w:tc>
          <w:tcPr>
            <w:tcW w:w="645" w:type="pct"/>
            <w:tcBorders>
              <w:bottom w:val="nil"/>
            </w:tcBorders>
            <w:noWrap/>
          </w:tcPr>
          <w:p w14:paraId="37BBBD6B" w14:textId="77777777" w:rsidR="00341597" w:rsidRPr="00C63944"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C63944">
              <w:t>0.7%</w:t>
            </w:r>
          </w:p>
        </w:tc>
      </w:tr>
      <w:tr w:rsidR="00341597" w:rsidRPr="00B875BD" w14:paraId="386C9E9A" w14:textId="77777777" w:rsidTr="00D21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0" w:type="pct"/>
          </w:tcPr>
          <w:p w14:paraId="1D8A3DA5" w14:textId="77777777" w:rsidR="00341597" w:rsidRPr="00466956" w:rsidRDefault="00341597" w:rsidP="00341597">
            <w:r w:rsidRPr="00466956">
              <w:t>WA</w:t>
            </w:r>
          </w:p>
        </w:tc>
        <w:tc>
          <w:tcPr>
            <w:tcW w:w="684" w:type="pct"/>
            <w:noWrap/>
          </w:tcPr>
          <w:p w14:paraId="5B6BB091" w14:textId="77777777" w:rsidR="00341597" w:rsidRPr="00B360E6"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B360E6">
              <w:t>10</w:t>
            </w:r>
            <w:r>
              <w:t>,</w:t>
            </w:r>
            <w:r w:rsidRPr="00B360E6">
              <w:t>707</w:t>
            </w:r>
          </w:p>
        </w:tc>
        <w:tc>
          <w:tcPr>
            <w:tcW w:w="645" w:type="pct"/>
            <w:noWrap/>
          </w:tcPr>
          <w:p w14:paraId="4D618B68" w14:textId="77777777" w:rsidR="00341597" w:rsidRPr="0044458F"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44458F">
              <w:t>10</w:t>
            </w:r>
            <w:r>
              <w:t>,</w:t>
            </w:r>
            <w:r w:rsidRPr="0044458F">
              <w:t>310</w:t>
            </w:r>
          </w:p>
        </w:tc>
        <w:tc>
          <w:tcPr>
            <w:tcW w:w="645" w:type="pct"/>
            <w:tcBorders>
              <w:right w:val="single" w:sz="4" w:space="0" w:color="auto"/>
            </w:tcBorders>
            <w:noWrap/>
          </w:tcPr>
          <w:p w14:paraId="322E01BA" w14:textId="77777777" w:rsidR="00341597" w:rsidRPr="009C72F6"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9C72F6">
              <w:t>-3.7%</w:t>
            </w:r>
          </w:p>
        </w:tc>
        <w:tc>
          <w:tcPr>
            <w:tcW w:w="726" w:type="pct"/>
            <w:tcBorders>
              <w:left w:val="single" w:sz="4" w:space="0" w:color="auto"/>
              <w:bottom w:val="nil"/>
            </w:tcBorders>
            <w:noWrap/>
          </w:tcPr>
          <w:p w14:paraId="2A051A75" w14:textId="77777777" w:rsidR="00341597" w:rsidRPr="00CD4D22"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CD4D22">
              <w:t>14,300</w:t>
            </w:r>
          </w:p>
        </w:tc>
        <w:tc>
          <w:tcPr>
            <w:tcW w:w="645" w:type="pct"/>
            <w:tcBorders>
              <w:bottom w:val="nil"/>
            </w:tcBorders>
            <w:noWrap/>
          </w:tcPr>
          <w:p w14:paraId="20D4C4D6" w14:textId="77777777" w:rsidR="00341597" w:rsidRPr="00342BA6"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342BA6">
              <w:t>14,726</w:t>
            </w:r>
          </w:p>
        </w:tc>
        <w:tc>
          <w:tcPr>
            <w:tcW w:w="645" w:type="pct"/>
            <w:tcBorders>
              <w:bottom w:val="nil"/>
            </w:tcBorders>
            <w:noWrap/>
          </w:tcPr>
          <w:p w14:paraId="1D90006A" w14:textId="77777777" w:rsidR="00341597" w:rsidRPr="00C63944"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C63944">
              <w:t>3.0%</w:t>
            </w:r>
          </w:p>
        </w:tc>
      </w:tr>
      <w:tr w:rsidR="00341597" w:rsidRPr="00B875BD" w14:paraId="2338F2BC" w14:textId="77777777" w:rsidTr="00D21F72">
        <w:tc>
          <w:tcPr>
            <w:cnfStyle w:val="001000000000" w:firstRow="0" w:lastRow="0" w:firstColumn="1" w:lastColumn="0" w:oddVBand="0" w:evenVBand="0" w:oddHBand="0" w:evenHBand="0" w:firstRowFirstColumn="0" w:firstRowLastColumn="0" w:lastRowFirstColumn="0" w:lastRowLastColumn="0"/>
            <w:tcW w:w="1010" w:type="pct"/>
          </w:tcPr>
          <w:p w14:paraId="3A0D4759" w14:textId="77777777" w:rsidR="00341597" w:rsidRPr="00466956" w:rsidRDefault="00341597" w:rsidP="00341597">
            <w:r w:rsidRPr="00466956">
              <w:t>SA</w:t>
            </w:r>
          </w:p>
        </w:tc>
        <w:tc>
          <w:tcPr>
            <w:tcW w:w="684" w:type="pct"/>
            <w:noWrap/>
          </w:tcPr>
          <w:p w14:paraId="2A76ED29" w14:textId="77777777" w:rsidR="00341597" w:rsidRPr="00B360E6"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B360E6">
              <w:t>8</w:t>
            </w:r>
            <w:r>
              <w:t>,</w:t>
            </w:r>
            <w:r w:rsidRPr="00B360E6">
              <w:t>868</w:t>
            </w:r>
          </w:p>
        </w:tc>
        <w:tc>
          <w:tcPr>
            <w:tcW w:w="645" w:type="pct"/>
            <w:noWrap/>
          </w:tcPr>
          <w:p w14:paraId="2F7510D7" w14:textId="77777777" w:rsidR="00341597" w:rsidRPr="0044458F"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44458F">
              <w:t>8</w:t>
            </w:r>
            <w:r>
              <w:t>,</w:t>
            </w:r>
            <w:r w:rsidRPr="0044458F">
              <w:t>954</w:t>
            </w:r>
          </w:p>
        </w:tc>
        <w:tc>
          <w:tcPr>
            <w:tcW w:w="645" w:type="pct"/>
            <w:tcBorders>
              <w:right w:val="single" w:sz="4" w:space="0" w:color="auto"/>
            </w:tcBorders>
            <w:noWrap/>
          </w:tcPr>
          <w:p w14:paraId="3913E4DE" w14:textId="77777777" w:rsidR="00341597" w:rsidRPr="009C72F6"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9C72F6">
              <w:t>1.0%</w:t>
            </w:r>
          </w:p>
        </w:tc>
        <w:tc>
          <w:tcPr>
            <w:tcW w:w="726" w:type="pct"/>
            <w:tcBorders>
              <w:left w:val="single" w:sz="4" w:space="0" w:color="auto"/>
              <w:bottom w:val="nil"/>
            </w:tcBorders>
            <w:noWrap/>
          </w:tcPr>
          <w:p w14:paraId="4B3FED8B" w14:textId="77777777" w:rsidR="00341597" w:rsidRPr="00CD4D22"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CD4D22">
              <w:t>11,380</w:t>
            </w:r>
          </w:p>
        </w:tc>
        <w:tc>
          <w:tcPr>
            <w:tcW w:w="645" w:type="pct"/>
            <w:tcBorders>
              <w:bottom w:val="nil"/>
            </w:tcBorders>
            <w:noWrap/>
          </w:tcPr>
          <w:p w14:paraId="6E88BF9D" w14:textId="77777777" w:rsidR="00341597" w:rsidRPr="00342BA6"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342BA6">
              <w:t>11,233</w:t>
            </w:r>
          </w:p>
        </w:tc>
        <w:tc>
          <w:tcPr>
            <w:tcW w:w="645" w:type="pct"/>
            <w:tcBorders>
              <w:bottom w:val="nil"/>
            </w:tcBorders>
            <w:noWrap/>
          </w:tcPr>
          <w:p w14:paraId="0F2BED3D" w14:textId="77777777" w:rsidR="00341597" w:rsidRPr="00C63944"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C63944">
              <w:t>-1.3%</w:t>
            </w:r>
          </w:p>
        </w:tc>
      </w:tr>
      <w:tr w:rsidR="00341597" w:rsidRPr="00B875BD" w14:paraId="2FB7C547" w14:textId="77777777" w:rsidTr="00D21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0" w:type="pct"/>
          </w:tcPr>
          <w:p w14:paraId="5AC4EB44" w14:textId="77777777" w:rsidR="00341597" w:rsidRPr="00466956" w:rsidRDefault="00341597" w:rsidP="00341597">
            <w:r w:rsidRPr="00466956">
              <w:t>TAS</w:t>
            </w:r>
          </w:p>
        </w:tc>
        <w:tc>
          <w:tcPr>
            <w:tcW w:w="684" w:type="pct"/>
            <w:noWrap/>
          </w:tcPr>
          <w:p w14:paraId="4F8268CB" w14:textId="77777777" w:rsidR="00341597" w:rsidRPr="00B360E6"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B360E6">
              <w:t>2</w:t>
            </w:r>
            <w:r>
              <w:t>,</w:t>
            </w:r>
            <w:r w:rsidRPr="00B360E6">
              <w:t>052</w:t>
            </w:r>
          </w:p>
        </w:tc>
        <w:tc>
          <w:tcPr>
            <w:tcW w:w="645" w:type="pct"/>
            <w:noWrap/>
          </w:tcPr>
          <w:p w14:paraId="58FB0C76" w14:textId="77777777" w:rsidR="00341597" w:rsidRPr="0044458F"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44458F">
              <w:t>1</w:t>
            </w:r>
            <w:r>
              <w:t>,</w:t>
            </w:r>
            <w:r w:rsidRPr="0044458F">
              <w:t>679</w:t>
            </w:r>
          </w:p>
        </w:tc>
        <w:tc>
          <w:tcPr>
            <w:tcW w:w="645" w:type="pct"/>
            <w:tcBorders>
              <w:right w:val="single" w:sz="4" w:space="0" w:color="auto"/>
            </w:tcBorders>
            <w:noWrap/>
          </w:tcPr>
          <w:p w14:paraId="3219E71B" w14:textId="77777777" w:rsidR="00341597" w:rsidRPr="009C72F6"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9C72F6">
              <w:t>-18.2%</w:t>
            </w:r>
          </w:p>
        </w:tc>
        <w:tc>
          <w:tcPr>
            <w:tcW w:w="726" w:type="pct"/>
            <w:tcBorders>
              <w:left w:val="single" w:sz="4" w:space="0" w:color="auto"/>
              <w:bottom w:val="nil"/>
            </w:tcBorders>
            <w:noWrap/>
          </w:tcPr>
          <w:p w14:paraId="26C3C14A" w14:textId="77777777" w:rsidR="00341597" w:rsidRPr="00CD4D22"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CD4D22">
              <w:t>5,048</w:t>
            </w:r>
          </w:p>
        </w:tc>
        <w:tc>
          <w:tcPr>
            <w:tcW w:w="645" w:type="pct"/>
            <w:tcBorders>
              <w:bottom w:val="nil"/>
            </w:tcBorders>
            <w:noWrap/>
          </w:tcPr>
          <w:p w14:paraId="3EDAFC7D" w14:textId="77777777" w:rsidR="00341597" w:rsidRPr="00342BA6"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342BA6">
              <w:t>5,267</w:t>
            </w:r>
          </w:p>
        </w:tc>
        <w:tc>
          <w:tcPr>
            <w:tcW w:w="645" w:type="pct"/>
            <w:tcBorders>
              <w:bottom w:val="nil"/>
            </w:tcBorders>
            <w:noWrap/>
          </w:tcPr>
          <w:p w14:paraId="7215219F" w14:textId="77777777" w:rsidR="00341597" w:rsidRPr="00C63944"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C63944">
              <w:t>4.3%</w:t>
            </w:r>
          </w:p>
        </w:tc>
      </w:tr>
      <w:tr w:rsidR="00341597" w:rsidRPr="00B875BD" w14:paraId="0A483C3B" w14:textId="77777777" w:rsidTr="00D21F72">
        <w:tc>
          <w:tcPr>
            <w:cnfStyle w:val="001000000000" w:firstRow="0" w:lastRow="0" w:firstColumn="1" w:lastColumn="0" w:oddVBand="0" w:evenVBand="0" w:oddHBand="0" w:evenHBand="0" w:firstRowFirstColumn="0" w:firstRowLastColumn="0" w:lastRowFirstColumn="0" w:lastRowLastColumn="0"/>
            <w:tcW w:w="1010" w:type="pct"/>
          </w:tcPr>
          <w:p w14:paraId="3817F9A7" w14:textId="77777777" w:rsidR="00341597" w:rsidRPr="00466956" w:rsidRDefault="00341597" w:rsidP="00341597">
            <w:r w:rsidRPr="00466956">
              <w:t>ACT</w:t>
            </w:r>
          </w:p>
        </w:tc>
        <w:tc>
          <w:tcPr>
            <w:tcW w:w="684" w:type="pct"/>
            <w:noWrap/>
          </w:tcPr>
          <w:p w14:paraId="0AD152BD" w14:textId="77777777" w:rsidR="00341597" w:rsidRPr="00B360E6"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B360E6">
              <w:t>2</w:t>
            </w:r>
            <w:r>
              <w:t>,</w:t>
            </w:r>
            <w:r w:rsidRPr="00B360E6">
              <w:t>086</w:t>
            </w:r>
          </w:p>
        </w:tc>
        <w:tc>
          <w:tcPr>
            <w:tcW w:w="645" w:type="pct"/>
            <w:noWrap/>
          </w:tcPr>
          <w:p w14:paraId="1B5FD2B0" w14:textId="77777777" w:rsidR="00341597" w:rsidRPr="0044458F"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44458F">
              <w:t>2</w:t>
            </w:r>
            <w:r>
              <w:t>,</w:t>
            </w:r>
            <w:r w:rsidRPr="0044458F">
              <w:t>081</w:t>
            </w:r>
          </w:p>
        </w:tc>
        <w:tc>
          <w:tcPr>
            <w:tcW w:w="645" w:type="pct"/>
            <w:tcBorders>
              <w:right w:val="single" w:sz="4" w:space="0" w:color="auto"/>
            </w:tcBorders>
            <w:noWrap/>
          </w:tcPr>
          <w:p w14:paraId="46225BFD" w14:textId="77777777" w:rsidR="00341597" w:rsidRPr="009C72F6"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9C72F6">
              <w:t>-0.2%</w:t>
            </w:r>
          </w:p>
        </w:tc>
        <w:tc>
          <w:tcPr>
            <w:tcW w:w="726" w:type="pct"/>
            <w:tcBorders>
              <w:left w:val="single" w:sz="4" w:space="0" w:color="auto"/>
              <w:bottom w:val="nil"/>
            </w:tcBorders>
            <w:noWrap/>
          </w:tcPr>
          <w:p w14:paraId="2F2FDFA3" w14:textId="77777777" w:rsidR="00341597" w:rsidRPr="00CD4D22"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CD4D22">
              <w:t>3,400</w:t>
            </w:r>
          </w:p>
        </w:tc>
        <w:tc>
          <w:tcPr>
            <w:tcW w:w="645" w:type="pct"/>
            <w:tcBorders>
              <w:bottom w:val="nil"/>
            </w:tcBorders>
            <w:noWrap/>
          </w:tcPr>
          <w:p w14:paraId="5AA34B2D" w14:textId="77777777" w:rsidR="00341597" w:rsidRPr="00342BA6"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342BA6">
              <w:t>3,376</w:t>
            </w:r>
          </w:p>
        </w:tc>
        <w:tc>
          <w:tcPr>
            <w:tcW w:w="645" w:type="pct"/>
            <w:tcBorders>
              <w:bottom w:val="nil"/>
            </w:tcBorders>
            <w:noWrap/>
          </w:tcPr>
          <w:p w14:paraId="4587EAD1" w14:textId="77777777" w:rsidR="00341597" w:rsidRPr="00C63944"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C63944">
              <w:t>-0.7%</w:t>
            </w:r>
          </w:p>
        </w:tc>
      </w:tr>
      <w:tr w:rsidR="00341597" w:rsidRPr="00B875BD" w14:paraId="4F3A2BAC" w14:textId="77777777" w:rsidTr="00D21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0" w:type="pct"/>
          </w:tcPr>
          <w:p w14:paraId="103B50EB" w14:textId="77777777" w:rsidR="00341597" w:rsidRPr="00466956" w:rsidRDefault="00341597" w:rsidP="00341597">
            <w:r w:rsidRPr="00466956">
              <w:t>NT</w:t>
            </w:r>
          </w:p>
        </w:tc>
        <w:tc>
          <w:tcPr>
            <w:tcW w:w="684" w:type="pct"/>
            <w:noWrap/>
          </w:tcPr>
          <w:p w14:paraId="4E9C04A9" w14:textId="77777777" w:rsidR="00341597"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B360E6">
              <w:t>587</w:t>
            </w:r>
          </w:p>
        </w:tc>
        <w:tc>
          <w:tcPr>
            <w:tcW w:w="645" w:type="pct"/>
            <w:noWrap/>
          </w:tcPr>
          <w:p w14:paraId="526BB790" w14:textId="77777777" w:rsidR="00341597"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44458F">
              <w:t>635</w:t>
            </w:r>
          </w:p>
        </w:tc>
        <w:tc>
          <w:tcPr>
            <w:tcW w:w="645" w:type="pct"/>
            <w:tcBorders>
              <w:right w:val="single" w:sz="4" w:space="0" w:color="auto"/>
            </w:tcBorders>
            <w:noWrap/>
          </w:tcPr>
          <w:p w14:paraId="096DE5EF" w14:textId="77777777" w:rsidR="00341597"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9C72F6">
              <w:t>8.2%</w:t>
            </w:r>
          </w:p>
        </w:tc>
        <w:tc>
          <w:tcPr>
            <w:tcW w:w="726" w:type="pct"/>
            <w:tcBorders>
              <w:left w:val="single" w:sz="4" w:space="0" w:color="auto"/>
              <w:bottom w:val="nil"/>
            </w:tcBorders>
            <w:noWrap/>
          </w:tcPr>
          <w:p w14:paraId="581AB466" w14:textId="77777777" w:rsidR="00341597"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CD4D22">
              <w:t>1,263</w:t>
            </w:r>
          </w:p>
        </w:tc>
        <w:tc>
          <w:tcPr>
            <w:tcW w:w="645" w:type="pct"/>
            <w:tcBorders>
              <w:bottom w:val="nil"/>
            </w:tcBorders>
            <w:noWrap/>
          </w:tcPr>
          <w:p w14:paraId="13879E33" w14:textId="77777777" w:rsidR="00341597"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342BA6">
              <w:t>1,232</w:t>
            </w:r>
          </w:p>
        </w:tc>
        <w:tc>
          <w:tcPr>
            <w:tcW w:w="645" w:type="pct"/>
            <w:tcBorders>
              <w:bottom w:val="nil"/>
            </w:tcBorders>
            <w:noWrap/>
          </w:tcPr>
          <w:p w14:paraId="54CCC8A4" w14:textId="77777777" w:rsidR="00341597"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C63944">
              <w:t>-2.5%</w:t>
            </w:r>
          </w:p>
        </w:tc>
      </w:tr>
      <w:tr w:rsidR="00341597" w:rsidRPr="00B875BD" w14:paraId="753EF60A" w14:textId="77777777" w:rsidTr="00D21F72">
        <w:tc>
          <w:tcPr>
            <w:cnfStyle w:val="001000000000" w:firstRow="0" w:lastRow="0" w:firstColumn="1" w:lastColumn="0" w:oddVBand="0" w:evenVBand="0" w:oddHBand="0" w:evenHBand="0" w:firstRowFirstColumn="0" w:firstRowLastColumn="0" w:lastRowFirstColumn="0" w:lastRowLastColumn="0"/>
            <w:tcW w:w="1010" w:type="pct"/>
          </w:tcPr>
          <w:p w14:paraId="05AA3523" w14:textId="77777777" w:rsidR="00341597" w:rsidRPr="00A02290" w:rsidRDefault="00341597" w:rsidP="00341597">
            <w:r w:rsidRPr="00A02290">
              <w:t>Australia</w:t>
            </w:r>
          </w:p>
        </w:tc>
        <w:tc>
          <w:tcPr>
            <w:tcW w:w="684" w:type="pct"/>
            <w:noWrap/>
          </w:tcPr>
          <w:p w14:paraId="6DC53669" w14:textId="77777777" w:rsidR="00341597" w:rsidRPr="00045FDB"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045FDB">
              <w:t>121,592</w:t>
            </w:r>
          </w:p>
        </w:tc>
        <w:tc>
          <w:tcPr>
            <w:tcW w:w="645" w:type="pct"/>
            <w:noWrap/>
          </w:tcPr>
          <w:p w14:paraId="41C54AE9" w14:textId="77777777" w:rsidR="00341597" w:rsidRPr="00045FDB"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045FDB">
              <w:t>119,870</w:t>
            </w:r>
          </w:p>
        </w:tc>
        <w:tc>
          <w:tcPr>
            <w:tcW w:w="645" w:type="pct"/>
            <w:tcBorders>
              <w:right w:val="single" w:sz="4" w:space="0" w:color="auto"/>
            </w:tcBorders>
            <w:noWrap/>
          </w:tcPr>
          <w:p w14:paraId="48D7B4B8" w14:textId="77777777" w:rsidR="00341597" w:rsidRPr="00045FDB"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045FDB">
              <w:t>-1.4%</w:t>
            </w:r>
          </w:p>
        </w:tc>
        <w:tc>
          <w:tcPr>
            <w:tcW w:w="726" w:type="pct"/>
            <w:tcBorders>
              <w:left w:val="single" w:sz="4" w:space="0" w:color="auto"/>
              <w:bottom w:val="single" w:sz="4" w:space="0" w:color="auto"/>
            </w:tcBorders>
            <w:noWrap/>
          </w:tcPr>
          <w:p w14:paraId="163CDC26" w14:textId="77777777" w:rsidR="00341597" w:rsidRPr="00045FDB"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045FDB">
              <w:t>159,957</w:t>
            </w:r>
          </w:p>
        </w:tc>
        <w:tc>
          <w:tcPr>
            <w:tcW w:w="645" w:type="pct"/>
            <w:tcBorders>
              <w:bottom w:val="single" w:sz="4" w:space="0" w:color="auto"/>
            </w:tcBorders>
            <w:noWrap/>
          </w:tcPr>
          <w:p w14:paraId="37D66776" w14:textId="77777777" w:rsidR="00341597" w:rsidRPr="00045FDB"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045FDB">
              <w:t>161,243</w:t>
            </w:r>
          </w:p>
        </w:tc>
        <w:tc>
          <w:tcPr>
            <w:tcW w:w="645" w:type="pct"/>
            <w:tcBorders>
              <w:bottom w:val="single" w:sz="4" w:space="0" w:color="auto"/>
            </w:tcBorders>
            <w:noWrap/>
          </w:tcPr>
          <w:p w14:paraId="374BE28C" w14:textId="453E4FA3" w:rsidR="00341597" w:rsidRPr="00A02290" w:rsidRDefault="00341597" w:rsidP="00E87DB2">
            <w:pPr>
              <w:tabs>
                <w:tab w:val="center" w:pos="509"/>
              </w:tabs>
              <w:jc w:val="right"/>
              <w:cnfStyle w:val="000000000000" w:firstRow="0" w:lastRow="0" w:firstColumn="0" w:lastColumn="0" w:oddVBand="0" w:evenVBand="0" w:oddHBand="0" w:evenHBand="0" w:firstRowFirstColumn="0" w:firstRowLastColumn="0" w:lastRowFirstColumn="0" w:lastRowLastColumn="0"/>
            </w:pPr>
            <w:r w:rsidRPr="00A02290">
              <w:t>0.8%</w:t>
            </w:r>
          </w:p>
        </w:tc>
      </w:tr>
    </w:tbl>
    <w:p w14:paraId="0B71CE07" w14:textId="77777777" w:rsidR="00341597" w:rsidRDefault="00341597" w:rsidP="003762A0"/>
    <w:p w14:paraId="27F9A7B4" w14:textId="77777777" w:rsidR="00341597" w:rsidRPr="003B64E6" w:rsidRDefault="00341597" w:rsidP="00B67C70">
      <w:pPr>
        <w:pStyle w:val="ListParagraph"/>
      </w:pPr>
      <w:r w:rsidRPr="003B64E6">
        <w:t>Nationally, applications from Year 12 students were more likely to receive an offer than</w:t>
      </w:r>
      <w:r>
        <w:t xml:space="preserve"> </w:t>
      </w:r>
      <w:r w:rsidRPr="0082139F">
        <w:t>non-Year 12 students.</w:t>
      </w:r>
      <w:r>
        <w:t xml:space="preserve"> </w:t>
      </w:r>
      <w:r w:rsidRPr="0082139F">
        <w:t>In 201</w:t>
      </w:r>
      <w:r>
        <w:t>7</w:t>
      </w:r>
      <w:r w:rsidRPr="0082139F">
        <w:t xml:space="preserve">, the Year 12 offer rate was </w:t>
      </w:r>
      <w:r>
        <w:t>87.1% compared with the non-</w:t>
      </w:r>
      <w:r w:rsidRPr="003B64E6">
        <w:t xml:space="preserve">Year 12 offer rate of </w:t>
      </w:r>
      <w:r>
        <w:t>79.6</w:t>
      </w:r>
      <w:r w:rsidRPr="003B64E6">
        <w:t xml:space="preserve">%. </w:t>
      </w:r>
    </w:p>
    <w:p w14:paraId="2FA370F8" w14:textId="77777777" w:rsidR="00341597" w:rsidRPr="0082139F" w:rsidRDefault="00341597" w:rsidP="00B67C70">
      <w:pPr>
        <w:pStyle w:val="ListParagraph"/>
      </w:pPr>
      <w:r w:rsidRPr="0082139F">
        <w:t>Offer rates for Year 12 stu</w:t>
      </w:r>
      <w:r>
        <w:t>dents dec</w:t>
      </w:r>
      <w:r w:rsidRPr="0082139F">
        <w:t xml:space="preserve">reased </w:t>
      </w:r>
      <w:r>
        <w:t xml:space="preserve">by 0.1 percentage points to 87.1% in 2017. Offer rates for non-Year 12 students decreased by 2.0 percentage points in 2017, </w:t>
      </w:r>
      <w:r w:rsidRPr="0059398A">
        <w:t>following a decrease of 1.3 percentage points in 2016.</w:t>
      </w:r>
      <w:r w:rsidRPr="0082139F">
        <w:t xml:space="preserve"> </w:t>
      </w:r>
    </w:p>
    <w:p w14:paraId="2C31A5FF" w14:textId="77777777" w:rsidR="00341597" w:rsidRPr="0082139F" w:rsidRDefault="00341597" w:rsidP="00B67C70">
      <w:pPr>
        <w:pStyle w:val="ListParagraph"/>
      </w:pPr>
      <w:r>
        <w:t>In 2017, Year 12 offer rates were higher than the non-Year 12 offer rates in all states and territories.</w:t>
      </w:r>
    </w:p>
    <w:p w14:paraId="07BA018E" w14:textId="77777777" w:rsidR="00341597" w:rsidRPr="00AC1937" w:rsidRDefault="00341597" w:rsidP="00B67C70">
      <w:pPr>
        <w:pStyle w:val="ListParagraph"/>
      </w:pPr>
      <w:r>
        <w:t xml:space="preserve">Above-average offer rates to Year 12 applicants were recorded in Tasmania (97.1%), ACT (93.9%), Queensland (92.1%), South Australia (89.8%) and NSW (87.6%) in 2017. </w:t>
      </w:r>
    </w:p>
    <w:p w14:paraId="4F404E97" w14:textId="48C39F09" w:rsidR="00D21F72" w:rsidRDefault="00D21F72" w:rsidP="00D21F72">
      <w:pPr>
        <w:pStyle w:val="Caption"/>
        <w:keepNext/>
      </w:pPr>
      <w:bookmarkStart w:id="52" w:name="_Toc492453637"/>
      <w:bookmarkStart w:id="53" w:name="_Toc492453862"/>
      <w:r>
        <w:t xml:space="preserve">Table </w:t>
      </w:r>
      <w:fldSimple w:instr=" SEQ Table \* ARABIC ">
        <w:r w:rsidR="00E05F5D">
          <w:rPr>
            <w:noProof/>
          </w:rPr>
          <w:t>6</w:t>
        </w:r>
      </w:fldSimple>
      <w:r w:rsidRPr="00076E12">
        <w:t>: Offer rates by Year 12 status, by state and territory, February 2016 and February 2017</w:t>
      </w:r>
      <w:bookmarkEnd w:id="52"/>
      <w:bookmarkEnd w:id="53"/>
    </w:p>
    <w:tbl>
      <w:tblPr>
        <w:tblStyle w:val="DEEWRTable"/>
        <w:tblW w:w="5000" w:type="pct"/>
        <w:tblLook w:val="04A0" w:firstRow="1" w:lastRow="0" w:firstColumn="1" w:lastColumn="0" w:noHBand="0" w:noVBand="1"/>
      </w:tblPr>
      <w:tblGrid>
        <w:gridCol w:w="2238"/>
        <w:gridCol w:w="1079"/>
        <w:gridCol w:w="1079"/>
        <w:gridCol w:w="1346"/>
        <w:gridCol w:w="1079"/>
        <w:gridCol w:w="1079"/>
        <w:gridCol w:w="1342"/>
      </w:tblGrid>
      <w:tr w:rsidR="00341597" w:rsidRPr="00B875BD" w14:paraId="60F72DDB" w14:textId="77777777" w:rsidTr="00D21F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0" w:type="pct"/>
            <w:vMerge w:val="restart"/>
            <w:noWrap/>
            <w:hideMark/>
          </w:tcPr>
          <w:p w14:paraId="2443318E" w14:textId="77777777" w:rsidR="00341597" w:rsidRPr="00A02290" w:rsidRDefault="00341597" w:rsidP="00341597">
            <w:r w:rsidRPr="00A02290">
              <w:t>State/Territory</w:t>
            </w:r>
          </w:p>
        </w:tc>
        <w:tc>
          <w:tcPr>
            <w:tcW w:w="1896" w:type="pct"/>
            <w:gridSpan w:val="3"/>
            <w:noWrap/>
            <w:hideMark/>
          </w:tcPr>
          <w:p w14:paraId="40D0E330" w14:textId="77777777" w:rsidR="00341597" w:rsidRPr="007D7C34" w:rsidRDefault="00341597" w:rsidP="00E87DB2">
            <w:pPr>
              <w:jc w:val="center"/>
              <w:cnfStyle w:val="100000000000" w:firstRow="1" w:lastRow="0" w:firstColumn="0" w:lastColumn="0" w:oddVBand="0" w:evenVBand="0" w:oddHBand="0" w:evenHBand="0" w:firstRowFirstColumn="0" w:firstRowLastColumn="0" w:lastRowFirstColumn="0" w:lastRowLastColumn="0"/>
              <w:rPr>
                <w:bCs/>
              </w:rPr>
            </w:pPr>
            <w:r w:rsidRPr="007D7C34">
              <w:t>Year 12</w:t>
            </w:r>
          </w:p>
        </w:tc>
        <w:tc>
          <w:tcPr>
            <w:tcW w:w="1895" w:type="pct"/>
            <w:gridSpan w:val="3"/>
            <w:tcBorders>
              <w:bottom w:val="nil"/>
            </w:tcBorders>
            <w:noWrap/>
            <w:hideMark/>
          </w:tcPr>
          <w:p w14:paraId="28A870AC" w14:textId="77777777" w:rsidR="00341597" w:rsidRPr="007D7C34" w:rsidRDefault="00341597" w:rsidP="00E87DB2">
            <w:pPr>
              <w:jc w:val="center"/>
              <w:cnfStyle w:val="100000000000" w:firstRow="1" w:lastRow="0" w:firstColumn="0" w:lastColumn="0" w:oddVBand="0" w:evenVBand="0" w:oddHBand="0" w:evenHBand="0" w:firstRowFirstColumn="0" w:firstRowLastColumn="0" w:lastRowFirstColumn="0" w:lastRowLastColumn="0"/>
              <w:rPr>
                <w:bCs/>
              </w:rPr>
            </w:pPr>
            <w:r w:rsidRPr="007D7C34">
              <w:t>Non-Year 12</w:t>
            </w:r>
          </w:p>
        </w:tc>
      </w:tr>
      <w:tr w:rsidR="00341597" w:rsidRPr="00B875BD" w14:paraId="4848659F" w14:textId="77777777" w:rsidTr="00D21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0" w:type="pct"/>
            <w:vMerge/>
            <w:noWrap/>
            <w:hideMark/>
          </w:tcPr>
          <w:p w14:paraId="05A70D51" w14:textId="77777777" w:rsidR="00341597" w:rsidRPr="007D7C34" w:rsidRDefault="00341597" w:rsidP="00341597">
            <w:pPr>
              <w:rPr>
                <w:b w:val="0"/>
              </w:rPr>
            </w:pPr>
          </w:p>
        </w:tc>
        <w:tc>
          <w:tcPr>
            <w:tcW w:w="584" w:type="pct"/>
            <w:noWrap/>
          </w:tcPr>
          <w:p w14:paraId="74B69F55" w14:textId="77777777" w:rsidR="00341597" w:rsidRPr="00956BAB" w:rsidRDefault="00341597" w:rsidP="00E87DB2">
            <w:pPr>
              <w:jc w:val="right"/>
              <w:cnfStyle w:val="000000100000" w:firstRow="0" w:lastRow="0" w:firstColumn="0" w:lastColumn="0" w:oddVBand="0" w:evenVBand="0" w:oddHBand="1" w:evenHBand="0" w:firstRowFirstColumn="0" w:firstRowLastColumn="0" w:lastRowFirstColumn="0" w:lastRowLastColumn="0"/>
              <w:rPr>
                <w:b/>
              </w:rPr>
            </w:pPr>
            <w:r w:rsidRPr="00956BAB">
              <w:rPr>
                <w:b/>
              </w:rPr>
              <w:t>2016</w:t>
            </w:r>
          </w:p>
        </w:tc>
        <w:tc>
          <w:tcPr>
            <w:tcW w:w="584" w:type="pct"/>
            <w:noWrap/>
          </w:tcPr>
          <w:p w14:paraId="1D0B87F3" w14:textId="77777777" w:rsidR="00341597" w:rsidRPr="00956BAB" w:rsidRDefault="00341597" w:rsidP="00E87DB2">
            <w:pPr>
              <w:jc w:val="right"/>
              <w:cnfStyle w:val="000000100000" w:firstRow="0" w:lastRow="0" w:firstColumn="0" w:lastColumn="0" w:oddVBand="0" w:evenVBand="0" w:oddHBand="1" w:evenHBand="0" w:firstRowFirstColumn="0" w:firstRowLastColumn="0" w:lastRowFirstColumn="0" w:lastRowLastColumn="0"/>
              <w:rPr>
                <w:b/>
              </w:rPr>
            </w:pPr>
            <w:r w:rsidRPr="00956BAB">
              <w:rPr>
                <w:b/>
              </w:rPr>
              <w:t>2017</w:t>
            </w:r>
          </w:p>
        </w:tc>
        <w:tc>
          <w:tcPr>
            <w:tcW w:w="728" w:type="pct"/>
            <w:tcBorders>
              <w:right w:val="single" w:sz="4" w:space="0" w:color="auto"/>
            </w:tcBorders>
            <w:noWrap/>
            <w:hideMark/>
          </w:tcPr>
          <w:p w14:paraId="5E6B49B8" w14:textId="77777777" w:rsidR="00341597" w:rsidRPr="00956BAB" w:rsidRDefault="00341597" w:rsidP="00E87DB2">
            <w:pPr>
              <w:jc w:val="right"/>
              <w:cnfStyle w:val="000000100000" w:firstRow="0" w:lastRow="0" w:firstColumn="0" w:lastColumn="0" w:oddVBand="0" w:evenVBand="0" w:oddHBand="1" w:evenHBand="0" w:firstRowFirstColumn="0" w:firstRowLastColumn="0" w:lastRowFirstColumn="0" w:lastRowLastColumn="0"/>
              <w:rPr>
                <w:b/>
              </w:rPr>
            </w:pPr>
            <w:r w:rsidRPr="00956BAB">
              <w:rPr>
                <w:b/>
              </w:rPr>
              <w:t xml:space="preserve">Change </w:t>
            </w:r>
          </w:p>
        </w:tc>
        <w:tc>
          <w:tcPr>
            <w:tcW w:w="584" w:type="pct"/>
            <w:tcBorders>
              <w:left w:val="single" w:sz="4" w:space="0" w:color="auto"/>
              <w:bottom w:val="nil"/>
            </w:tcBorders>
            <w:noWrap/>
          </w:tcPr>
          <w:p w14:paraId="54F80CE1" w14:textId="77777777" w:rsidR="00341597" w:rsidRPr="00956BAB" w:rsidRDefault="00341597" w:rsidP="00E87DB2">
            <w:pPr>
              <w:jc w:val="right"/>
              <w:cnfStyle w:val="000000100000" w:firstRow="0" w:lastRow="0" w:firstColumn="0" w:lastColumn="0" w:oddVBand="0" w:evenVBand="0" w:oddHBand="1" w:evenHBand="0" w:firstRowFirstColumn="0" w:firstRowLastColumn="0" w:lastRowFirstColumn="0" w:lastRowLastColumn="0"/>
              <w:rPr>
                <w:b/>
              </w:rPr>
            </w:pPr>
            <w:r w:rsidRPr="00956BAB">
              <w:rPr>
                <w:b/>
              </w:rPr>
              <w:t>2016</w:t>
            </w:r>
          </w:p>
        </w:tc>
        <w:tc>
          <w:tcPr>
            <w:tcW w:w="584" w:type="pct"/>
            <w:tcBorders>
              <w:bottom w:val="nil"/>
            </w:tcBorders>
            <w:noWrap/>
            <w:hideMark/>
          </w:tcPr>
          <w:p w14:paraId="4B13094D" w14:textId="77777777" w:rsidR="00341597" w:rsidRPr="00956BAB" w:rsidRDefault="00341597" w:rsidP="00E87DB2">
            <w:pPr>
              <w:jc w:val="right"/>
              <w:cnfStyle w:val="000000100000" w:firstRow="0" w:lastRow="0" w:firstColumn="0" w:lastColumn="0" w:oddVBand="0" w:evenVBand="0" w:oddHBand="1" w:evenHBand="0" w:firstRowFirstColumn="0" w:firstRowLastColumn="0" w:lastRowFirstColumn="0" w:lastRowLastColumn="0"/>
              <w:rPr>
                <w:b/>
              </w:rPr>
            </w:pPr>
            <w:r w:rsidRPr="00956BAB">
              <w:rPr>
                <w:b/>
              </w:rPr>
              <w:t>2017</w:t>
            </w:r>
          </w:p>
        </w:tc>
        <w:tc>
          <w:tcPr>
            <w:tcW w:w="727" w:type="pct"/>
            <w:tcBorders>
              <w:bottom w:val="nil"/>
            </w:tcBorders>
            <w:noWrap/>
            <w:hideMark/>
          </w:tcPr>
          <w:p w14:paraId="3458A897" w14:textId="77777777" w:rsidR="00341597" w:rsidRPr="00956BAB" w:rsidRDefault="00341597" w:rsidP="00E87DB2">
            <w:pPr>
              <w:jc w:val="right"/>
              <w:cnfStyle w:val="000000100000" w:firstRow="0" w:lastRow="0" w:firstColumn="0" w:lastColumn="0" w:oddVBand="0" w:evenVBand="0" w:oddHBand="1" w:evenHBand="0" w:firstRowFirstColumn="0" w:firstRowLastColumn="0" w:lastRowFirstColumn="0" w:lastRowLastColumn="0"/>
              <w:rPr>
                <w:b/>
              </w:rPr>
            </w:pPr>
            <w:r w:rsidRPr="00956BAB">
              <w:rPr>
                <w:b/>
              </w:rPr>
              <w:t>Change</w:t>
            </w:r>
          </w:p>
        </w:tc>
      </w:tr>
      <w:tr w:rsidR="00341597" w:rsidRPr="00B875BD" w14:paraId="264D2D04" w14:textId="77777777" w:rsidTr="00D21F72">
        <w:tc>
          <w:tcPr>
            <w:cnfStyle w:val="001000000000" w:firstRow="0" w:lastRow="0" w:firstColumn="1" w:lastColumn="0" w:oddVBand="0" w:evenVBand="0" w:oddHBand="0" w:evenHBand="0" w:firstRowFirstColumn="0" w:firstRowLastColumn="0" w:lastRowFirstColumn="0" w:lastRowLastColumn="0"/>
            <w:tcW w:w="1210" w:type="pct"/>
            <w:hideMark/>
          </w:tcPr>
          <w:p w14:paraId="1C6F6A84" w14:textId="77777777" w:rsidR="00341597" w:rsidRPr="00EB2A81" w:rsidRDefault="00341597" w:rsidP="00341597">
            <w:r w:rsidRPr="00EB2A81">
              <w:t>NSW</w:t>
            </w:r>
          </w:p>
        </w:tc>
        <w:tc>
          <w:tcPr>
            <w:tcW w:w="584" w:type="pct"/>
            <w:noWrap/>
          </w:tcPr>
          <w:p w14:paraId="7956170D" w14:textId="77777777" w:rsidR="00341597" w:rsidRPr="00445355"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445355">
              <w:t>90.2%</w:t>
            </w:r>
          </w:p>
        </w:tc>
        <w:tc>
          <w:tcPr>
            <w:tcW w:w="584" w:type="pct"/>
            <w:noWrap/>
          </w:tcPr>
          <w:p w14:paraId="76BF4A66" w14:textId="77777777" w:rsidR="00341597" w:rsidRPr="00445355"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445355">
              <w:t>87.6%</w:t>
            </w:r>
          </w:p>
        </w:tc>
        <w:tc>
          <w:tcPr>
            <w:tcW w:w="728" w:type="pct"/>
            <w:tcBorders>
              <w:right w:val="single" w:sz="4" w:space="0" w:color="auto"/>
            </w:tcBorders>
            <w:noWrap/>
          </w:tcPr>
          <w:p w14:paraId="239634DA" w14:textId="77777777" w:rsidR="00341597" w:rsidRPr="00445355"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445355">
              <w:t>-2.7</w:t>
            </w:r>
            <w:r>
              <w:t xml:space="preserve"> p. p</w:t>
            </w:r>
          </w:p>
        </w:tc>
        <w:tc>
          <w:tcPr>
            <w:tcW w:w="584" w:type="pct"/>
            <w:tcBorders>
              <w:left w:val="single" w:sz="4" w:space="0" w:color="auto"/>
              <w:bottom w:val="nil"/>
            </w:tcBorders>
            <w:noWrap/>
          </w:tcPr>
          <w:p w14:paraId="5476442B" w14:textId="77777777" w:rsidR="00341597" w:rsidRPr="00762A9D"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762A9D">
              <w:t>83.1%</w:t>
            </w:r>
          </w:p>
        </w:tc>
        <w:tc>
          <w:tcPr>
            <w:tcW w:w="584" w:type="pct"/>
            <w:tcBorders>
              <w:bottom w:val="nil"/>
            </w:tcBorders>
            <w:noWrap/>
          </w:tcPr>
          <w:p w14:paraId="58220F92" w14:textId="77777777" w:rsidR="00341597" w:rsidRPr="00762A9D"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762A9D">
              <w:t>83.2%</w:t>
            </w:r>
          </w:p>
        </w:tc>
        <w:tc>
          <w:tcPr>
            <w:tcW w:w="727" w:type="pct"/>
            <w:tcBorders>
              <w:bottom w:val="nil"/>
            </w:tcBorders>
            <w:noWrap/>
          </w:tcPr>
          <w:p w14:paraId="2DBC27BC" w14:textId="77777777" w:rsidR="00341597" w:rsidRPr="00762A9D" w:rsidRDefault="00341597" w:rsidP="00E87DB2">
            <w:pPr>
              <w:jc w:val="right"/>
              <w:cnfStyle w:val="000000000000" w:firstRow="0" w:lastRow="0" w:firstColumn="0" w:lastColumn="0" w:oddVBand="0" w:evenVBand="0" w:oddHBand="0" w:evenHBand="0" w:firstRowFirstColumn="0" w:firstRowLastColumn="0" w:lastRowFirstColumn="0" w:lastRowLastColumn="0"/>
            </w:pPr>
            <w:r>
              <w:t xml:space="preserve">0.1 </w:t>
            </w:r>
            <w:r w:rsidRPr="00392BBE">
              <w:t>p. p</w:t>
            </w:r>
          </w:p>
        </w:tc>
      </w:tr>
      <w:tr w:rsidR="00341597" w:rsidRPr="00B875BD" w14:paraId="3C41D48E" w14:textId="77777777" w:rsidTr="00D21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0" w:type="pct"/>
            <w:hideMark/>
          </w:tcPr>
          <w:p w14:paraId="79C4C47F" w14:textId="77777777" w:rsidR="00341597" w:rsidRPr="00EB2A81" w:rsidRDefault="00341597" w:rsidP="00341597">
            <w:r w:rsidRPr="00EB2A81">
              <w:t>VIC</w:t>
            </w:r>
          </w:p>
        </w:tc>
        <w:tc>
          <w:tcPr>
            <w:tcW w:w="584" w:type="pct"/>
            <w:noWrap/>
          </w:tcPr>
          <w:p w14:paraId="0CB3385F" w14:textId="77777777" w:rsidR="00341597" w:rsidRPr="00445355"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445355">
              <w:t>80.9%</w:t>
            </w:r>
          </w:p>
        </w:tc>
        <w:tc>
          <w:tcPr>
            <w:tcW w:w="584" w:type="pct"/>
            <w:noWrap/>
          </w:tcPr>
          <w:p w14:paraId="52864E21" w14:textId="77777777" w:rsidR="00341597" w:rsidRPr="00445355"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445355">
              <w:t>83.6%</w:t>
            </w:r>
          </w:p>
        </w:tc>
        <w:tc>
          <w:tcPr>
            <w:tcW w:w="728" w:type="pct"/>
            <w:tcBorders>
              <w:right w:val="single" w:sz="4" w:space="0" w:color="auto"/>
            </w:tcBorders>
            <w:noWrap/>
          </w:tcPr>
          <w:p w14:paraId="05703BFB" w14:textId="77777777" w:rsidR="00341597" w:rsidRPr="00445355"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445355">
              <w:t>2.7</w:t>
            </w:r>
            <w:r>
              <w:t xml:space="preserve"> </w:t>
            </w:r>
            <w:r w:rsidRPr="00610ECF">
              <w:t>p. p</w:t>
            </w:r>
          </w:p>
        </w:tc>
        <w:tc>
          <w:tcPr>
            <w:tcW w:w="584" w:type="pct"/>
            <w:tcBorders>
              <w:left w:val="single" w:sz="4" w:space="0" w:color="auto"/>
              <w:bottom w:val="nil"/>
            </w:tcBorders>
            <w:noWrap/>
          </w:tcPr>
          <w:p w14:paraId="3DB9C68E" w14:textId="77777777" w:rsidR="00341597" w:rsidRPr="00762A9D"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762A9D">
              <w:t>78.5%</w:t>
            </w:r>
          </w:p>
        </w:tc>
        <w:tc>
          <w:tcPr>
            <w:tcW w:w="584" w:type="pct"/>
            <w:tcBorders>
              <w:bottom w:val="nil"/>
            </w:tcBorders>
            <w:noWrap/>
          </w:tcPr>
          <w:p w14:paraId="1B02FC2C" w14:textId="77777777" w:rsidR="00341597" w:rsidRPr="00762A9D"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762A9D">
              <w:t>73.2%</w:t>
            </w:r>
          </w:p>
        </w:tc>
        <w:tc>
          <w:tcPr>
            <w:tcW w:w="727" w:type="pct"/>
            <w:tcBorders>
              <w:bottom w:val="nil"/>
            </w:tcBorders>
            <w:noWrap/>
          </w:tcPr>
          <w:p w14:paraId="5C90DB81" w14:textId="77777777" w:rsidR="00341597" w:rsidRPr="00762A9D" w:rsidRDefault="00341597" w:rsidP="00E87DB2">
            <w:pPr>
              <w:jc w:val="right"/>
              <w:cnfStyle w:val="000000100000" w:firstRow="0" w:lastRow="0" w:firstColumn="0" w:lastColumn="0" w:oddVBand="0" w:evenVBand="0" w:oddHBand="1" w:evenHBand="0" w:firstRowFirstColumn="0" w:firstRowLastColumn="0" w:lastRowFirstColumn="0" w:lastRowLastColumn="0"/>
            </w:pPr>
            <w:r>
              <w:t xml:space="preserve">-5.3 </w:t>
            </w:r>
            <w:r w:rsidRPr="00392BBE">
              <w:t>p. p</w:t>
            </w:r>
          </w:p>
        </w:tc>
      </w:tr>
      <w:tr w:rsidR="00341597" w:rsidRPr="00B875BD" w14:paraId="11B4BAF8" w14:textId="77777777" w:rsidTr="00D21F72">
        <w:tc>
          <w:tcPr>
            <w:cnfStyle w:val="001000000000" w:firstRow="0" w:lastRow="0" w:firstColumn="1" w:lastColumn="0" w:oddVBand="0" w:evenVBand="0" w:oddHBand="0" w:evenHBand="0" w:firstRowFirstColumn="0" w:firstRowLastColumn="0" w:lastRowFirstColumn="0" w:lastRowLastColumn="0"/>
            <w:tcW w:w="1210" w:type="pct"/>
            <w:hideMark/>
          </w:tcPr>
          <w:p w14:paraId="44842C9E" w14:textId="77777777" w:rsidR="00341597" w:rsidRPr="00EB2A81" w:rsidRDefault="00341597" w:rsidP="00341597">
            <w:r w:rsidRPr="00EB2A81">
              <w:t>QLD</w:t>
            </w:r>
          </w:p>
        </w:tc>
        <w:tc>
          <w:tcPr>
            <w:tcW w:w="584" w:type="pct"/>
            <w:noWrap/>
          </w:tcPr>
          <w:p w14:paraId="1DB08BDB" w14:textId="77777777" w:rsidR="00341597" w:rsidRPr="00445355"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445355">
              <w:t>91.2%</w:t>
            </w:r>
          </w:p>
        </w:tc>
        <w:tc>
          <w:tcPr>
            <w:tcW w:w="584" w:type="pct"/>
            <w:noWrap/>
          </w:tcPr>
          <w:p w14:paraId="18F21DF6" w14:textId="77777777" w:rsidR="00341597" w:rsidRPr="00445355"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445355">
              <w:t>92.1%</w:t>
            </w:r>
          </w:p>
        </w:tc>
        <w:tc>
          <w:tcPr>
            <w:tcW w:w="728" w:type="pct"/>
            <w:tcBorders>
              <w:right w:val="single" w:sz="4" w:space="0" w:color="auto"/>
            </w:tcBorders>
            <w:noWrap/>
          </w:tcPr>
          <w:p w14:paraId="1B743232" w14:textId="77777777" w:rsidR="00341597" w:rsidRPr="00445355"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445355">
              <w:t>0.9</w:t>
            </w:r>
            <w:r>
              <w:t xml:space="preserve"> </w:t>
            </w:r>
            <w:r w:rsidRPr="00392BBE">
              <w:t>p. p</w:t>
            </w:r>
          </w:p>
        </w:tc>
        <w:tc>
          <w:tcPr>
            <w:tcW w:w="584" w:type="pct"/>
            <w:tcBorders>
              <w:left w:val="single" w:sz="4" w:space="0" w:color="auto"/>
              <w:bottom w:val="nil"/>
            </w:tcBorders>
            <w:noWrap/>
          </w:tcPr>
          <w:p w14:paraId="53B67B1C" w14:textId="77777777" w:rsidR="00341597" w:rsidRPr="00762A9D"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762A9D">
              <w:t>83.7%</w:t>
            </w:r>
          </w:p>
        </w:tc>
        <w:tc>
          <w:tcPr>
            <w:tcW w:w="584" w:type="pct"/>
            <w:tcBorders>
              <w:bottom w:val="nil"/>
            </w:tcBorders>
            <w:noWrap/>
          </w:tcPr>
          <w:p w14:paraId="1A9DBDF0" w14:textId="77777777" w:rsidR="00341597" w:rsidRPr="00762A9D"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762A9D">
              <w:t>83.0%</w:t>
            </w:r>
          </w:p>
        </w:tc>
        <w:tc>
          <w:tcPr>
            <w:tcW w:w="727" w:type="pct"/>
            <w:tcBorders>
              <w:bottom w:val="nil"/>
            </w:tcBorders>
            <w:noWrap/>
          </w:tcPr>
          <w:p w14:paraId="308C4EB8" w14:textId="77777777" w:rsidR="00341597" w:rsidRPr="00762A9D" w:rsidRDefault="00341597" w:rsidP="00E87DB2">
            <w:pPr>
              <w:jc w:val="right"/>
              <w:cnfStyle w:val="000000000000" w:firstRow="0" w:lastRow="0" w:firstColumn="0" w:lastColumn="0" w:oddVBand="0" w:evenVBand="0" w:oddHBand="0" w:evenHBand="0" w:firstRowFirstColumn="0" w:firstRowLastColumn="0" w:lastRowFirstColumn="0" w:lastRowLastColumn="0"/>
            </w:pPr>
            <w:r>
              <w:t xml:space="preserve">-0.7 </w:t>
            </w:r>
            <w:r w:rsidRPr="00392BBE">
              <w:t>p. p</w:t>
            </w:r>
          </w:p>
        </w:tc>
      </w:tr>
      <w:tr w:rsidR="00341597" w:rsidRPr="00B875BD" w14:paraId="2E143EAD" w14:textId="77777777" w:rsidTr="00D21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0" w:type="pct"/>
            <w:hideMark/>
          </w:tcPr>
          <w:p w14:paraId="5D757291" w14:textId="77777777" w:rsidR="00341597" w:rsidRPr="00EB2A81" w:rsidRDefault="00341597" w:rsidP="00341597">
            <w:r w:rsidRPr="00EB2A81">
              <w:t>WA</w:t>
            </w:r>
          </w:p>
        </w:tc>
        <w:tc>
          <w:tcPr>
            <w:tcW w:w="584" w:type="pct"/>
            <w:noWrap/>
          </w:tcPr>
          <w:p w14:paraId="7DB90089" w14:textId="77777777" w:rsidR="00341597" w:rsidRPr="00445355"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445355">
              <w:t>85.8%</w:t>
            </w:r>
          </w:p>
        </w:tc>
        <w:tc>
          <w:tcPr>
            <w:tcW w:w="584" w:type="pct"/>
            <w:noWrap/>
          </w:tcPr>
          <w:p w14:paraId="3D567C22" w14:textId="77777777" w:rsidR="00341597" w:rsidRPr="00445355"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445355">
              <w:t>82.3%</w:t>
            </w:r>
          </w:p>
        </w:tc>
        <w:tc>
          <w:tcPr>
            <w:tcW w:w="728" w:type="pct"/>
            <w:tcBorders>
              <w:right w:val="single" w:sz="4" w:space="0" w:color="auto"/>
            </w:tcBorders>
            <w:noWrap/>
          </w:tcPr>
          <w:p w14:paraId="39E501A3" w14:textId="77777777" w:rsidR="00341597" w:rsidRPr="00445355"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445355">
              <w:t>-3.4</w:t>
            </w:r>
            <w:r>
              <w:t xml:space="preserve"> </w:t>
            </w:r>
            <w:r w:rsidRPr="00392BBE">
              <w:t>p. p</w:t>
            </w:r>
          </w:p>
        </w:tc>
        <w:tc>
          <w:tcPr>
            <w:tcW w:w="584" w:type="pct"/>
            <w:tcBorders>
              <w:left w:val="single" w:sz="4" w:space="0" w:color="auto"/>
              <w:bottom w:val="nil"/>
            </w:tcBorders>
            <w:noWrap/>
          </w:tcPr>
          <w:p w14:paraId="217CA987" w14:textId="77777777" w:rsidR="00341597" w:rsidRPr="00762A9D"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762A9D">
              <w:t>83.9%</w:t>
            </w:r>
          </w:p>
        </w:tc>
        <w:tc>
          <w:tcPr>
            <w:tcW w:w="584" w:type="pct"/>
            <w:tcBorders>
              <w:bottom w:val="nil"/>
            </w:tcBorders>
            <w:noWrap/>
          </w:tcPr>
          <w:p w14:paraId="46805551" w14:textId="77777777" w:rsidR="00341597" w:rsidRPr="00762A9D"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762A9D">
              <w:t>79.3%</w:t>
            </w:r>
          </w:p>
        </w:tc>
        <w:tc>
          <w:tcPr>
            <w:tcW w:w="727" w:type="pct"/>
            <w:tcBorders>
              <w:bottom w:val="nil"/>
            </w:tcBorders>
            <w:noWrap/>
          </w:tcPr>
          <w:p w14:paraId="4455E3E2" w14:textId="77777777" w:rsidR="00341597" w:rsidRPr="00762A9D" w:rsidRDefault="00341597" w:rsidP="00E87DB2">
            <w:pPr>
              <w:jc w:val="right"/>
              <w:cnfStyle w:val="000000100000" w:firstRow="0" w:lastRow="0" w:firstColumn="0" w:lastColumn="0" w:oddVBand="0" w:evenVBand="0" w:oddHBand="1" w:evenHBand="0" w:firstRowFirstColumn="0" w:firstRowLastColumn="0" w:lastRowFirstColumn="0" w:lastRowLastColumn="0"/>
            </w:pPr>
            <w:r>
              <w:t xml:space="preserve">-4.6 </w:t>
            </w:r>
            <w:r w:rsidRPr="00392BBE">
              <w:t>p. p</w:t>
            </w:r>
          </w:p>
        </w:tc>
      </w:tr>
      <w:tr w:rsidR="00341597" w:rsidRPr="00B875BD" w14:paraId="6D552388" w14:textId="77777777" w:rsidTr="00D21F72">
        <w:tc>
          <w:tcPr>
            <w:cnfStyle w:val="001000000000" w:firstRow="0" w:lastRow="0" w:firstColumn="1" w:lastColumn="0" w:oddVBand="0" w:evenVBand="0" w:oddHBand="0" w:evenHBand="0" w:firstRowFirstColumn="0" w:firstRowLastColumn="0" w:lastRowFirstColumn="0" w:lastRowLastColumn="0"/>
            <w:tcW w:w="1210" w:type="pct"/>
            <w:hideMark/>
          </w:tcPr>
          <w:p w14:paraId="59B54A10" w14:textId="77777777" w:rsidR="00341597" w:rsidRPr="00EB2A81" w:rsidRDefault="00341597" w:rsidP="00341597">
            <w:r w:rsidRPr="00EB2A81">
              <w:t>SA</w:t>
            </w:r>
          </w:p>
        </w:tc>
        <w:tc>
          <w:tcPr>
            <w:tcW w:w="584" w:type="pct"/>
            <w:noWrap/>
          </w:tcPr>
          <w:p w14:paraId="1AE73223" w14:textId="77777777" w:rsidR="00341597" w:rsidRPr="00445355"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445355">
              <w:t>87.3%</w:t>
            </w:r>
          </w:p>
        </w:tc>
        <w:tc>
          <w:tcPr>
            <w:tcW w:w="584" w:type="pct"/>
            <w:noWrap/>
          </w:tcPr>
          <w:p w14:paraId="327B38E4" w14:textId="77777777" w:rsidR="00341597" w:rsidRPr="00445355"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445355">
              <w:t>89.8%</w:t>
            </w:r>
          </w:p>
        </w:tc>
        <w:tc>
          <w:tcPr>
            <w:tcW w:w="728" w:type="pct"/>
            <w:tcBorders>
              <w:right w:val="single" w:sz="4" w:space="0" w:color="auto"/>
            </w:tcBorders>
            <w:noWrap/>
          </w:tcPr>
          <w:p w14:paraId="3C4243F1" w14:textId="77777777" w:rsidR="00341597" w:rsidRPr="00445355"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445355">
              <w:t>2.5</w:t>
            </w:r>
            <w:r>
              <w:t xml:space="preserve"> </w:t>
            </w:r>
            <w:r w:rsidRPr="00392BBE">
              <w:t>p. p</w:t>
            </w:r>
          </w:p>
        </w:tc>
        <w:tc>
          <w:tcPr>
            <w:tcW w:w="584" w:type="pct"/>
            <w:tcBorders>
              <w:left w:val="single" w:sz="4" w:space="0" w:color="auto"/>
              <w:bottom w:val="nil"/>
            </w:tcBorders>
            <w:noWrap/>
          </w:tcPr>
          <w:p w14:paraId="55354878" w14:textId="77777777" w:rsidR="00341597" w:rsidRPr="00762A9D"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762A9D">
              <w:t>78.2%</w:t>
            </w:r>
          </w:p>
        </w:tc>
        <w:tc>
          <w:tcPr>
            <w:tcW w:w="584" w:type="pct"/>
            <w:tcBorders>
              <w:bottom w:val="nil"/>
            </w:tcBorders>
            <w:noWrap/>
          </w:tcPr>
          <w:p w14:paraId="782A0E37" w14:textId="77777777" w:rsidR="00341597" w:rsidRPr="00762A9D"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762A9D">
              <w:t>76.4%</w:t>
            </w:r>
          </w:p>
        </w:tc>
        <w:tc>
          <w:tcPr>
            <w:tcW w:w="727" w:type="pct"/>
            <w:tcBorders>
              <w:bottom w:val="nil"/>
            </w:tcBorders>
            <w:noWrap/>
          </w:tcPr>
          <w:p w14:paraId="00704008" w14:textId="77777777" w:rsidR="00341597" w:rsidRPr="00762A9D" w:rsidRDefault="00341597" w:rsidP="00E87DB2">
            <w:pPr>
              <w:jc w:val="right"/>
              <w:cnfStyle w:val="000000000000" w:firstRow="0" w:lastRow="0" w:firstColumn="0" w:lastColumn="0" w:oddVBand="0" w:evenVBand="0" w:oddHBand="0" w:evenHBand="0" w:firstRowFirstColumn="0" w:firstRowLastColumn="0" w:lastRowFirstColumn="0" w:lastRowLastColumn="0"/>
            </w:pPr>
            <w:r>
              <w:t xml:space="preserve">-1.8 </w:t>
            </w:r>
            <w:r w:rsidRPr="00392BBE">
              <w:t>p. p</w:t>
            </w:r>
          </w:p>
        </w:tc>
      </w:tr>
      <w:tr w:rsidR="00341597" w:rsidRPr="00B875BD" w14:paraId="7424566E" w14:textId="77777777" w:rsidTr="00D21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0" w:type="pct"/>
            <w:hideMark/>
          </w:tcPr>
          <w:p w14:paraId="76411430" w14:textId="77777777" w:rsidR="00341597" w:rsidRPr="00EB2A81" w:rsidRDefault="00341597" w:rsidP="00341597">
            <w:r w:rsidRPr="00EB2A81">
              <w:t>TAS</w:t>
            </w:r>
          </w:p>
        </w:tc>
        <w:tc>
          <w:tcPr>
            <w:tcW w:w="584" w:type="pct"/>
            <w:noWrap/>
          </w:tcPr>
          <w:p w14:paraId="39B05D83" w14:textId="77777777" w:rsidR="00341597" w:rsidRPr="00445355"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445355">
              <w:t>96.9%</w:t>
            </w:r>
          </w:p>
        </w:tc>
        <w:tc>
          <w:tcPr>
            <w:tcW w:w="584" w:type="pct"/>
            <w:noWrap/>
          </w:tcPr>
          <w:p w14:paraId="3E004FF8" w14:textId="77777777" w:rsidR="00341597" w:rsidRPr="00445355"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445355">
              <w:t>97.1%</w:t>
            </w:r>
          </w:p>
        </w:tc>
        <w:tc>
          <w:tcPr>
            <w:tcW w:w="728" w:type="pct"/>
            <w:tcBorders>
              <w:right w:val="single" w:sz="4" w:space="0" w:color="auto"/>
            </w:tcBorders>
            <w:noWrap/>
          </w:tcPr>
          <w:p w14:paraId="2D08ADB8" w14:textId="77777777" w:rsidR="00341597" w:rsidRPr="00445355"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445355">
              <w:t>0.2</w:t>
            </w:r>
            <w:r>
              <w:t xml:space="preserve"> </w:t>
            </w:r>
            <w:r w:rsidRPr="00392BBE">
              <w:t>p. p</w:t>
            </w:r>
          </w:p>
        </w:tc>
        <w:tc>
          <w:tcPr>
            <w:tcW w:w="584" w:type="pct"/>
            <w:tcBorders>
              <w:left w:val="single" w:sz="4" w:space="0" w:color="auto"/>
              <w:bottom w:val="nil"/>
            </w:tcBorders>
            <w:noWrap/>
          </w:tcPr>
          <w:p w14:paraId="40FD3067" w14:textId="77777777" w:rsidR="00341597" w:rsidRPr="00762A9D"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762A9D">
              <w:t>89.2%</w:t>
            </w:r>
          </w:p>
        </w:tc>
        <w:tc>
          <w:tcPr>
            <w:tcW w:w="584" w:type="pct"/>
            <w:tcBorders>
              <w:bottom w:val="nil"/>
            </w:tcBorders>
            <w:noWrap/>
          </w:tcPr>
          <w:p w14:paraId="4C36C0F9" w14:textId="77777777" w:rsidR="00341597" w:rsidRPr="00762A9D"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762A9D">
              <w:t>88.2%</w:t>
            </w:r>
          </w:p>
        </w:tc>
        <w:tc>
          <w:tcPr>
            <w:tcW w:w="727" w:type="pct"/>
            <w:tcBorders>
              <w:bottom w:val="nil"/>
            </w:tcBorders>
            <w:noWrap/>
          </w:tcPr>
          <w:p w14:paraId="6B95FD53" w14:textId="77777777" w:rsidR="00341597" w:rsidRPr="00762A9D" w:rsidRDefault="00341597" w:rsidP="00E87DB2">
            <w:pPr>
              <w:jc w:val="right"/>
              <w:cnfStyle w:val="000000100000" w:firstRow="0" w:lastRow="0" w:firstColumn="0" w:lastColumn="0" w:oddVBand="0" w:evenVBand="0" w:oddHBand="1" w:evenHBand="0" w:firstRowFirstColumn="0" w:firstRowLastColumn="0" w:lastRowFirstColumn="0" w:lastRowLastColumn="0"/>
            </w:pPr>
            <w:r>
              <w:t xml:space="preserve">-1.0 </w:t>
            </w:r>
            <w:r w:rsidRPr="00392BBE">
              <w:t>p. p</w:t>
            </w:r>
          </w:p>
        </w:tc>
      </w:tr>
      <w:tr w:rsidR="00341597" w:rsidRPr="00B875BD" w14:paraId="77786BB7" w14:textId="77777777" w:rsidTr="00D21F72">
        <w:tc>
          <w:tcPr>
            <w:cnfStyle w:val="001000000000" w:firstRow="0" w:lastRow="0" w:firstColumn="1" w:lastColumn="0" w:oddVBand="0" w:evenVBand="0" w:oddHBand="0" w:evenHBand="0" w:firstRowFirstColumn="0" w:firstRowLastColumn="0" w:lastRowFirstColumn="0" w:lastRowLastColumn="0"/>
            <w:tcW w:w="1210" w:type="pct"/>
          </w:tcPr>
          <w:p w14:paraId="3114AEC6" w14:textId="77777777" w:rsidR="00341597" w:rsidRPr="00EB2A81" w:rsidRDefault="00341597" w:rsidP="00341597">
            <w:r w:rsidRPr="00EB2A81">
              <w:t>ACT</w:t>
            </w:r>
          </w:p>
        </w:tc>
        <w:tc>
          <w:tcPr>
            <w:tcW w:w="584" w:type="pct"/>
            <w:noWrap/>
          </w:tcPr>
          <w:p w14:paraId="0181C2AB" w14:textId="77777777" w:rsidR="00341597" w:rsidRPr="00445355"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445355">
              <w:t>94.7%</w:t>
            </w:r>
          </w:p>
        </w:tc>
        <w:tc>
          <w:tcPr>
            <w:tcW w:w="584" w:type="pct"/>
            <w:noWrap/>
          </w:tcPr>
          <w:p w14:paraId="6A15BA57" w14:textId="77777777" w:rsidR="00341597" w:rsidRPr="00445355"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445355">
              <w:t>93.9%</w:t>
            </w:r>
          </w:p>
        </w:tc>
        <w:tc>
          <w:tcPr>
            <w:tcW w:w="728" w:type="pct"/>
            <w:tcBorders>
              <w:right w:val="single" w:sz="4" w:space="0" w:color="auto"/>
            </w:tcBorders>
            <w:noWrap/>
          </w:tcPr>
          <w:p w14:paraId="5E9A797E" w14:textId="77777777" w:rsidR="00341597" w:rsidRPr="00445355"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445355">
              <w:t>-0.8</w:t>
            </w:r>
            <w:r>
              <w:t xml:space="preserve"> </w:t>
            </w:r>
            <w:r w:rsidRPr="00392BBE">
              <w:t>p. p</w:t>
            </w:r>
          </w:p>
        </w:tc>
        <w:tc>
          <w:tcPr>
            <w:tcW w:w="584" w:type="pct"/>
            <w:tcBorders>
              <w:left w:val="single" w:sz="4" w:space="0" w:color="auto"/>
              <w:bottom w:val="nil"/>
            </w:tcBorders>
            <w:noWrap/>
          </w:tcPr>
          <w:p w14:paraId="6733AC90" w14:textId="77777777" w:rsidR="00341597" w:rsidRPr="00762A9D"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762A9D">
              <w:t>78.9%</w:t>
            </w:r>
          </w:p>
        </w:tc>
        <w:tc>
          <w:tcPr>
            <w:tcW w:w="584" w:type="pct"/>
            <w:tcBorders>
              <w:bottom w:val="nil"/>
            </w:tcBorders>
            <w:noWrap/>
          </w:tcPr>
          <w:p w14:paraId="44700FB1" w14:textId="77777777" w:rsidR="00341597" w:rsidRPr="00762A9D"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762A9D">
              <w:t>82.6%</w:t>
            </w:r>
          </w:p>
        </w:tc>
        <w:tc>
          <w:tcPr>
            <w:tcW w:w="727" w:type="pct"/>
            <w:tcBorders>
              <w:bottom w:val="nil"/>
            </w:tcBorders>
            <w:noWrap/>
          </w:tcPr>
          <w:p w14:paraId="1A16CB0D" w14:textId="77777777" w:rsidR="00341597" w:rsidRPr="00762A9D" w:rsidRDefault="00341597" w:rsidP="00E87DB2">
            <w:pPr>
              <w:jc w:val="right"/>
              <w:cnfStyle w:val="000000000000" w:firstRow="0" w:lastRow="0" w:firstColumn="0" w:lastColumn="0" w:oddVBand="0" w:evenVBand="0" w:oddHBand="0" w:evenHBand="0" w:firstRowFirstColumn="0" w:firstRowLastColumn="0" w:lastRowFirstColumn="0" w:lastRowLastColumn="0"/>
            </w:pPr>
            <w:r>
              <w:t xml:space="preserve">3.7 </w:t>
            </w:r>
            <w:r w:rsidRPr="00392BBE">
              <w:t>p. p</w:t>
            </w:r>
          </w:p>
        </w:tc>
      </w:tr>
      <w:tr w:rsidR="00341597" w:rsidRPr="00B875BD" w14:paraId="1CC84EF8" w14:textId="77777777" w:rsidTr="00D21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0" w:type="pct"/>
          </w:tcPr>
          <w:p w14:paraId="61C93BF2" w14:textId="77777777" w:rsidR="00341597" w:rsidRPr="00EB2A81" w:rsidRDefault="00341597" w:rsidP="00341597">
            <w:r w:rsidRPr="00EB2A81">
              <w:t>NT</w:t>
            </w:r>
          </w:p>
        </w:tc>
        <w:tc>
          <w:tcPr>
            <w:tcW w:w="584" w:type="pct"/>
            <w:noWrap/>
          </w:tcPr>
          <w:p w14:paraId="000DA57C" w14:textId="77777777" w:rsidR="00341597" w:rsidRPr="00445355"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445355">
              <w:t>81.4%</w:t>
            </w:r>
          </w:p>
        </w:tc>
        <w:tc>
          <w:tcPr>
            <w:tcW w:w="584" w:type="pct"/>
            <w:noWrap/>
          </w:tcPr>
          <w:p w14:paraId="26922F1C" w14:textId="77777777" w:rsidR="00341597" w:rsidRPr="00445355"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445355">
              <w:t>85.7%</w:t>
            </w:r>
          </w:p>
        </w:tc>
        <w:tc>
          <w:tcPr>
            <w:tcW w:w="728" w:type="pct"/>
            <w:tcBorders>
              <w:right w:val="single" w:sz="4" w:space="0" w:color="auto"/>
            </w:tcBorders>
            <w:noWrap/>
          </w:tcPr>
          <w:p w14:paraId="51260D54" w14:textId="77777777" w:rsidR="00341597" w:rsidRPr="00445355"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445355">
              <w:t>4.3</w:t>
            </w:r>
            <w:r>
              <w:t xml:space="preserve"> </w:t>
            </w:r>
            <w:r w:rsidRPr="00392BBE">
              <w:t>p. p</w:t>
            </w:r>
          </w:p>
        </w:tc>
        <w:tc>
          <w:tcPr>
            <w:tcW w:w="584" w:type="pct"/>
            <w:tcBorders>
              <w:left w:val="single" w:sz="4" w:space="0" w:color="auto"/>
              <w:bottom w:val="nil"/>
            </w:tcBorders>
            <w:noWrap/>
          </w:tcPr>
          <w:p w14:paraId="3BDA33EC" w14:textId="77777777" w:rsidR="00341597" w:rsidRPr="00762A9D"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762A9D">
              <w:t>75.9%</w:t>
            </w:r>
          </w:p>
        </w:tc>
        <w:tc>
          <w:tcPr>
            <w:tcW w:w="584" w:type="pct"/>
            <w:tcBorders>
              <w:bottom w:val="nil"/>
            </w:tcBorders>
            <w:noWrap/>
          </w:tcPr>
          <w:p w14:paraId="3D06A77F" w14:textId="77777777" w:rsidR="00341597" w:rsidRPr="00762A9D" w:rsidRDefault="00341597" w:rsidP="00E87DB2">
            <w:pPr>
              <w:jc w:val="right"/>
              <w:cnfStyle w:val="000000100000" w:firstRow="0" w:lastRow="0" w:firstColumn="0" w:lastColumn="0" w:oddVBand="0" w:evenVBand="0" w:oddHBand="1" w:evenHBand="0" w:firstRowFirstColumn="0" w:firstRowLastColumn="0" w:lastRowFirstColumn="0" w:lastRowLastColumn="0"/>
            </w:pPr>
            <w:r w:rsidRPr="00762A9D">
              <w:t>72.5%</w:t>
            </w:r>
          </w:p>
        </w:tc>
        <w:tc>
          <w:tcPr>
            <w:tcW w:w="727" w:type="pct"/>
            <w:tcBorders>
              <w:bottom w:val="nil"/>
            </w:tcBorders>
            <w:noWrap/>
          </w:tcPr>
          <w:p w14:paraId="435486E8" w14:textId="77777777" w:rsidR="00341597" w:rsidRPr="00762A9D" w:rsidRDefault="00341597" w:rsidP="00E87DB2">
            <w:pPr>
              <w:jc w:val="right"/>
              <w:cnfStyle w:val="000000100000" w:firstRow="0" w:lastRow="0" w:firstColumn="0" w:lastColumn="0" w:oddVBand="0" w:evenVBand="0" w:oddHBand="1" w:evenHBand="0" w:firstRowFirstColumn="0" w:firstRowLastColumn="0" w:lastRowFirstColumn="0" w:lastRowLastColumn="0"/>
            </w:pPr>
            <w:r>
              <w:t xml:space="preserve">-3.4 </w:t>
            </w:r>
            <w:r w:rsidRPr="00392BBE">
              <w:t>p. p</w:t>
            </w:r>
          </w:p>
        </w:tc>
      </w:tr>
      <w:tr w:rsidR="00341597" w:rsidRPr="00B875BD" w14:paraId="5DD0C81B" w14:textId="77777777" w:rsidTr="00D21F72">
        <w:tc>
          <w:tcPr>
            <w:cnfStyle w:val="001000000000" w:firstRow="0" w:lastRow="0" w:firstColumn="1" w:lastColumn="0" w:oddVBand="0" w:evenVBand="0" w:oddHBand="0" w:evenHBand="0" w:firstRowFirstColumn="0" w:firstRowLastColumn="0" w:lastRowFirstColumn="0" w:lastRowLastColumn="0"/>
            <w:tcW w:w="1210" w:type="pct"/>
          </w:tcPr>
          <w:p w14:paraId="4B8A4E05" w14:textId="77777777" w:rsidR="00341597" w:rsidRPr="00A02290" w:rsidRDefault="00341597" w:rsidP="00341597">
            <w:r w:rsidRPr="00A02290">
              <w:t>Australia</w:t>
            </w:r>
          </w:p>
        </w:tc>
        <w:tc>
          <w:tcPr>
            <w:tcW w:w="584" w:type="pct"/>
            <w:noWrap/>
          </w:tcPr>
          <w:p w14:paraId="13DFEC10" w14:textId="77777777" w:rsidR="00341597" w:rsidRPr="00045FDB"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045FDB">
              <w:t>87.2%</w:t>
            </w:r>
          </w:p>
        </w:tc>
        <w:tc>
          <w:tcPr>
            <w:tcW w:w="584" w:type="pct"/>
            <w:noWrap/>
          </w:tcPr>
          <w:p w14:paraId="106FD7EA" w14:textId="77777777" w:rsidR="00341597" w:rsidRPr="00045FDB"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045FDB">
              <w:t>87.1%</w:t>
            </w:r>
          </w:p>
        </w:tc>
        <w:tc>
          <w:tcPr>
            <w:tcW w:w="728" w:type="pct"/>
            <w:tcBorders>
              <w:right w:val="single" w:sz="4" w:space="0" w:color="auto"/>
            </w:tcBorders>
            <w:noWrap/>
          </w:tcPr>
          <w:p w14:paraId="2DBAE508" w14:textId="77777777" w:rsidR="00341597" w:rsidRPr="00045FDB"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045FDB">
              <w:t>-0.1 p. p</w:t>
            </w:r>
          </w:p>
        </w:tc>
        <w:tc>
          <w:tcPr>
            <w:tcW w:w="584" w:type="pct"/>
            <w:tcBorders>
              <w:left w:val="single" w:sz="4" w:space="0" w:color="auto"/>
              <w:bottom w:val="single" w:sz="4" w:space="0" w:color="auto"/>
            </w:tcBorders>
            <w:noWrap/>
          </w:tcPr>
          <w:p w14:paraId="75F12025" w14:textId="77777777" w:rsidR="00341597" w:rsidRPr="00045FDB"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045FDB">
              <w:t>81.6%</w:t>
            </w:r>
          </w:p>
        </w:tc>
        <w:tc>
          <w:tcPr>
            <w:tcW w:w="584" w:type="pct"/>
            <w:tcBorders>
              <w:bottom w:val="single" w:sz="4" w:space="0" w:color="auto"/>
            </w:tcBorders>
            <w:noWrap/>
          </w:tcPr>
          <w:p w14:paraId="3E6B2D25" w14:textId="77777777" w:rsidR="00341597" w:rsidRPr="00045FDB"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045FDB">
              <w:t>79.6%</w:t>
            </w:r>
          </w:p>
        </w:tc>
        <w:tc>
          <w:tcPr>
            <w:tcW w:w="727" w:type="pct"/>
            <w:tcBorders>
              <w:bottom w:val="single" w:sz="4" w:space="0" w:color="auto"/>
            </w:tcBorders>
            <w:noWrap/>
          </w:tcPr>
          <w:p w14:paraId="30AFA81A" w14:textId="77777777" w:rsidR="00341597" w:rsidRPr="00045FDB" w:rsidRDefault="00341597" w:rsidP="00E87DB2">
            <w:pPr>
              <w:jc w:val="right"/>
              <w:cnfStyle w:val="000000000000" w:firstRow="0" w:lastRow="0" w:firstColumn="0" w:lastColumn="0" w:oddVBand="0" w:evenVBand="0" w:oddHBand="0" w:evenHBand="0" w:firstRowFirstColumn="0" w:firstRowLastColumn="0" w:lastRowFirstColumn="0" w:lastRowLastColumn="0"/>
            </w:pPr>
            <w:r w:rsidRPr="00045FDB">
              <w:t>-2.0 p. p</w:t>
            </w:r>
          </w:p>
        </w:tc>
      </w:tr>
    </w:tbl>
    <w:p w14:paraId="2D99ABC5" w14:textId="77777777" w:rsidR="00341597" w:rsidRDefault="00341597" w:rsidP="003762A0"/>
    <w:p w14:paraId="7B5F76FC" w14:textId="77777777" w:rsidR="00341597" w:rsidRPr="0082139F" w:rsidRDefault="00341597" w:rsidP="00B67C70">
      <w:pPr>
        <w:pStyle w:val="ListParagraph"/>
      </w:pPr>
      <w:r w:rsidRPr="002F34DC">
        <w:t>In 201</w:t>
      </w:r>
      <w:r>
        <w:t>7</w:t>
      </w:r>
      <w:r w:rsidRPr="002F34DC">
        <w:t xml:space="preserve">, offers to Year 12 applicants represented </w:t>
      </w:r>
      <w:r>
        <w:t>42.6</w:t>
      </w:r>
      <w:r w:rsidRPr="002F34DC">
        <w:t>% of total offers</w:t>
      </w:r>
      <w:r>
        <w:t>, a de</w:t>
      </w:r>
      <w:r w:rsidRPr="002F34DC">
        <w:t xml:space="preserve">crease of </w:t>
      </w:r>
      <w:r>
        <w:t xml:space="preserve">0.5 </w:t>
      </w:r>
      <w:r w:rsidRPr="0082139F">
        <w:t>percentage points from 201</w:t>
      </w:r>
      <w:r>
        <w:t>6</w:t>
      </w:r>
      <w:r w:rsidRPr="0082139F">
        <w:t xml:space="preserve">. </w:t>
      </w:r>
    </w:p>
    <w:p w14:paraId="6A66AD09" w14:textId="77777777" w:rsidR="00341597" w:rsidRDefault="00341597" w:rsidP="00B67C70">
      <w:pPr>
        <w:pStyle w:val="ListParagraph"/>
      </w:pPr>
      <w:r>
        <w:t xml:space="preserve">Victoria </w:t>
      </w:r>
      <w:r w:rsidRPr="0082139F">
        <w:t xml:space="preserve">recorded the highest proportion of </w:t>
      </w:r>
      <w:r>
        <w:t>offers to Year 12 applicants (47.5%), followed by South Australia (44.4%). NT recorded the largest increase (2.3 percentage points) in the proportion of offers to Year 12 applicants compared with 2016, followed by SA (0.6 percentage points).</w:t>
      </w:r>
      <w:r w:rsidRPr="00044045">
        <w:t xml:space="preserve"> </w:t>
      </w:r>
      <w:r>
        <w:t xml:space="preserve">Tasmania recorded a 4.7 </w:t>
      </w:r>
      <w:r w:rsidRPr="00044045">
        <w:t xml:space="preserve">percentage </w:t>
      </w:r>
      <w:proofErr w:type="gramStart"/>
      <w:r w:rsidRPr="00044045">
        <w:t>points</w:t>
      </w:r>
      <w:proofErr w:type="gramEnd"/>
      <w:r>
        <w:t xml:space="preserve"> fall in the proportion of offers to Year 12 applicants compared with 2016.</w:t>
      </w:r>
    </w:p>
    <w:p w14:paraId="5CBB10B2" w14:textId="4765C084" w:rsidR="00D21F72" w:rsidRDefault="00D21F72" w:rsidP="00D21F72">
      <w:pPr>
        <w:pStyle w:val="Caption"/>
        <w:keepNext/>
      </w:pPr>
      <w:bookmarkStart w:id="54" w:name="_Toc492453638"/>
      <w:bookmarkStart w:id="55" w:name="_Toc492453863"/>
      <w:r>
        <w:lastRenderedPageBreak/>
        <w:t xml:space="preserve">Table </w:t>
      </w:r>
      <w:fldSimple w:instr=" SEQ Table \* ARABIC ">
        <w:r w:rsidR="00E05F5D">
          <w:rPr>
            <w:noProof/>
          </w:rPr>
          <w:t>7</w:t>
        </w:r>
      </w:fldSimple>
      <w:r w:rsidRPr="00616453">
        <w:t>: Proportion of offers to Year 12 applicants by state and territory, February 2016 and February 2017</w:t>
      </w:r>
      <w:bookmarkEnd w:id="54"/>
      <w:bookmarkEnd w:id="55"/>
    </w:p>
    <w:tbl>
      <w:tblPr>
        <w:tblStyle w:val="DEEWRTable"/>
        <w:tblW w:w="5000" w:type="pct"/>
        <w:tblLook w:val="04A0" w:firstRow="1" w:lastRow="0" w:firstColumn="1" w:lastColumn="0" w:noHBand="0" w:noVBand="1"/>
      </w:tblPr>
      <w:tblGrid>
        <w:gridCol w:w="3518"/>
        <w:gridCol w:w="1969"/>
        <w:gridCol w:w="1969"/>
        <w:gridCol w:w="1786"/>
      </w:tblGrid>
      <w:tr w:rsidR="00341597" w:rsidRPr="00B875BD" w14:paraId="3110E600" w14:textId="77777777" w:rsidTr="00D21F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3" w:type="pct"/>
            <w:noWrap/>
            <w:hideMark/>
          </w:tcPr>
          <w:p w14:paraId="643979F6" w14:textId="77777777" w:rsidR="00341597" w:rsidRPr="00A02290" w:rsidRDefault="00341597" w:rsidP="00341597">
            <w:r w:rsidRPr="00A02290">
              <w:t>State/Territory</w:t>
            </w:r>
          </w:p>
        </w:tc>
        <w:tc>
          <w:tcPr>
            <w:tcW w:w="1065" w:type="pct"/>
          </w:tcPr>
          <w:p w14:paraId="0C08CBC1" w14:textId="77777777" w:rsidR="00341597" w:rsidRPr="00645580" w:rsidRDefault="00341597" w:rsidP="00A02290">
            <w:pPr>
              <w:cnfStyle w:val="100000000000" w:firstRow="1" w:lastRow="0" w:firstColumn="0" w:lastColumn="0" w:oddVBand="0" w:evenVBand="0" w:oddHBand="0" w:evenHBand="0" w:firstRowFirstColumn="0" w:firstRowLastColumn="0" w:lastRowFirstColumn="0" w:lastRowLastColumn="0"/>
            </w:pPr>
            <w:r w:rsidRPr="00645580">
              <w:t>201</w:t>
            </w:r>
            <w:r>
              <w:t>6</w:t>
            </w:r>
          </w:p>
        </w:tc>
        <w:tc>
          <w:tcPr>
            <w:tcW w:w="1065" w:type="pct"/>
            <w:noWrap/>
            <w:hideMark/>
          </w:tcPr>
          <w:p w14:paraId="487D687B" w14:textId="77777777" w:rsidR="00341597" w:rsidRPr="00645580" w:rsidRDefault="00341597" w:rsidP="00A02290">
            <w:pPr>
              <w:cnfStyle w:val="100000000000" w:firstRow="1" w:lastRow="0" w:firstColumn="0" w:lastColumn="0" w:oddVBand="0" w:evenVBand="0" w:oddHBand="0" w:evenHBand="0" w:firstRowFirstColumn="0" w:firstRowLastColumn="0" w:lastRowFirstColumn="0" w:lastRowLastColumn="0"/>
            </w:pPr>
            <w:r w:rsidRPr="00645580">
              <w:t>201</w:t>
            </w:r>
            <w:r>
              <w:t>7</w:t>
            </w:r>
          </w:p>
        </w:tc>
        <w:tc>
          <w:tcPr>
            <w:tcW w:w="966" w:type="pct"/>
            <w:noWrap/>
            <w:hideMark/>
          </w:tcPr>
          <w:p w14:paraId="0E1E0776" w14:textId="4AE581F7" w:rsidR="00341597" w:rsidRPr="00645580" w:rsidRDefault="00341597" w:rsidP="00F44C09">
            <w:pPr>
              <w:jc w:val="center"/>
              <w:cnfStyle w:val="100000000000" w:firstRow="1" w:lastRow="0" w:firstColumn="0" w:lastColumn="0" w:oddVBand="0" w:evenVBand="0" w:oddHBand="0" w:evenHBand="0" w:firstRowFirstColumn="0" w:firstRowLastColumn="0" w:lastRowFirstColumn="0" w:lastRowLastColumn="0"/>
            </w:pPr>
            <w:r w:rsidRPr="00645580">
              <w:t>Change</w:t>
            </w:r>
          </w:p>
        </w:tc>
      </w:tr>
      <w:tr w:rsidR="00341597" w:rsidRPr="00B875BD" w14:paraId="1947FC68" w14:textId="77777777" w:rsidTr="00D21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3" w:type="pct"/>
          </w:tcPr>
          <w:p w14:paraId="70546750" w14:textId="77777777" w:rsidR="00341597" w:rsidRPr="00E50A53" w:rsidRDefault="00341597" w:rsidP="00341597">
            <w:r w:rsidRPr="00E50A53">
              <w:t>NSW</w:t>
            </w:r>
          </w:p>
        </w:tc>
        <w:tc>
          <w:tcPr>
            <w:tcW w:w="1065" w:type="pct"/>
          </w:tcPr>
          <w:p w14:paraId="710C55AE" w14:textId="77777777" w:rsidR="00341597" w:rsidRPr="004F2028" w:rsidRDefault="00341597" w:rsidP="00A02290">
            <w:pPr>
              <w:cnfStyle w:val="000000100000" w:firstRow="0" w:lastRow="0" w:firstColumn="0" w:lastColumn="0" w:oddVBand="0" w:evenVBand="0" w:oddHBand="1" w:evenHBand="0" w:firstRowFirstColumn="0" w:firstRowLastColumn="0" w:lastRowFirstColumn="0" w:lastRowLastColumn="0"/>
            </w:pPr>
            <w:r w:rsidRPr="004F2028">
              <w:t>43.7%</w:t>
            </w:r>
          </w:p>
        </w:tc>
        <w:tc>
          <w:tcPr>
            <w:tcW w:w="1065" w:type="pct"/>
            <w:noWrap/>
          </w:tcPr>
          <w:p w14:paraId="013FEA87" w14:textId="77777777" w:rsidR="00341597" w:rsidRPr="004F2028" w:rsidRDefault="00341597" w:rsidP="00A02290">
            <w:pPr>
              <w:cnfStyle w:val="000000100000" w:firstRow="0" w:lastRow="0" w:firstColumn="0" w:lastColumn="0" w:oddVBand="0" w:evenVBand="0" w:oddHBand="1" w:evenHBand="0" w:firstRowFirstColumn="0" w:firstRowLastColumn="0" w:lastRowFirstColumn="0" w:lastRowLastColumn="0"/>
            </w:pPr>
            <w:r w:rsidRPr="004F2028">
              <w:t>42.3%</w:t>
            </w:r>
          </w:p>
        </w:tc>
        <w:tc>
          <w:tcPr>
            <w:tcW w:w="966" w:type="pct"/>
            <w:noWrap/>
          </w:tcPr>
          <w:p w14:paraId="0C14E954" w14:textId="77777777" w:rsidR="00341597" w:rsidRPr="004F2028" w:rsidRDefault="00341597" w:rsidP="00F44C09">
            <w:pPr>
              <w:ind w:right="379"/>
              <w:jc w:val="right"/>
              <w:cnfStyle w:val="000000100000" w:firstRow="0" w:lastRow="0" w:firstColumn="0" w:lastColumn="0" w:oddVBand="0" w:evenVBand="0" w:oddHBand="1" w:evenHBand="0" w:firstRowFirstColumn="0" w:firstRowLastColumn="0" w:lastRowFirstColumn="0" w:lastRowLastColumn="0"/>
            </w:pPr>
            <w:r w:rsidRPr="004F2028">
              <w:t>-1.4</w:t>
            </w:r>
            <w:r>
              <w:t xml:space="preserve"> p. p</w:t>
            </w:r>
          </w:p>
        </w:tc>
      </w:tr>
      <w:tr w:rsidR="00341597" w:rsidRPr="00B875BD" w14:paraId="572FDE7E" w14:textId="77777777" w:rsidTr="00D21F72">
        <w:tc>
          <w:tcPr>
            <w:cnfStyle w:val="001000000000" w:firstRow="0" w:lastRow="0" w:firstColumn="1" w:lastColumn="0" w:oddVBand="0" w:evenVBand="0" w:oddHBand="0" w:evenHBand="0" w:firstRowFirstColumn="0" w:firstRowLastColumn="0" w:lastRowFirstColumn="0" w:lastRowLastColumn="0"/>
            <w:tcW w:w="1903" w:type="pct"/>
          </w:tcPr>
          <w:p w14:paraId="79AAEC4B" w14:textId="77777777" w:rsidR="00341597" w:rsidRPr="00E50A53" w:rsidRDefault="00341597" w:rsidP="00341597">
            <w:r w:rsidRPr="00E50A53">
              <w:t>VIC</w:t>
            </w:r>
          </w:p>
        </w:tc>
        <w:tc>
          <w:tcPr>
            <w:tcW w:w="1065" w:type="pct"/>
          </w:tcPr>
          <w:p w14:paraId="2D37FEE2" w14:textId="77777777" w:rsidR="00341597" w:rsidRPr="004F2028" w:rsidRDefault="00341597" w:rsidP="00A02290">
            <w:pPr>
              <w:cnfStyle w:val="000000000000" w:firstRow="0" w:lastRow="0" w:firstColumn="0" w:lastColumn="0" w:oddVBand="0" w:evenVBand="0" w:oddHBand="0" w:evenHBand="0" w:firstRowFirstColumn="0" w:firstRowLastColumn="0" w:lastRowFirstColumn="0" w:lastRowLastColumn="0"/>
            </w:pPr>
            <w:r w:rsidRPr="004F2028">
              <w:t>47.1%</w:t>
            </w:r>
          </w:p>
        </w:tc>
        <w:tc>
          <w:tcPr>
            <w:tcW w:w="1065" w:type="pct"/>
            <w:noWrap/>
          </w:tcPr>
          <w:p w14:paraId="5839E91C" w14:textId="77777777" w:rsidR="00341597" w:rsidRPr="004F2028" w:rsidRDefault="00341597" w:rsidP="00A02290">
            <w:pPr>
              <w:cnfStyle w:val="000000000000" w:firstRow="0" w:lastRow="0" w:firstColumn="0" w:lastColumn="0" w:oddVBand="0" w:evenVBand="0" w:oddHBand="0" w:evenHBand="0" w:firstRowFirstColumn="0" w:firstRowLastColumn="0" w:lastRowFirstColumn="0" w:lastRowLastColumn="0"/>
            </w:pPr>
            <w:r w:rsidRPr="004F2028">
              <w:t>47.5%</w:t>
            </w:r>
          </w:p>
        </w:tc>
        <w:tc>
          <w:tcPr>
            <w:tcW w:w="966" w:type="pct"/>
            <w:noWrap/>
          </w:tcPr>
          <w:p w14:paraId="40B0BC2D" w14:textId="77777777" w:rsidR="00341597" w:rsidRPr="004F2028" w:rsidRDefault="00341597" w:rsidP="00F44C09">
            <w:pPr>
              <w:ind w:right="379"/>
              <w:jc w:val="right"/>
              <w:cnfStyle w:val="000000000000" w:firstRow="0" w:lastRow="0" w:firstColumn="0" w:lastColumn="0" w:oddVBand="0" w:evenVBand="0" w:oddHBand="0" w:evenHBand="0" w:firstRowFirstColumn="0" w:firstRowLastColumn="0" w:lastRowFirstColumn="0" w:lastRowLastColumn="0"/>
            </w:pPr>
            <w:r w:rsidRPr="004F2028">
              <w:t>0.4</w:t>
            </w:r>
            <w:r>
              <w:t xml:space="preserve"> </w:t>
            </w:r>
            <w:r w:rsidRPr="00F84391">
              <w:t>p. p</w:t>
            </w:r>
          </w:p>
        </w:tc>
      </w:tr>
      <w:tr w:rsidR="00341597" w:rsidRPr="00B875BD" w14:paraId="0A89988E" w14:textId="77777777" w:rsidTr="00D21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3" w:type="pct"/>
          </w:tcPr>
          <w:p w14:paraId="627760F0" w14:textId="77777777" w:rsidR="00341597" w:rsidRPr="00E50A53" w:rsidRDefault="00341597" w:rsidP="00341597">
            <w:r w:rsidRPr="00E50A53">
              <w:t>QLD</w:t>
            </w:r>
          </w:p>
        </w:tc>
        <w:tc>
          <w:tcPr>
            <w:tcW w:w="1065" w:type="pct"/>
          </w:tcPr>
          <w:p w14:paraId="18CEB6E0" w14:textId="77777777" w:rsidR="00341597" w:rsidRPr="004F2028" w:rsidRDefault="00341597" w:rsidP="00A02290">
            <w:pPr>
              <w:cnfStyle w:val="000000100000" w:firstRow="0" w:lastRow="0" w:firstColumn="0" w:lastColumn="0" w:oddVBand="0" w:evenVBand="0" w:oddHBand="1" w:evenHBand="0" w:firstRowFirstColumn="0" w:firstRowLastColumn="0" w:lastRowFirstColumn="0" w:lastRowLastColumn="0"/>
            </w:pPr>
            <w:r w:rsidRPr="004F2028">
              <w:t>41.1%</w:t>
            </w:r>
          </w:p>
        </w:tc>
        <w:tc>
          <w:tcPr>
            <w:tcW w:w="1065" w:type="pct"/>
            <w:noWrap/>
          </w:tcPr>
          <w:p w14:paraId="4D4A6120" w14:textId="77777777" w:rsidR="00341597" w:rsidRPr="004F2028" w:rsidRDefault="00341597" w:rsidP="00A02290">
            <w:pPr>
              <w:cnfStyle w:val="000000100000" w:firstRow="0" w:lastRow="0" w:firstColumn="0" w:lastColumn="0" w:oddVBand="0" w:evenVBand="0" w:oddHBand="1" w:evenHBand="0" w:firstRowFirstColumn="0" w:firstRowLastColumn="0" w:lastRowFirstColumn="0" w:lastRowLastColumn="0"/>
            </w:pPr>
            <w:r w:rsidRPr="004F2028">
              <w:t>41.3%</w:t>
            </w:r>
          </w:p>
        </w:tc>
        <w:tc>
          <w:tcPr>
            <w:tcW w:w="966" w:type="pct"/>
            <w:noWrap/>
          </w:tcPr>
          <w:p w14:paraId="397CF9D8" w14:textId="77777777" w:rsidR="00341597" w:rsidRPr="004F2028" w:rsidRDefault="00341597" w:rsidP="00F44C09">
            <w:pPr>
              <w:ind w:right="379"/>
              <w:jc w:val="right"/>
              <w:cnfStyle w:val="000000100000" w:firstRow="0" w:lastRow="0" w:firstColumn="0" w:lastColumn="0" w:oddVBand="0" w:evenVBand="0" w:oddHBand="1" w:evenHBand="0" w:firstRowFirstColumn="0" w:firstRowLastColumn="0" w:lastRowFirstColumn="0" w:lastRowLastColumn="0"/>
            </w:pPr>
            <w:r w:rsidRPr="004F2028">
              <w:t>0.2</w:t>
            </w:r>
            <w:r>
              <w:t xml:space="preserve"> </w:t>
            </w:r>
            <w:r w:rsidRPr="00F84391">
              <w:t>p. p</w:t>
            </w:r>
          </w:p>
        </w:tc>
      </w:tr>
      <w:tr w:rsidR="00341597" w:rsidRPr="00B875BD" w14:paraId="3E23060F" w14:textId="77777777" w:rsidTr="00D21F72">
        <w:tc>
          <w:tcPr>
            <w:cnfStyle w:val="001000000000" w:firstRow="0" w:lastRow="0" w:firstColumn="1" w:lastColumn="0" w:oddVBand="0" w:evenVBand="0" w:oddHBand="0" w:evenHBand="0" w:firstRowFirstColumn="0" w:firstRowLastColumn="0" w:lastRowFirstColumn="0" w:lastRowLastColumn="0"/>
            <w:tcW w:w="1903" w:type="pct"/>
          </w:tcPr>
          <w:p w14:paraId="5BAE4531" w14:textId="77777777" w:rsidR="00341597" w:rsidRPr="00E50A53" w:rsidRDefault="00341597" w:rsidP="00341597">
            <w:r w:rsidRPr="00E50A53">
              <w:t>WA</w:t>
            </w:r>
          </w:p>
        </w:tc>
        <w:tc>
          <w:tcPr>
            <w:tcW w:w="1065" w:type="pct"/>
          </w:tcPr>
          <w:p w14:paraId="47A15F30" w14:textId="77777777" w:rsidR="00341597" w:rsidRPr="004F2028" w:rsidRDefault="00341597" w:rsidP="00A02290">
            <w:pPr>
              <w:cnfStyle w:val="000000000000" w:firstRow="0" w:lastRow="0" w:firstColumn="0" w:lastColumn="0" w:oddVBand="0" w:evenVBand="0" w:oddHBand="0" w:evenHBand="0" w:firstRowFirstColumn="0" w:firstRowLastColumn="0" w:lastRowFirstColumn="0" w:lastRowLastColumn="0"/>
            </w:pPr>
            <w:r w:rsidRPr="004F2028">
              <w:t>42.8%</w:t>
            </w:r>
          </w:p>
        </w:tc>
        <w:tc>
          <w:tcPr>
            <w:tcW w:w="1065" w:type="pct"/>
            <w:noWrap/>
          </w:tcPr>
          <w:p w14:paraId="14CD8DFB" w14:textId="77777777" w:rsidR="00341597" w:rsidRPr="004F2028" w:rsidRDefault="00341597" w:rsidP="00A02290">
            <w:pPr>
              <w:cnfStyle w:val="000000000000" w:firstRow="0" w:lastRow="0" w:firstColumn="0" w:lastColumn="0" w:oddVBand="0" w:evenVBand="0" w:oddHBand="0" w:evenHBand="0" w:firstRowFirstColumn="0" w:firstRowLastColumn="0" w:lastRowFirstColumn="0" w:lastRowLastColumn="0"/>
            </w:pPr>
            <w:r w:rsidRPr="004F2028">
              <w:t>41.2%</w:t>
            </w:r>
          </w:p>
        </w:tc>
        <w:tc>
          <w:tcPr>
            <w:tcW w:w="966" w:type="pct"/>
            <w:noWrap/>
          </w:tcPr>
          <w:p w14:paraId="2CCC8BFC" w14:textId="77777777" w:rsidR="00341597" w:rsidRPr="004F2028" w:rsidRDefault="00341597" w:rsidP="00F44C09">
            <w:pPr>
              <w:ind w:right="379"/>
              <w:jc w:val="right"/>
              <w:cnfStyle w:val="000000000000" w:firstRow="0" w:lastRow="0" w:firstColumn="0" w:lastColumn="0" w:oddVBand="0" w:evenVBand="0" w:oddHBand="0" w:evenHBand="0" w:firstRowFirstColumn="0" w:firstRowLastColumn="0" w:lastRowFirstColumn="0" w:lastRowLastColumn="0"/>
            </w:pPr>
            <w:r w:rsidRPr="004F2028">
              <w:t>-1.6</w:t>
            </w:r>
            <w:r>
              <w:t xml:space="preserve"> </w:t>
            </w:r>
            <w:r w:rsidRPr="00F84391">
              <w:t>p. p</w:t>
            </w:r>
          </w:p>
        </w:tc>
      </w:tr>
      <w:tr w:rsidR="00341597" w:rsidRPr="00B875BD" w14:paraId="53F60E89" w14:textId="77777777" w:rsidTr="00D21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3" w:type="pct"/>
          </w:tcPr>
          <w:p w14:paraId="60AC3A2D" w14:textId="77777777" w:rsidR="00341597" w:rsidRPr="00E50A53" w:rsidRDefault="00341597" w:rsidP="00341597">
            <w:r w:rsidRPr="00E50A53">
              <w:t>SA</w:t>
            </w:r>
          </w:p>
        </w:tc>
        <w:tc>
          <w:tcPr>
            <w:tcW w:w="1065" w:type="pct"/>
          </w:tcPr>
          <w:p w14:paraId="4A40AA30" w14:textId="77777777" w:rsidR="00341597" w:rsidRPr="004F2028" w:rsidRDefault="00341597" w:rsidP="00A02290">
            <w:pPr>
              <w:cnfStyle w:val="000000100000" w:firstRow="0" w:lastRow="0" w:firstColumn="0" w:lastColumn="0" w:oddVBand="0" w:evenVBand="0" w:oddHBand="1" w:evenHBand="0" w:firstRowFirstColumn="0" w:firstRowLastColumn="0" w:lastRowFirstColumn="0" w:lastRowLastColumn="0"/>
            </w:pPr>
            <w:r w:rsidRPr="004F2028">
              <w:t>43.8%</w:t>
            </w:r>
          </w:p>
        </w:tc>
        <w:tc>
          <w:tcPr>
            <w:tcW w:w="1065" w:type="pct"/>
            <w:noWrap/>
          </w:tcPr>
          <w:p w14:paraId="2DCDC51C" w14:textId="77777777" w:rsidR="00341597" w:rsidRPr="004F2028" w:rsidRDefault="00341597" w:rsidP="00A02290">
            <w:pPr>
              <w:cnfStyle w:val="000000100000" w:firstRow="0" w:lastRow="0" w:firstColumn="0" w:lastColumn="0" w:oddVBand="0" w:evenVBand="0" w:oddHBand="1" w:evenHBand="0" w:firstRowFirstColumn="0" w:firstRowLastColumn="0" w:lastRowFirstColumn="0" w:lastRowLastColumn="0"/>
            </w:pPr>
            <w:r w:rsidRPr="004F2028">
              <w:t>44.4%</w:t>
            </w:r>
          </w:p>
        </w:tc>
        <w:tc>
          <w:tcPr>
            <w:tcW w:w="966" w:type="pct"/>
            <w:noWrap/>
          </w:tcPr>
          <w:p w14:paraId="4A0F9C90" w14:textId="77777777" w:rsidR="00341597" w:rsidRPr="004F2028" w:rsidRDefault="00341597" w:rsidP="00F44C09">
            <w:pPr>
              <w:ind w:right="379"/>
              <w:jc w:val="right"/>
              <w:cnfStyle w:val="000000100000" w:firstRow="0" w:lastRow="0" w:firstColumn="0" w:lastColumn="0" w:oddVBand="0" w:evenVBand="0" w:oddHBand="1" w:evenHBand="0" w:firstRowFirstColumn="0" w:firstRowLastColumn="0" w:lastRowFirstColumn="0" w:lastRowLastColumn="0"/>
            </w:pPr>
            <w:r w:rsidRPr="004F2028">
              <w:t>0.6</w:t>
            </w:r>
            <w:r>
              <w:t xml:space="preserve"> </w:t>
            </w:r>
            <w:r w:rsidRPr="00F84391">
              <w:t>p. p</w:t>
            </w:r>
          </w:p>
        </w:tc>
      </w:tr>
      <w:tr w:rsidR="00341597" w:rsidRPr="00B875BD" w14:paraId="2B012C7C" w14:textId="77777777" w:rsidTr="00D21F72">
        <w:tc>
          <w:tcPr>
            <w:cnfStyle w:val="001000000000" w:firstRow="0" w:lastRow="0" w:firstColumn="1" w:lastColumn="0" w:oddVBand="0" w:evenVBand="0" w:oddHBand="0" w:evenHBand="0" w:firstRowFirstColumn="0" w:firstRowLastColumn="0" w:lastRowFirstColumn="0" w:lastRowLastColumn="0"/>
            <w:tcW w:w="1903" w:type="pct"/>
          </w:tcPr>
          <w:p w14:paraId="21988FE3" w14:textId="77777777" w:rsidR="00341597" w:rsidRPr="00E50A53" w:rsidRDefault="00341597" w:rsidP="00341597">
            <w:r w:rsidRPr="00E50A53">
              <w:t>TAS</w:t>
            </w:r>
          </w:p>
        </w:tc>
        <w:tc>
          <w:tcPr>
            <w:tcW w:w="1065" w:type="pct"/>
          </w:tcPr>
          <w:p w14:paraId="74D4C370" w14:textId="77777777" w:rsidR="00341597" w:rsidRPr="004F2028" w:rsidRDefault="00341597" w:rsidP="00A02290">
            <w:pPr>
              <w:cnfStyle w:val="000000000000" w:firstRow="0" w:lastRow="0" w:firstColumn="0" w:lastColumn="0" w:oddVBand="0" w:evenVBand="0" w:oddHBand="0" w:evenHBand="0" w:firstRowFirstColumn="0" w:firstRowLastColumn="0" w:lastRowFirstColumn="0" w:lastRowLastColumn="0"/>
            </w:pPr>
            <w:r w:rsidRPr="004F2028">
              <w:t>28.9%</w:t>
            </w:r>
          </w:p>
        </w:tc>
        <w:tc>
          <w:tcPr>
            <w:tcW w:w="1065" w:type="pct"/>
            <w:noWrap/>
          </w:tcPr>
          <w:p w14:paraId="215AA6EF" w14:textId="77777777" w:rsidR="00341597" w:rsidRPr="004F2028" w:rsidRDefault="00341597" w:rsidP="00A02290">
            <w:pPr>
              <w:cnfStyle w:val="000000000000" w:firstRow="0" w:lastRow="0" w:firstColumn="0" w:lastColumn="0" w:oddVBand="0" w:evenVBand="0" w:oddHBand="0" w:evenHBand="0" w:firstRowFirstColumn="0" w:firstRowLastColumn="0" w:lastRowFirstColumn="0" w:lastRowLastColumn="0"/>
            </w:pPr>
            <w:r w:rsidRPr="004F2028">
              <w:t>24.2%</w:t>
            </w:r>
          </w:p>
        </w:tc>
        <w:tc>
          <w:tcPr>
            <w:tcW w:w="966" w:type="pct"/>
            <w:noWrap/>
          </w:tcPr>
          <w:p w14:paraId="2DC2F36B" w14:textId="77777777" w:rsidR="00341597" w:rsidRPr="004F2028" w:rsidRDefault="00341597" w:rsidP="00F44C09">
            <w:pPr>
              <w:ind w:right="379"/>
              <w:jc w:val="right"/>
              <w:cnfStyle w:val="000000000000" w:firstRow="0" w:lastRow="0" w:firstColumn="0" w:lastColumn="0" w:oddVBand="0" w:evenVBand="0" w:oddHBand="0" w:evenHBand="0" w:firstRowFirstColumn="0" w:firstRowLastColumn="0" w:lastRowFirstColumn="0" w:lastRowLastColumn="0"/>
            </w:pPr>
            <w:r w:rsidRPr="004F2028">
              <w:t>-4.7</w:t>
            </w:r>
            <w:r>
              <w:t xml:space="preserve"> </w:t>
            </w:r>
            <w:r w:rsidRPr="00F84391">
              <w:t>p. p</w:t>
            </w:r>
          </w:p>
        </w:tc>
      </w:tr>
      <w:tr w:rsidR="00341597" w:rsidRPr="00B875BD" w14:paraId="0E8CE60A" w14:textId="77777777" w:rsidTr="00D21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3" w:type="pct"/>
          </w:tcPr>
          <w:p w14:paraId="67145800" w14:textId="77777777" w:rsidR="00341597" w:rsidRPr="00E50A53" w:rsidRDefault="00341597" w:rsidP="00341597">
            <w:r w:rsidRPr="00E50A53">
              <w:t>ACT</w:t>
            </w:r>
          </w:p>
        </w:tc>
        <w:tc>
          <w:tcPr>
            <w:tcW w:w="1065" w:type="pct"/>
          </w:tcPr>
          <w:p w14:paraId="1280F8BB" w14:textId="77777777" w:rsidR="00341597" w:rsidRPr="004F2028" w:rsidRDefault="00341597" w:rsidP="00A02290">
            <w:pPr>
              <w:cnfStyle w:val="000000100000" w:firstRow="0" w:lastRow="0" w:firstColumn="0" w:lastColumn="0" w:oddVBand="0" w:evenVBand="0" w:oddHBand="1" w:evenHBand="0" w:firstRowFirstColumn="0" w:firstRowLastColumn="0" w:lastRowFirstColumn="0" w:lastRowLastColumn="0"/>
            </w:pPr>
            <w:r w:rsidRPr="004F2028">
              <w:t>38.0%</w:t>
            </w:r>
          </w:p>
        </w:tc>
        <w:tc>
          <w:tcPr>
            <w:tcW w:w="1065" w:type="pct"/>
            <w:noWrap/>
          </w:tcPr>
          <w:p w14:paraId="78D2D3A7" w14:textId="77777777" w:rsidR="00341597" w:rsidRPr="004F2028" w:rsidRDefault="00341597" w:rsidP="00A02290">
            <w:pPr>
              <w:cnfStyle w:val="000000100000" w:firstRow="0" w:lastRow="0" w:firstColumn="0" w:lastColumn="0" w:oddVBand="0" w:evenVBand="0" w:oddHBand="1" w:evenHBand="0" w:firstRowFirstColumn="0" w:firstRowLastColumn="0" w:lastRowFirstColumn="0" w:lastRowLastColumn="0"/>
            </w:pPr>
            <w:r w:rsidRPr="004F2028">
              <w:t>38.1%</w:t>
            </w:r>
          </w:p>
        </w:tc>
        <w:tc>
          <w:tcPr>
            <w:tcW w:w="966" w:type="pct"/>
            <w:noWrap/>
          </w:tcPr>
          <w:p w14:paraId="4B0EB6F0" w14:textId="77777777" w:rsidR="00341597" w:rsidRPr="004F2028" w:rsidRDefault="00341597" w:rsidP="00F44C09">
            <w:pPr>
              <w:ind w:right="379"/>
              <w:jc w:val="right"/>
              <w:cnfStyle w:val="000000100000" w:firstRow="0" w:lastRow="0" w:firstColumn="0" w:lastColumn="0" w:oddVBand="0" w:evenVBand="0" w:oddHBand="1" w:evenHBand="0" w:firstRowFirstColumn="0" w:firstRowLastColumn="0" w:lastRowFirstColumn="0" w:lastRowLastColumn="0"/>
            </w:pPr>
            <w:r w:rsidRPr="004F2028">
              <w:t>0.1</w:t>
            </w:r>
            <w:r>
              <w:t xml:space="preserve"> </w:t>
            </w:r>
            <w:r w:rsidRPr="00F84391">
              <w:t>p. p</w:t>
            </w:r>
          </w:p>
        </w:tc>
      </w:tr>
      <w:tr w:rsidR="00341597" w:rsidRPr="00B875BD" w14:paraId="233105B7" w14:textId="77777777" w:rsidTr="00D21F72">
        <w:tc>
          <w:tcPr>
            <w:cnfStyle w:val="001000000000" w:firstRow="0" w:lastRow="0" w:firstColumn="1" w:lastColumn="0" w:oddVBand="0" w:evenVBand="0" w:oddHBand="0" w:evenHBand="0" w:firstRowFirstColumn="0" w:firstRowLastColumn="0" w:lastRowFirstColumn="0" w:lastRowLastColumn="0"/>
            <w:tcW w:w="1903" w:type="pct"/>
          </w:tcPr>
          <w:p w14:paraId="4E61C0BC" w14:textId="77777777" w:rsidR="00341597" w:rsidRPr="00E50A53" w:rsidRDefault="00341597" w:rsidP="00341597">
            <w:r w:rsidRPr="00E50A53">
              <w:t>NT</w:t>
            </w:r>
          </w:p>
        </w:tc>
        <w:tc>
          <w:tcPr>
            <w:tcW w:w="1065" w:type="pct"/>
          </w:tcPr>
          <w:p w14:paraId="172BC17E" w14:textId="77777777" w:rsidR="00341597" w:rsidRPr="004F2028" w:rsidRDefault="00341597" w:rsidP="00A02290">
            <w:pPr>
              <w:cnfStyle w:val="000000000000" w:firstRow="0" w:lastRow="0" w:firstColumn="0" w:lastColumn="0" w:oddVBand="0" w:evenVBand="0" w:oddHBand="0" w:evenHBand="0" w:firstRowFirstColumn="0" w:firstRowLastColumn="0" w:lastRowFirstColumn="0" w:lastRowLastColumn="0"/>
            </w:pPr>
            <w:r w:rsidRPr="004F2028">
              <w:t>31.7%</w:t>
            </w:r>
          </w:p>
        </w:tc>
        <w:tc>
          <w:tcPr>
            <w:tcW w:w="1065" w:type="pct"/>
            <w:noWrap/>
          </w:tcPr>
          <w:p w14:paraId="04AAC669" w14:textId="77777777" w:rsidR="00341597" w:rsidRPr="004F2028" w:rsidRDefault="00341597" w:rsidP="00A02290">
            <w:pPr>
              <w:cnfStyle w:val="000000000000" w:firstRow="0" w:lastRow="0" w:firstColumn="0" w:lastColumn="0" w:oddVBand="0" w:evenVBand="0" w:oddHBand="0" w:evenHBand="0" w:firstRowFirstColumn="0" w:firstRowLastColumn="0" w:lastRowFirstColumn="0" w:lastRowLastColumn="0"/>
            </w:pPr>
            <w:r w:rsidRPr="004F2028">
              <w:t>34.0%</w:t>
            </w:r>
          </w:p>
        </w:tc>
        <w:tc>
          <w:tcPr>
            <w:tcW w:w="966" w:type="pct"/>
            <w:noWrap/>
          </w:tcPr>
          <w:p w14:paraId="268A5023" w14:textId="77777777" w:rsidR="00341597" w:rsidRPr="004F2028" w:rsidRDefault="00341597" w:rsidP="00F44C09">
            <w:pPr>
              <w:ind w:right="379"/>
              <w:jc w:val="right"/>
              <w:cnfStyle w:val="000000000000" w:firstRow="0" w:lastRow="0" w:firstColumn="0" w:lastColumn="0" w:oddVBand="0" w:evenVBand="0" w:oddHBand="0" w:evenHBand="0" w:firstRowFirstColumn="0" w:firstRowLastColumn="0" w:lastRowFirstColumn="0" w:lastRowLastColumn="0"/>
            </w:pPr>
            <w:r w:rsidRPr="004F2028">
              <w:t>2.3</w:t>
            </w:r>
            <w:r>
              <w:t xml:space="preserve"> </w:t>
            </w:r>
            <w:r w:rsidRPr="00F84391">
              <w:t>p. p</w:t>
            </w:r>
          </w:p>
        </w:tc>
      </w:tr>
      <w:tr w:rsidR="00341597" w:rsidRPr="00B875BD" w14:paraId="286E20D8" w14:textId="77777777" w:rsidTr="00D21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3" w:type="pct"/>
          </w:tcPr>
          <w:p w14:paraId="2AB4FD65" w14:textId="77777777" w:rsidR="00341597" w:rsidRPr="00A02290" w:rsidRDefault="00341597" w:rsidP="00341597">
            <w:r w:rsidRPr="00A02290">
              <w:t>Australia</w:t>
            </w:r>
          </w:p>
        </w:tc>
        <w:tc>
          <w:tcPr>
            <w:tcW w:w="1065" w:type="pct"/>
          </w:tcPr>
          <w:p w14:paraId="7C69E334" w14:textId="77777777" w:rsidR="00341597" w:rsidRPr="00045FDB" w:rsidRDefault="00341597" w:rsidP="00A02290">
            <w:pPr>
              <w:cnfStyle w:val="000000100000" w:firstRow="0" w:lastRow="0" w:firstColumn="0" w:lastColumn="0" w:oddVBand="0" w:evenVBand="0" w:oddHBand="1" w:evenHBand="0" w:firstRowFirstColumn="0" w:firstRowLastColumn="0" w:lastRowFirstColumn="0" w:lastRowLastColumn="0"/>
            </w:pPr>
            <w:r w:rsidRPr="00045FDB">
              <w:t>43.2%</w:t>
            </w:r>
          </w:p>
        </w:tc>
        <w:tc>
          <w:tcPr>
            <w:tcW w:w="1065" w:type="pct"/>
            <w:noWrap/>
          </w:tcPr>
          <w:p w14:paraId="053E4817" w14:textId="77777777" w:rsidR="00341597" w:rsidRPr="00045FDB" w:rsidRDefault="00341597" w:rsidP="00A02290">
            <w:pPr>
              <w:cnfStyle w:val="000000100000" w:firstRow="0" w:lastRow="0" w:firstColumn="0" w:lastColumn="0" w:oddVBand="0" w:evenVBand="0" w:oddHBand="1" w:evenHBand="0" w:firstRowFirstColumn="0" w:firstRowLastColumn="0" w:lastRowFirstColumn="0" w:lastRowLastColumn="0"/>
            </w:pPr>
            <w:r w:rsidRPr="00045FDB">
              <w:t>42.6%</w:t>
            </w:r>
          </w:p>
        </w:tc>
        <w:tc>
          <w:tcPr>
            <w:tcW w:w="966" w:type="pct"/>
            <w:noWrap/>
          </w:tcPr>
          <w:p w14:paraId="41605A1F" w14:textId="77777777" w:rsidR="00341597" w:rsidRPr="00045FDB" w:rsidRDefault="00341597" w:rsidP="00F44C09">
            <w:pPr>
              <w:ind w:right="379"/>
              <w:jc w:val="right"/>
              <w:cnfStyle w:val="000000100000" w:firstRow="0" w:lastRow="0" w:firstColumn="0" w:lastColumn="0" w:oddVBand="0" w:evenVBand="0" w:oddHBand="1" w:evenHBand="0" w:firstRowFirstColumn="0" w:firstRowLastColumn="0" w:lastRowFirstColumn="0" w:lastRowLastColumn="0"/>
            </w:pPr>
            <w:r w:rsidRPr="00045FDB">
              <w:t>-0.5 p. p</w:t>
            </w:r>
          </w:p>
        </w:tc>
      </w:tr>
    </w:tbl>
    <w:p w14:paraId="23EEC02F" w14:textId="77777777" w:rsidR="00341597" w:rsidRDefault="00341597" w:rsidP="00341597"/>
    <w:p w14:paraId="194F8A04" w14:textId="77777777" w:rsidR="00341597" w:rsidRPr="00B67C70" w:rsidRDefault="00341597" w:rsidP="00B67C70">
      <w:pPr>
        <w:pStyle w:val="Heading1"/>
      </w:pPr>
      <w:bookmarkStart w:id="56" w:name="_Toc416445751"/>
      <w:bookmarkStart w:id="57" w:name="_Toc447188865"/>
      <w:bookmarkStart w:id="58" w:name="_Toc480816334"/>
      <w:bookmarkStart w:id="59" w:name="_Toc492454260"/>
      <w:r w:rsidRPr="00B67C70">
        <w:lastRenderedPageBreak/>
        <w:t>Field of Education</w:t>
      </w:r>
      <w:bookmarkEnd w:id="56"/>
      <w:bookmarkEnd w:id="57"/>
      <w:bookmarkEnd w:id="58"/>
      <w:bookmarkEnd w:id="59"/>
    </w:p>
    <w:p w14:paraId="1B6E851C" w14:textId="77777777" w:rsidR="00341597" w:rsidRPr="00CA743F" w:rsidRDefault="00341597" w:rsidP="00CA743F">
      <w:pPr>
        <w:pStyle w:val="Heading2"/>
      </w:pPr>
      <w:bookmarkStart w:id="60" w:name="_Toc492454261"/>
      <w:r w:rsidRPr="00CA743F">
        <w:t>Applications</w:t>
      </w:r>
      <w:bookmarkEnd w:id="60"/>
    </w:p>
    <w:p w14:paraId="79F54BD9" w14:textId="77777777" w:rsidR="00341597" w:rsidRPr="00AC1937" w:rsidRDefault="00341597" w:rsidP="00B67C70">
      <w:pPr>
        <w:pStyle w:val="ListParagraph"/>
      </w:pPr>
      <w:r>
        <w:t>Nationally, t</w:t>
      </w:r>
      <w:r w:rsidRPr="00731A44">
        <w:t>he most popular broad field of education (in</w:t>
      </w:r>
      <w:r>
        <w:t xml:space="preserve"> terms of number of applicants</w:t>
      </w:r>
      <w:r w:rsidRPr="00731A44">
        <w:t>) in 201</w:t>
      </w:r>
      <w:r>
        <w:t>7</w:t>
      </w:r>
      <w:r w:rsidRPr="00731A44">
        <w:t xml:space="preserve"> was Health</w:t>
      </w:r>
      <w:r w:rsidRPr="00B875BD">
        <w:t xml:space="preserve"> (</w:t>
      </w:r>
      <w:r w:rsidRPr="0095424C">
        <w:t xml:space="preserve">86,392 </w:t>
      </w:r>
      <w:r w:rsidRPr="00B875BD">
        <w:t xml:space="preserve">or </w:t>
      </w:r>
      <w:r>
        <w:t>25.4</w:t>
      </w:r>
      <w:r w:rsidRPr="00B875BD">
        <w:t>% of all appli</w:t>
      </w:r>
      <w:r>
        <w:t xml:space="preserve">cants). </w:t>
      </w:r>
      <w:r w:rsidRPr="00B875BD">
        <w:t>This was followed by Society and Culture (</w:t>
      </w:r>
      <w:r>
        <w:t>75,571</w:t>
      </w:r>
      <w:r w:rsidRPr="00B875BD">
        <w:t xml:space="preserve"> or </w:t>
      </w:r>
      <w:r>
        <w:t>22.2% of all applicants</w:t>
      </w:r>
      <w:r w:rsidRPr="00B875BD">
        <w:t>) and Management and Commerce (</w:t>
      </w:r>
      <w:r>
        <w:t xml:space="preserve">43,421 </w:t>
      </w:r>
      <w:r w:rsidRPr="00B875BD">
        <w:t xml:space="preserve">or </w:t>
      </w:r>
      <w:r>
        <w:t>12.8% of all applicant</w:t>
      </w:r>
      <w:r w:rsidRPr="00B875BD">
        <w:t>s).</w:t>
      </w:r>
    </w:p>
    <w:p w14:paraId="526BCB60" w14:textId="77777777" w:rsidR="00341597" w:rsidRPr="00B875BD" w:rsidRDefault="00341597" w:rsidP="00B67C70">
      <w:pPr>
        <w:pStyle w:val="ListParagraph"/>
      </w:pPr>
      <w:r>
        <w:t>Among</w:t>
      </w:r>
      <w:r w:rsidRPr="00B875BD">
        <w:t xml:space="preserve"> all broad fields of education</w:t>
      </w:r>
      <w:r w:rsidRPr="00CA5D29">
        <w:t xml:space="preserve">, </w:t>
      </w:r>
      <w:r w:rsidRPr="00D40699">
        <w:t>Architecture and Building</w:t>
      </w:r>
      <w:r>
        <w:t xml:space="preserve"> recorde</w:t>
      </w:r>
      <w:r w:rsidRPr="00731A44">
        <w:t>d the largest increase in applications (</w:t>
      </w:r>
      <w:r>
        <w:t>10.1</w:t>
      </w:r>
      <w:r w:rsidRPr="00731A44">
        <w:t>%)</w:t>
      </w:r>
      <w:r w:rsidRPr="00CA5D29">
        <w:t>.</w:t>
      </w:r>
      <w:r>
        <w:t xml:space="preserve"> </w:t>
      </w:r>
      <w:r w:rsidRPr="00B875BD">
        <w:t xml:space="preserve">This was followed by </w:t>
      </w:r>
      <w:r w:rsidRPr="00D40699">
        <w:t>Information Technology</w:t>
      </w:r>
      <w:r>
        <w:t xml:space="preserve"> </w:t>
      </w:r>
      <w:r w:rsidRPr="00B875BD">
        <w:t>(</w:t>
      </w:r>
      <w:r>
        <w:t>8.5</w:t>
      </w:r>
      <w:r w:rsidRPr="00B875BD">
        <w:t>%)</w:t>
      </w:r>
      <w:r>
        <w:t xml:space="preserve"> and </w:t>
      </w:r>
      <w:r w:rsidRPr="00D40699">
        <w:t>Natural and Physical Sciences</w:t>
      </w:r>
      <w:r w:rsidRPr="00D40699" w:rsidDel="00D40699">
        <w:t xml:space="preserve"> </w:t>
      </w:r>
      <w:r w:rsidRPr="00B875BD">
        <w:t>(</w:t>
      </w:r>
      <w:r>
        <w:t>4.9</w:t>
      </w:r>
      <w:r w:rsidRPr="00B875BD">
        <w:t>%).</w:t>
      </w:r>
    </w:p>
    <w:p w14:paraId="0C661259" w14:textId="77777777" w:rsidR="00341597" w:rsidRPr="00C01D99" w:rsidRDefault="00341597" w:rsidP="00B67C70">
      <w:pPr>
        <w:pStyle w:val="ListParagraph"/>
      </w:pPr>
      <w:r w:rsidRPr="00B875BD">
        <w:t xml:space="preserve">The largest decrease in applications was recorded in </w:t>
      </w:r>
      <w:r w:rsidRPr="00D40699">
        <w:t xml:space="preserve">Agriculture, Environmental and Related Studies </w:t>
      </w:r>
      <w:r w:rsidRPr="00B875BD">
        <w:t>(-</w:t>
      </w:r>
      <w:r>
        <w:t>4.1</w:t>
      </w:r>
      <w:r w:rsidRPr="00B875BD">
        <w:t>%)</w:t>
      </w:r>
      <w:r>
        <w:t>,</w:t>
      </w:r>
      <w:r w:rsidRPr="00B875BD">
        <w:t xml:space="preserve"> followed by </w:t>
      </w:r>
      <w:r w:rsidRPr="00D40699">
        <w:t>Creative Arts</w:t>
      </w:r>
      <w:r w:rsidRPr="00D40699" w:rsidDel="00D40699">
        <w:t xml:space="preserve"> </w:t>
      </w:r>
      <w:r w:rsidRPr="00B875BD">
        <w:t>(</w:t>
      </w:r>
      <w:r>
        <w:t>-2.9</w:t>
      </w:r>
      <w:r w:rsidRPr="00B875BD">
        <w:t>%).</w:t>
      </w:r>
    </w:p>
    <w:p w14:paraId="42DA8619" w14:textId="77777777" w:rsidR="00341597" w:rsidRPr="00CA743F" w:rsidRDefault="00341597" w:rsidP="00CA743F">
      <w:pPr>
        <w:pStyle w:val="Heading2"/>
      </w:pPr>
      <w:bookmarkStart w:id="61" w:name="_Toc416445753"/>
      <w:bookmarkStart w:id="62" w:name="_Toc492454262"/>
      <w:r w:rsidRPr="00CA743F">
        <w:t>Offers</w:t>
      </w:r>
      <w:bookmarkEnd w:id="61"/>
      <w:bookmarkEnd w:id="62"/>
      <w:r w:rsidRPr="00CA743F">
        <w:t xml:space="preserve">  </w:t>
      </w:r>
    </w:p>
    <w:p w14:paraId="54573589" w14:textId="77777777" w:rsidR="00341597" w:rsidRPr="00EE44BD" w:rsidRDefault="00341597" w:rsidP="00B67C70">
      <w:pPr>
        <w:pStyle w:val="ListParagraph"/>
      </w:pPr>
      <w:r>
        <w:t>Nationally, Society and Culture</w:t>
      </w:r>
      <w:r w:rsidRPr="00EE44BD">
        <w:t xml:space="preserve"> </w:t>
      </w:r>
      <w:r w:rsidRPr="00731A44">
        <w:t>received the largest number of offers</w:t>
      </w:r>
      <w:r w:rsidRPr="0072156E">
        <w:t xml:space="preserve"> </w:t>
      </w:r>
      <w:r w:rsidRPr="00EE44BD">
        <w:t>(</w:t>
      </w:r>
      <w:r w:rsidRPr="00771EE7">
        <w:t xml:space="preserve">64,337 </w:t>
      </w:r>
      <w:r w:rsidRPr="00EE44BD">
        <w:t xml:space="preserve">or </w:t>
      </w:r>
      <w:r>
        <w:t>22.9</w:t>
      </w:r>
      <w:r w:rsidRPr="00EE44BD">
        <w:t xml:space="preserve">% of total offers). This was followed by </w:t>
      </w:r>
      <w:r>
        <w:t xml:space="preserve">Health </w:t>
      </w:r>
      <w:r w:rsidRPr="00EE44BD">
        <w:t>(</w:t>
      </w:r>
      <w:r w:rsidRPr="00771EE7">
        <w:t xml:space="preserve">63,792 </w:t>
      </w:r>
      <w:r w:rsidRPr="00EE44BD">
        <w:t xml:space="preserve">or </w:t>
      </w:r>
      <w:r>
        <w:t>22.7</w:t>
      </w:r>
      <w:r w:rsidRPr="00EE44BD">
        <w:t>% of total offers).</w:t>
      </w:r>
    </w:p>
    <w:p w14:paraId="30ADBB69" w14:textId="77777777" w:rsidR="00341597" w:rsidRPr="00DE06CC" w:rsidRDefault="00341597" w:rsidP="00B67C70">
      <w:pPr>
        <w:pStyle w:val="ListParagraph"/>
      </w:pPr>
      <w:r>
        <w:t>Among</w:t>
      </w:r>
      <w:r w:rsidRPr="00F770C0">
        <w:t xml:space="preserve"> all broad fields of education, </w:t>
      </w:r>
      <w:r w:rsidRPr="00771EE7">
        <w:t>Information Technology</w:t>
      </w:r>
      <w:r>
        <w:t xml:space="preserve"> </w:t>
      </w:r>
      <w:r w:rsidRPr="00146840">
        <w:t>recorded t</w:t>
      </w:r>
      <w:r>
        <w:t>he largest increase in offers (6.9</w:t>
      </w:r>
      <w:r w:rsidRPr="00146840">
        <w:t xml:space="preserve">%).  This was followed </w:t>
      </w:r>
      <w:r w:rsidRPr="00771EE7">
        <w:t>Natural and Physical Sciences</w:t>
      </w:r>
      <w:r w:rsidRPr="00771EE7" w:rsidDel="00771EE7">
        <w:t xml:space="preserve"> </w:t>
      </w:r>
      <w:r>
        <w:t>(4.5</w:t>
      </w:r>
      <w:r w:rsidRPr="00146840">
        <w:t>%).</w:t>
      </w:r>
    </w:p>
    <w:p w14:paraId="0AA33A75" w14:textId="2209DB3E" w:rsidR="00D21F72" w:rsidRDefault="00D21F72" w:rsidP="00D21F72">
      <w:pPr>
        <w:pStyle w:val="Caption"/>
        <w:keepNext/>
      </w:pPr>
      <w:bookmarkStart w:id="63" w:name="_Toc492453639"/>
      <w:bookmarkStart w:id="64" w:name="_Toc492453864"/>
      <w:r>
        <w:t xml:space="preserve">Table </w:t>
      </w:r>
      <w:fldSimple w:instr=" SEQ Table \* ARABIC ">
        <w:r w:rsidR="00E05F5D">
          <w:rPr>
            <w:noProof/>
          </w:rPr>
          <w:t>8</w:t>
        </w:r>
      </w:fldSimple>
      <w:r w:rsidRPr="009065E2">
        <w:t>: Applicants and offers by field of education February 2016 and February 2017</w:t>
      </w:r>
      <w:bookmarkEnd w:id="63"/>
      <w:bookmarkEnd w:id="64"/>
    </w:p>
    <w:tbl>
      <w:tblPr>
        <w:tblStyle w:val="DEEWRTable"/>
        <w:tblW w:w="5000" w:type="pct"/>
        <w:tblLayout w:type="fixed"/>
        <w:tblLook w:val="0020" w:firstRow="1" w:lastRow="0" w:firstColumn="0" w:lastColumn="0" w:noHBand="0" w:noVBand="0"/>
      </w:tblPr>
      <w:tblGrid>
        <w:gridCol w:w="3507"/>
        <w:gridCol w:w="955"/>
        <w:gridCol w:w="956"/>
        <w:gridCol w:w="956"/>
        <w:gridCol w:w="956"/>
        <w:gridCol w:w="956"/>
        <w:gridCol w:w="956"/>
      </w:tblGrid>
      <w:tr w:rsidR="00341597" w:rsidRPr="00B875BD" w14:paraId="2FC69176" w14:textId="77777777" w:rsidTr="007F72E7">
        <w:trPr>
          <w:cnfStyle w:val="100000000000" w:firstRow="1" w:lastRow="0" w:firstColumn="0" w:lastColumn="0" w:oddVBand="0" w:evenVBand="0" w:oddHBand="0" w:evenHBand="0" w:firstRowFirstColumn="0" w:firstRowLastColumn="0" w:lastRowFirstColumn="0" w:lastRowLastColumn="0"/>
        </w:trPr>
        <w:tc>
          <w:tcPr>
            <w:tcW w:w="1898" w:type="pct"/>
            <w:vMerge w:val="restart"/>
          </w:tcPr>
          <w:p w14:paraId="32A54F2B" w14:textId="77777777" w:rsidR="00341597" w:rsidRPr="007D7C34" w:rsidRDefault="00341597" w:rsidP="00A02290">
            <w:r w:rsidRPr="007D7C34">
              <w:t>Field of education</w:t>
            </w:r>
          </w:p>
        </w:tc>
        <w:tc>
          <w:tcPr>
            <w:tcW w:w="1551" w:type="pct"/>
            <w:gridSpan w:val="3"/>
          </w:tcPr>
          <w:p w14:paraId="0ADAFBC4" w14:textId="77777777" w:rsidR="00341597" w:rsidRPr="007D7C34" w:rsidRDefault="00341597" w:rsidP="00F44C09">
            <w:pPr>
              <w:jc w:val="center"/>
            </w:pPr>
            <w:r>
              <w:t>Applicants</w:t>
            </w:r>
          </w:p>
        </w:tc>
        <w:tc>
          <w:tcPr>
            <w:tcW w:w="1551" w:type="pct"/>
            <w:gridSpan w:val="3"/>
            <w:tcBorders>
              <w:bottom w:val="nil"/>
            </w:tcBorders>
          </w:tcPr>
          <w:p w14:paraId="0DF94B33" w14:textId="77777777" w:rsidR="00341597" w:rsidRPr="007D7C34" w:rsidRDefault="00341597" w:rsidP="00F44C09">
            <w:pPr>
              <w:jc w:val="center"/>
            </w:pPr>
            <w:r w:rsidRPr="007D7C34">
              <w:t>Offers</w:t>
            </w:r>
          </w:p>
        </w:tc>
      </w:tr>
      <w:tr w:rsidR="00341597" w:rsidRPr="00B875BD" w14:paraId="653D69EB" w14:textId="77777777" w:rsidTr="007F72E7">
        <w:trPr>
          <w:cnfStyle w:val="000000100000" w:firstRow="0" w:lastRow="0" w:firstColumn="0" w:lastColumn="0" w:oddVBand="0" w:evenVBand="0" w:oddHBand="1" w:evenHBand="0" w:firstRowFirstColumn="0" w:firstRowLastColumn="0" w:lastRowFirstColumn="0" w:lastRowLastColumn="0"/>
        </w:trPr>
        <w:tc>
          <w:tcPr>
            <w:tcW w:w="1898" w:type="pct"/>
            <w:vMerge/>
          </w:tcPr>
          <w:p w14:paraId="6FC71C9A" w14:textId="77777777" w:rsidR="00341597" w:rsidRPr="007D7C34" w:rsidRDefault="00341597" w:rsidP="00341597">
            <w:pPr>
              <w:spacing w:before="100" w:beforeAutospacing="1" w:after="100" w:afterAutospacing="1"/>
              <w:rPr>
                <w:b/>
              </w:rPr>
            </w:pPr>
          </w:p>
        </w:tc>
        <w:tc>
          <w:tcPr>
            <w:tcW w:w="517" w:type="pct"/>
          </w:tcPr>
          <w:p w14:paraId="44A13DC0" w14:textId="77777777" w:rsidR="00341597" w:rsidRPr="00956BAB" w:rsidRDefault="00341597" w:rsidP="00F44C09">
            <w:pPr>
              <w:jc w:val="right"/>
              <w:rPr>
                <w:b/>
              </w:rPr>
            </w:pPr>
            <w:r w:rsidRPr="00956BAB">
              <w:rPr>
                <w:b/>
              </w:rPr>
              <w:t>2016</w:t>
            </w:r>
          </w:p>
        </w:tc>
        <w:tc>
          <w:tcPr>
            <w:tcW w:w="517" w:type="pct"/>
          </w:tcPr>
          <w:p w14:paraId="78CAC7B0" w14:textId="77777777" w:rsidR="00341597" w:rsidRPr="00956BAB" w:rsidRDefault="00341597" w:rsidP="00F44C09">
            <w:pPr>
              <w:jc w:val="right"/>
              <w:rPr>
                <w:b/>
              </w:rPr>
            </w:pPr>
            <w:r w:rsidRPr="00956BAB">
              <w:rPr>
                <w:b/>
              </w:rPr>
              <w:t>2017</w:t>
            </w:r>
          </w:p>
        </w:tc>
        <w:tc>
          <w:tcPr>
            <w:tcW w:w="517" w:type="pct"/>
            <w:tcBorders>
              <w:right w:val="single" w:sz="4" w:space="0" w:color="auto"/>
            </w:tcBorders>
          </w:tcPr>
          <w:p w14:paraId="165B9C15" w14:textId="77777777" w:rsidR="00341597" w:rsidRPr="00956BAB" w:rsidRDefault="00341597" w:rsidP="00F44C09">
            <w:pPr>
              <w:jc w:val="right"/>
              <w:rPr>
                <w:b/>
              </w:rPr>
            </w:pPr>
            <w:r w:rsidRPr="00956BAB">
              <w:rPr>
                <w:b/>
              </w:rPr>
              <w:t>Change</w:t>
            </w:r>
          </w:p>
        </w:tc>
        <w:tc>
          <w:tcPr>
            <w:tcW w:w="517" w:type="pct"/>
            <w:tcBorders>
              <w:left w:val="single" w:sz="4" w:space="0" w:color="auto"/>
              <w:bottom w:val="nil"/>
            </w:tcBorders>
          </w:tcPr>
          <w:p w14:paraId="537F8FBE" w14:textId="77777777" w:rsidR="00341597" w:rsidRPr="00956BAB" w:rsidRDefault="00341597" w:rsidP="00F44C09">
            <w:pPr>
              <w:jc w:val="right"/>
              <w:rPr>
                <w:b/>
              </w:rPr>
            </w:pPr>
            <w:r w:rsidRPr="00956BAB">
              <w:rPr>
                <w:b/>
              </w:rPr>
              <w:t>2016</w:t>
            </w:r>
          </w:p>
        </w:tc>
        <w:tc>
          <w:tcPr>
            <w:tcW w:w="517" w:type="pct"/>
            <w:tcBorders>
              <w:bottom w:val="nil"/>
            </w:tcBorders>
          </w:tcPr>
          <w:p w14:paraId="5FBA5C1D" w14:textId="77777777" w:rsidR="00341597" w:rsidRPr="00956BAB" w:rsidRDefault="00341597" w:rsidP="00F44C09">
            <w:pPr>
              <w:jc w:val="right"/>
              <w:rPr>
                <w:b/>
              </w:rPr>
            </w:pPr>
            <w:r w:rsidRPr="00956BAB">
              <w:rPr>
                <w:b/>
              </w:rPr>
              <w:t>2017</w:t>
            </w:r>
          </w:p>
        </w:tc>
        <w:tc>
          <w:tcPr>
            <w:tcW w:w="516" w:type="pct"/>
            <w:tcBorders>
              <w:bottom w:val="nil"/>
            </w:tcBorders>
          </w:tcPr>
          <w:p w14:paraId="0B6CBA8D" w14:textId="77777777" w:rsidR="00341597" w:rsidRPr="00956BAB" w:rsidRDefault="00341597" w:rsidP="00F44C09">
            <w:pPr>
              <w:jc w:val="right"/>
              <w:rPr>
                <w:b/>
              </w:rPr>
            </w:pPr>
            <w:r w:rsidRPr="00956BAB">
              <w:rPr>
                <w:b/>
              </w:rPr>
              <w:t>Change</w:t>
            </w:r>
          </w:p>
        </w:tc>
      </w:tr>
      <w:tr w:rsidR="00341597" w:rsidRPr="00B875BD" w14:paraId="177E1977" w14:textId="77777777" w:rsidTr="007F72E7">
        <w:tc>
          <w:tcPr>
            <w:tcW w:w="1898" w:type="pct"/>
            <w:noWrap/>
          </w:tcPr>
          <w:p w14:paraId="00154D24" w14:textId="77777777" w:rsidR="00341597" w:rsidRPr="00A217A0" w:rsidRDefault="00341597" w:rsidP="00341597">
            <w:r w:rsidRPr="00A217A0">
              <w:t>Natural and Physical Sciences</w:t>
            </w:r>
          </w:p>
        </w:tc>
        <w:tc>
          <w:tcPr>
            <w:tcW w:w="517" w:type="pct"/>
          </w:tcPr>
          <w:p w14:paraId="4C3D1FB7" w14:textId="77777777" w:rsidR="00341597" w:rsidRPr="00A217A0" w:rsidRDefault="00341597" w:rsidP="00F44C09">
            <w:pPr>
              <w:jc w:val="right"/>
            </w:pPr>
            <w:r w:rsidRPr="00A217A0">
              <w:t xml:space="preserve"> 30,663 </w:t>
            </w:r>
          </w:p>
        </w:tc>
        <w:tc>
          <w:tcPr>
            <w:tcW w:w="517" w:type="pct"/>
          </w:tcPr>
          <w:p w14:paraId="5FF68DD1" w14:textId="77777777" w:rsidR="00341597" w:rsidRPr="00A217A0" w:rsidRDefault="00341597" w:rsidP="00F44C09">
            <w:pPr>
              <w:jc w:val="right"/>
            </w:pPr>
            <w:r w:rsidRPr="00A217A0">
              <w:t xml:space="preserve"> 32,171 </w:t>
            </w:r>
          </w:p>
        </w:tc>
        <w:tc>
          <w:tcPr>
            <w:tcW w:w="517" w:type="pct"/>
            <w:tcBorders>
              <w:right w:val="single" w:sz="4" w:space="0" w:color="auto"/>
            </w:tcBorders>
          </w:tcPr>
          <w:p w14:paraId="10AB6657" w14:textId="77777777" w:rsidR="00341597" w:rsidRPr="00A217A0" w:rsidRDefault="00341597" w:rsidP="00F44C09">
            <w:pPr>
              <w:jc w:val="right"/>
            </w:pPr>
            <w:r w:rsidRPr="00A217A0">
              <w:t>4.9%</w:t>
            </w:r>
          </w:p>
        </w:tc>
        <w:tc>
          <w:tcPr>
            <w:tcW w:w="517" w:type="pct"/>
            <w:tcBorders>
              <w:left w:val="single" w:sz="4" w:space="0" w:color="auto"/>
              <w:bottom w:val="nil"/>
            </w:tcBorders>
            <w:noWrap/>
          </w:tcPr>
          <w:p w14:paraId="1A81E229" w14:textId="77777777" w:rsidR="00341597" w:rsidRPr="00A217A0" w:rsidRDefault="00341597" w:rsidP="00F44C09">
            <w:pPr>
              <w:jc w:val="right"/>
            </w:pPr>
            <w:r w:rsidRPr="00A217A0">
              <w:t xml:space="preserve"> 29,801 </w:t>
            </w:r>
          </w:p>
        </w:tc>
        <w:tc>
          <w:tcPr>
            <w:tcW w:w="517" w:type="pct"/>
            <w:tcBorders>
              <w:bottom w:val="nil"/>
            </w:tcBorders>
          </w:tcPr>
          <w:p w14:paraId="03CE0E79" w14:textId="77777777" w:rsidR="00341597" w:rsidRPr="00A217A0" w:rsidRDefault="00341597" w:rsidP="00F44C09">
            <w:pPr>
              <w:jc w:val="right"/>
            </w:pPr>
            <w:r w:rsidRPr="00A217A0">
              <w:t xml:space="preserve"> 31,138 </w:t>
            </w:r>
          </w:p>
        </w:tc>
        <w:tc>
          <w:tcPr>
            <w:tcW w:w="516" w:type="pct"/>
            <w:tcBorders>
              <w:bottom w:val="nil"/>
            </w:tcBorders>
          </w:tcPr>
          <w:p w14:paraId="130DE7B0" w14:textId="77777777" w:rsidR="00341597" w:rsidRPr="00A217A0" w:rsidRDefault="00341597" w:rsidP="00F44C09">
            <w:pPr>
              <w:jc w:val="right"/>
            </w:pPr>
            <w:r w:rsidRPr="00A217A0">
              <w:t>4.5%</w:t>
            </w:r>
          </w:p>
        </w:tc>
      </w:tr>
      <w:tr w:rsidR="00341597" w:rsidRPr="00B875BD" w14:paraId="26CB421B" w14:textId="77777777" w:rsidTr="007F72E7">
        <w:trPr>
          <w:cnfStyle w:val="000000100000" w:firstRow="0" w:lastRow="0" w:firstColumn="0" w:lastColumn="0" w:oddVBand="0" w:evenVBand="0" w:oddHBand="1" w:evenHBand="0" w:firstRowFirstColumn="0" w:firstRowLastColumn="0" w:lastRowFirstColumn="0" w:lastRowLastColumn="0"/>
        </w:trPr>
        <w:tc>
          <w:tcPr>
            <w:tcW w:w="1898" w:type="pct"/>
            <w:noWrap/>
          </w:tcPr>
          <w:p w14:paraId="5BA3AB7E" w14:textId="77777777" w:rsidR="00341597" w:rsidRPr="00A217A0" w:rsidRDefault="00341597" w:rsidP="00341597">
            <w:r w:rsidRPr="00A217A0">
              <w:t>Information Technology</w:t>
            </w:r>
          </w:p>
        </w:tc>
        <w:tc>
          <w:tcPr>
            <w:tcW w:w="517" w:type="pct"/>
          </w:tcPr>
          <w:p w14:paraId="30F6E2A2" w14:textId="77777777" w:rsidR="00341597" w:rsidRPr="00A217A0" w:rsidRDefault="00341597" w:rsidP="00F44C09">
            <w:pPr>
              <w:jc w:val="right"/>
            </w:pPr>
            <w:r w:rsidRPr="00A217A0">
              <w:t xml:space="preserve"> 9,474 </w:t>
            </w:r>
          </w:p>
        </w:tc>
        <w:tc>
          <w:tcPr>
            <w:tcW w:w="517" w:type="pct"/>
          </w:tcPr>
          <w:p w14:paraId="0A611CDF" w14:textId="77777777" w:rsidR="00341597" w:rsidRPr="00A217A0" w:rsidRDefault="00341597" w:rsidP="00F44C09">
            <w:pPr>
              <w:jc w:val="right"/>
            </w:pPr>
            <w:r w:rsidRPr="00A217A0">
              <w:t xml:space="preserve"> 10,281 </w:t>
            </w:r>
          </w:p>
        </w:tc>
        <w:tc>
          <w:tcPr>
            <w:tcW w:w="517" w:type="pct"/>
            <w:tcBorders>
              <w:right w:val="single" w:sz="4" w:space="0" w:color="auto"/>
            </w:tcBorders>
          </w:tcPr>
          <w:p w14:paraId="4A9D5D72" w14:textId="77777777" w:rsidR="00341597" w:rsidRPr="00A217A0" w:rsidRDefault="00341597" w:rsidP="00F44C09">
            <w:pPr>
              <w:jc w:val="right"/>
            </w:pPr>
            <w:r w:rsidRPr="00A217A0">
              <w:t>8.5%</w:t>
            </w:r>
          </w:p>
        </w:tc>
        <w:tc>
          <w:tcPr>
            <w:tcW w:w="517" w:type="pct"/>
            <w:tcBorders>
              <w:left w:val="single" w:sz="4" w:space="0" w:color="auto"/>
              <w:bottom w:val="nil"/>
            </w:tcBorders>
            <w:noWrap/>
          </w:tcPr>
          <w:p w14:paraId="1216AE5E" w14:textId="77777777" w:rsidR="00341597" w:rsidRPr="00A217A0" w:rsidRDefault="00341597" w:rsidP="00F44C09">
            <w:pPr>
              <w:jc w:val="right"/>
            </w:pPr>
            <w:r w:rsidRPr="00A217A0">
              <w:t xml:space="preserve"> 8,039 </w:t>
            </w:r>
          </w:p>
        </w:tc>
        <w:tc>
          <w:tcPr>
            <w:tcW w:w="517" w:type="pct"/>
            <w:tcBorders>
              <w:bottom w:val="nil"/>
            </w:tcBorders>
          </w:tcPr>
          <w:p w14:paraId="0B2BF85C" w14:textId="77777777" w:rsidR="00341597" w:rsidRPr="00A217A0" w:rsidRDefault="00341597" w:rsidP="00F44C09">
            <w:pPr>
              <w:jc w:val="right"/>
            </w:pPr>
            <w:r w:rsidRPr="00A217A0">
              <w:t xml:space="preserve"> 8,595 </w:t>
            </w:r>
          </w:p>
        </w:tc>
        <w:tc>
          <w:tcPr>
            <w:tcW w:w="516" w:type="pct"/>
            <w:tcBorders>
              <w:bottom w:val="nil"/>
            </w:tcBorders>
          </w:tcPr>
          <w:p w14:paraId="30E39B58" w14:textId="77777777" w:rsidR="00341597" w:rsidRPr="00A217A0" w:rsidRDefault="00341597" w:rsidP="00F44C09">
            <w:pPr>
              <w:jc w:val="right"/>
            </w:pPr>
            <w:r w:rsidRPr="00A217A0">
              <w:t>6.9%</w:t>
            </w:r>
          </w:p>
        </w:tc>
      </w:tr>
      <w:tr w:rsidR="00341597" w:rsidRPr="00B875BD" w14:paraId="01DF49DF" w14:textId="77777777" w:rsidTr="007F72E7">
        <w:tc>
          <w:tcPr>
            <w:tcW w:w="1898" w:type="pct"/>
            <w:noWrap/>
          </w:tcPr>
          <w:p w14:paraId="5EB3D60E" w14:textId="77777777" w:rsidR="00341597" w:rsidRPr="00A217A0" w:rsidRDefault="00341597" w:rsidP="00A02290">
            <w:r w:rsidRPr="00A217A0">
              <w:t>Engineering and Related Technologies</w:t>
            </w:r>
          </w:p>
        </w:tc>
        <w:tc>
          <w:tcPr>
            <w:tcW w:w="517" w:type="pct"/>
          </w:tcPr>
          <w:p w14:paraId="3427C588" w14:textId="77777777" w:rsidR="00341597" w:rsidRPr="00A217A0" w:rsidRDefault="00341597" w:rsidP="00F44C09">
            <w:pPr>
              <w:jc w:val="right"/>
            </w:pPr>
            <w:r w:rsidRPr="00A217A0">
              <w:t xml:space="preserve"> 18,787 </w:t>
            </w:r>
          </w:p>
        </w:tc>
        <w:tc>
          <w:tcPr>
            <w:tcW w:w="517" w:type="pct"/>
          </w:tcPr>
          <w:p w14:paraId="74D1C234" w14:textId="77777777" w:rsidR="00341597" w:rsidRPr="00A217A0" w:rsidRDefault="00341597" w:rsidP="00F44C09">
            <w:pPr>
              <w:jc w:val="right"/>
            </w:pPr>
            <w:r w:rsidRPr="00A217A0">
              <w:t xml:space="preserve"> 19,585 </w:t>
            </w:r>
          </w:p>
        </w:tc>
        <w:tc>
          <w:tcPr>
            <w:tcW w:w="517" w:type="pct"/>
            <w:tcBorders>
              <w:right w:val="single" w:sz="4" w:space="0" w:color="auto"/>
            </w:tcBorders>
          </w:tcPr>
          <w:p w14:paraId="2E142FE4" w14:textId="77777777" w:rsidR="00341597" w:rsidRPr="00A217A0" w:rsidRDefault="00341597" w:rsidP="00F44C09">
            <w:pPr>
              <w:jc w:val="right"/>
            </w:pPr>
            <w:r w:rsidRPr="00A217A0">
              <w:t>4.2%</w:t>
            </w:r>
          </w:p>
        </w:tc>
        <w:tc>
          <w:tcPr>
            <w:tcW w:w="517" w:type="pct"/>
            <w:tcBorders>
              <w:left w:val="single" w:sz="4" w:space="0" w:color="auto"/>
              <w:bottom w:val="nil"/>
            </w:tcBorders>
            <w:noWrap/>
          </w:tcPr>
          <w:p w14:paraId="577DFFFD" w14:textId="77777777" w:rsidR="00341597" w:rsidRPr="00A217A0" w:rsidRDefault="00341597" w:rsidP="00F44C09">
            <w:pPr>
              <w:jc w:val="right"/>
            </w:pPr>
            <w:r w:rsidRPr="00A217A0">
              <w:t xml:space="preserve"> 16,199 </w:t>
            </w:r>
          </w:p>
        </w:tc>
        <w:tc>
          <w:tcPr>
            <w:tcW w:w="517" w:type="pct"/>
            <w:tcBorders>
              <w:bottom w:val="nil"/>
            </w:tcBorders>
          </w:tcPr>
          <w:p w14:paraId="17D275AA" w14:textId="77777777" w:rsidR="00341597" w:rsidRPr="00A217A0" w:rsidRDefault="00341597" w:rsidP="00F44C09">
            <w:pPr>
              <w:jc w:val="right"/>
            </w:pPr>
            <w:r w:rsidRPr="00A217A0">
              <w:t xml:space="preserve"> 16,565 </w:t>
            </w:r>
          </w:p>
        </w:tc>
        <w:tc>
          <w:tcPr>
            <w:tcW w:w="516" w:type="pct"/>
            <w:tcBorders>
              <w:bottom w:val="nil"/>
            </w:tcBorders>
          </w:tcPr>
          <w:p w14:paraId="7FF8ABAF" w14:textId="77777777" w:rsidR="00341597" w:rsidRPr="00A217A0" w:rsidRDefault="00341597" w:rsidP="00F44C09">
            <w:pPr>
              <w:jc w:val="right"/>
            </w:pPr>
            <w:r w:rsidRPr="00A217A0">
              <w:t>2.3%</w:t>
            </w:r>
          </w:p>
        </w:tc>
      </w:tr>
      <w:tr w:rsidR="00341597" w:rsidRPr="00B875BD" w14:paraId="1E9DD92F" w14:textId="77777777" w:rsidTr="007F72E7">
        <w:trPr>
          <w:cnfStyle w:val="000000100000" w:firstRow="0" w:lastRow="0" w:firstColumn="0" w:lastColumn="0" w:oddVBand="0" w:evenVBand="0" w:oddHBand="1" w:evenHBand="0" w:firstRowFirstColumn="0" w:firstRowLastColumn="0" w:lastRowFirstColumn="0" w:lastRowLastColumn="0"/>
        </w:trPr>
        <w:tc>
          <w:tcPr>
            <w:tcW w:w="1898" w:type="pct"/>
            <w:noWrap/>
          </w:tcPr>
          <w:p w14:paraId="6E2195B3" w14:textId="77777777" w:rsidR="00341597" w:rsidRPr="00A217A0" w:rsidRDefault="00341597" w:rsidP="00B67C70">
            <w:r w:rsidRPr="00A217A0">
              <w:t>Architecture and Building</w:t>
            </w:r>
            <w:r>
              <w:rPr>
                <w:rStyle w:val="FootnoteReference"/>
              </w:rPr>
              <w:footnoteReference w:id="1"/>
            </w:r>
          </w:p>
        </w:tc>
        <w:tc>
          <w:tcPr>
            <w:tcW w:w="517" w:type="pct"/>
          </w:tcPr>
          <w:p w14:paraId="1978DBE2" w14:textId="77777777" w:rsidR="00341597" w:rsidRPr="00A217A0" w:rsidRDefault="00341597" w:rsidP="00F44C09">
            <w:pPr>
              <w:jc w:val="right"/>
            </w:pPr>
            <w:r w:rsidRPr="00A217A0">
              <w:t xml:space="preserve"> 8,718 </w:t>
            </w:r>
          </w:p>
        </w:tc>
        <w:tc>
          <w:tcPr>
            <w:tcW w:w="517" w:type="pct"/>
          </w:tcPr>
          <w:p w14:paraId="4C982E10" w14:textId="77777777" w:rsidR="00341597" w:rsidRPr="00A217A0" w:rsidRDefault="00341597" w:rsidP="00F44C09">
            <w:pPr>
              <w:jc w:val="right"/>
            </w:pPr>
            <w:r w:rsidRPr="00A217A0">
              <w:t xml:space="preserve"> 9,599 </w:t>
            </w:r>
          </w:p>
        </w:tc>
        <w:tc>
          <w:tcPr>
            <w:tcW w:w="517" w:type="pct"/>
            <w:tcBorders>
              <w:right w:val="single" w:sz="4" w:space="0" w:color="auto"/>
            </w:tcBorders>
          </w:tcPr>
          <w:p w14:paraId="052C082A" w14:textId="77777777" w:rsidR="00341597" w:rsidRPr="00A217A0" w:rsidRDefault="00341597" w:rsidP="00F44C09">
            <w:pPr>
              <w:jc w:val="right"/>
            </w:pPr>
            <w:r w:rsidRPr="00A217A0">
              <w:t>10.1%</w:t>
            </w:r>
          </w:p>
        </w:tc>
        <w:tc>
          <w:tcPr>
            <w:tcW w:w="517" w:type="pct"/>
            <w:tcBorders>
              <w:left w:val="single" w:sz="4" w:space="0" w:color="auto"/>
              <w:bottom w:val="nil"/>
            </w:tcBorders>
            <w:noWrap/>
          </w:tcPr>
          <w:p w14:paraId="0541D966" w14:textId="77777777" w:rsidR="00341597" w:rsidRPr="00A217A0" w:rsidRDefault="00341597" w:rsidP="00F44C09">
            <w:pPr>
              <w:jc w:val="right"/>
            </w:pPr>
            <w:r w:rsidRPr="00A217A0">
              <w:t xml:space="preserve"> 6,959 </w:t>
            </w:r>
          </w:p>
        </w:tc>
        <w:tc>
          <w:tcPr>
            <w:tcW w:w="517" w:type="pct"/>
            <w:tcBorders>
              <w:bottom w:val="nil"/>
            </w:tcBorders>
          </w:tcPr>
          <w:p w14:paraId="4A3DE2FD" w14:textId="77777777" w:rsidR="00341597" w:rsidRPr="00A217A0" w:rsidRDefault="00341597" w:rsidP="00F44C09">
            <w:pPr>
              <w:jc w:val="right"/>
            </w:pPr>
            <w:r w:rsidRPr="00A217A0">
              <w:t xml:space="preserve"> 7,264 </w:t>
            </w:r>
          </w:p>
        </w:tc>
        <w:tc>
          <w:tcPr>
            <w:tcW w:w="516" w:type="pct"/>
            <w:tcBorders>
              <w:bottom w:val="nil"/>
            </w:tcBorders>
          </w:tcPr>
          <w:p w14:paraId="4339E1F2" w14:textId="77777777" w:rsidR="00341597" w:rsidRPr="00A217A0" w:rsidRDefault="00341597" w:rsidP="00F44C09">
            <w:pPr>
              <w:jc w:val="right"/>
            </w:pPr>
            <w:r w:rsidRPr="00A217A0">
              <w:t>4.4%</w:t>
            </w:r>
          </w:p>
        </w:tc>
      </w:tr>
      <w:tr w:rsidR="00341597" w:rsidRPr="00B875BD" w14:paraId="4C5E560C" w14:textId="77777777" w:rsidTr="007F72E7">
        <w:tc>
          <w:tcPr>
            <w:tcW w:w="1898" w:type="pct"/>
            <w:noWrap/>
          </w:tcPr>
          <w:p w14:paraId="28A19281" w14:textId="77777777" w:rsidR="00341597" w:rsidRPr="00A217A0" w:rsidRDefault="00341597" w:rsidP="00A02290">
            <w:r w:rsidRPr="00A217A0">
              <w:t>Agriculture, Environmental and Related Studies</w:t>
            </w:r>
          </w:p>
        </w:tc>
        <w:tc>
          <w:tcPr>
            <w:tcW w:w="517" w:type="pct"/>
          </w:tcPr>
          <w:p w14:paraId="597E1BB4" w14:textId="77777777" w:rsidR="00341597" w:rsidRPr="00A217A0" w:rsidRDefault="00341597" w:rsidP="00F44C09">
            <w:pPr>
              <w:jc w:val="right"/>
            </w:pPr>
            <w:r w:rsidRPr="00A217A0">
              <w:t xml:space="preserve"> 4,711 </w:t>
            </w:r>
          </w:p>
        </w:tc>
        <w:tc>
          <w:tcPr>
            <w:tcW w:w="517" w:type="pct"/>
          </w:tcPr>
          <w:p w14:paraId="55F9B51C" w14:textId="77777777" w:rsidR="00341597" w:rsidRPr="00A217A0" w:rsidRDefault="00341597" w:rsidP="00F44C09">
            <w:pPr>
              <w:jc w:val="right"/>
            </w:pPr>
            <w:r w:rsidRPr="00A217A0">
              <w:t xml:space="preserve"> 4,519 </w:t>
            </w:r>
          </w:p>
        </w:tc>
        <w:tc>
          <w:tcPr>
            <w:tcW w:w="517" w:type="pct"/>
            <w:tcBorders>
              <w:right w:val="single" w:sz="4" w:space="0" w:color="auto"/>
            </w:tcBorders>
          </w:tcPr>
          <w:p w14:paraId="67A5E283" w14:textId="77777777" w:rsidR="00341597" w:rsidRPr="00A217A0" w:rsidRDefault="00341597" w:rsidP="00F44C09">
            <w:pPr>
              <w:jc w:val="right"/>
            </w:pPr>
            <w:r w:rsidRPr="00A217A0">
              <w:t>-4.1%</w:t>
            </w:r>
          </w:p>
        </w:tc>
        <w:tc>
          <w:tcPr>
            <w:tcW w:w="517" w:type="pct"/>
            <w:tcBorders>
              <w:left w:val="single" w:sz="4" w:space="0" w:color="auto"/>
              <w:bottom w:val="nil"/>
            </w:tcBorders>
            <w:noWrap/>
          </w:tcPr>
          <w:p w14:paraId="61EFB8A5" w14:textId="77777777" w:rsidR="00341597" w:rsidRPr="00A217A0" w:rsidRDefault="00341597" w:rsidP="00F44C09">
            <w:pPr>
              <w:jc w:val="right"/>
            </w:pPr>
            <w:r w:rsidRPr="00A217A0">
              <w:t xml:space="preserve"> 4,293 </w:t>
            </w:r>
          </w:p>
        </w:tc>
        <w:tc>
          <w:tcPr>
            <w:tcW w:w="517" w:type="pct"/>
            <w:tcBorders>
              <w:bottom w:val="nil"/>
            </w:tcBorders>
          </w:tcPr>
          <w:p w14:paraId="448B71DA" w14:textId="77777777" w:rsidR="00341597" w:rsidRPr="00A217A0" w:rsidRDefault="00341597" w:rsidP="00F44C09">
            <w:pPr>
              <w:jc w:val="right"/>
            </w:pPr>
            <w:r w:rsidRPr="00A217A0">
              <w:t xml:space="preserve"> 4,018 </w:t>
            </w:r>
          </w:p>
        </w:tc>
        <w:tc>
          <w:tcPr>
            <w:tcW w:w="516" w:type="pct"/>
            <w:tcBorders>
              <w:bottom w:val="nil"/>
            </w:tcBorders>
          </w:tcPr>
          <w:p w14:paraId="349B7EDB" w14:textId="77777777" w:rsidR="00341597" w:rsidRPr="00A217A0" w:rsidRDefault="00341597" w:rsidP="00F44C09">
            <w:pPr>
              <w:jc w:val="right"/>
            </w:pPr>
            <w:r w:rsidRPr="00A217A0">
              <w:t>-6.4%</w:t>
            </w:r>
          </w:p>
        </w:tc>
      </w:tr>
      <w:tr w:rsidR="00341597" w:rsidRPr="00B875BD" w14:paraId="1D66EB42" w14:textId="77777777" w:rsidTr="007F72E7">
        <w:trPr>
          <w:cnfStyle w:val="000000100000" w:firstRow="0" w:lastRow="0" w:firstColumn="0" w:lastColumn="0" w:oddVBand="0" w:evenVBand="0" w:oddHBand="1" w:evenHBand="0" w:firstRowFirstColumn="0" w:firstRowLastColumn="0" w:lastRowFirstColumn="0" w:lastRowLastColumn="0"/>
        </w:trPr>
        <w:tc>
          <w:tcPr>
            <w:tcW w:w="1898" w:type="pct"/>
            <w:noWrap/>
          </w:tcPr>
          <w:p w14:paraId="5A17F6EE" w14:textId="77777777" w:rsidR="00341597" w:rsidRPr="00A217A0" w:rsidRDefault="00341597" w:rsidP="00A02290">
            <w:r w:rsidRPr="00A217A0">
              <w:t>Health</w:t>
            </w:r>
          </w:p>
        </w:tc>
        <w:tc>
          <w:tcPr>
            <w:tcW w:w="517" w:type="pct"/>
          </w:tcPr>
          <w:p w14:paraId="6468E9DE" w14:textId="77777777" w:rsidR="00341597" w:rsidRPr="00A217A0" w:rsidRDefault="00341597" w:rsidP="00F44C09">
            <w:pPr>
              <w:jc w:val="right"/>
            </w:pPr>
            <w:r w:rsidRPr="00A217A0">
              <w:t xml:space="preserve"> 84,403 </w:t>
            </w:r>
          </w:p>
        </w:tc>
        <w:tc>
          <w:tcPr>
            <w:tcW w:w="517" w:type="pct"/>
          </w:tcPr>
          <w:p w14:paraId="27E0C896" w14:textId="77777777" w:rsidR="00341597" w:rsidRPr="00A217A0" w:rsidRDefault="00341597" w:rsidP="00F44C09">
            <w:pPr>
              <w:jc w:val="right"/>
            </w:pPr>
            <w:r w:rsidRPr="00A217A0">
              <w:t xml:space="preserve"> 86,392 </w:t>
            </w:r>
          </w:p>
        </w:tc>
        <w:tc>
          <w:tcPr>
            <w:tcW w:w="517" w:type="pct"/>
            <w:tcBorders>
              <w:right w:val="single" w:sz="4" w:space="0" w:color="auto"/>
            </w:tcBorders>
          </w:tcPr>
          <w:p w14:paraId="757BDB49" w14:textId="77777777" w:rsidR="00341597" w:rsidRPr="00A217A0" w:rsidRDefault="00341597" w:rsidP="00F44C09">
            <w:pPr>
              <w:jc w:val="right"/>
            </w:pPr>
            <w:r w:rsidRPr="00A217A0">
              <w:t>2.4%</w:t>
            </w:r>
          </w:p>
        </w:tc>
        <w:tc>
          <w:tcPr>
            <w:tcW w:w="517" w:type="pct"/>
            <w:tcBorders>
              <w:left w:val="single" w:sz="4" w:space="0" w:color="auto"/>
              <w:bottom w:val="nil"/>
            </w:tcBorders>
            <w:noWrap/>
          </w:tcPr>
          <w:p w14:paraId="2B987396" w14:textId="77777777" w:rsidR="00341597" w:rsidRPr="00A217A0" w:rsidRDefault="00341597" w:rsidP="00F44C09">
            <w:pPr>
              <w:jc w:val="right"/>
            </w:pPr>
            <w:r w:rsidRPr="00A217A0">
              <w:t xml:space="preserve"> 63,299 </w:t>
            </w:r>
          </w:p>
        </w:tc>
        <w:tc>
          <w:tcPr>
            <w:tcW w:w="517" w:type="pct"/>
            <w:tcBorders>
              <w:bottom w:val="nil"/>
            </w:tcBorders>
          </w:tcPr>
          <w:p w14:paraId="129702E8" w14:textId="77777777" w:rsidR="00341597" w:rsidRPr="00A217A0" w:rsidRDefault="00341597" w:rsidP="00F44C09">
            <w:pPr>
              <w:jc w:val="right"/>
            </w:pPr>
            <w:r w:rsidRPr="00A217A0">
              <w:t xml:space="preserve"> 63,792 </w:t>
            </w:r>
          </w:p>
        </w:tc>
        <w:tc>
          <w:tcPr>
            <w:tcW w:w="516" w:type="pct"/>
            <w:tcBorders>
              <w:bottom w:val="nil"/>
            </w:tcBorders>
          </w:tcPr>
          <w:p w14:paraId="465747B6" w14:textId="77777777" w:rsidR="00341597" w:rsidRPr="00A217A0" w:rsidRDefault="00341597" w:rsidP="00F44C09">
            <w:pPr>
              <w:jc w:val="right"/>
            </w:pPr>
            <w:r w:rsidRPr="00A217A0">
              <w:t>0.8%</w:t>
            </w:r>
          </w:p>
        </w:tc>
      </w:tr>
      <w:tr w:rsidR="00341597" w:rsidRPr="00B875BD" w14:paraId="4DCE6A3D" w14:textId="77777777" w:rsidTr="007F72E7">
        <w:tc>
          <w:tcPr>
            <w:tcW w:w="1898" w:type="pct"/>
            <w:noWrap/>
          </w:tcPr>
          <w:p w14:paraId="105C0A29" w14:textId="77777777" w:rsidR="00341597" w:rsidRPr="00A217A0" w:rsidRDefault="00341597" w:rsidP="00A02290">
            <w:r w:rsidRPr="00A217A0">
              <w:t>Education</w:t>
            </w:r>
          </w:p>
        </w:tc>
        <w:tc>
          <w:tcPr>
            <w:tcW w:w="517" w:type="pct"/>
          </w:tcPr>
          <w:p w14:paraId="35FE8FCD" w14:textId="77777777" w:rsidR="00341597" w:rsidRPr="00A217A0" w:rsidRDefault="00341597" w:rsidP="00F44C09">
            <w:pPr>
              <w:jc w:val="right"/>
            </w:pPr>
            <w:r w:rsidRPr="00A217A0">
              <w:t xml:space="preserve"> 28,293 </w:t>
            </w:r>
          </w:p>
        </w:tc>
        <w:tc>
          <w:tcPr>
            <w:tcW w:w="517" w:type="pct"/>
          </w:tcPr>
          <w:p w14:paraId="01DF7B33" w14:textId="77777777" w:rsidR="00341597" w:rsidRPr="00A217A0" w:rsidRDefault="00341597" w:rsidP="00F44C09">
            <w:pPr>
              <w:jc w:val="right"/>
            </w:pPr>
            <w:r w:rsidRPr="00A217A0">
              <w:t xml:space="preserve"> 28,790 </w:t>
            </w:r>
          </w:p>
        </w:tc>
        <w:tc>
          <w:tcPr>
            <w:tcW w:w="517" w:type="pct"/>
            <w:tcBorders>
              <w:right w:val="single" w:sz="4" w:space="0" w:color="auto"/>
            </w:tcBorders>
          </w:tcPr>
          <w:p w14:paraId="75861131" w14:textId="77777777" w:rsidR="00341597" w:rsidRPr="00A217A0" w:rsidRDefault="00341597" w:rsidP="00F44C09">
            <w:pPr>
              <w:jc w:val="right"/>
            </w:pPr>
            <w:r w:rsidRPr="00A217A0">
              <w:t>1.8%</w:t>
            </w:r>
          </w:p>
        </w:tc>
        <w:tc>
          <w:tcPr>
            <w:tcW w:w="517" w:type="pct"/>
            <w:tcBorders>
              <w:left w:val="single" w:sz="4" w:space="0" w:color="auto"/>
              <w:bottom w:val="nil"/>
            </w:tcBorders>
            <w:noWrap/>
          </w:tcPr>
          <w:p w14:paraId="334E7173" w14:textId="77777777" w:rsidR="00341597" w:rsidRPr="00A217A0" w:rsidRDefault="00341597" w:rsidP="00F44C09">
            <w:pPr>
              <w:jc w:val="right"/>
            </w:pPr>
            <w:r w:rsidRPr="00A217A0">
              <w:t xml:space="preserve"> 23,560 </w:t>
            </w:r>
          </w:p>
        </w:tc>
        <w:tc>
          <w:tcPr>
            <w:tcW w:w="517" w:type="pct"/>
            <w:tcBorders>
              <w:bottom w:val="nil"/>
            </w:tcBorders>
          </w:tcPr>
          <w:p w14:paraId="636321B7" w14:textId="77777777" w:rsidR="00341597" w:rsidRPr="00A217A0" w:rsidRDefault="00341597" w:rsidP="00F44C09">
            <w:pPr>
              <w:jc w:val="right"/>
            </w:pPr>
            <w:r w:rsidRPr="00A217A0">
              <w:t xml:space="preserve"> 23,725 </w:t>
            </w:r>
          </w:p>
        </w:tc>
        <w:tc>
          <w:tcPr>
            <w:tcW w:w="516" w:type="pct"/>
            <w:tcBorders>
              <w:bottom w:val="nil"/>
            </w:tcBorders>
          </w:tcPr>
          <w:p w14:paraId="6D115A9F" w14:textId="77777777" w:rsidR="00341597" w:rsidRPr="00A217A0" w:rsidRDefault="00341597" w:rsidP="00F44C09">
            <w:pPr>
              <w:jc w:val="right"/>
            </w:pPr>
            <w:r w:rsidRPr="00A217A0">
              <w:t>0.7%</w:t>
            </w:r>
          </w:p>
        </w:tc>
      </w:tr>
      <w:tr w:rsidR="00341597" w:rsidRPr="00B875BD" w14:paraId="21823EC6" w14:textId="77777777" w:rsidTr="007F72E7">
        <w:trPr>
          <w:cnfStyle w:val="000000100000" w:firstRow="0" w:lastRow="0" w:firstColumn="0" w:lastColumn="0" w:oddVBand="0" w:evenVBand="0" w:oddHBand="1" w:evenHBand="0" w:firstRowFirstColumn="0" w:firstRowLastColumn="0" w:lastRowFirstColumn="0" w:lastRowLastColumn="0"/>
        </w:trPr>
        <w:tc>
          <w:tcPr>
            <w:tcW w:w="1898" w:type="pct"/>
            <w:noWrap/>
          </w:tcPr>
          <w:p w14:paraId="02CE9655" w14:textId="77777777" w:rsidR="00341597" w:rsidRPr="00A217A0" w:rsidRDefault="00341597" w:rsidP="00A02290">
            <w:r w:rsidRPr="00A217A0">
              <w:t>Management and Commerce</w:t>
            </w:r>
          </w:p>
        </w:tc>
        <w:tc>
          <w:tcPr>
            <w:tcW w:w="517" w:type="pct"/>
          </w:tcPr>
          <w:p w14:paraId="4A69EB22" w14:textId="77777777" w:rsidR="00341597" w:rsidRPr="00A217A0" w:rsidRDefault="00341597" w:rsidP="00F44C09">
            <w:pPr>
              <w:jc w:val="right"/>
            </w:pPr>
            <w:r w:rsidRPr="00A217A0">
              <w:t xml:space="preserve"> 43,934 </w:t>
            </w:r>
          </w:p>
        </w:tc>
        <w:tc>
          <w:tcPr>
            <w:tcW w:w="517" w:type="pct"/>
          </w:tcPr>
          <w:p w14:paraId="5C6E504B" w14:textId="77777777" w:rsidR="00341597" w:rsidRPr="00A217A0" w:rsidRDefault="00341597" w:rsidP="00F44C09">
            <w:pPr>
              <w:jc w:val="right"/>
            </w:pPr>
            <w:r w:rsidRPr="00A217A0">
              <w:t xml:space="preserve"> 43,421 </w:t>
            </w:r>
          </w:p>
        </w:tc>
        <w:tc>
          <w:tcPr>
            <w:tcW w:w="517" w:type="pct"/>
            <w:tcBorders>
              <w:right w:val="single" w:sz="4" w:space="0" w:color="auto"/>
            </w:tcBorders>
          </w:tcPr>
          <w:p w14:paraId="0F0B2F08" w14:textId="77777777" w:rsidR="00341597" w:rsidRPr="00A217A0" w:rsidRDefault="00341597" w:rsidP="00F44C09">
            <w:pPr>
              <w:jc w:val="right"/>
            </w:pPr>
            <w:r w:rsidRPr="00A217A0">
              <w:t>-1.2%</w:t>
            </w:r>
          </w:p>
        </w:tc>
        <w:tc>
          <w:tcPr>
            <w:tcW w:w="517" w:type="pct"/>
            <w:tcBorders>
              <w:left w:val="single" w:sz="4" w:space="0" w:color="auto"/>
              <w:bottom w:val="nil"/>
            </w:tcBorders>
            <w:noWrap/>
          </w:tcPr>
          <w:p w14:paraId="3B17FAF5" w14:textId="77777777" w:rsidR="00341597" w:rsidRPr="00A217A0" w:rsidRDefault="00341597" w:rsidP="00F44C09">
            <w:pPr>
              <w:jc w:val="right"/>
            </w:pPr>
            <w:r w:rsidRPr="00A217A0">
              <w:t xml:space="preserve"> 39,623 </w:t>
            </w:r>
          </w:p>
        </w:tc>
        <w:tc>
          <w:tcPr>
            <w:tcW w:w="517" w:type="pct"/>
            <w:tcBorders>
              <w:bottom w:val="nil"/>
            </w:tcBorders>
          </w:tcPr>
          <w:p w14:paraId="2203538F" w14:textId="77777777" w:rsidR="00341597" w:rsidRPr="00A217A0" w:rsidRDefault="00341597" w:rsidP="00F44C09">
            <w:pPr>
              <w:jc w:val="right"/>
            </w:pPr>
            <w:r w:rsidRPr="00A217A0">
              <w:t xml:space="preserve"> 38,470 </w:t>
            </w:r>
          </w:p>
        </w:tc>
        <w:tc>
          <w:tcPr>
            <w:tcW w:w="516" w:type="pct"/>
            <w:tcBorders>
              <w:bottom w:val="nil"/>
            </w:tcBorders>
          </w:tcPr>
          <w:p w14:paraId="74A96485" w14:textId="77777777" w:rsidR="00341597" w:rsidRPr="00A217A0" w:rsidRDefault="00341597" w:rsidP="00F44C09">
            <w:pPr>
              <w:jc w:val="right"/>
            </w:pPr>
            <w:r w:rsidRPr="00A217A0">
              <w:t>-2.9%</w:t>
            </w:r>
          </w:p>
        </w:tc>
      </w:tr>
      <w:tr w:rsidR="00341597" w:rsidRPr="00B875BD" w14:paraId="67822429" w14:textId="77777777" w:rsidTr="007F72E7">
        <w:tc>
          <w:tcPr>
            <w:tcW w:w="1898" w:type="pct"/>
            <w:noWrap/>
          </w:tcPr>
          <w:p w14:paraId="1CAF0088" w14:textId="77777777" w:rsidR="00341597" w:rsidRPr="00A217A0" w:rsidRDefault="00341597" w:rsidP="00A02290">
            <w:r w:rsidRPr="00A217A0">
              <w:t>Society and Culture</w:t>
            </w:r>
          </w:p>
        </w:tc>
        <w:tc>
          <w:tcPr>
            <w:tcW w:w="517" w:type="pct"/>
          </w:tcPr>
          <w:p w14:paraId="00B429A4" w14:textId="77777777" w:rsidR="00341597" w:rsidRPr="00A217A0" w:rsidRDefault="00341597" w:rsidP="00F44C09">
            <w:pPr>
              <w:jc w:val="right"/>
            </w:pPr>
            <w:r w:rsidRPr="00A217A0">
              <w:t xml:space="preserve"> 75,686 </w:t>
            </w:r>
          </w:p>
        </w:tc>
        <w:tc>
          <w:tcPr>
            <w:tcW w:w="517" w:type="pct"/>
          </w:tcPr>
          <w:p w14:paraId="1AAE2FF4" w14:textId="77777777" w:rsidR="00341597" w:rsidRPr="00A217A0" w:rsidRDefault="00341597" w:rsidP="00F44C09">
            <w:pPr>
              <w:jc w:val="right"/>
            </w:pPr>
            <w:r w:rsidRPr="00A217A0">
              <w:t xml:space="preserve"> 75,571 </w:t>
            </w:r>
          </w:p>
        </w:tc>
        <w:tc>
          <w:tcPr>
            <w:tcW w:w="517" w:type="pct"/>
            <w:tcBorders>
              <w:right w:val="single" w:sz="4" w:space="0" w:color="auto"/>
            </w:tcBorders>
          </w:tcPr>
          <w:p w14:paraId="27726009" w14:textId="77777777" w:rsidR="00341597" w:rsidRPr="00A217A0" w:rsidRDefault="00341597" w:rsidP="00F44C09">
            <w:pPr>
              <w:jc w:val="right"/>
            </w:pPr>
            <w:r w:rsidRPr="00A217A0">
              <w:t>-0.2%</w:t>
            </w:r>
          </w:p>
        </w:tc>
        <w:tc>
          <w:tcPr>
            <w:tcW w:w="517" w:type="pct"/>
            <w:tcBorders>
              <w:left w:val="single" w:sz="4" w:space="0" w:color="auto"/>
              <w:bottom w:val="nil"/>
            </w:tcBorders>
            <w:noWrap/>
          </w:tcPr>
          <w:p w14:paraId="69DB07AE" w14:textId="77777777" w:rsidR="00341597" w:rsidRPr="00A217A0" w:rsidRDefault="00341597" w:rsidP="00F44C09">
            <w:pPr>
              <w:jc w:val="right"/>
            </w:pPr>
            <w:r w:rsidRPr="00A217A0">
              <w:t xml:space="preserve"> 65,585 </w:t>
            </w:r>
          </w:p>
        </w:tc>
        <w:tc>
          <w:tcPr>
            <w:tcW w:w="517" w:type="pct"/>
            <w:tcBorders>
              <w:bottom w:val="nil"/>
            </w:tcBorders>
          </w:tcPr>
          <w:p w14:paraId="12C28E92" w14:textId="77777777" w:rsidR="00341597" w:rsidRPr="00A217A0" w:rsidRDefault="00341597" w:rsidP="00F44C09">
            <w:pPr>
              <w:jc w:val="right"/>
            </w:pPr>
            <w:r w:rsidRPr="00A217A0">
              <w:t xml:space="preserve"> 64,337 </w:t>
            </w:r>
          </w:p>
        </w:tc>
        <w:tc>
          <w:tcPr>
            <w:tcW w:w="516" w:type="pct"/>
            <w:tcBorders>
              <w:bottom w:val="nil"/>
            </w:tcBorders>
          </w:tcPr>
          <w:p w14:paraId="4CE42592" w14:textId="77777777" w:rsidR="00341597" w:rsidRPr="00A217A0" w:rsidRDefault="00341597" w:rsidP="00F44C09">
            <w:pPr>
              <w:jc w:val="right"/>
            </w:pPr>
            <w:r w:rsidRPr="00A217A0">
              <w:t>-1.9%</w:t>
            </w:r>
          </w:p>
        </w:tc>
      </w:tr>
      <w:tr w:rsidR="00341597" w:rsidRPr="00B875BD" w14:paraId="18B3E754" w14:textId="77777777" w:rsidTr="007F72E7">
        <w:trPr>
          <w:cnfStyle w:val="000000100000" w:firstRow="0" w:lastRow="0" w:firstColumn="0" w:lastColumn="0" w:oddVBand="0" w:evenVBand="0" w:oddHBand="1" w:evenHBand="0" w:firstRowFirstColumn="0" w:firstRowLastColumn="0" w:lastRowFirstColumn="0" w:lastRowLastColumn="0"/>
        </w:trPr>
        <w:tc>
          <w:tcPr>
            <w:tcW w:w="1898" w:type="pct"/>
            <w:noWrap/>
          </w:tcPr>
          <w:p w14:paraId="06B215BC" w14:textId="77777777" w:rsidR="00341597" w:rsidRPr="00A217A0" w:rsidRDefault="00341597" w:rsidP="00A02290">
            <w:r w:rsidRPr="00A217A0">
              <w:t>Creative Arts</w:t>
            </w:r>
          </w:p>
        </w:tc>
        <w:tc>
          <w:tcPr>
            <w:tcW w:w="517" w:type="pct"/>
          </w:tcPr>
          <w:p w14:paraId="78F882CB" w14:textId="77777777" w:rsidR="00341597" w:rsidRPr="00A217A0" w:rsidRDefault="00341597" w:rsidP="00F44C09">
            <w:pPr>
              <w:jc w:val="right"/>
            </w:pPr>
            <w:r w:rsidRPr="00A217A0">
              <w:t xml:space="preserve"> 29,115 </w:t>
            </w:r>
          </w:p>
        </w:tc>
        <w:tc>
          <w:tcPr>
            <w:tcW w:w="517" w:type="pct"/>
          </w:tcPr>
          <w:p w14:paraId="70BE9A1B" w14:textId="77777777" w:rsidR="00341597" w:rsidRPr="00A217A0" w:rsidRDefault="00341597" w:rsidP="00F44C09">
            <w:pPr>
              <w:jc w:val="right"/>
            </w:pPr>
            <w:r w:rsidRPr="00A217A0">
              <w:t xml:space="preserve"> 28,280 </w:t>
            </w:r>
          </w:p>
        </w:tc>
        <w:tc>
          <w:tcPr>
            <w:tcW w:w="517" w:type="pct"/>
            <w:tcBorders>
              <w:right w:val="single" w:sz="4" w:space="0" w:color="auto"/>
            </w:tcBorders>
          </w:tcPr>
          <w:p w14:paraId="5B2B0175" w14:textId="77777777" w:rsidR="00341597" w:rsidRPr="00A217A0" w:rsidRDefault="00341597" w:rsidP="00F44C09">
            <w:pPr>
              <w:jc w:val="right"/>
            </w:pPr>
            <w:r w:rsidRPr="00A217A0">
              <w:t>-2.9%</w:t>
            </w:r>
          </w:p>
        </w:tc>
        <w:tc>
          <w:tcPr>
            <w:tcW w:w="517" w:type="pct"/>
            <w:tcBorders>
              <w:left w:val="single" w:sz="4" w:space="0" w:color="auto"/>
              <w:bottom w:val="nil"/>
            </w:tcBorders>
            <w:noWrap/>
          </w:tcPr>
          <w:p w14:paraId="1BE3C4E4" w14:textId="77777777" w:rsidR="00341597" w:rsidRPr="00A217A0" w:rsidRDefault="00341597" w:rsidP="00F44C09">
            <w:pPr>
              <w:jc w:val="right"/>
            </w:pPr>
            <w:r w:rsidRPr="00A217A0">
              <w:t xml:space="preserve"> 22,754 </w:t>
            </w:r>
          </w:p>
        </w:tc>
        <w:tc>
          <w:tcPr>
            <w:tcW w:w="517" w:type="pct"/>
            <w:tcBorders>
              <w:bottom w:val="nil"/>
            </w:tcBorders>
          </w:tcPr>
          <w:p w14:paraId="0C051B13" w14:textId="77777777" w:rsidR="00341597" w:rsidRPr="00A217A0" w:rsidRDefault="00341597" w:rsidP="00F44C09">
            <w:pPr>
              <w:jc w:val="right"/>
            </w:pPr>
            <w:r w:rsidRPr="00A217A0">
              <w:t xml:space="preserve"> 21,966 </w:t>
            </w:r>
          </w:p>
        </w:tc>
        <w:tc>
          <w:tcPr>
            <w:tcW w:w="516" w:type="pct"/>
            <w:tcBorders>
              <w:bottom w:val="nil"/>
            </w:tcBorders>
          </w:tcPr>
          <w:p w14:paraId="3AEC5CE1" w14:textId="77777777" w:rsidR="00341597" w:rsidRPr="00A217A0" w:rsidRDefault="00341597" w:rsidP="00F44C09">
            <w:pPr>
              <w:jc w:val="right"/>
            </w:pPr>
            <w:r w:rsidRPr="00A217A0">
              <w:t>-3.5%</w:t>
            </w:r>
          </w:p>
        </w:tc>
      </w:tr>
      <w:tr w:rsidR="00341597" w:rsidRPr="00B875BD" w14:paraId="25DF848D" w14:textId="77777777" w:rsidTr="007F72E7">
        <w:tc>
          <w:tcPr>
            <w:tcW w:w="1898" w:type="pct"/>
            <w:noWrap/>
          </w:tcPr>
          <w:p w14:paraId="48BE2ED9" w14:textId="77777777" w:rsidR="00341597" w:rsidRPr="002B3AAA" w:rsidRDefault="00341597" w:rsidP="00A02290">
            <w:r w:rsidRPr="002B3AAA">
              <w:t xml:space="preserve">Australia </w:t>
            </w:r>
          </w:p>
        </w:tc>
        <w:tc>
          <w:tcPr>
            <w:tcW w:w="517" w:type="pct"/>
          </w:tcPr>
          <w:p w14:paraId="4318108D" w14:textId="77777777" w:rsidR="00341597" w:rsidRPr="002B3AAA" w:rsidRDefault="00341597" w:rsidP="00F44C09">
            <w:pPr>
              <w:jc w:val="right"/>
            </w:pPr>
            <w:r w:rsidRPr="002B3AAA">
              <w:t xml:space="preserve"> 335,327 </w:t>
            </w:r>
          </w:p>
        </w:tc>
        <w:tc>
          <w:tcPr>
            <w:tcW w:w="517" w:type="pct"/>
          </w:tcPr>
          <w:p w14:paraId="0D3FC346" w14:textId="77777777" w:rsidR="00341597" w:rsidRPr="002B3AAA" w:rsidRDefault="00341597" w:rsidP="00F44C09">
            <w:pPr>
              <w:jc w:val="right"/>
            </w:pPr>
            <w:r w:rsidRPr="002B3AAA">
              <w:t xml:space="preserve"> 340,027 </w:t>
            </w:r>
          </w:p>
        </w:tc>
        <w:tc>
          <w:tcPr>
            <w:tcW w:w="517" w:type="pct"/>
            <w:tcBorders>
              <w:right w:val="single" w:sz="4" w:space="0" w:color="auto"/>
            </w:tcBorders>
          </w:tcPr>
          <w:p w14:paraId="623303EF" w14:textId="77777777" w:rsidR="00341597" w:rsidRPr="002B3AAA" w:rsidRDefault="00341597" w:rsidP="00F44C09">
            <w:pPr>
              <w:jc w:val="right"/>
            </w:pPr>
            <w:r w:rsidRPr="002B3AAA">
              <w:t>1.4%</w:t>
            </w:r>
          </w:p>
        </w:tc>
        <w:tc>
          <w:tcPr>
            <w:tcW w:w="517" w:type="pct"/>
            <w:tcBorders>
              <w:left w:val="single" w:sz="4" w:space="0" w:color="auto"/>
              <w:bottom w:val="single" w:sz="4" w:space="0" w:color="auto"/>
            </w:tcBorders>
            <w:noWrap/>
          </w:tcPr>
          <w:p w14:paraId="5A2AC7CE" w14:textId="77777777" w:rsidR="00341597" w:rsidRPr="002B3AAA" w:rsidRDefault="00341597" w:rsidP="00F44C09">
            <w:pPr>
              <w:jc w:val="right"/>
            </w:pPr>
            <w:r w:rsidRPr="002B3AAA">
              <w:t xml:space="preserve"> 281,549 </w:t>
            </w:r>
          </w:p>
        </w:tc>
        <w:tc>
          <w:tcPr>
            <w:tcW w:w="517" w:type="pct"/>
            <w:tcBorders>
              <w:bottom w:val="single" w:sz="4" w:space="0" w:color="auto"/>
            </w:tcBorders>
          </w:tcPr>
          <w:p w14:paraId="36401DD3" w14:textId="77777777" w:rsidR="00341597" w:rsidRPr="002B3AAA" w:rsidRDefault="00341597" w:rsidP="00F44C09">
            <w:pPr>
              <w:jc w:val="right"/>
            </w:pPr>
            <w:r w:rsidRPr="002B3AAA">
              <w:t xml:space="preserve"> 281,113 </w:t>
            </w:r>
          </w:p>
        </w:tc>
        <w:tc>
          <w:tcPr>
            <w:tcW w:w="516" w:type="pct"/>
            <w:tcBorders>
              <w:bottom w:val="single" w:sz="4" w:space="0" w:color="auto"/>
            </w:tcBorders>
          </w:tcPr>
          <w:p w14:paraId="54C50862" w14:textId="77777777" w:rsidR="00341597" w:rsidRPr="002B3AAA" w:rsidRDefault="00341597" w:rsidP="00F44C09">
            <w:pPr>
              <w:jc w:val="right"/>
            </w:pPr>
            <w:r w:rsidRPr="002B3AAA">
              <w:t>-0.2%</w:t>
            </w:r>
          </w:p>
        </w:tc>
      </w:tr>
    </w:tbl>
    <w:p w14:paraId="7C243AA7" w14:textId="77777777" w:rsidR="00341597" w:rsidRDefault="00341597" w:rsidP="00A02290">
      <w:r w:rsidRPr="00C667B5">
        <w:t>Note: Hospitality and Mixed Field Programs are not shown due to the small number of applications/</w:t>
      </w:r>
      <w:r>
        <w:t xml:space="preserve"> </w:t>
      </w:r>
      <w:r w:rsidRPr="00C667B5">
        <w:t>offers. Hence, the total number of applications/offers does not equal the sum of applications/offers by broad field of education in the above table.</w:t>
      </w:r>
    </w:p>
    <w:p w14:paraId="39519E83" w14:textId="00093433" w:rsidR="00341597" w:rsidRPr="00CA743F" w:rsidRDefault="00341597" w:rsidP="00CA743F">
      <w:pPr>
        <w:pStyle w:val="Heading2"/>
      </w:pPr>
      <w:bookmarkStart w:id="65" w:name="_Toc416445754"/>
      <w:bookmarkStart w:id="66" w:name="_Toc492454263"/>
      <w:r w:rsidRPr="00CA743F">
        <w:t>Offer rate</w:t>
      </w:r>
      <w:bookmarkEnd w:id="65"/>
      <w:bookmarkEnd w:id="66"/>
      <w:r w:rsidRPr="00CA743F">
        <w:t xml:space="preserve"> </w:t>
      </w:r>
    </w:p>
    <w:p w14:paraId="0B3AEA0D" w14:textId="77777777" w:rsidR="00341597" w:rsidRPr="00B875BD" w:rsidRDefault="00341597" w:rsidP="00B67C70">
      <w:pPr>
        <w:pStyle w:val="ListParagraph"/>
      </w:pPr>
      <w:r>
        <w:t>Among</w:t>
      </w:r>
      <w:r w:rsidRPr="00B875BD">
        <w:t xml:space="preserve"> all broad fields of education</w:t>
      </w:r>
      <w:r w:rsidRPr="0072156E">
        <w:t>,</w:t>
      </w:r>
      <w:r w:rsidRPr="00731A44">
        <w:t xml:space="preserve"> </w:t>
      </w:r>
      <w:r w:rsidRPr="008A6B96">
        <w:t>Natural and Physical Sciences</w:t>
      </w:r>
      <w:r w:rsidRPr="00731A44">
        <w:t xml:space="preserve"> reco</w:t>
      </w:r>
      <w:r>
        <w:t>rded the highest offer rate (96.8</w:t>
      </w:r>
      <w:r w:rsidRPr="00731A44">
        <w:t>%)</w:t>
      </w:r>
      <w:r w:rsidRPr="0072156E">
        <w:t>,</w:t>
      </w:r>
      <w:r w:rsidRPr="00B875BD">
        <w:t xml:space="preserve"> followed by </w:t>
      </w:r>
      <w:r w:rsidRPr="00AA2E0A">
        <w:t xml:space="preserve">Agriculture, Environmental and Related Studies </w:t>
      </w:r>
      <w:r w:rsidRPr="00B875BD">
        <w:t>(</w:t>
      </w:r>
      <w:r>
        <w:t>88.9</w:t>
      </w:r>
      <w:r w:rsidRPr="00B875BD">
        <w:t xml:space="preserve">%).  </w:t>
      </w:r>
    </w:p>
    <w:p w14:paraId="6E319BC2" w14:textId="77777777" w:rsidR="00341597" w:rsidRDefault="00341597" w:rsidP="00B67C70">
      <w:pPr>
        <w:pStyle w:val="ListParagraph"/>
      </w:pPr>
      <w:r w:rsidRPr="00B875BD">
        <w:t>Health (</w:t>
      </w:r>
      <w:r>
        <w:t>73.8%) and</w:t>
      </w:r>
      <w:r w:rsidRPr="00B875BD">
        <w:t xml:space="preserve"> </w:t>
      </w:r>
      <w:r w:rsidRPr="00C362D1">
        <w:t>Architecture and Building</w:t>
      </w:r>
      <w:r w:rsidRPr="00B875BD">
        <w:t xml:space="preserve"> (</w:t>
      </w:r>
      <w:r>
        <w:t>75.7</w:t>
      </w:r>
      <w:r w:rsidRPr="00B875BD">
        <w:t>%) recorded the lowest offer rates in 201</w:t>
      </w:r>
      <w:r>
        <w:t>7</w:t>
      </w:r>
      <w:r w:rsidRPr="00B875BD">
        <w:t>.</w:t>
      </w:r>
    </w:p>
    <w:p w14:paraId="003153AC" w14:textId="77777777" w:rsidR="00341597" w:rsidRDefault="00341597" w:rsidP="00B67C70">
      <w:pPr>
        <w:pStyle w:val="ListParagraph"/>
      </w:pPr>
      <w:r>
        <w:lastRenderedPageBreak/>
        <w:t xml:space="preserve">Offer rates in all fields in 2017 decreased compared to 2016, the smallest decrease was in </w:t>
      </w:r>
      <w:r w:rsidRPr="005E19AF">
        <w:t>Natural and Physical Sciences</w:t>
      </w:r>
      <w:r>
        <w:t xml:space="preserve">, down by 0.4 </w:t>
      </w:r>
      <w:r w:rsidRPr="009174FC">
        <w:t>percentage points.</w:t>
      </w:r>
    </w:p>
    <w:p w14:paraId="17600244" w14:textId="77777777" w:rsidR="00341597" w:rsidRDefault="00341597" w:rsidP="00B67C70">
      <w:pPr>
        <w:pStyle w:val="ListParagraph"/>
      </w:pPr>
      <w:r>
        <w:t xml:space="preserve">The largest falls in the offer rate were in </w:t>
      </w:r>
      <w:r w:rsidRPr="000E428B">
        <w:t>Architecture and Building</w:t>
      </w:r>
      <w:r>
        <w:t xml:space="preserve">, down 4.1 percentage points; </w:t>
      </w:r>
      <w:r w:rsidRPr="000E428B">
        <w:t xml:space="preserve">Agriculture, </w:t>
      </w:r>
      <w:r w:rsidRPr="00AB603A">
        <w:t>Environmenta</w:t>
      </w:r>
      <w:r>
        <w:t xml:space="preserve">l </w:t>
      </w:r>
      <w:r w:rsidRPr="000E428B">
        <w:t>and Rel</w:t>
      </w:r>
      <w:r>
        <w:t>a</w:t>
      </w:r>
      <w:r w:rsidRPr="000E428B">
        <w:t>t</w:t>
      </w:r>
      <w:r>
        <w:t>e</w:t>
      </w:r>
      <w:r w:rsidRPr="000E428B">
        <w:t>d Studies</w:t>
      </w:r>
      <w:r>
        <w:t>, down 2.2 percentage points, Engineering and Related Technologies and Management and Commerce, both down by 1.6 percentage points.</w:t>
      </w:r>
    </w:p>
    <w:p w14:paraId="48386F45" w14:textId="006815A5" w:rsidR="00D21F72" w:rsidRDefault="00D21F72" w:rsidP="00D21F72">
      <w:pPr>
        <w:pStyle w:val="Caption"/>
        <w:keepNext/>
      </w:pPr>
      <w:bookmarkStart w:id="67" w:name="_Toc492453640"/>
      <w:bookmarkStart w:id="68" w:name="_Toc492453865"/>
      <w:r>
        <w:t xml:space="preserve">Table </w:t>
      </w:r>
      <w:fldSimple w:instr=" SEQ Table \* ARABIC ">
        <w:r w:rsidR="00E05F5D">
          <w:rPr>
            <w:noProof/>
          </w:rPr>
          <w:t>9</w:t>
        </w:r>
      </w:fldSimple>
      <w:r w:rsidRPr="00EE15CB">
        <w:t>: Offer rates by field of education, February 2016 and February 2017</w:t>
      </w:r>
      <w:bookmarkEnd w:id="67"/>
      <w:bookmarkEnd w:id="68"/>
    </w:p>
    <w:tbl>
      <w:tblPr>
        <w:tblStyle w:val="DEEWRTable"/>
        <w:tblW w:w="5000" w:type="pct"/>
        <w:tblLook w:val="0020" w:firstRow="1" w:lastRow="0" w:firstColumn="0" w:lastColumn="0" w:noHBand="0" w:noVBand="0"/>
      </w:tblPr>
      <w:tblGrid>
        <w:gridCol w:w="4063"/>
        <w:gridCol w:w="1723"/>
        <w:gridCol w:w="1726"/>
        <w:gridCol w:w="1730"/>
      </w:tblGrid>
      <w:tr w:rsidR="00341597" w:rsidRPr="00B875BD" w14:paraId="487CBC49" w14:textId="77777777" w:rsidTr="00D21F72">
        <w:trPr>
          <w:cnfStyle w:val="100000000000" w:firstRow="1" w:lastRow="0" w:firstColumn="0" w:lastColumn="0" w:oddVBand="0" w:evenVBand="0" w:oddHBand="0" w:evenHBand="0" w:firstRowFirstColumn="0" w:firstRowLastColumn="0" w:lastRowFirstColumn="0" w:lastRowLastColumn="0"/>
          <w:trHeight w:val="249"/>
        </w:trPr>
        <w:tc>
          <w:tcPr>
            <w:tcW w:w="2198" w:type="pct"/>
            <w:vMerge w:val="restart"/>
          </w:tcPr>
          <w:p w14:paraId="2E5CA4EC" w14:textId="77777777" w:rsidR="00341597" w:rsidRPr="007D7C34" w:rsidRDefault="00341597" w:rsidP="00A02290">
            <w:r w:rsidRPr="007D7C34">
              <w:t>Field of education</w:t>
            </w:r>
          </w:p>
        </w:tc>
        <w:tc>
          <w:tcPr>
            <w:tcW w:w="2802" w:type="pct"/>
            <w:gridSpan w:val="3"/>
          </w:tcPr>
          <w:p w14:paraId="332FB698" w14:textId="77777777" w:rsidR="00341597" w:rsidRPr="007D7C34" w:rsidRDefault="00341597" w:rsidP="00F44C09">
            <w:pPr>
              <w:jc w:val="center"/>
            </w:pPr>
            <w:r w:rsidRPr="007D7C34">
              <w:t>Offer Rate</w:t>
            </w:r>
          </w:p>
        </w:tc>
      </w:tr>
      <w:tr w:rsidR="00341597" w:rsidRPr="00B875BD" w14:paraId="49922E5A" w14:textId="77777777" w:rsidTr="00D21F72">
        <w:trPr>
          <w:cnfStyle w:val="000000100000" w:firstRow="0" w:lastRow="0" w:firstColumn="0" w:lastColumn="0" w:oddVBand="0" w:evenVBand="0" w:oddHBand="1" w:evenHBand="0" w:firstRowFirstColumn="0" w:firstRowLastColumn="0" w:lastRowFirstColumn="0" w:lastRowLastColumn="0"/>
          <w:trHeight w:val="180"/>
        </w:trPr>
        <w:tc>
          <w:tcPr>
            <w:tcW w:w="2198" w:type="pct"/>
            <w:vMerge/>
          </w:tcPr>
          <w:p w14:paraId="745018E7" w14:textId="77777777" w:rsidR="00341597" w:rsidRPr="007D7C34" w:rsidRDefault="00341597" w:rsidP="00341597">
            <w:pPr>
              <w:spacing w:before="100" w:beforeAutospacing="1" w:after="100" w:afterAutospacing="1"/>
              <w:rPr>
                <w:b/>
              </w:rPr>
            </w:pPr>
          </w:p>
        </w:tc>
        <w:tc>
          <w:tcPr>
            <w:tcW w:w="932" w:type="pct"/>
          </w:tcPr>
          <w:p w14:paraId="3FD854B2" w14:textId="77777777" w:rsidR="00341597" w:rsidRPr="00956BAB" w:rsidRDefault="00341597" w:rsidP="00F44C09">
            <w:pPr>
              <w:jc w:val="right"/>
              <w:rPr>
                <w:b/>
              </w:rPr>
            </w:pPr>
            <w:r w:rsidRPr="00956BAB">
              <w:rPr>
                <w:b/>
              </w:rPr>
              <w:t>2016</w:t>
            </w:r>
          </w:p>
        </w:tc>
        <w:tc>
          <w:tcPr>
            <w:tcW w:w="934" w:type="pct"/>
          </w:tcPr>
          <w:p w14:paraId="69361763" w14:textId="77777777" w:rsidR="00341597" w:rsidRPr="00956BAB" w:rsidRDefault="00341597" w:rsidP="00F44C09">
            <w:pPr>
              <w:jc w:val="right"/>
              <w:rPr>
                <w:b/>
              </w:rPr>
            </w:pPr>
            <w:r w:rsidRPr="00956BAB">
              <w:rPr>
                <w:b/>
              </w:rPr>
              <w:t>2017</w:t>
            </w:r>
          </w:p>
        </w:tc>
        <w:tc>
          <w:tcPr>
            <w:tcW w:w="936" w:type="pct"/>
          </w:tcPr>
          <w:p w14:paraId="5B2C324A" w14:textId="77777777" w:rsidR="00341597" w:rsidRPr="00956BAB" w:rsidRDefault="00341597" w:rsidP="00F44C09">
            <w:pPr>
              <w:jc w:val="right"/>
              <w:rPr>
                <w:b/>
              </w:rPr>
            </w:pPr>
            <w:r w:rsidRPr="00956BAB">
              <w:rPr>
                <w:b/>
              </w:rPr>
              <w:t xml:space="preserve">Change </w:t>
            </w:r>
          </w:p>
        </w:tc>
      </w:tr>
      <w:tr w:rsidR="00341597" w:rsidRPr="00B875BD" w14:paraId="00A507D7" w14:textId="77777777" w:rsidTr="00D21F72">
        <w:trPr>
          <w:trHeight w:val="238"/>
        </w:trPr>
        <w:tc>
          <w:tcPr>
            <w:tcW w:w="2198" w:type="pct"/>
            <w:noWrap/>
          </w:tcPr>
          <w:p w14:paraId="08091B00" w14:textId="77777777" w:rsidR="00341597" w:rsidRPr="00B875BD" w:rsidRDefault="00341597" w:rsidP="00341597">
            <w:r w:rsidRPr="00B875BD">
              <w:t>Natural and Physical Sciences</w:t>
            </w:r>
          </w:p>
        </w:tc>
        <w:tc>
          <w:tcPr>
            <w:tcW w:w="932" w:type="pct"/>
          </w:tcPr>
          <w:p w14:paraId="605D7C7B" w14:textId="77777777" w:rsidR="00341597" w:rsidRPr="00E665A8" w:rsidRDefault="00341597" w:rsidP="00F44C09">
            <w:pPr>
              <w:jc w:val="right"/>
            </w:pPr>
            <w:r w:rsidRPr="00EA5521">
              <w:t>97.2%</w:t>
            </w:r>
          </w:p>
        </w:tc>
        <w:tc>
          <w:tcPr>
            <w:tcW w:w="934" w:type="pct"/>
          </w:tcPr>
          <w:p w14:paraId="7D7D5E56" w14:textId="77777777" w:rsidR="00341597" w:rsidRPr="00E665A8" w:rsidRDefault="00341597" w:rsidP="00F44C09">
            <w:pPr>
              <w:jc w:val="right"/>
            </w:pPr>
            <w:r w:rsidRPr="00EA5521">
              <w:t>96.8%</w:t>
            </w:r>
          </w:p>
        </w:tc>
        <w:tc>
          <w:tcPr>
            <w:tcW w:w="936" w:type="pct"/>
          </w:tcPr>
          <w:p w14:paraId="4D98F969" w14:textId="77777777" w:rsidR="00341597" w:rsidRPr="00E665A8" w:rsidRDefault="00341597" w:rsidP="00F44C09">
            <w:pPr>
              <w:jc w:val="right"/>
            </w:pPr>
            <w:r w:rsidRPr="00EA5521">
              <w:t>-0.4</w:t>
            </w:r>
            <w:r>
              <w:t xml:space="preserve"> p. p</w:t>
            </w:r>
          </w:p>
        </w:tc>
      </w:tr>
      <w:tr w:rsidR="00341597" w:rsidRPr="00B875BD" w14:paraId="24CE7F81" w14:textId="77777777" w:rsidTr="00D21F72">
        <w:trPr>
          <w:cnfStyle w:val="000000100000" w:firstRow="0" w:lastRow="0" w:firstColumn="0" w:lastColumn="0" w:oddVBand="0" w:evenVBand="0" w:oddHBand="1" w:evenHBand="0" w:firstRowFirstColumn="0" w:firstRowLastColumn="0" w:lastRowFirstColumn="0" w:lastRowLastColumn="0"/>
          <w:trHeight w:val="238"/>
        </w:trPr>
        <w:tc>
          <w:tcPr>
            <w:tcW w:w="2198" w:type="pct"/>
            <w:noWrap/>
          </w:tcPr>
          <w:p w14:paraId="562A7CA6" w14:textId="77777777" w:rsidR="00341597" w:rsidRPr="00B875BD" w:rsidRDefault="00341597" w:rsidP="00341597">
            <w:r w:rsidRPr="00B875BD">
              <w:t>Information Technology</w:t>
            </w:r>
          </w:p>
        </w:tc>
        <w:tc>
          <w:tcPr>
            <w:tcW w:w="932" w:type="pct"/>
          </w:tcPr>
          <w:p w14:paraId="36FCD954" w14:textId="77777777" w:rsidR="00341597" w:rsidRPr="00E665A8" w:rsidRDefault="00341597" w:rsidP="00F44C09">
            <w:pPr>
              <w:jc w:val="right"/>
            </w:pPr>
            <w:r w:rsidRPr="00EA5521">
              <w:t>84.9%</w:t>
            </w:r>
          </w:p>
        </w:tc>
        <w:tc>
          <w:tcPr>
            <w:tcW w:w="934" w:type="pct"/>
          </w:tcPr>
          <w:p w14:paraId="1D2A3579" w14:textId="77777777" w:rsidR="00341597" w:rsidRPr="00E665A8" w:rsidRDefault="00341597" w:rsidP="00F44C09">
            <w:pPr>
              <w:jc w:val="right"/>
            </w:pPr>
            <w:r w:rsidRPr="00EA5521">
              <w:t>83.6%</w:t>
            </w:r>
          </w:p>
        </w:tc>
        <w:tc>
          <w:tcPr>
            <w:tcW w:w="936" w:type="pct"/>
          </w:tcPr>
          <w:p w14:paraId="77522125" w14:textId="77777777" w:rsidR="00341597" w:rsidRPr="00E665A8" w:rsidRDefault="00341597" w:rsidP="00F44C09">
            <w:pPr>
              <w:jc w:val="right"/>
            </w:pPr>
            <w:r w:rsidRPr="00EA5521">
              <w:t>-1.3</w:t>
            </w:r>
            <w:r>
              <w:t xml:space="preserve"> </w:t>
            </w:r>
            <w:r w:rsidRPr="00813508">
              <w:t>p. p</w:t>
            </w:r>
          </w:p>
        </w:tc>
      </w:tr>
      <w:tr w:rsidR="00341597" w:rsidRPr="00B875BD" w14:paraId="67F4968A" w14:textId="77777777" w:rsidTr="00D21F72">
        <w:trPr>
          <w:trHeight w:val="238"/>
        </w:trPr>
        <w:tc>
          <w:tcPr>
            <w:tcW w:w="2198" w:type="pct"/>
            <w:noWrap/>
          </w:tcPr>
          <w:p w14:paraId="20FE4378" w14:textId="77777777" w:rsidR="00341597" w:rsidRPr="00E47696" w:rsidRDefault="00341597" w:rsidP="00341597">
            <w:r w:rsidRPr="00E47696">
              <w:t>Engineering and Related Technologies</w:t>
            </w:r>
          </w:p>
        </w:tc>
        <w:tc>
          <w:tcPr>
            <w:tcW w:w="932" w:type="pct"/>
          </w:tcPr>
          <w:p w14:paraId="556F10A2" w14:textId="77777777" w:rsidR="00341597" w:rsidRPr="00E665A8" w:rsidRDefault="00341597" w:rsidP="00F44C09">
            <w:pPr>
              <w:jc w:val="right"/>
            </w:pPr>
            <w:r w:rsidRPr="00EA5521">
              <w:t>86.2%</w:t>
            </w:r>
          </w:p>
        </w:tc>
        <w:tc>
          <w:tcPr>
            <w:tcW w:w="934" w:type="pct"/>
          </w:tcPr>
          <w:p w14:paraId="20DDFFFA" w14:textId="77777777" w:rsidR="00341597" w:rsidRPr="00E665A8" w:rsidRDefault="00341597" w:rsidP="00F44C09">
            <w:pPr>
              <w:jc w:val="right"/>
            </w:pPr>
            <w:r w:rsidRPr="00EA5521">
              <w:t>84.6%</w:t>
            </w:r>
          </w:p>
        </w:tc>
        <w:tc>
          <w:tcPr>
            <w:tcW w:w="936" w:type="pct"/>
          </w:tcPr>
          <w:p w14:paraId="7FB1ED96" w14:textId="77777777" w:rsidR="00341597" w:rsidRPr="00E665A8" w:rsidRDefault="00341597" w:rsidP="00F44C09">
            <w:pPr>
              <w:jc w:val="right"/>
            </w:pPr>
            <w:r w:rsidRPr="00EA5521">
              <w:t>-1.6</w:t>
            </w:r>
            <w:r>
              <w:t xml:space="preserve"> </w:t>
            </w:r>
            <w:r w:rsidRPr="00813508">
              <w:t>p. p</w:t>
            </w:r>
          </w:p>
        </w:tc>
      </w:tr>
      <w:tr w:rsidR="00341597" w:rsidRPr="00B875BD" w14:paraId="120A2E9C" w14:textId="77777777" w:rsidTr="00D21F72">
        <w:trPr>
          <w:cnfStyle w:val="000000100000" w:firstRow="0" w:lastRow="0" w:firstColumn="0" w:lastColumn="0" w:oddVBand="0" w:evenVBand="0" w:oddHBand="1" w:evenHBand="0" w:firstRowFirstColumn="0" w:firstRowLastColumn="0" w:lastRowFirstColumn="0" w:lastRowLastColumn="0"/>
          <w:trHeight w:val="238"/>
        </w:trPr>
        <w:tc>
          <w:tcPr>
            <w:tcW w:w="2198" w:type="pct"/>
            <w:noWrap/>
          </w:tcPr>
          <w:p w14:paraId="2D40207F" w14:textId="77777777" w:rsidR="00341597" w:rsidRDefault="00341597" w:rsidP="00341597">
            <w:r w:rsidRPr="00E47696">
              <w:t>Architecture and Building</w:t>
            </w:r>
          </w:p>
        </w:tc>
        <w:tc>
          <w:tcPr>
            <w:tcW w:w="932" w:type="pct"/>
          </w:tcPr>
          <w:p w14:paraId="102B855A" w14:textId="77777777" w:rsidR="00341597" w:rsidRPr="00E665A8" w:rsidRDefault="00341597" w:rsidP="00F44C09">
            <w:pPr>
              <w:jc w:val="right"/>
            </w:pPr>
            <w:r w:rsidRPr="00EA5521">
              <w:t>79.8%</w:t>
            </w:r>
          </w:p>
        </w:tc>
        <w:tc>
          <w:tcPr>
            <w:tcW w:w="934" w:type="pct"/>
          </w:tcPr>
          <w:p w14:paraId="70A77FAB" w14:textId="77777777" w:rsidR="00341597" w:rsidRPr="00E665A8" w:rsidRDefault="00341597" w:rsidP="00F44C09">
            <w:pPr>
              <w:jc w:val="right"/>
            </w:pPr>
            <w:r w:rsidRPr="00EA5521">
              <w:t>75.7%</w:t>
            </w:r>
          </w:p>
        </w:tc>
        <w:tc>
          <w:tcPr>
            <w:tcW w:w="936" w:type="pct"/>
          </w:tcPr>
          <w:p w14:paraId="64D9C93E" w14:textId="77777777" w:rsidR="00341597" w:rsidRPr="00E665A8" w:rsidRDefault="00341597" w:rsidP="00F44C09">
            <w:pPr>
              <w:jc w:val="right"/>
            </w:pPr>
            <w:r w:rsidRPr="00EA5521">
              <w:t>-4.1</w:t>
            </w:r>
            <w:r>
              <w:t xml:space="preserve"> </w:t>
            </w:r>
            <w:r w:rsidRPr="00813508">
              <w:t>p. p</w:t>
            </w:r>
          </w:p>
        </w:tc>
      </w:tr>
      <w:tr w:rsidR="00341597" w:rsidRPr="00B875BD" w14:paraId="0D50D7A2" w14:textId="77777777" w:rsidTr="00D21F72">
        <w:trPr>
          <w:trHeight w:val="238"/>
        </w:trPr>
        <w:tc>
          <w:tcPr>
            <w:tcW w:w="2198" w:type="pct"/>
            <w:noWrap/>
          </w:tcPr>
          <w:p w14:paraId="2BAADD68" w14:textId="77777777" w:rsidR="00341597" w:rsidRPr="00B875BD" w:rsidRDefault="00341597" w:rsidP="00341597">
            <w:r w:rsidRPr="007618C2">
              <w:t>Agriculture, Environmental and Related Studies</w:t>
            </w:r>
          </w:p>
        </w:tc>
        <w:tc>
          <w:tcPr>
            <w:tcW w:w="932" w:type="pct"/>
          </w:tcPr>
          <w:p w14:paraId="54FCA43D" w14:textId="77777777" w:rsidR="00341597" w:rsidRPr="00E665A8" w:rsidRDefault="00341597" w:rsidP="00F44C09">
            <w:pPr>
              <w:jc w:val="right"/>
            </w:pPr>
            <w:r w:rsidRPr="00EA5521">
              <w:t>91.1%</w:t>
            </w:r>
          </w:p>
        </w:tc>
        <w:tc>
          <w:tcPr>
            <w:tcW w:w="934" w:type="pct"/>
          </w:tcPr>
          <w:p w14:paraId="7B35A09B" w14:textId="77777777" w:rsidR="00341597" w:rsidRPr="00E665A8" w:rsidRDefault="00341597" w:rsidP="00F44C09">
            <w:pPr>
              <w:jc w:val="right"/>
            </w:pPr>
            <w:r w:rsidRPr="00EA5521">
              <w:t>88.9%</w:t>
            </w:r>
          </w:p>
        </w:tc>
        <w:tc>
          <w:tcPr>
            <w:tcW w:w="936" w:type="pct"/>
          </w:tcPr>
          <w:p w14:paraId="535F6274" w14:textId="77777777" w:rsidR="00341597" w:rsidRPr="00E665A8" w:rsidRDefault="00341597" w:rsidP="00F44C09">
            <w:pPr>
              <w:jc w:val="right"/>
            </w:pPr>
            <w:r w:rsidRPr="00EA5521">
              <w:t>-2.2</w:t>
            </w:r>
            <w:r>
              <w:t xml:space="preserve"> </w:t>
            </w:r>
            <w:r w:rsidRPr="00813508">
              <w:t>p. p</w:t>
            </w:r>
          </w:p>
        </w:tc>
      </w:tr>
      <w:tr w:rsidR="00341597" w:rsidRPr="00B875BD" w14:paraId="61036C14" w14:textId="77777777" w:rsidTr="00D21F72">
        <w:trPr>
          <w:cnfStyle w:val="000000100000" w:firstRow="0" w:lastRow="0" w:firstColumn="0" w:lastColumn="0" w:oddVBand="0" w:evenVBand="0" w:oddHBand="1" w:evenHBand="0" w:firstRowFirstColumn="0" w:firstRowLastColumn="0" w:lastRowFirstColumn="0" w:lastRowLastColumn="0"/>
          <w:trHeight w:val="238"/>
        </w:trPr>
        <w:tc>
          <w:tcPr>
            <w:tcW w:w="2198" w:type="pct"/>
            <w:noWrap/>
          </w:tcPr>
          <w:p w14:paraId="716D0D02" w14:textId="77777777" w:rsidR="00341597" w:rsidRPr="00B875BD" w:rsidRDefault="00341597" w:rsidP="00341597">
            <w:r w:rsidRPr="00B875BD">
              <w:t>Health</w:t>
            </w:r>
          </w:p>
        </w:tc>
        <w:tc>
          <w:tcPr>
            <w:tcW w:w="932" w:type="pct"/>
          </w:tcPr>
          <w:p w14:paraId="7F98F78A" w14:textId="77777777" w:rsidR="00341597" w:rsidRPr="00E665A8" w:rsidRDefault="00341597" w:rsidP="00F44C09">
            <w:pPr>
              <w:jc w:val="right"/>
            </w:pPr>
            <w:r w:rsidRPr="00EA5521">
              <w:t>75.0%</w:t>
            </w:r>
          </w:p>
        </w:tc>
        <w:tc>
          <w:tcPr>
            <w:tcW w:w="934" w:type="pct"/>
          </w:tcPr>
          <w:p w14:paraId="2A5D660A" w14:textId="77777777" w:rsidR="00341597" w:rsidRPr="00E665A8" w:rsidRDefault="00341597" w:rsidP="00F44C09">
            <w:pPr>
              <w:jc w:val="right"/>
            </w:pPr>
            <w:r w:rsidRPr="00EA5521">
              <w:t>73.8%</w:t>
            </w:r>
          </w:p>
        </w:tc>
        <w:tc>
          <w:tcPr>
            <w:tcW w:w="936" w:type="pct"/>
          </w:tcPr>
          <w:p w14:paraId="5C205FAE" w14:textId="77777777" w:rsidR="00341597" w:rsidRPr="00E665A8" w:rsidRDefault="00341597" w:rsidP="00F44C09">
            <w:pPr>
              <w:jc w:val="right"/>
            </w:pPr>
            <w:r w:rsidRPr="00EA5521">
              <w:t>-1.2</w:t>
            </w:r>
            <w:r>
              <w:t xml:space="preserve"> </w:t>
            </w:r>
            <w:r w:rsidRPr="00813508">
              <w:t>p. p</w:t>
            </w:r>
          </w:p>
        </w:tc>
      </w:tr>
      <w:tr w:rsidR="00341597" w:rsidRPr="00B875BD" w14:paraId="2C7E6300" w14:textId="77777777" w:rsidTr="00D21F72">
        <w:trPr>
          <w:trHeight w:val="238"/>
        </w:trPr>
        <w:tc>
          <w:tcPr>
            <w:tcW w:w="2198" w:type="pct"/>
            <w:noWrap/>
          </w:tcPr>
          <w:p w14:paraId="5B561B3F" w14:textId="77777777" w:rsidR="00341597" w:rsidRPr="00B875BD" w:rsidRDefault="00341597" w:rsidP="00341597">
            <w:r w:rsidRPr="00B875BD">
              <w:t>Education</w:t>
            </w:r>
          </w:p>
        </w:tc>
        <w:tc>
          <w:tcPr>
            <w:tcW w:w="932" w:type="pct"/>
          </w:tcPr>
          <w:p w14:paraId="116033E1" w14:textId="77777777" w:rsidR="00341597" w:rsidRPr="00E665A8" w:rsidRDefault="00341597" w:rsidP="00F44C09">
            <w:pPr>
              <w:jc w:val="right"/>
            </w:pPr>
            <w:r w:rsidRPr="00EA5521">
              <w:t>83.3%</w:t>
            </w:r>
          </w:p>
        </w:tc>
        <w:tc>
          <w:tcPr>
            <w:tcW w:w="934" w:type="pct"/>
          </w:tcPr>
          <w:p w14:paraId="32B2F91C" w14:textId="77777777" w:rsidR="00341597" w:rsidRPr="00E665A8" w:rsidRDefault="00341597" w:rsidP="00F44C09">
            <w:pPr>
              <w:jc w:val="right"/>
            </w:pPr>
            <w:r w:rsidRPr="00EA5521">
              <w:t>82.4%</w:t>
            </w:r>
          </w:p>
        </w:tc>
        <w:tc>
          <w:tcPr>
            <w:tcW w:w="936" w:type="pct"/>
          </w:tcPr>
          <w:p w14:paraId="170B6DC2" w14:textId="77777777" w:rsidR="00341597" w:rsidRPr="00E665A8" w:rsidRDefault="00341597" w:rsidP="00F44C09">
            <w:pPr>
              <w:jc w:val="right"/>
            </w:pPr>
            <w:r w:rsidRPr="00EA5521">
              <w:t>-0.9</w:t>
            </w:r>
            <w:r>
              <w:t xml:space="preserve"> </w:t>
            </w:r>
            <w:r w:rsidRPr="00813508">
              <w:t>p. p</w:t>
            </w:r>
          </w:p>
        </w:tc>
      </w:tr>
      <w:tr w:rsidR="00341597" w:rsidRPr="00B875BD" w14:paraId="1F7F29D8" w14:textId="77777777" w:rsidTr="00D21F72">
        <w:trPr>
          <w:cnfStyle w:val="000000100000" w:firstRow="0" w:lastRow="0" w:firstColumn="0" w:lastColumn="0" w:oddVBand="0" w:evenVBand="0" w:oddHBand="1" w:evenHBand="0" w:firstRowFirstColumn="0" w:firstRowLastColumn="0" w:lastRowFirstColumn="0" w:lastRowLastColumn="0"/>
          <w:trHeight w:val="238"/>
        </w:trPr>
        <w:tc>
          <w:tcPr>
            <w:tcW w:w="2198" w:type="pct"/>
            <w:noWrap/>
          </w:tcPr>
          <w:p w14:paraId="07A8C155" w14:textId="77777777" w:rsidR="00341597" w:rsidRPr="00B875BD" w:rsidRDefault="00341597" w:rsidP="00341597">
            <w:r w:rsidRPr="00B875BD">
              <w:t>Management and Commerce</w:t>
            </w:r>
          </w:p>
        </w:tc>
        <w:tc>
          <w:tcPr>
            <w:tcW w:w="932" w:type="pct"/>
          </w:tcPr>
          <w:p w14:paraId="700D948C" w14:textId="77777777" w:rsidR="00341597" w:rsidRPr="00E665A8" w:rsidRDefault="00341597" w:rsidP="00F44C09">
            <w:pPr>
              <w:jc w:val="right"/>
            </w:pPr>
            <w:r w:rsidRPr="00EA5521">
              <w:t>90.2%</w:t>
            </w:r>
          </w:p>
        </w:tc>
        <w:tc>
          <w:tcPr>
            <w:tcW w:w="934" w:type="pct"/>
          </w:tcPr>
          <w:p w14:paraId="5408A150" w14:textId="77777777" w:rsidR="00341597" w:rsidRPr="00E665A8" w:rsidRDefault="00341597" w:rsidP="00F44C09">
            <w:pPr>
              <w:jc w:val="right"/>
            </w:pPr>
            <w:r w:rsidRPr="00EA5521">
              <w:t>88.6%</w:t>
            </w:r>
          </w:p>
        </w:tc>
        <w:tc>
          <w:tcPr>
            <w:tcW w:w="936" w:type="pct"/>
          </w:tcPr>
          <w:p w14:paraId="6A216DD3" w14:textId="77777777" w:rsidR="00341597" w:rsidRPr="00E665A8" w:rsidRDefault="00341597" w:rsidP="00F44C09">
            <w:pPr>
              <w:jc w:val="right"/>
            </w:pPr>
            <w:r w:rsidRPr="00EA5521">
              <w:t>-1.6</w:t>
            </w:r>
            <w:r>
              <w:t xml:space="preserve"> </w:t>
            </w:r>
            <w:r w:rsidRPr="00813508">
              <w:t>p. p</w:t>
            </w:r>
          </w:p>
        </w:tc>
      </w:tr>
      <w:tr w:rsidR="00341597" w:rsidRPr="00B875BD" w14:paraId="224E9F40" w14:textId="77777777" w:rsidTr="00D21F72">
        <w:trPr>
          <w:trHeight w:val="238"/>
        </w:trPr>
        <w:tc>
          <w:tcPr>
            <w:tcW w:w="2198" w:type="pct"/>
            <w:noWrap/>
          </w:tcPr>
          <w:p w14:paraId="6C751669" w14:textId="77777777" w:rsidR="00341597" w:rsidRPr="00B875BD" w:rsidRDefault="00341597" w:rsidP="00341597">
            <w:r w:rsidRPr="00B875BD">
              <w:t>Society and Culture</w:t>
            </w:r>
          </w:p>
        </w:tc>
        <w:tc>
          <w:tcPr>
            <w:tcW w:w="932" w:type="pct"/>
          </w:tcPr>
          <w:p w14:paraId="62E9BD44" w14:textId="77777777" w:rsidR="00341597" w:rsidRPr="00E665A8" w:rsidRDefault="00341597" w:rsidP="00F44C09">
            <w:pPr>
              <w:jc w:val="right"/>
            </w:pPr>
            <w:r w:rsidRPr="00EA5521">
              <w:t>86.7%</w:t>
            </w:r>
          </w:p>
        </w:tc>
        <w:tc>
          <w:tcPr>
            <w:tcW w:w="934" w:type="pct"/>
          </w:tcPr>
          <w:p w14:paraId="3C0ED4F6" w14:textId="77777777" w:rsidR="00341597" w:rsidRPr="00E665A8" w:rsidRDefault="00341597" w:rsidP="00F44C09">
            <w:pPr>
              <w:jc w:val="right"/>
            </w:pPr>
            <w:r w:rsidRPr="00EA5521">
              <w:t>85.1%</w:t>
            </w:r>
          </w:p>
        </w:tc>
        <w:tc>
          <w:tcPr>
            <w:tcW w:w="936" w:type="pct"/>
          </w:tcPr>
          <w:p w14:paraId="200CB37E" w14:textId="77777777" w:rsidR="00341597" w:rsidRPr="00E665A8" w:rsidRDefault="00341597" w:rsidP="00F44C09">
            <w:pPr>
              <w:jc w:val="right"/>
            </w:pPr>
            <w:r w:rsidRPr="00EA5521">
              <w:t>-1.5</w:t>
            </w:r>
            <w:r>
              <w:t xml:space="preserve"> </w:t>
            </w:r>
            <w:r w:rsidRPr="00813508">
              <w:t>p. p</w:t>
            </w:r>
          </w:p>
        </w:tc>
      </w:tr>
      <w:tr w:rsidR="00341597" w:rsidRPr="00B875BD" w14:paraId="1E5C1084" w14:textId="77777777" w:rsidTr="00D21F72">
        <w:trPr>
          <w:cnfStyle w:val="000000100000" w:firstRow="0" w:lastRow="0" w:firstColumn="0" w:lastColumn="0" w:oddVBand="0" w:evenVBand="0" w:oddHBand="1" w:evenHBand="0" w:firstRowFirstColumn="0" w:firstRowLastColumn="0" w:lastRowFirstColumn="0" w:lastRowLastColumn="0"/>
          <w:trHeight w:val="238"/>
        </w:trPr>
        <w:tc>
          <w:tcPr>
            <w:tcW w:w="2198" w:type="pct"/>
            <w:noWrap/>
          </w:tcPr>
          <w:p w14:paraId="3D400FC0" w14:textId="77777777" w:rsidR="00341597" w:rsidRPr="00B875BD" w:rsidRDefault="00341597" w:rsidP="00341597">
            <w:r w:rsidRPr="00B875BD">
              <w:t>Creative Arts</w:t>
            </w:r>
          </w:p>
        </w:tc>
        <w:tc>
          <w:tcPr>
            <w:tcW w:w="932" w:type="pct"/>
          </w:tcPr>
          <w:p w14:paraId="5DA906C0" w14:textId="77777777" w:rsidR="00341597" w:rsidRPr="00E665A8" w:rsidRDefault="00341597" w:rsidP="00F44C09">
            <w:pPr>
              <w:jc w:val="right"/>
            </w:pPr>
            <w:r w:rsidRPr="00EA5521">
              <w:t>78.2%</w:t>
            </w:r>
          </w:p>
        </w:tc>
        <w:tc>
          <w:tcPr>
            <w:tcW w:w="934" w:type="pct"/>
          </w:tcPr>
          <w:p w14:paraId="3874D0F6" w14:textId="77777777" w:rsidR="00341597" w:rsidRPr="00E665A8" w:rsidRDefault="00341597" w:rsidP="00F44C09">
            <w:pPr>
              <w:jc w:val="right"/>
            </w:pPr>
            <w:r w:rsidRPr="00EA5521">
              <w:t>77.7%</w:t>
            </w:r>
          </w:p>
        </w:tc>
        <w:tc>
          <w:tcPr>
            <w:tcW w:w="936" w:type="pct"/>
          </w:tcPr>
          <w:p w14:paraId="748145B4" w14:textId="77777777" w:rsidR="00341597" w:rsidRPr="00E665A8" w:rsidRDefault="00341597" w:rsidP="00F44C09">
            <w:pPr>
              <w:jc w:val="right"/>
            </w:pPr>
            <w:r w:rsidRPr="00EA5521">
              <w:t>-0.5</w:t>
            </w:r>
            <w:r>
              <w:t xml:space="preserve"> </w:t>
            </w:r>
            <w:r w:rsidRPr="00813508">
              <w:t>p. p</w:t>
            </w:r>
          </w:p>
        </w:tc>
      </w:tr>
      <w:tr w:rsidR="00341597" w:rsidRPr="00B875BD" w14:paraId="33380955" w14:textId="77777777" w:rsidTr="00D21F72">
        <w:trPr>
          <w:trHeight w:val="249"/>
        </w:trPr>
        <w:tc>
          <w:tcPr>
            <w:tcW w:w="2198" w:type="pct"/>
            <w:noWrap/>
          </w:tcPr>
          <w:p w14:paraId="4CF250AC" w14:textId="77777777" w:rsidR="00341597" w:rsidRPr="007D636D" w:rsidRDefault="00341597" w:rsidP="00A02290">
            <w:pPr>
              <w:rPr>
                <w:bCs/>
              </w:rPr>
            </w:pPr>
            <w:r>
              <w:t xml:space="preserve">Australia </w:t>
            </w:r>
          </w:p>
        </w:tc>
        <w:tc>
          <w:tcPr>
            <w:tcW w:w="932" w:type="pct"/>
          </w:tcPr>
          <w:p w14:paraId="070DC395" w14:textId="77777777" w:rsidR="00341597" w:rsidRPr="006A190A" w:rsidRDefault="00341597" w:rsidP="00F44C09">
            <w:pPr>
              <w:jc w:val="right"/>
              <w:rPr>
                <w:b/>
              </w:rPr>
            </w:pPr>
            <w:r w:rsidRPr="00346520">
              <w:t>84.0%</w:t>
            </w:r>
          </w:p>
        </w:tc>
        <w:tc>
          <w:tcPr>
            <w:tcW w:w="934" w:type="pct"/>
          </w:tcPr>
          <w:p w14:paraId="3614F097" w14:textId="77777777" w:rsidR="00341597" w:rsidRPr="006A190A" w:rsidRDefault="00341597" w:rsidP="00F44C09">
            <w:pPr>
              <w:jc w:val="right"/>
              <w:rPr>
                <w:b/>
              </w:rPr>
            </w:pPr>
            <w:r w:rsidRPr="00346520">
              <w:t>82.7%</w:t>
            </w:r>
          </w:p>
        </w:tc>
        <w:tc>
          <w:tcPr>
            <w:tcW w:w="936" w:type="pct"/>
          </w:tcPr>
          <w:p w14:paraId="5C5E92F1" w14:textId="77777777" w:rsidR="00341597" w:rsidRPr="006A190A" w:rsidRDefault="00341597" w:rsidP="00F44C09">
            <w:pPr>
              <w:jc w:val="right"/>
              <w:rPr>
                <w:b/>
              </w:rPr>
            </w:pPr>
            <w:r w:rsidRPr="00346520">
              <w:t>-1.3</w:t>
            </w:r>
            <w:r>
              <w:t xml:space="preserve"> </w:t>
            </w:r>
            <w:r w:rsidRPr="00813508">
              <w:t>p. p</w:t>
            </w:r>
          </w:p>
        </w:tc>
      </w:tr>
    </w:tbl>
    <w:p w14:paraId="4171216E" w14:textId="77777777" w:rsidR="00341597" w:rsidRDefault="00341597" w:rsidP="00B67C70">
      <w:r w:rsidRPr="00B875BD">
        <w:t xml:space="preserve">Note: Offer rates are expressed as the number of offers as a percentage of </w:t>
      </w:r>
      <w:r>
        <w:t xml:space="preserve">first preference applications. </w:t>
      </w:r>
      <w:r w:rsidRPr="00B875BD">
        <w:t>Given that offers may result from lower order preferences, offer rates for fields of education may exceed 100%.</w:t>
      </w:r>
    </w:p>
    <w:p w14:paraId="76B5DA73" w14:textId="5EAD826B" w:rsidR="00341597" w:rsidRPr="00B67C70" w:rsidRDefault="00341597" w:rsidP="00B67C70">
      <w:pPr>
        <w:pStyle w:val="Heading1"/>
      </w:pPr>
      <w:bookmarkStart w:id="69" w:name="_Toc416445755"/>
      <w:bookmarkStart w:id="70" w:name="_Toc447188866"/>
      <w:bookmarkStart w:id="71" w:name="_Toc480816335"/>
      <w:bookmarkStart w:id="72" w:name="_Toc492454264"/>
      <w:r w:rsidRPr="00B67C70">
        <w:lastRenderedPageBreak/>
        <w:t>Australian Tertiary Admission Rank (</w:t>
      </w:r>
      <w:proofErr w:type="spellStart"/>
      <w:r w:rsidRPr="00B67C70">
        <w:t>ATAR</w:t>
      </w:r>
      <w:proofErr w:type="spellEnd"/>
      <w:r w:rsidRPr="00B67C70">
        <w:t>)</w:t>
      </w:r>
      <w:bookmarkEnd w:id="69"/>
      <w:bookmarkEnd w:id="70"/>
      <w:bookmarkEnd w:id="71"/>
      <w:bookmarkEnd w:id="72"/>
    </w:p>
    <w:p w14:paraId="398A62AB" w14:textId="77777777" w:rsidR="00341597" w:rsidRPr="00B875BD" w:rsidRDefault="00341597" w:rsidP="00B67C70">
      <w:pPr>
        <w:pStyle w:val="ListParagraph"/>
      </w:pPr>
      <w:r w:rsidRPr="00B875BD">
        <w:t>In 201</w:t>
      </w:r>
      <w:r>
        <w:t>7</w:t>
      </w:r>
      <w:r w:rsidRPr="005117BE">
        <w:t xml:space="preserve">, </w:t>
      </w:r>
      <w:r>
        <w:t xml:space="preserve">27.8% of all offers were made to applicants </w:t>
      </w:r>
      <w:r w:rsidRPr="004547D3">
        <w:t xml:space="preserve">with an </w:t>
      </w:r>
      <w:proofErr w:type="spellStart"/>
      <w:r w:rsidRPr="004547D3">
        <w:t>ATAR</w:t>
      </w:r>
      <w:proofErr w:type="spellEnd"/>
      <w:r w:rsidRPr="004547D3">
        <w:t xml:space="preserve"> of at least 70.05.</w:t>
      </w:r>
      <w:r>
        <w:t xml:space="preserve"> Offers to </w:t>
      </w:r>
      <w:r w:rsidRPr="00B875BD">
        <w:t>applicants who achieved a</w:t>
      </w:r>
      <w:r>
        <w:t xml:space="preserve">n </w:t>
      </w:r>
      <w:proofErr w:type="spellStart"/>
      <w:r>
        <w:t>ATAR</w:t>
      </w:r>
      <w:proofErr w:type="spellEnd"/>
      <w:r>
        <w:t xml:space="preserve"> above 90 accounted for 10.1% of all offers</w:t>
      </w:r>
      <w:r w:rsidRPr="005117BE">
        <w:t>.</w:t>
      </w:r>
      <w:r w:rsidRPr="00B875BD">
        <w:t xml:space="preserve"> </w:t>
      </w:r>
    </w:p>
    <w:p w14:paraId="0CF7FB63" w14:textId="77777777" w:rsidR="00341597" w:rsidRDefault="00341597" w:rsidP="00B67C70">
      <w:pPr>
        <w:pStyle w:val="ListParagraph"/>
      </w:pPr>
      <w:r>
        <w:t xml:space="preserve">The share of offers for applicants in the </w:t>
      </w:r>
      <w:proofErr w:type="spellStart"/>
      <w:r>
        <w:t>ATAR</w:t>
      </w:r>
      <w:proofErr w:type="spellEnd"/>
      <w:r>
        <w:t xml:space="preserve"> band 50.00 or less has decreased from 3.4% in 2016 to 2.7% in 2017 or from 9486 to 7657.</w:t>
      </w:r>
    </w:p>
    <w:p w14:paraId="433DCF71" w14:textId="6D1DB749" w:rsidR="00D21F72" w:rsidRDefault="00D21F72" w:rsidP="00D21F72">
      <w:pPr>
        <w:pStyle w:val="Caption"/>
        <w:keepNext/>
      </w:pPr>
      <w:bookmarkStart w:id="73" w:name="_Toc492453641"/>
      <w:bookmarkStart w:id="74" w:name="_Toc492453866"/>
      <w:r>
        <w:t xml:space="preserve">Table </w:t>
      </w:r>
      <w:fldSimple w:instr=" SEQ Table \* ARABIC ">
        <w:r w:rsidR="00E05F5D">
          <w:rPr>
            <w:noProof/>
          </w:rPr>
          <w:t>10</w:t>
        </w:r>
      </w:fldSimple>
      <w:r w:rsidRPr="007A040F">
        <w:t xml:space="preserve">: Share of offers by </w:t>
      </w:r>
      <w:proofErr w:type="spellStart"/>
      <w:r w:rsidRPr="007A040F">
        <w:t>ATAR</w:t>
      </w:r>
      <w:proofErr w:type="spellEnd"/>
      <w:r w:rsidRPr="007A040F">
        <w:t xml:space="preserve"> band, February 2014-February 2017</w:t>
      </w:r>
      <w:bookmarkEnd w:id="73"/>
      <w:bookmarkEnd w:id="74"/>
    </w:p>
    <w:tbl>
      <w:tblPr>
        <w:tblStyle w:val="DEEWRTable"/>
        <w:tblW w:w="5000" w:type="pct"/>
        <w:tblLook w:val="04A0" w:firstRow="1" w:lastRow="0" w:firstColumn="1" w:lastColumn="0" w:noHBand="0" w:noVBand="1"/>
      </w:tblPr>
      <w:tblGrid>
        <w:gridCol w:w="1917"/>
        <w:gridCol w:w="2224"/>
        <w:gridCol w:w="1701"/>
        <w:gridCol w:w="1701"/>
        <w:gridCol w:w="1699"/>
      </w:tblGrid>
      <w:tr w:rsidR="00341597" w:rsidRPr="00B875BD" w14:paraId="2D5D2BCF" w14:textId="77777777" w:rsidTr="00D21F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7" w:type="pct"/>
            <w:hideMark/>
          </w:tcPr>
          <w:p w14:paraId="13AB2AE3" w14:textId="77777777" w:rsidR="00341597" w:rsidRPr="00A02290" w:rsidRDefault="00341597" w:rsidP="00341597">
            <w:proofErr w:type="spellStart"/>
            <w:r w:rsidRPr="00A02290">
              <w:t>ATAR</w:t>
            </w:r>
            <w:proofErr w:type="spellEnd"/>
            <w:r w:rsidRPr="00A02290">
              <w:t xml:space="preserve"> band</w:t>
            </w:r>
          </w:p>
        </w:tc>
        <w:tc>
          <w:tcPr>
            <w:tcW w:w="1204" w:type="pct"/>
            <w:hideMark/>
          </w:tcPr>
          <w:p w14:paraId="28990CE6" w14:textId="77777777" w:rsidR="00341597" w:rsidRPr="007D7C34" w:rsidRDefault="00341597" w:rsidP="00F44C09">
            <w:pPr>
              <w:jc w:val="right"/>
              <w:cnfStyle w:val="100000000000" w:firstRow="1" w:lastRow="0" w:firstColumn="0" w:lastColumn="0" w:oddVBand="0" w:evenVBand="0" w:oddHBand="0" w:evenHBand="0" w:firstRowFirstColumn="0" w:firstRowLastColumn="0" w:lastRowFirstColumn="0" w:lastRowLastColumn="0"/>
            </w:pPr>
            <w:r>
              <w:t>2014</w:t>
            </w:r>
          </w:p>
        </w:tc>
        <w:tc>
          <w:tcPr>
            <w:tcW w:w="920" w:type="pct"/>
          </w:tcPr>
          <w:p w14:paraId="1290A382" w14:textId="77777777" w:rsidR="00341597" w:rsidRPr="007D7C34" w:rsidRDefault="00341597" w:rsidP="00F44C09">
            <w:pPr>
              <w:jc w:val="right"/>
              <w:cnfStyle w:val="100000000000" w:firstRow="1" w:lastRow="0" w:firstColumn="0" w:lastColumn="0" w:oddVBand="0" w:evenVBand="0" w:oddHBand="0" w:evenHBand="0" w:firstRowFirstColumn="0" w:firstRowLastColumn="0" w:lastRowFirstColumn="0" w:lastRowLastColumn="0"/>
            </w:pPr>
            <w:r>
              <w:t>2015</w:t>
            </w:r>
          </w:p>
        </w:tc>
        <w:tc>
          <w:tcPr>
            <w:tcW w:w="920" w:type="pct"/>
          </w:tcPr>
          <w:p w14:paraId="51DD5E6F" w14:textId="77777777" w:rsidR="00341597" w:rsidRPr="007D7C34" w:rsidRDefault="00341597" w:rsidP="00F44C09">
            <w:pPr>
              <w:jc w:val="right"/>
              <w:cnfStyle w:val="100000000000" w:firstRow="1" w:lastRow="0" w:firstColumn="0" w:lastColumn="0" w:oddVBand="0" w:evenVBand="0" w:oddHBand="0" w:evenHBand="0" w:firstRowFirstColumn="0" w:firstRowLastColumn="0" w:lastRowFirstColumn="0" w:lastRowLastColumn="0"/>
            </w:pPr>
            <w:r>
              <w:t>2016</w:t>
            </w:r>
          </w:p>
        </w:tc>
        <w:tc>
          <w:tcPr>
            <w:tcW w:w="920" w:type="pct"/>
          </w:tcPr>
          <w:p w14:paraId="347CA89C" w14:textId="77777777" w:rsidR="00341597" w:rsidRPr="007D7C34" w:rsidRDefault="00341597" w:rsidP="00F44C09">
            <w:pPr>
              <w:jc w:val="right"/>
              <w:cnfStyle w:val="100000000000" w:firstRow="1" w:lastRow="0" w:firstColumn="0" w:lastColumn="0" w:oddVBand="0" w:evenVBand="0" w:oddHBand="0" w:evenHBand="0" w:firstRowFirstColumn="0" w:firstRowLastColumn="0" w:lastRowFirstColumn="0" w:lastRowLastColumn="0"/>
            </w:pPr>
            <w:r>
              <w:t>2017</w:t>
            </w:r>
          </w:p>
        </w:tc>
      </w:tr>
      <w:tr w:rsidR="00341597" w:rsidRPr="00B875BD" w14:paraId="361C52DD" w14:textId="77777777" w:rsidTr="00D21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6A667472" w14:textId="77777777" w:rsidR="00341597" w:rsidRPr="007F0500" w:rsidRDefault="00341597" w:rsidP="00341597">
            <w:pPr>
              <w:rPr>
                <w:bCs/>
                <w:sz w:val="18"/>
                <w:szCs w:val="18"/>
              </w:rPr>
            </w:pPr>
            <w:r w:rsidRPr="00FF418C">
              <w:t>50</w:t>
            </w:r>
            <w:r w:rsidRPr="009D3CE4">
              <w:t>.00 or less</w:t>
            </w:r>
          </w:p>
        </w:tc>
        <w:tc>
          <w:tcPr>
            <w:tcW w:w="1204" w:type="pct"/>
            <w:noWrap/>
          </w:tcPr>
          <w:p w14:paraId="778E27DB"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6,742</w:t>
            </w:r>
          </w:p>
          <w:p w14:paraId="239BF2B9" w14:textId="77777777" w:rsidR="00341597" w:rsidRPr="007F0500" w:rsidRDefault="00341597" w:rsidP="00F44C09">
            <w:pPr>
              <w:jc w:val="right"/>
              <w:cnfStyle w:val="000000100000" w:firstRow="0" w:lastRow="0" w:firstColumn="0" w:lastColumn="0" w:oddVBand="0" w:evenVBand="0" w:oddHBand="1" w:evenHBand="0" w:firstRowFirstColumn="0" w:firstRowLastColumn="0" w:lastRowFirstColumn="0" w:lastRowLastColumn="0"/>
              <w:rPr>
                <w:bCs/>
                <w:sz w:val="18"/>
                <w:szCs w:val="18"/>
              </w:rPr>
            </w:pPr>
            <w:r w:rsidRPr="009D3CE4">
              <w:t>(2.5%)</w:t>
            </w:r>
          </w:p>
        </w:tc>
        <w:tc>
          <w:tcPr>
            <w:tcW w:w="920" w:type="pct"/>
          </w:tcPr>
          <w:p w14:paraId="30BB67EB"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 xml:space="preserve">7,018 </w:t>
            </w:r>
          </w:p>
          <w:p w14:paraId="208E6B81" w14:textId="77777777" w:rsidR="00341597" w:rsidRPr="007F0500" w:rsidRDefault="00341597" w:rsidP="00F44C09">
            <w:pPr>
              <w:jc w:val="right"/>
              <w:cnfStyle w:val="000000100000" w:firstRow="0" w:lastRow="0" w:firstColumn="0" w:lastColumn="0" w:oddVBand="0" w:evenVBand="0" w:oddHBand="1" w:evenHBand="0" w:firstRowFirstColumn="0" w:firstRowLastColumn="0" w:lastRowFirstColumn="0" w:lastRowLastColumn="0"/>
              <w:rPr>
                <w:bCs/>
                <w:sz w:val="18"/>
                <w:szCs w:val="18"/>
              </w:rPr>
            </w:pPr>
            <w:r w:rsidRPr="009D3CE4">
              <w:t>(2.6%)</w:t>
            </w:r>
          </w:p>
        </w:tc>
        <w:tc>
          <w:tcPr>
            <w:tcW w:w="920" w:type="pct"/>
          </w:tcPr>
          <w:p w14:paraId="12BEF222"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9,486</w:t>
            </w:r>
          </w:p>
          <w:p w14:paraId="425BB3A8" w14:textId="77777777" w:rsidR="00341597" w:rsidRPr="007F0500" w:rsidRDefault="00341597" w:rsidP="00F44C09">
            <w:pPr>
              <w:jc w:val="right"/>
              <w:cnfStyle w:val="000000100000" w:firstRow="0" w:lastRow="0" w:firstColumn="0" w:lastColumn="0" w:oddVBand="0" w:evenVBand="0" w:oddHBand="1" w:evenHBand="0" w:firstRowFirstColumn="0" w:firstRowLastColumn="0" w:lastRowFirstColumn="0" w:lastRowLastColumn="0"/>
              <w:rPr>
                <w:bCs/>
                <w:sz w:val="18"/>
                <w:szCs w:val="18"/>
              </w:rPr>
            </w:pPr>
            <w:r w:rsidRPr="009D3CE4">
              <w:t xml:space="preserve"> (3.4%)</w:t>
            </w:r>
          </w:p>
        </w:tc>
        <w:tc>
          <w:tcPr>
            <w:tcW w:w="920" w:type="pct"/>
          </w:tcPr>
          <w:p w14:paraId="5307FB70"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7,657</w:t>
            </w:r>
          </w:p>
          <w:p w14:paraId="7445D57F" w14:textId="77777777" w:rsidR="00341597" w:rsidRPr="007F0500" w:rsidRDefault="00341597" w:rsidP="00F44C09">
            <w:pPr>
              <w:jc w:val="right"/>
              <w:cnfStyle w:val="000000100000" w:firstRow="0" w:lastRow="0" w:firstColumn="0" w:lastColumn="0" w:oddVBand="0" w:evenVBand="0" w:oddHBand="1" w:evenHBand="0" w:firstRowFirstColumn="0" w:firstRowLastColumn="0" w:lastRowFirstColumn="0" w:lastRowLastColumn="0"/>
              <w:rPr>
                <w:bCs/>
                <w:sz w:val="18"/>
                <w:szCs w:val="18"/>
              </w:rPr>
            </w:pPr>
            <w:r w:rsidRPr="009D3CE4">
              <w:t>(2.7%)</w:t>
            </w:r>
          </w:p>
        </w:tc>
      </w:tr>
      <w:tr w:rsidR="00341597" w:rsidRPr="00B875BD" w14:paraId="7D406A85" w14:textId="77777777" w:rsidTr="00D21F72">
        <w:tc>
          <w:tcPr>
            <w:cnfStyle w:val="001000000000" w:firstRow="0" w:lastRow="0" w:firstColumn="1" w:lastColumn="0" w:oddVBand="0" w:evenVBand="0" w:oddHBand="0" w:evenHBand="0" w:firstRowFirstColumn="0" w:firstRowLastColumn="0" w:lastRowFirstColumn="0" w:lastRowLastColumn="0"/>
            <w:tcW w:w="1037" w:type="pct"/>
            <w:noWrap/>
            <w:hideMark/>
          </w:tcPr>
          <w:p w14:paraId="77A3A726" w14:textId="77777777" w:rsidR="00341597" w:rsidRPr="002D0D1C" w:rsidRDefault="00341597" w:rsidP="00341597">
            <w:r w:rsidRPr="002D0D1C">
              <w:t>50.05-60.00</w:t>
            </w:r>
          </w:p>
        </w:tc>
        <w:tc>
          <w:tcPr>
            <w:tcW w:w="1204" w:type="pct"/>
            <w:noWrap/>
          </w:tcPr>
          <w:p w14:paraId="5C5045DA"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11,647</w:t>
            </w:r>
          </w:p>
          <w:p w14:paraId="0E94AF5D" w14:textId="77777777" w:rsidR="00341597" w:rsidRPr="000E0AA5" w:rsidRDefault="00341597" w:rsidP="00F44C09">
            <w:pPr>
              <w:jc w:val="right"/>
              <w:cnfStyle w:val="000000000000" w:firstRow="0" w:lastRow="0" w:firstColumn="0" w:lastColumn="0" w:oddVBand="0" w:evenVBand="0" w:oddHBand="0" w:evenHBand="0" w:firstRowFirstColumn="0" w:firstRowLastColumn="0" w:lastRowFirstColumn="0" w:lastRowLastColumn="0"/>
              <w:rPr>
                <w:bCs/>
                <w:sz w:val="18"/>
                <w:szCs w:val="18"/>
              </w:rPr>
            </w:pPr>
            <w:r w:rsidRPr="009D3CE4">
              <w:t>(4.4%)</w:t>
            </w:r>
          </w:p>
        </w:tc>
        <w:tc>
          <w:tcPr>
            <w:tcW w:w="920" w:type="pct"/>
          </w:tcPr>
          <w:p w14:paraId="79183D3A"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11,883</w:t>
            </w:r>
          </w:p>
          <w:p w14:paraId="31F1CDFC" w14:textId="77777777" w:rsidR="00341597" w:rsidRPr="000E0AA5" w:rsidRDefault="00341597" w:rsidP="00F44C09">
            <w:pPr>
              <w:jc w:val="right"/>
              <w:cnfStyle w:val="000000000000" w:firstRow="0" w:lastRow="0" w:firstColumn="0" w:lastColumn="0" w:oddVBand="0" w:evenVBand="0" w:oddHBand="0" w:evenHBand="0" w:firstRowFirstColumn="0" w:firstRowLastColumn="0" w:lastRowFirstColumn="0" w:lastRowLastColumn="0"/>
              <w:rPr>
                <w:bCs/>
                <w:sz w:val="18"/>
                <w:szCs w:val="18"/>
              </w:rPr>
            </w:pPr>
            <w:r w:rsidRPr="009D3CE4">
              <w:t>(4.3%)</w:t>
            </w:r>
          </w:p>
        </w:tc>
        <w:tc>
          <w:tcPr>
            <w:tcW w:w="920" w:type="pct"/>
          </w:tcPr>
          <w:p w14:paraId="24781663"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11,209</w:t>
            </w:r>
          </w:p>
          <w:p w14:paraId="2DFFA5A3"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(4.0%)</w:t>
            </w:r>
          </w:p>
        </w:tc>
        <w:tc>
          <w:tcPr>
            <w:tcW w:w="920" w:type="pct"/>
          </w:tcPr>
          <w:p w14:paraId="4382379B"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10,490</w:t>
            </w:r>
          </w:p>
          <w:p w14:paraId="759C0388"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(3.7%)</w:t>
            </w:r>
          </w:p>
        </w:tc>
      </w:tr>
      <w:tr w:rsidR="00341597" w:rsidRPr="00B875BD" w14:paraId="01B70BD0" w14:textId="77777777" w:rsidTr="00D21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2B4362BC" w14:textId="77777777" w:rsidR="00341597" w:rsidRPr="002D0D1C" w:rsidRDefault="00341597" w:rsidP="00341597">
            <w:r w:rsidRPr="002D0D1C">
              <w:t>60.05-70.00</w:t>
            </w:r>
          </w:p>
        </w:tc>
        <w:tc>
          <w:tcPr>
            <w:tcW w:w="1204" w:type="pct"/>
            <w:noWrap/>
          </w:tcPr>
          <w:p w14:paraId="532F87DC"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18,552</w:t>
            </w:r>
          </w:p>
          <w:p w14:paraId="617BDA49"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(7.0%)</w:t>
            </w:r>
          </w:p>
        </w:tc>
        <w:tc>
          <w:tcPr>
            <w:tcW w:w="920" w:type="pct"/>
          </w:tcPr>
          <w:p w14:paraId="67721AC7"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18,259</w:t>
            </w:r>
          </w:p>
          <w:p w14:paraId="1F7A3297"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(6.7%)</w:t>
            </w:r>
          </w:p>
        </w:tc>
        <w:tc>
          <w:tcPr>
            <w:tcW w:w="920" w:type="pct"/>
          </w:tcPr>
          <w:p w14:paraId="2DF38CB8"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17,815</w:t>
            </w:r>
          </w:p>
          <w:p w14:paraId="736A3BB8"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(6.3%)</w:t>
            </w:r>
          </w:p>
        </w:tc>
        <w:tc>
          <w:tcPr>
            <w:tcW w:w="920" w:type="pct"/>
          </w:tcPr>
          <w:p w14:paraId="4D81E99E"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18,896</w:t>
            </w:r>
          </w:p>
          <w:p w14:paraId="0BEC4245"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(6.7%)</w:t>
            </w:r>
          </w:p>
        </w:tc>
      </w:tr>
      <w:tr w:rsidR="00341597" w:rsidRPr="00B875BD" w14:paraId="37CD31D6" w14:textId="77777777" w:rsidTr="00D21F72">
        <w:tc>
          <w:tcPr>
            <w:cnfStyle w:val="001000000000" w:firstRow="0" w:lastRow="0" w:firstColumn="1" w:lastColumn="0" w:oddVBand="0" w:evenVBand="0" w:oddHBand="0" w:evenHBand="0" w:firstRowFirstColumn="0" w:firstRowLastColumn="0" w:lastRowFirstColumn="0" w:lastRowLastColumn="0"/>
            <w:tcW w:w="1037" w:type="pct"/>
            <w:noWrap/>
            <w:hideMark/>
          </w:tcPr>
          <w:p w14:paraId="664CED9F" w14:textId="77777777" w:rsidR="00341597" w:rsidRPr="002D0D1C" w:rsidRDefault="00341597" w:rsidP="00341597">
            <w:r w:rsidRPr="002D0D1C">
              <w:t>70.05-80.00</w:t>
            </w:r>
          </w:p>
        </w:tc>
        <w:tc>
          <w:tcPr>
            <w:tcW w:w="1204" w:type="pct"/>
            <w:noWrap/>
          </w:tcPr>
          <w:p w14:paraId="3044DC69"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22,959</w:t>
            </w:r>
          </w:p>
          <w:p w14:paraId="5CC864FC"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(8.7%)</w:t>
            </w:r>
          </w:p>
        </w:tc>
        <w:tc>
          <w:tcPr>
            <w:tcW w:w="920" w:type="pct"/>
          </w:tcPr>
          <w:p w14:paraId="0ED70445"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21,797</w:t>
            </w:r>
          </w:p>
          <w:p w14:paraId="69CB940B"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(8.0%)</w:t>
            </w:r>
          </w:p>
        </w:tc>
        <w:tc>
          <w:tcPr>
            <w:tcW w:w="920" w:type="pct"/>
          </w:tcPr>
          <w:p w14:paraId="41FB670D"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23,671</w:t>
            </w:r>
          </w:p>
          <w:p w14:paraId="64AD3DA1"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(8.4%)</w:t>
            </w:r>
          </w:p>
        </w:tc>
        <w:tc>
          <w:tcPr>
            <w:tcW w:w="920" w:type="pct"/>
          </w:tcPr>
          <w:p w14:paraId="65223682"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22,934</w:t>
            </w:r>
          </w:p>
          <w:p w14:paraId="6C91FE14"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(8.2%)</w:t>
            </w:r>
          </w:p>
        </w:tc>
      </w:tr>
      <w:tr w:rsidR="00341597" w:rsidRPr="00B875BD" w14:paraId="77F6A232" w14:textId="77777777" w:rsidTr="00D21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7" w:type="pct"/>
            <w:noWrap/>
            <w:hideMark/>
          </w:tcPr>
          <w:p w14:paraId="55FDC039" w14:textId="77777777" w:rsidR="00341597" w:rsidRPr="002D0D1C" w:rsidRDefault="00341597" w:rsidP="00341597">
            <w:r w:rsidRPr="002D0D1C">
              <w:t>80.05-90.00</w:t>
            </w:r>
          </w:p>
        </w:tc>
        <w:tc>
          <w:tcPr>
            <w:tcW w:w="1204" w:type="pct"/>
            <w:noWrap/>
          </w:tcPr>
          <w:p w14:paraId="02C4309D"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26,418</w:t>
            </w:r>
          </w:p>
          <w:p w14:paraId="3B89ABB6"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(10.0%)</w:t>
            </w:r>
          </w:p>
        </w:tc>
        <w:tc>
          <w:tcPr>
            <w:tcW w:w="920" w:type="pct"/>
          </w:tcPr>
          <w:p w14:paraId="2B8D3332"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25,655</w:t>
            </w:r>
          </w:p>
          <w:p w14:paraId="62F1D9FB"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(9.4%)</w:t>
            </w:r>
          </w:p>
        </w:tc>
        <w:tc>
          <w:tcPr>
            <w:tcW w:w="920" w:type="pct"/>
          </w:tcPr>
          <w:p w14:paraId="734463B2"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26,817</w:t>
            </w:r>
          </w:p>
          <w:p w14:paraId="21B1AAFD"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(9.5%)</w:t>
            </w:r>
          </w:p>
        </w:tc>
        <w:tc>
          <w:tcPr>
            <w:tcW w:w="920" w:type="pct"/>
          </w:tcPr>
          <w:p w14:paraId="37F96109"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27,014</w:t>
            </w:r>
          </w:p>
          <w:p w14:paraId="750C67CA"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(9.6%)</w:t>
            </w:r>
          </w:p>
        </w:tc>
      </w:tr>
      <w:tr w:rsidR="00341597" w:rsidRPr="00B875BD" w14:paraId="6B9C4E5C" w14:textId="77777777" w:rsidTr="00D21F72">
        <w:tc>
          <w:tcPr>
            <w:cnfStyle w:val="001000000000" w:firstRow="0" w:lastRow="0" w:firstColumn="1" w:lastColumn="0" w:oddVBand="0" w:evenVBand="0" w:oddHBand="0" w:evenHBand="0" w:firstRowFirstColumn="0" w:firstRowLastColumn="0" w:lastRowFirstColumn="0" w:lastRowLastColumn="0"/>
            <w:tcW w:w="1037" w:type="pct"/>
            <w:noWrap/>
            <w:hideMark/>
          </w:tcPr>
          <w:p w14:paraId="4BB95512" w14:textId="77777777" w:rsidR="00341597" w:rsidRPr="002D0D1C" w:rsidRDefault="00341597" w:rsidP="00341597">
            <w:r w:rsidRPr="002D0D1C">
              <w:t>90.05 or more</w:t>
            </w:r>
          </w:p>
        </w:tc>
        <w:tc>
          <w:tcPr>
            <w:tcW w:w="1204" w:type="pct"/>
            <w:noWrap/>
          </w:tcPr>
          <w:p w14:paraId="20016596"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27,604</w:t>
            </w:r>
          </w:p>
          <w:p w14:paraId="70A3015B"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(10.4%)</w:t>
            </w:r>
          </w:p>
        </w:tc>
        <w:tc>
          <w:tcPr>
            <w:tcW w:w="920" w:type="pct"/>
          </w:tcPr>
          <w:p w14:paraId="38780668"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26,531</w:t>
            </w:r>
          </w:p>
          <w:p w14:paraId="6F9A917B"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(9.7%)</w:t>
            </w:r>
          </w:p>
        </w:tc>
        <w:tc>
          <w:tcPr>
            <w:tcW w:w="920" w:type="pct"/>
          </w:tcPr>
          <w:p w14:paraId="17CC0363"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28,304</w:t>
            </w:r>
          </w:p>
          <w:p w14:paraId="08AAAF6E"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(10.1%)</w:t>
            </w:r>
          </w:p>
        </w:tc>
        <w:tc>
          <w:tcPr>
            <w:tcW w:w="920" w:type="pct"/>
          </w:tcPr>
          <w:p w14:paraId="1718C6DC"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28,284</w:t>
            </w:r>
          </w:p>
          <w:p w14:paraId="2C91ACBB"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(10.1%)</w:t>
            </w:r>
          </w:p>
        </w:tc>
      </w:tr>
      <w:tr w:rsidR="00341597" w:rsidRPr="00B875BD" w14:paraId="21E78AC0" w14:textId="77777777" w:rsidTr="00D21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7" w:type="pct"/>
            <w:noWrap/>
          </w:tcPr>
          <w:p w14:paraId="667703C0" w14:textId="77777777" w:rsidR="00341597" w:rsidRPr="002D0D1C" w:rsidRDefault="00341597" w:rsidP="00341597">
            <w:r>
              <w:t xml:space="preserve">No </w:t>
            </w:r>
            <w:proofErr w:type="spellStart"/>
            <w:r>
              <w:t>ATAR</w:t>
            </w:r>
            <w:proofErr w:type="spellEnd"/>
            <w:r>
              <w:t>/ Non-</w:t>
            </w:r>
            <w:proofErr w:type="spellStart"/>
            <w:r>
              <w:t>Yr</w:t>
            </w:r>
            <w:proofErr w:type="spellEnd"/>
            <w:r>
              <w:t xml:space="preserve"> 12</w:t>
            </w:r>
          </w:p>
        </w:tc>
        <w:tc>
          <w:tcPr>
            <w:tcW w:w="1204" w:type="pct"/>
            <w:noWrap/>
          </w:tcPr>
          <w:p w14:paraId="7ED7BEFA"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150,799</w:t>
            </w:r>
          </w:p>
          <w:p w14:paraId="35C6820B" w14:textId="05049E5B" w:rsidR="00341597" w:rsidRPr="009D3CE4" w:rsidRDefault="00F44C09" w:rsidP="00F44C09">
            <w:pPr>
              <w:jc w:val="right"/>
              <w:cnfStyle w:val="000000100000" w:firstRow="0" w:lastRow="0" w:firstColumn="0" w:lastColumn="0" w:oddVBand="0" w:evenVBand="0" w:oddHBand="1" w:evenHBand="0" w:firstRowFirstColumn="0" w:firstRowLastColumn="0" w:lastRowFirstColumn="0" w:lastRowLastColumn="0"/>
            </w:pPr>
            <w:r>
              <w:t>(</w:t>
            </w:r>
            <w:r w:rsidR="00341597" w:rsidRPr="009D3CE4">
              <w:t>57.0%)</w:t>
            </w:r>
          </w:p>
        </w:tc>
        <w:tc>
          <w:tcPr>
            <w:tcW w:w="920" w:type="pct"/>
          </w:tcPr>
          <w:p w14:paraId="1B77B830"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162,510</w:t>
            </w:r>
          </w:p>
          <w:p w14:paraId="5AE1DB42"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(59.4%)</w:t>
            </w:r>
          </w:p>
        </w:tc>
        <w:tc>
          <w:tcPr>
            <w:tcW w:w="920" w:type="pct"/>
          </w:tcPr>
          <w:p w14:paraId="25A55A4E"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164,247</w:t>
            </w:r>
          </w:p>
          <w:p w14:paraId="53862851"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(58.3%)</w:t>
            </w:r>
          </w:p>
        </w:tc>
        <w:tc>
          <w:tcPr>
            <w:tcW w:w="920" w:type="pct"/>
          </w:tcPr>
          <w:p w14:paraId="5CC59E4A"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165,838</w:t>
            </w:r>
          </w:p>
          <w:p w14:paraId="2456682F"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(59.0%)</w:t>
            </w:r>
          </w:p>
        </w:tc>
      </w:tr>
      <w:tr w:rsidR="00341597" w:rsidRPr="00B875BD" w14:paraId="4B44CA03" w14:textId="77777777" w:rsidTr="00D21F72">
        <w:tc>
          <w:tcPr>
            <w:cnfStyle w:val="001000000000" w:firstRow="0" w:lastRow="0" w:firstColumn="1" w:lastColumn="0" w:oddVBand="0" w:evenVBand="0" w:oddHBand="0" w:evenHBand="0" w:firstRowFirstColumn="0" w:firstRowLastColumn="0" w:lastRowFirstColumn="0" w:lastRowLastColumn="0"/>
            <w:tcW w:w="1037" w:type="pct"/>
            <w:noWrap/>
            <w:hideMark/>
          </w:tcPr>
          <w:p w14:paraId="4AC299A7" w14:textId="77777777" w:rsidR="00341597" w:rsidRPr="00A02290" w:rsidRDefault="00341597" w:rsidP="00341597">
            <w:r w:rsidRPr="00A02290">
              <w:t>Total</w:t>
            </w:r>
          </w:p>
        </w:tc>
        <w:tc>
          <w:tcPr>
            <w:tcW w:w="1204" w:type="pct"/>
            <w:noWrap/>
          </w:tcPr>
          <w:p w14:paraId="268D7476" w14:textId="77777777" w:rsidR="00341597" w:rsidRPr="00DD1112"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DD1112">
              <w:t>264,721</w:t>
            </w:r>
          </w:p>
          <w:p w14:paraId="1BB98FB6" w14:textId="77777777" w:rsidR="00341597" w:rsidRPr="00DD1112"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DD1112">
              <w:t>(100.0%)</w:t>
            </w:r>
          </w:p>
        </w:tc>
        <w:tc>
          <w:tcPr>
            <w:tcW w:w="920" w:type="pct"/>
          </w:tcPr>
          <w:p w14:paraId="38CAFF7A" w14:textId="77777777" w:rsidR="00341597" w:rsidRPr="00DD1112"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DD1112">
              <w:t>273,653</w:t>
            </w:r>
          </w:p>
          <w:p w14:paraId="5EB7B44D" w14:textId="77777777" w:rsidR="00341597" w:rsidRPr="00DD1112"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DD1112">
              <w:t>(100.0%)</w:t>
            </w:r>
          </w:p>
        </w:tc>
        <w:tc>
          <w:tcPr>
            <w:tcW w:w="920" w:type="pct"/>
          </w:tcPr>
          <w:p w14:paraId="488CC4AA" w14:textId="77777777" w:rsidR="00341597" w:rsidRPr="00DD1112"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DD1112">
              <w:t>281,549</w:t>
            </w:r>
          </w:p>
          <w:p w14:paraId="5B618DAA" w14:textId="77777777" w:rsidR="00341597" w:rsidRPr="00DD1112"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DD1112">
              <w:t>(100.0%)</w:t>
            </w:r>
          </w:p>
        </w:tc>
        <w:tc>
          <w:tcPr>
            <w:tcW w:w="920" w:type="pct"/>
          </w:tcPr>
          <w:p w14:paraId="48849FC7" w14:textId="77777777" w:rsidR="00341597" w:rsidRPr="00DD1112"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DD1112">
              <w:t>281,113</w:t>
            </w:r>
          </w:p>
          <w:p w14:paraId="22F27A26" w14:textId="77777777" w:rsidR="00341597" w:rsidRPr="00DD1112"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DD1112">
              <w:t>(100.0%)</w:t>
            </w:r>
          </w:p>
        </w:tc>
      </w:tr>
    </w:tbl>
    <w:p w14:paraId="2906B680" w14:textId="77777777" w:rsidR="00341597" w:rsidRDefault="00341597" w:rsidP="00D21F72"/>
    <w:p w14:paraId="01940513" w14:textId="77777777" w:rsidR="00341597" w:rsidRDefault="00341597" w:rsidP="00B67C70">
      <w:pPr>
        <w:pStyle w:val="ListParagraph"/>
      </w:pPr>
      <w:r w:rsidRPr="007A5001">
        <w:t>From 201</w:t>
      </w:r>
      <w:r>
        <w:t>4</w:t>
      </w:r>
      <w:r w:rsidRPr="007A5001">
        <w:t xml:space="preserve"> to 201</w:t>
      </w:r>
      <w:r>
        <w:t>7,</w:t>
      </w:r>
      <w:r w:rsidRPr="002F6CA5">
        <w:t xml:space="preserve"> </w:t>
      </w:r>
      <w:r>
        <w:t>o</w:t>
      </w:r>
      <w:r w:rsidRPr="002F6CA5">
        <w:t xml:space="preserve">ffer rates for applicants in the </w:t>
      </w:r>
      <w:proofErr w:type="spellStart"/>
      <w:r w:rsidRPr="002F6CA5">
        <w:t>ATAR</w:t>
      </w:r>
      <w:proofErr w:type="spellEnd"/>
      <w:r w:rsidRPr="002F6CA5">
        <w:t xml:space="preserve"> band 50.00 or less increase</w:t>
      </w:r>
      <w:r>
        <w:t>d</w:t>
      </w:r>
      <w:r w:rsidRPr="002F6CA5">
        <w:t xml:space="preserve"> from </w:t>
      </w:r>
      <w:r>
        <w:t>39.7</w:t>
      </w:r>
      <w:r w:rsidRPr="002F6CA5">
        <w:t>%</w:t>
      </w:r>
      <w:r>
        <w:t xml:space="preserve"> (or 16,695)</w:t>
      </w:r>
      <w:r w:rsidRPr="002F6CA5">
        <w:t xml:space="preserve"> in 201</w:t>
      </w:r>
      <w:r>
        <w:t>4</w:t>
      </w:r>
      <w:r w:rsidRPr="002F6CA5">
        <w:t xml:space="preserve"> to </w:t>
      </w:r>
      <w:r>
        <w:t>46.3</w:t>
      </w:r>
      <w:r w:rsidRPr="002F6CA5">
        <w:t xml:space="preserve">% </w:t>
      </w:r>
      <w:r>
        <w:t>(</w:t>
      </w:r>
      <w:proofErr w:type="gramStart"/>
      <w:r>
        <w:t xml:space="preserve">or </w:t>
      </w:r>
      <w:r w:rsidRPr="00262CAB">
        <w:t xml:space="preserve"> 16,527</w:t>
      </w:r>
      <w:proofErr w:type="gramEnd"/>
      <w:r>
        <w:t xml:space="preserve">) </w:t>
      </w:r>
      <w:r w:rsidRPr="002F6CA5">
        <w:t>in 201</w:t>
      </w:r>
      <w:r>
        <w:t>7</w:t>
      </w:r>
      <w:r w:rsidRPr="002F6CA5">
        <w:t xml:space="preserve">. The offer rates for the top three </w:t>
      </w:r>
      <w:proofErr w:type="spellStart"/>
      <w:r w:rsidRPr="002F6CA5">
        <w:t>ATAR</w:t>
      </w:r>
      <w:proofErr w:type="spellEnd"/>
      <w:r w:rsidRPr="002F6CA5">
        <w:t xml:space="preserve"> bands, while already high, have remained relatively steady. </w:t>
      </w:r>
    </w:p>
    <w:p w14:paraId="1037A9C3" w14:textId="637F1794" w:rsidR="007F72E7" w:rsidRDefault="007F72E7" w:rsidP="007F72E7">
      <w:pPr>
        <w:pStyle w:val="Caption"/>
        <w:keepNext/>
      </w:pPr>
      <w:r>
        <w:t xml:space="preserve">Figure </w:t>
      </w:r>
      <w:fldSimple w:instr=" SEQ Figure \* ARABIC ">
        <w:r w:rsidR="00E05F5D">
          <w:rPr>
            <w:noProof/>
          </w:rPr>
          <w:t>1</w:t>
        </w:r>
      </w:fldSimple>
      <w:r w:rsidRPr="00E0592F">
        <w:t xml:space="preserve">: Offer rates by </w:t>
      </w:r>
      <w:proofErr w:type="spellStart"/>
      <w:r w:rsidRPr="00E0592F">
        <w:t>ATAR</w:t>
      </w:r>
      <w:proofErr w:type="spellEnd"/>
      <w:r w:rsidRPr="00E0592F">
        <w:t xml:space="preserve"> band, February 2014-February 2017</w:t>
      </w:r>
    </w:p>
    <w:p w14:paraId="7F3E3ABA" w14:textId="77777777" w:rsidR="00341597" w:rsidRDefault="00341597" w:rsidP="00B67C70">
      <w:r>
        <w:rPr>
          <w:noProof/>
          <w:lang w:eastAsia="en-AU"/>
        </w:rPr>
        <w:drawing>
          <wp:inline distT="0" distB="0" distL="0" distR="0" wp14:anchorId="28E442B4" wp14:editId="57DFC091">
            <wp:extent cx="5285740" cy="2536190"/>
            <wp:effectExtent l="0" t="0" r="0" b="0"/>
            <wp:docPr id="8" name="Picture 8" descr="From 2014 to 2017, offer rates for Year 12 applicants in the ATAR band 50.00 or less increased from 39.7% in 2014 to 46.3% in 2017. The offer rates for the top three ATAR bands, while already high, have remained relatively stea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85740" cy="2536190"/>
                    </a:xfrm>
                    <a:prstGeom prst="rect">
                      <a:avLst/>
                    </a:prstGeom>
                    <a:noFill/>
                  </pic:spPr>
                </pic:pic>
              </a:graphicData>
            </a:graphic>
          </wp:inline>
        </w:drawing>
      </w:r>
    </w:p>
    <w:p w14:paraId="115FE4C7" w14:textId="77777777" w:rsidR="00341597" w:rsidRDefault="00341597" w:rsidP="00B67C70">
      <w:r w:rsidRPr="00FD58E9">
        <w:lastRenderedPageBreak/>
        <w:t>Engineering (</w:t>
      </w:r>
      <w:r>
        <w:t xml:space="preserve">24.0%) and Natural </w:t>
      </w:r>
      <w:r w:rsidRPr="00FD58E9">
        <w:t>and Physical Sciences (</w:t>
      </w:r>
      <w:r>
        <w:t>17.1</w:t>
      </w:r>
      <w:r w:rsidRPr="00FD58E9">
        <w:t xml:space="preserve">%) recorded </w:t>
      </w:r>
      <w:r>
        <w:t>the</w:t>
      </w:r>
      <w:r w:rsidRPr="00FD58E9">
        <w:t xml:space="preserve"> large</w:t>
      </w:r>
      <w:r>
        <w:t>st</w:t>
      </w:r>
      <w:r w:rsidRPr="00FD58E9">
        <w:t xml:space="preserve"> share of</w:t>
      </w:r>
      <w:r w:rsidRPr="00A82712">
        <w:t xml:space="preserve"> offers made to applicants who achieved an </w:t>
      </w:r>
      <w:proofErr w:type="spellStart"/>
      <w:r w:rsidRPr="00A82712">
        <w:t>ATAR</w:t>
      </w:r>
      <w:proofErr w:type="spellEnd"/>
      <w:r w:rsidRPr="00A82712">
        <w:t xml:space="preserve"> in the highest band (90.05 or more).</w:t>
      </w:r>
      <w:r>
        <w:t xml:space="preserve"> </w:t>
      </w:r>
      <w:r w:rsidRPr="00A82712">
        <w:t xml:space="preserve">This reflects the relatively high </w:t>
      </w:r>
      <w:proofErr w:type="spellStart"/>
      <w:r w:rsidRPr="00A82712">
        <w:t>ATAR</w:t>
      </w:r>
      <w:proofErr w:type="spellEnd"/>
      <w:r w:rsidRPr="00A82712">
        <w:t xml:space="preserve"> entry requirements for courses in these fields.</w:t>
      </w:r>
    </w:p>
    <w:p w14:paraId="43864EB8" w14:textId="77777777" w:rsidR="00341597" w:rsidRDefault="00341597" w:rsidP="00B67C70">
      <w:r>
        <w:t xml:space="preserve">Architecture and Building (4.6%), Information Technology (4.0%), Education (3.6%), Society and Culture (3.5%) and Creative Arts (2.9%) all recorded an above average share of offers made to applicants who achieved an </w:t>
      </w:r>
      <w:proofErr w:type="spellStart"/>
      <w:r>
        <w:t>ATAR</w:t>
      </w:r>
      <w:proofErr w:type="spellEnd"/>
      <w:r>
        <w:t xml:space="preserve"> of 50.00 or less.</w:t>
      </w:r>
    </w:p>
    <w:p w14:paraId="7E5C49EA" w14:textId="338367CD" w:rsidR="00D21F72" w:rsidRDefault="00D21F72" w:rsidP="00D21F72">
      <w:pPr>
        <w:pStyle w:val="Caption"/>
        <w:keepNext/>
      </w:pPr>
      <w:bookmarkStart w:id="75" w:name="_Toc492453642"/>
      <w:bookmarkStart w:id="76" w:name="_Toc492453867"/>
      <w:r>
        <w:t xml:space="preserve">Table </w:t>
      </w:r>
      <w:fldSimple w:instr=" SEQ Table \* ARABIC ">
        <w:r w:rsidR="00E05F5D">
          <w:rPr>
            <w:noProof/>
          </w:rPr>
          <w:t>11</w:t>
        </w:r>
      </w:fldSimple>
      <w:r w:rsidRPr="004C7502">
        <w:t xml:space="preserve">: Share of offers by </w:t>
      </w:r>
      <w:proofErr w:type="spellStart"/>
      <w:r w:rsidRPr="004C7502">
        <w:t>ATAR</w:t>
      </w:r>
      <w:proofErr w:type="spellEnd"/>
      <w:r w:rsidRPr="004C7502">
        <w:t xml:space="preserve"> band for each field of education, February 2017</w:t>
      </w:r>
      <w:bookmarkEnd w:id="75"/>
      <w:bookmarkEnd w:id="76"/>
    </w:p>
    <w:tbl>
      <w:tblPr>
        <w:tblStyle w:val="DEEWRTable"/>
        <w:tblW w:w="9242" w:type="dxa"/>
        <w:tblLayout w:type="fixed"/>
        <w:tblLook w:val="04A0" w:firstRow="1" w:lastRow="0" w:firstColumn="1" w:lastColumn="0" w:noHBand="0" w:noVBand="1"/>
      </w:tblPr>
      <w:tblGrid>
        <w:gridCol w:w="1809"/>
        <w:gridCol w:w="929"/>
        <w:gridCol w:w="929"/>
        <w:gridCol w:w="929"/>
        <w:gridCol w:w="929"/>
        <w:gridCol w:w="929"/>
        <w:gridCol w:w="929"/>
        <w:gridCol w:w="929"/>
        <w:gridCol w:w="930"/>
      </w:tblGrid>
      <w:tr w:rsidR="00CA743F" w:rsidRPr="00355B03" w14:paraId="3701A40C" w14:textId="77777777" w:rsidTr="00D21F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59538CED" w14:textId="77777777" w:rsidR="00341597" w:rsidRPr="001B4D28" w:rsidRDefault="00341597" w:rsidP="00A02290">
            <w:r w:rsidRPr="001B4D28">
              <w:t>Field of education</w:t>
            </w:r>
          </w:p>
        </w:tc>
        <w:tc>
          <w:tcPr>
            <w:tcW w:w="929" w:type="dxa"/>
          </w:tcPr>
          <w:p w14:paraId="755244B9" w14:textId="77777777" w:rsidR="00341597" w:rsidRPr="001B4D28" w:rsidRDefault="00341597" w:rsidP="00F44C09">
            <w:pPr>
              <w:jc w:val="right"/>
              <w:cnfStyle w:val="100000000000" w:firstRow="1" w:lastRow="0" w:firstColumn="0" w:lastColumn="0" w:oddVBand="0" w:evenVBand="0" w:oddHBand="0" w:evenHBand="0" w:firstRowFirstColumn="0" w:firstRowLastColumn="0" w:lastRowFirstColumn="0" w:lastRowLastColumn="0"/>
            </w:pPr>
            <w:r w:rsidRPr="001B4D28">
              <w:t>50.00 or less</w:t>
            </w:r>
          </w:p>
        </w:tc>
        <w:tc>
          <w:tcPr>
            <w:tcW w:w="929" w:type="dxa"/>
          </w:tcPr>
          <w:p w14:paraId="70236B3C" w14:textId="77777777" w:rsidR="00341597" w:rsidRPr="001B4D28" w:rsidRDefault="00341597" w:rsidP="00F44C09">
            <w:pPr>
              <w:jc w:val="right"/>
              <w:cnfStyle w:val="100000000000" w:firstRow="1" w:lastRow="0" w:firstColumn="0" w:lastColumn="0" w:oddVBand="0" w:evenVBand="0" w:oddHBand="0" w:evenHBand="0" w:firstRowFirstColumn="0" w:firstRowLastColumn="0" w:lastRowFirstColumn="0" w:lastRowLastColumn="0"/>
            </w:pPr>
            <w:r w:rsidRPr="001B4D28">
              <w:t>50.05-60.00</w:t>
            </w:r>
          </w:p>
        </w:tc>
        <w:tc>
          <w:tcPr>
            <w:tcW w:w="929" w:type="dxa"/>
          </w:tcPr>
          <w:p w14:paraId="19D5CA92" w14:textId="77777777" w:rsidR="00341597" w:rsidRPr="001B4D28" w:rsidRDefault="00341597" w:rsidP="00F44C09">
            <w:pPr>
              <w:jc w:val="right"/>
              <w:cnfStyle w:val="100000000000" w:firstRow="1" w:lastRow="0" w:firstColumn="0" w:lastColumn="0" w:oddVBand="0" w:evenVBand="0" w:oddHBand="0" w:evenHBand="0" w:firstRowFirstColumn="0" w:firstRowLastColumn="0" w:lastRowFirstColumn="0" w:lastRowLastColumn="0"/>
            </w:pPr>
            <w:r w:rsidRPr="001B4D28">
              <w:t>60.05-70.00</w:t>
            </w:r>
          </w:p>
        </w:tc>
        <w:tc>
          <w:tcPr>
            <w:tcW w:w="929" w:type="dxa"/>
          </w:tcPr>
          <w:p w14:paraId="39C8FA90" w14:textId="77777777" w:rsidR="00341597" w:rsidRPr="001B4D28" w:rsidRDefault="00341597" w:rsidP="00F44C09">
            <w:pPr>
              <w:jc w:val="right"/>
              <w:cnfStyle w:val="100000000000" w:firstRow="1" w:lastRow="0" w:firstColumn="0" w:lastColumn="0" w:oddVBand="0" w:evenVBand="0" w:oddHBand="0" w:evenHBand="0" w:firstRowFirstColumn="0" w:firstRowLastColumn="0" w:lastRowFirstColumn="0" w:lastRowLastColumn="0"/>
            </w:pPr>
            <w:r w:rsidRPr="001B4D28">
              <w:t>70.05-80.00</w:t>
            </w:r>
          </w:p>
        </w:tc>
        <w:tc>
          <w:tcPr>
            <w:tcW w:w="929" w:type="dxa"/>
          </w:tcPr>
          <w:p w14:paraId="6E4130A4" w14:textId="77777777" w:rsidR="00341597" w:rsidRPr="001B4D28" w:rsidRDefault="00341597" w:rsidP="00F44C09">
            <w:pPr>
              <w:jc w:val="right"/>
              <w:cnfStyle w:val="100000000000" w:firstRow="1" w:lastRow="0" w:firstColumn="0" w:lastColumn="0" w:oddVBand="0" w:evenVBand="0" w:oddHBand="0" w:evenHBand="0" w:firstRowFirstColumn="0" w:firstRowLastColumn="0" w:lastRowFirstColumn="0" w:lastRowLastColumn="0"/>
            </w:pPr>
            <w:r w:rsidRPr="001B4D28">
              <w:t>80.05-90.00</w:t>
            </w:r>
          </w:p>
        </w:tc>
        <w:tc>
          <w:tcPr>
            <w:tcW w:w="929" w:type="dxa"/>
          </w:tcPr>
          <w:p w14:paraId="55F3E49C" w14:textId="77777777" w:rsidR="00341597" w:rsidRPr="001B4D28" w:rsidRDefault="00341597" w:rsidP="00F44C09">
            <w:pPr>
              <w:jc w:val="right"/>
              <w:cnfStyle w:val="100000000000" w:firstRow="1" w:lastRow="0" w:firstColumn="0" w:lastColumn="0" w:oddVBand="0" w:evenVBand="0" w:oddHBand="0" w:evenHBand="0" w:firstRowFirstColumn="0" w:firstRowLastColumn="0" w:lastRowFirstColumn="0" w:lastRowLastColumn="0"/>
            </w:pPr>
            <w:r w:rsidRPr="001B4D28">
              <w:t>90.05 or more</w:t>
            </w:r>
          </w:p>
        </w:tc>
        <w:tc>
          <w:tcPr>
            <w:tcW w:w="929" w:type="dxa"/>
          </w:tcPr>
          <w:p w14:paraId="08961735" w14:textId="77777777" w:rsidR="00341597" w:rsidRPr="001B4D28" w:rsidRDefault="00341597" w:rsidP="00F44C09">
            <w:pPr>
              <w:jc w:val="right"/>
              <w:cnfStyle w:val="100000000000" w:firstRow="1" w:lastRow="0" w:firstColumn="0" w:lastColumn="0" w:oddVBand="0" w:evenVBand="0" w:oddHBand="0" w:evenHBand="0" w:firstRowFirstColumn="0" w:firstRowLastColumn="0" w:lastRowFirstColumn="0" w:lastRowLastColumn="0"/>
            </w:pPr>
            <w:r w:rsidRPr="001B4D28">
              <w:t xml:space="preserve">No </w:t>
            </w:r>
            <w:proofErr w:type="spellStart"/>
            <w:r w:rsidRPr="001B4D28">
              <w:t>ATAR</w:t>
            </w:r>
            <w:proofErr w:type="spellEnd"/>
            <w:r w:rsidRPr="001B4D28">
              <w:t>/ Non-</w:t>
            </w:r>
            <w:proofErr w:type="spellStart"/>
            <w:r w:rsidRPr="001B4D28">
              <w:t>Yr</w:t>
            </w:r>
            <w:proofErr w:type="spellEnd"/>
            <w:r w:rsidRPr="001B4D28">
              <w:t xml:space="preserve"> 12</w:t>
            </w:r>
          </w:p>
        </w:tc>
        <w:tc>
          <w:tcPr>
            <w:tcW w:w="930" w:type="dxa"/>
            <w:tcMar>
              <w:left w:w="57" w:type="dxa"/>
              <w:right w:w="57" w:type="dxa"/>
            </w:tcMar>
          </w:tcPr>
          <w:p w14:paraId="0104FA44" w14:textId="77777777" w:rsidR="00341597" w:rsidRPr="001B4D28" w:rsidRDefault="00341597" w:rsidP="00F44C09">
            <w:pPr>
              <w:jc w:val="right"/>
              <w:cnfStyle w:val="100000000000" w:firstRow="1" w:lastRow="0" w:firstColumn="0" w:lastColumn="0" w:oddVBand="0" w:evenVBand="0" w:oddHBand="0" w:evenHBand="0" w:firstRowFirstColumn="0" w:firstRowLastColumn="0" w:lastRowFirstColumn="0" w:lastRowLastColumn="0"/>
            </w:pPr>
            <w:r>
              <w:t>Total</w:t>
            </w:r>
          </w:p>
        </w:tc>
      </w:tr>
      <w:tr w:rsidR="00F44C09" w:rsidRPr="00F54B70" w14:paraId="06C8EAB6" w14:textId="77777777" w:rsidTr="00D21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noWrap/>
            <w:hideMark/>
          </w:tcPr>
          <w:p w14:paraId="54FF33AE" w14:textId="77777777" w:rsidR="00341597" w:rsidRPr="002B6D18" w:rsidRDefault="00341597" w:rsidP="00B67C70">
            <w:r w:rsidRPr="002B6D18">
              <w:t>Natural and Physical Sciences</w:t>
            </w:r>
          </w:p>
        </w:tc>
        <w:tc>
          <w:tcPr>
            <w:tcW w:w="929" w:type="dxa"/>
            <w:noWrap/>
          </w:tcPr>
          <w:p w14:paraId="5D6E7EEA"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609</w:t>
            </w:r>
          </w:p>
          <w:p w14:paraId="7307B5A4" w14:textId="77777777" w:rsidR="00341597" w:rsidRPr="00A52883"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(2.0%)</w:t>
            </w:r>
          </w:p>
        </w:tc>
        <w:tc>
          <w:tcPr>
            <w:tcW w:w="929" w:type="dxa"/>
            <w:noWrap/>
          </w:tcPr>
          <w:p w14:paraId="09D03E3B"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856</w:t>
            </w:r>
          </w:p>
          <w:p w14:paraId="14F01542"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(2.7%)</w:t>
            </w:r>
          </w:p>
        </w:tc>
        <w:tc>
          <w:tcPr>
            <w:tcW w:w="929" w:type="dxa"/>
            <w:noWrap/>
          </w:tcPr>
          <w:p w14:paraId="596C44D0"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1,874</w:t>
            </w:r>
          </w:p>
          <w:p w14:paraId="2998D67A"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(6.0%)</w:t>
            </w:r>
          </w:p>
        </w:tc>
        <w:tc>
          <w:tcPr>
            <w:tcW w:w="929" w:type="dxa"/>
            <w:noWrap/>
          </w:tcPr>
          <w:p w14:paraId="6768C3E9"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3,283</w:t>
            </w:r>
          </w:p>
          <w:p w14:paraId="3930A753"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(10.5%)</w:t>
            </w:r>
          </w:p>
        </w:tc>
        <w:tc>
          <w:tcPr>
            <w:tcW w:w="929" w:type="dxa"/>
            <w:noWrap/>
          </w:tcPr>
          <w:p w14:paraId="1A8FE14A"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4,697</w:t>
            </w:r>
          </w:p>
          <w:p w14:paraId="1CC287F6"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(15.1%)</w:t>
            </w:r>
          </w:p>
        </w:tc>
        <w:tc>
          <w:tcPr>
            <w:tcW w:w="929" w:type="dxa"/>
            <w:noWrap/>
          </w:tcPr>
          <w:p w14:paraId="6DE6A50E"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5,340</w:t>
            </w:r>
          </w:p>
          <w:p w14:paraId="44570F3C"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(17.1%)</w:t>
            </w:r>
          </w:p>
        </w:tc>
        <w:tc>
          <w:tcPr>
            <w:tcW w:w="929" w:type="dxa"/>
          </w:tcPr>
          <w:p w14:paraId="5AF04218"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14,479</w:t>
            </w:r>
          </w:p>
          <w:p w14:paraId="4E246FA1"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(46.5%)</w:t>
            </w:r>
          </w:p>
        </w:tc>
        <w:tc>
          <w:tcPr>
            <w:tcW w:w="930" w:type="dxa"/>
            <w:noWrap/>
            <w:tcMar>
              <w:left w:w="57" w:type="dxa"/>
              <w:right w:w="57" w:type="dxa"/>
            </w:tcMar>
          </w:tcPr>
          <w:p w14:paraId="66DB5651"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31,138</w:t>
            </w:r>
          </w:p>
          <w:p w14:paraId="078B51AC"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(100.0%)</w:t>
            </w:r>
          </w:p>
        </w:tc>
      </w:tr>
      <w:tr w:rsidR="00CA743F" w:rsidRPr="00F54B70" w14:paraId="20843AB4" w14:textId="77777777" w:rsidTr="00D21F72">
        <w:tc>
          <w:tcPr>
            <w:cnfStyle w:val="001000000000" w:firstRow="0" w:lastRow="0" w:firstColumn="1" w:lastColumn="0" w:oddVBand="0" w:evenVBand="0" w:oddHBand="0" w:evenHBand="0" w:firstRowFirstColumn="0" w:firstRowLastColumn="0" w:lastRowFirstColumn="0" w:lastRowLastColumn="0"/>
            <w:tcW w:w="1809" w:type="dxa"/>
            <w:noWrap/>
            <w:hideMark/>
          </w:tcPr>
          <w:p w14:paraId="64E0F692" w14:textId="77777777" w:rsidR="00341597" w:rsidRPr="002B6D18" w:rsidRDefault="00341597" w:rsidP="00B67C70">
            <w:r w:rsidRPr="002B6D18">
              <w:t>Information Technology</w:t>
            </w:r>
          </w:p>
        </w:tc>
        <w:tc>
          <w:tcPr>
            <w:tcW w:w="929" w:type="dxa"/>
            <w:noWrap/>
          </w:tcPr>
          <w:p w14:paraId="2560308F"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341</w:t>
            </w:r>
          </w:p>
          <w:p w14:paraId="7633988A"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(4.0%)</w:t>
            </w:r>
          </w:p>
        </w:tc>
        <w:tc>
          <w:tcPr>
            <w:tcW w:w="929" w:type="dxa"/>
            <w:noWrap/>
          </w:tcPr>
          <w:p w14:paraId="346FE7FC"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520</w:t>
            </w:r>
          </w:p>
          <w:p w14:paraId="44238025"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(6.1%)</w:t>
            </w:r>
          </w:p>
        </w:tc>
        <w:tc>
          <w:tcPr>
            <w:tcW w:w="929" w:type="dxa"/>
            <w:noWrap/>
          </w:tcPr>
          <w:p w14:paraId="20F7DDDD"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841</w:t>
            </w:r>
          </w:p>
          <w:p w14:paraId="600739A1"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(9.8%)</w:t>
            </w:r>
          </w:p>
        </w:tc>
        <w:tc>
          <w:tcPr>
            <w:tcW w:w="929" w:type="dxa"/>
            <w:noWrap/>
          </w:tcPr>
          <w:p w14:paraId="103AC73C"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810</w:t>
            </w:r>
          </w:p>
          <w:p w14:paraId="39F9F1EF"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(9.4%)</w:t>
            </w:r>
          </w:p>
        </w:tc>
        <w:tc>
          <w:tcPr>
            <w:tcW w:w="929" w:type="dxa"/>
            <w:noWrap/>
          </w:tcPr>
          <w:p w14:paraId="44C32CF3"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618</w:t>
            </w:r>
          </w:p>
          <w:p w14:paraId="0EA038ED"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(7.2%)</w:t>
            </w:r>
          </w:p>
        </w:tc>
        <w:tc>
          <w:tcPr>
            <w:tcW w:w="929" w:type="dxa"/>
            <w:noWrap/>
          </w:tcPr>
          <w:p w14:paraId="33B49CFD"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411</w:t>
            </w:r>
          </w:p>
          <w:p w14:paraId="32F754ED"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(4.8%)</w:t>
            </w:r>
          </w:p>
        </w:tc>
        <w:tc>
          <w:tcPr>
            <w:tcW w:w="929" w:type="dxa"/>
          </w:tcPr>
          <w:p w14:paraId="5581D8B8"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5,054</w:t>
            </w:r>
          </w:p>
          <w:p w14:paraId="7163F5C4"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(58.8%)</w:t>
            </w:r>
          </w:p>
        </w:tc>
        <w:tc>
          <w:tcPr>
            <w:tcW w:w="930" w:type="dxa"/>
            <w:noWrap/>
            <w:tcMar>
              <w:left w:w="57" w:type="dxa"/>
              <w:right w:w="57" w:type="dxa"/>
            </w:tcMar>
          </w:tcPr>
          <w:p w14:paraId="22D841C3"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8,595</w:t>
            </w:r>
          </w:p>
          <w:p w14:paraId="37FDD940" w14:textId="263807E6" w:rsidR="00341597" w:rsidRPr="009D3CE4" w:rsidRDefault="00341597" w:rsidP="007F72E7">
            <w:pPr>
              <w:jc w:val="right"/>
              <w:cnfStyle w:val="000000000000" w:firstRow="0" w:lastRow="0" w:firstColumn="0" w:lastColumn="0" w:oddVBand="0" w:evenVBand="0" w:oddHBand="0" w:evenHBand="0" w:firstRowFirstColumn="0" w:firstRowLastColumn="0" w:lastRowFirstColumn="0" w:lastRowLastColumn="0"/>
              <w:rPr>
                <w:sz w:val="18"/>
                <w:szCs w:val="18"/>
              </w:rPr>
            </w:pPr>
            <w:r w:rsidRPr="009D3CE4">
              <w:t>(100.0%)</w:t>
            </w:r>
          </w:p>
        </w:tc>
      </w:tr>
      <w:tr w:rsidR="00F44C09" w:rsidRPr="00F54B70" w14:paraId="51DB8A3A" w14:textId="77777777" w:rsidTr="00D21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noWrap/>
            <w:hideMark/>
          </w:tcPr>
          <w:p w14:paraId="0BCCC5B0" w14:textId="77777777" w:rsidR="00341597" w:rsidRPr="002B6D18" w:rsidRDefault="00341597" w:rsidP="00B67C70">
            <w:r w:rsidRPr="002B6D18">
              <w:t xml:space="preserve">Engineering </w:t>
            </w:r>
            <w:r>
              <w:t>and Related Technologies</w:t>
            </w:r>
          </w:p>
        </w:tc>
        <w:tc>
          <w:tcPr>
            <w:tcW w:w="929" w:type="dxa"/>
            <w:noWrap/>
          </w:tcPr>
          <w:p w14:paraId="49C8B08D"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189</w:t>
            </w:r>
          </w:p>
          <w:p w14:paraId="3329F33B"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(1.1%)</w:t>
            </w:r>
          </w:p>
        </w:tc>
        <w:tc>
          <w:tcPr>
            <w:tcW w:w="929" w:type="dxa"/>
            <w:noWrap/>
          </w:tcPr>
          <w:p w14:paraId="6B64E863"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324</w:t>
            </w:r>
          </w:p>
          <w:p w14:paraId="19340285"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(2.0%)</w:t>
            </w:r>
          </w:p>
        </w:tc>
        <w:tc>
          <w:tcPr>
            <w:tcW w:w="929" w:type="dxa"/>
            <w:noWrap/>
          </w:tcPr>
          <w:p w14:paraId="7B517903"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822</w:t>
            </w:r>
          </w:p>
          <w:p w14:paraId="7F9C59FA"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(5.0%)</w:t>
            </w:r>
          </w:p>
        </w:tc>
        <w:tc>
          <w:tcPr>
            <w:tcW w:w="929" w:type="dxa"/>
            <w:noWrap/>
          </w:tcPr>
          <w:p w14:paraId="2C34CF9F"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1,453</w:t>
            </w:r>
          </w:p>
          <w:p w14:paraId="010DCDB9"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(8.8%)</w:t>
            </w:r>
          </w:p>
        </w:tc>
        <w:tc>
          <w:tcPr>
            <w:tcW w:w="929" w:type="dxa"/>
            <w:noWrap/>
          </w:tcPr>
          <w:p w14:paraId="0999E636"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2,907</w:t>
            </w:r>
          </w:p>
          <w:p w14:paraId="70215B57"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(17.5%)</w:t>
            </w:r>
          </w:p>
        </w:tc>
        <w:tc>
          <w:tcPr>
            <w:tcW w:w="929" w:type="dxa"/>
            <w:noWrap/>
          </w:tcPr>
          <w:p w14:paraId="4ABA0703"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3,979</w:t>
            </w:r>
          </w:p>
          <w:p w14:paraId="5DABDD9F"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(24.0%)</w:t>
            </w:r>
          </w:p>
        </w:tc>
        <w:tc>
          <w:tcPr>
            <w:tcW w:w="929" w:type="dxa"/>
          </w:tcPr>
          <w:p w14:paraId="25620D4E"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6,891</w:t>
            </w:r>
          </w:p>
          <w:p w14:paraId="3DA53C6F"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(41.6%)</w:t>
            </w:r>
          </w:p>
        </w:tc>
        <w:tc>
          <w:tcPr>
            <w:tcW w:w="930" w:type="dxa"/>
            <w:noWrap/>
            <w:tcMar>
              <w:left w:w="57" w:type="dxa"/>
              <w:right w:w="57" w:type="dxa"/>
            </w:tcMar>
          </w:tcPr>
          <w:p w14:paraId="070C32AA"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16,565</w:t>
            </w:r>
          </w:p>
          <w:p w14:paraId="7825813A" w14:textId="2F45DCE5" w:rsidR="00341597" w:rsidRPr="009D3CE4" w:rsidRDefault="00341597" w:rsidP="007F72E7">
            <w:pPr>
              <w:jc w:val="right"/>
              <w:cnfStyle w:val="000000100000" w:firstRow="0" w:lastRow="0" w:firstColumn="0" w:lastColumn="0" w:oddVBand="0" w:evenVBand="0" w:oddHBand="1" w:evenHBand="0" w:firstRowFirstColumn="0" w:firstRowLastColumn="0" w:lastRowFirstColumn="0" w:lastRowLastColumn="0"/>
              <w:rPr>
                <w:sz w:val="18"/>
                <w:szCs w:val="18"/>
              </w:rPr>
            </w:pPr>
            <w:r w:rsidRPr="009D3CE4">
              <w:t>(100.0%)</w:t>
            </w:r>
          </w:p>
        </w:tc>
      </w:tr>
      <w:tr w:rsidR="00CA743F" w:rsidRPr="00F54B70" w14:paraId="5ACC442B" w14:textId="77777777" w:rsidTr="00D21F72">
        <w:tc>
          <w:tcPr>
            <w:cnfStyle w:val="001000000000" w:firstRow="0" w:lastRow="0" w:firstColumn="1" w:lastColumn="0" w:oddVBand="0" w:evenVBand="0" w:oddHBand="0" w:evenHBand="0" w:firstRowFirstColumn="0" w:firstRowLastColumn="0" w:lastRowFirstColumn="0" w:lastRowLastColumn="0"/>
            <w:tcW w:w="1809" w:type="dxa"/>
            <w:noWrap/>
            <w:hideMark/>
          </w:tcPr>
          <w:p w14:paraId="6E52AC28" w14:textId="77777777" w:rsidR="00341597" w:rsidRPr="00A57441" w:rsidRDefault="00341597" w:rsidP="00B67C70">
            <w:r w:rsidRPr="00A57441">
              <w:t>Architecture and Building</w:t>
            </w:r>
          </w:p>
        </w:tc>
        <w:tc>
          <w:tcPr>
            <w:tcW w:w="929" w:type="dxa"/>
            <w:noWrap/>
          </w:tcPr>
          <w:p w14:paraId="74A3799B"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334</w:t>
            </w:r>
          </w:p>
          <w:p w14:paraId="3E7D31E9"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(4.6%)</w:t>
            </w:r>
          </w:p>
        </w:tc>
        <w:tc>
          <w:tcPr>
            <w:tcW w:w="929" w:type="dxa"/>
            <w:noWrap/>
          </w:tcPr>
          <w:p w14:paraId="63F08232"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261</w:t>
            </w:r>
          </w:p>
          <w:p w14:paraId="1CBFAE1B"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(3.6%)</w:t>
            </w:r>
          </w:p>
        </w:tc>
        <w:tc>
          <w:tcPr>
            <w:tcW w:w="929" w:type="dxa"/>
            <w:noWrap/>
          </w:tcPr>
          <w:p w14:paraId="0086F18B"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491</w:t>
            </w:r>
          </w:p>
          <w:p w14:paraId="53ED09A8"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(6.8%)</w:t>
            </w:r>
          </w:p>
        </w:tc>
        <w:tc>
          <w:tcPr>
            <w:tcW w:w="929" w:type="dxa"/>
            <w:noWrap/>
          </w:tcPr>
          <w:p w14:paraId="479859A8"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758</w:t>
            </w:r>
          </w:p>
          <w:p w14:paraId="3AB46F5A"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(10.4%)</w:t>
            </w:r>
          </w:p>
        </w:tc>
        <w:tc>
          <w:tcPr>
            <w:tcW w:w="929" w:type="dxa"/>
            <w:noWrap/>
          </w:tcPr>
          <w:p w14:paraId="3720AA0F"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945</w:t>
            </w:r>
          </w:p>
          <w:p w14:paraId="7B28DD88"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(13.0%)</w:t>
            </w:r>
          </w:p>
        </w:tc>
        <w:tc>
          <w:tcPr>
            <w:tcW w:w="929" w:type="dxa"/>
            <w:noWrap/>
          </w:tcPr>
          <w:p w14:paraId="69C7B3AC"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595</w:t>
            </w:r>
          </w:p>
          <w:p w14:paraId="2D44C4B2"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(8.2%)</w:t>
            </w:r>
          </w:p>
        </w:tc>
        <w:tc>
          <w:tcPr>
            <w:tcW w:w="929" w:type="dxa"/>
          </w:tcPr>
          <w:p w14:paraId="423ABA21"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3,880</w:t>
            </w:r>
          </w:p>
          <w:p w14:paraId="6203592E"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(53.4%)</w:t>
            </w:r>
          </w:p>
        </w:tc>
        <w:tc>
          <w:tcPr>
            <w:tcW w:w="930" w:type="dxa"/>
            <w:noWrap/>
            <w:tcMar>
              <w:left w:w="57" w:type="dxa"/>
              <w:right w:w="57" w:type="dxa"/>
            </w:tcMar>
          </w:tcPr>
          <w:p w14:paraId="358127B5"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7,264</w:t>
            </w:r>
          </w:p>
          <w:p w14:paraId="36DD171B"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(100.0%)</w:t>
            </w:r>
          </w:p>
        </w:tc>
      </w:tr>
      <w:tr w:rsidR="00F44C09" w:rsidRPr="00F54B70" w14:paraId="4B7F4B79" w14:textId="77777777" w:rsidTr="00D21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noWrap/>
            <w:hideMark/>
          </w:tcPr>
          <w:p w14:paraId="69600BE5" w14:textId="77777777" w:rsidR="00341597" w:rsidRPr="00A57441" w:rsidRDefault="00341597" w:rsidP="00B67C70">
            <w:r w:rsidRPr="00A57441">
              <w:t>Agriculture, Environmental and Related Studies</w:t>
            </w:r>
          </w:p>
        </w:tc>
        <w:tc>
          <w:tcPr>
            <w:tcW w:w="929" w:type="dxa"/>
            <w:noWrap/>
          </w:tcPr>
          <w:p w14:paraId="24B54E13"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76</w:t>
            </w:r>
          </w:p>
          <w:p w14:paraId="5A80E85F"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(1.9%)</w:t>
            </w:r>
          </w:p>
        </w:tc>
        <w:tc>
          <w:tcPr>
            <w:tcW w:w="929" w:type="dxa"/>
            <w:noWrap/>
          </w:tcPr>
          <w:p w14:paraId="1E5F6A91"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141</w:t>
            </w:r>
          </w:p>
          <w:p w14:paraId="4D87FF49"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(3.5%)</w:t>
            </w:r>
          </w:p>
        </w:tc>
        <w:tc>
          <w:tcPr>
            <w:tcW w:w="929" w:type="dxa"/>
            <w:noWrap/>
          </w:tcPr>
          <w:p w14:paraId="75597FB7"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263</w:t>
            </w:r>
          </w:p>
          <w:p w14:paraId="0585746A"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(6.5%)</w:t>
            </w:r>
          </w:p>
        </w:tc>
        <w:tc>
          <w:tcPr>
            <w:tcW w:w="929" w:type="dxa"/>
            <w:noWrap/>
          </w:tcPr>
          <w:p w14:paraId="6BCFAD65"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432</w:t>
            </w:r>
          </w:p>
          <w:p w14:paraId="193BDFF3"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(10.8%)</w:t>
            </w:r>
          </w:p>
        </w:tc>
        <w:tc>
          <w:tcPr>
            <w:tcW w:w="929" w:type="dxa"/>
            <w:noWrap/>
          </w:tcPr>
          <w:p w14:paraId="290B221B"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409</w:t>
            </w:r>
          </w:p>
          <w:p w14:paraId="2B281B75"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(10.2%)</w:t>
            </w:r>
          </w:p>
        </w:tc>
        <w:tc>
          <w:tcPr>
            <w:tcW w:w="929" w:type="dxa"/>
            <w:noWrap/>
          </w:tcPr>
          <w:p w14:paraId="3CB23371"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213</w:t>
            </w:r>
          </w:p>
          <w:p w14:paraId="1B6C4B06"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(5.3%)</w:t>
            </w:r>
          </w:p>
        </w:tc>
        <w:tc>
          <w:tcPr>
            <w:tcW w:w="929" w:type="dxa"/>
          </w:tcPr>
          <w:p w14:paraId="2486D7E8"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2,484</w:t>
            </w:r>
          </w:p>
          <w:p w14:paraId="6415B7FF"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(61.8%)</w:t>
            </w:r>
          </w:p>
        </w:tc>
        <w:tc>
          <w:tcPr>
            <w:tcW w:w="930" w:type="dxa"/>
            <w:noWrap/>
            <w:tcMar>
              <w:left w:w="57" w:type="dxa"/>
              <w:right w:w="57" w:type="dxa"/>
            </w:tcMar>
          </w:tcPr>
          <w:p w14:paraId="30408DE0"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4,018</w:t>
            </w:r>
          </w:p>
          <w:p w14:paraId="1A4E5E2B" w14:textId="05447B96" w:rsidR="00341597" w:rsidRPr="009D3CE4" w:rsidRDefault="00341597" w:rsidP="007F72E7">
            <w:pPr>
              <w:jc w:val="right"/>
              <w:cnfStyle w:val="000000100000" w:firstRow="0" w:lastRow="0" w:firstColumn="0" w:lastColumn="0" w:oddVBand="0" w:evenVBand="0" w:oddHBand="1" w:evenHBand="0" w:firstRowFirstColumn="0" w:firstRowLastColumn="0" w:lastRowFirstColumn="0" w:lastRowLastColumn="0"/>
              <w:rPr>
                <w:sz w:val="18"/>
                <w:szCs w:val="18"/>
              </w:rPr>
            </w:pPr>
            <w:r w:rsidRPr="009D3CE4">
              <w:t>(100.0%)</w:t>
            </w:r>
          </w:p>
        </w:tc>
      </w:tr>
      <w:tr w:rsidR="00CA743F" w:rsidRPr="00F54B70" w14:paraId="5BBE3AB0" w14:textId="77777777" w:rsidTr="00D21F72">
        <w:tc>
          <w:tcPr>
            <w:cnfStyle w:val="001000000000" w:firstRow="0" w:lastRow="0" w:firstColumn="1" w:lastColumn="0" w:oddVBand="0" w:evenVBand="0" w:oddHBand="0" w:evenHBand="0" w:firstRowFirstColumn="0" w:firstRowLastColumn="0" w:lastRowFirstColumn="0" w:lastRowLastColumn="0"/>
            <w:tcW w:w="1809" w:type="dxa"/>
            <w:noWrap/>
            <w:hideMark/>
          </w:tcPr>
          <w:p w14:paraId="6D7F2F1B" w14:textId="77777777" w:rsidR="00341597" w:rsidRPr="002B6D18" w:rsidRDefault="00341597" w:rsidP="00B67C70">
            <w:r w:rsidRPr="002B6D18">
              <w:t>Health</w:t>
            </w:r>
          </w:p>
        </w:tc>
        <w:tc>
          <w:tcPr>
            <w:tcW w:w="929" w:type="dxa"/>
            <w:noWrap/>
          </w:tcPr>
          <w:p w14:paraId="433F09F5"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1,165</w:t>
            </w:r>
          </w:p>
          <w:p w14:paraId="646DCC1A"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(1.8%)</w:t>
            </w:r>
          </w:p>
        </w:tc>
        <w:tc>
          <w:tcPr>
            <w:tcW w:w="929" w:type="dxa"/>
            <w:noWrap/>
          </w:tcPr>
          <w:p w14:paraId="633BE1F3"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1,887</w:t>
            </w:r>
          </w:p>
          <w:p w14:paraId="0B5825AF"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(3.0%)</w:t>
            </w:r>
          </w:p>
        </w:tc>
        <w:tc>
          <w:tcPr>
            <w:tcW w:w="929" w:type="dxa"/>
            <w:noWrap/>
          </w:tcPr>
          <w:p w14:paraId="4FAA6E75"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3,507</w:t>
            </w:r>
          </w:p>
          <w:p w14:paraId="585C6E12"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(5.5%)</w:t>
            </w:r>
          </w:p>
        </w:tc>
        <w:tc>
          <w:tcPr>
            <w:tcW w:w="929" w:type="dxa"/>
            <w:noWrap/>
          </w:tcPr>
          <w:p w14:paraId="6CF79422"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4,299</w:t>
            </w:r>
          </w:p>
          <w:p w14:paraId="70FAD642"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(6.7%)</w:t>
            </w:r>
          </w:p>
        </w:tc>
        <w:tc>
          <w:tcPr>
            <w:tcW w:w="929" w:type="dxa"/>
            <w:noWrap/>
          </w:tcPr>
          <w:p w14:paraId="61FA9032"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4,473</w:t>
            </w:r>
          </w:p>
          <w:p w14:paraId="647AAF7E"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(7.0%)</w:t>
            </w:r>
          </w:p>
        </w:tc>
        <w:tc>
          <w:tcPr>
            <w:tcW w:w="929" w:type="dxa"/>
            <w:noWrap/>
          </w:tcPr>
          <w:p w14:paraId="51AB731A"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4,775</w:t>
            </w:r>
          </w:p>
          <w:p w14:paraId="396B8FBA"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(7.5%)</w:t>
            </w:r>
          </w:p>
        </w:tc>
        <w:tc>
          <w:tcPr>
            <w:tcW w:w="929" w:type="dxa"/>
          </w:tcPr>
          <w:p w14:paraId="6E759FE5"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43,686</w:t>
            </w:r>
          </w:p>
          <w:p w14:paraId="3183FF6A"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(68.5%)</w:t>
            </w:r>
          </w:p>
        </w:tc>
        <w:tc>
          <w:tcPr>
            <w:tcW w:w="930" w:type="dxa"/>
            <w:noWrap/>
            <w:tcMar>
              <w:left w:w="57" w:type="dxa"/>
              <w:right w:w="57" w:type="dxa"/>
            </w:tcMar>
          </w:tcPr>
          <w:p w14:paraId="2FEA5CA7"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63,792</w:t>
            </w:r>
          </w:p>
          <w:p w14:paraId="4CF12FA9"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(100.0%)</w:t>
            </w:r>
          </w:p>
        </w:tc>
      </w:tr>
      <w:tr w:rsidR="00F44C09" w:rsidRPr="002549F6" w14:paraId="7FA108DD" w14:textId="77777777" w:rsidTr="00D21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noWrap/>
            <w:hideMark/>
          </w:tcPr>
          <w:p w14:paraId="2BDE590A" w14:textId="77777777" w:rsidR="00341597" w:rsidRPr="002B6D18" w:rsidRDefault="00341597" w:rsidP="00B67C70">
            <w:r w:rsidRPr="002B6D18">
              <w:t>Education</w:t>
            </w:r>
          </w:p>
        </w:tc>
        <w:tc>
          <w:tcPr>
            <w:tcW w:w="929" w:type="dxa"/>
            <w:noWrap/>
          </w:tcPr>
          <w:p w14:paraId="0C0AAC14"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861</w:t>
            </w:r>
          </w:p>
          <w:p w14:paraId="10782DC5"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(3.6%)</w:t>
            </w:r>
          </w:p>
        </w:tc>
        <w:tc>
          <w:tcPr>
            <w:tcW w:w="929" w:type="dxa"/>
            <w:noWrap/>
          </w:tcPr>
          <w:p w14:paraId="6D80A260"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1,192</w:t>
            </w:r>
          </w:p>
          <w:p w14:paraId="7AE22579"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(5.0%)</w:t>
            </w:r>
          </w:p>
        </w:tc>
        <w:tc>
          <w:tcPr>
            <w:tcW w:w="929" w:type="dxa"/>
            <w:noWrap/>
          </w:tcPr>
          <w:p w14:paraId="50C482AD"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1,947</w:t>
            </w:r>
          </w:p>
          <w:p w14:paraId="1DD5FA18"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(8.2%)</w:t>
            </w:r>
          </w:p>
        </w:tc>
        <w:tc>
          <w:tcPr>
            <w:tcW w:w="929" w:type="dxa"/>
            <w:noWrap/>
          </w:tcPr>
          <w:p w14:paraId="34E83CFE"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1,731</w:t>
            </w:r>
          </w:p>
          <w:p w14:paraId="4C78A0AF"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(7.3%)</w:t>
            </w:r>
          </w:p>
        </w:tc>
        <w:tc>
          <w:tcPr>
            <w:tcW w:w="929" w:type="dxa"/>
            <w:noWrap/>
          </w:tcPr>
          <w:p w14:paraId="4AB92D32"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1,206</w:t>
            </w:r>
          </w:p>
          <w:p w14:paraId="3D07A5EA"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(5.1%)</w:t>
            </w:r>
          </w:p>
        </w:tc>
        <w:tc>
          <w:tcPr>
            <w:tcW w:w="929" w:type="dxa"/>
            <w:noWrap/>
          </w:tcPr>
          <w:p w14:paraId="6974D82C"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454</w:t>
            </w:r>
          </w:p>
          <w:p w14:paraId="42960BD7"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(1.9%)</w:t>
            </w:r>
          </w:p>
        </w:tc>
        <w:tc>
          <w:tcPr>
            <w:tcW w:w="929" w:type="dxa"/>
          </w:tcPr>
          <w:p w14:paraId="11511A9D"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16,334</w:t>
            </w:r>
          </w:p>
          <w:p w14:paraId="6F76B4E6"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(68.8%)</w:t>
            </w:r>
          </w:p>
        </w:tc>
        <w:tc>
          <w:tcPr>
            <w:tcW w:w="930" w:type="dxa"/>
            <w:noWrap/>
            <w:tcMar>
              <w:left w:w="57" w:type="dxa"/>
              <w:right w:w="57" w:type="dxa"/>
            </w:tcMar>
          </w:tcPr>
          <w:p w14:paraId="3806E0C7"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23,725</w:t>
            </w:r>
          </w:p>
          <w:p w14:paraId="7AEA0A7B"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(100.0%)</w:t>
            </w:r>
          </w:p>
        </w:tc>
      </w:tr>
      <w:tr w:rsidR="00CA743F" w:rsidRPr="00F26032" w14:paraId="3EFA7DDE" w14:textId="77777777" w:rsidTr="00D21F72">
        <w:tc>
          <w:tcPr>
            <w:cnfStyle w:val="001000000000" w:firstRow="0" w:lastRow="0" w:firstColumn="1" w:lastColumn="0" w:oddVBand="0" w:evenVBand="0" w:oddHBand="0" w:evenHBand="0" w:firstRowFirstColumn="0" w:firstRowLastColumn="0" w:lastRowFirstColumn="0" w:lastRowLastColumn="0"/>
            <w:tcW w:w="1809" w:type="dxa"/>
            <w:noWrap/>
            <w:hideMark/>
          </w:tcPr>
          <w:p w14:paraId="5FDE13F9" w14:textId="77777777" w:rsidR="00341597" w:rsidRPr="002B6D18" w:rsidRDefault="00341597" w:rsidP="00B67C70">
            <w:r w:rsidRPr="002B6D18">
              <w:t>Management and Commerce</w:t>
            </w:r>
          </w:p>
        </w:tc>
        <w:tc>
          <w:tcPr>
            <w:tcW w:w="929" w:type="dxa"/>
            <w:noWrap/>
          </w:tcPr>
          <w:p w14:paraId="65B123E0"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1,193</w:t>
            </w:r>
          </w:p>
          <w:p w14:paraId="57BA4235"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(3.1%)</w:t>
            </w:r>
          </w:p>
        </w:tc>
        <w:tc>
          <w:tcPr>
            <w:tcW w:w="929" w:type="dxa"/>
            <w:noWrap/>
          </w:tcPr>
          <w:p w14:paraId="1F8AD26F"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1,873</w:t>
            </w:r>
          </w:p>
          <w:p w14:paraId="2BB7A45F"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(4.9%)</w:t>
            </w:r>
          </w:p>
        </w:tc>
        <w:tc>
          <w:tcPr>
            <w:tcW w:w="929" w:type="dxa"/>
            <w:noWrap/>
          </w:tcPr>
          <w:p w14:paraId="3F29A542"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3,048</w:t>
            </w:r>
          </w:p>
          <w:p w14:paraId="3BB59929"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(7.9%)</w:t>
            </w:r>
          </w:p>
        </w:tc>
        <w:tc>
          <w:tcPr>
            <w:tcW w:w="929" w:type="dxa"/>
            <w:noWrap/>
          </w:tcPr>
          <w:p w14:paraId="40C19EF9"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3,218</w:t>
            </w:r>
          </w:p>
          <w:p w14:paraId="5EFC9191"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(8.4%)</w:t>
            </w:r>
          </w:p>
        </w:tc>
        <w:tc>
          <w:tcPr>
            <w:tcW w:w="929" w:type="dxa"/>
            <w:noWrap/>
          </w:tcPr>
          <w:p w14:paraId="1A696316"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4,137</w:t>
            </w:r>
          </w:p>
          <w:p w14:paraId="580AFCB0"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(10.8%)</w:t>
            </w:r>
          </w:p>
        </w:tc>
        <w:tc>
          <w:tcPr>
            <w:tcW w:w="929" w:type="dxa"/>
            <w:noWrap/>
          </w:tcPr>
          <w:p w14:paraId="388CC088"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4,603</w:t>
            </w:r>
          </w:p>
          <w:p w14:paraId="0AC2FE05"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(12.0%)</w:t>
            </w:r>
          </w:p>
        </w:tc>
        <w:tc>
          <w:tcPr>
            <w:tcW w:w="929" w:type="dxa"/>
          </w:tcPr>
          <w:p w14:paraId="7597CCC5"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20,398</w:t>
            </w:r>
          </w:p>
          <w:p w14:paraId="5B97A24B"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(53.0%)</w:t>
            </w:r>
          </w:p>
        </w:tc>
        <w:tc>
          <w:tcPr>
            <w:tcW w:w="930" w:type="dxa"/>
            <w:noWrap/>
            <w:tcMar>
              <w:left w:w="57" w:type="dxa"/>
              <w:right w:w="57" w:type="dxa"/>
            </w:tcMar>
          </w:tcPr>
          <w:p w14:paraId="6339F355"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38,470</w:t>
            </w:r>
          </w:p>
          <w:p w14:paraId="4138E6C9"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(100.0%)</w:t>
            </w:r>
          </w:p>
        </w:tc>
      </w:tr>
      <w:tr w:rsidR="00F44C09" w:rsidRPr="00F54B70" w14:paraId="594F38A3" w14:textId="77777777" w:rsidTr="00D21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noWrap/>
            <w:hideMark/>
          </w:tcPr>
          <w:p w14:paraId="2ABB871D" w14:textId="77777777" w:rsidR="00341597" w:rsidRPr="002B6D18" w:rsidRDefault="00341597" w:rsidP="00B67C70">
            <w:r w:rsidRPr="002B6D18">
              <w:t>Society and Culture</w:t>
            </w:r>
          </w:p>
        </w:tc>
        <w:tc>
          <w:tcPr>
            <w:tcW w:w="929" w:type="dxa"/>
            <w:noWrap/>
          </w:tcPr>
          <w:p w14:paraId="773B38BA"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2,222</w:t>
            </w:r>
          </w:p>
          <w:p w14:paraId="35FC2591"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(3.5%)</w:t>
            </w:r>
          </w:p>
        </w:tc>
        <w:tc>
          <w:tcPr>
            <w:tcW w:w="929" w:type="dxa"/>
            <w:noWrap/>
          </w:tcPr>
          <w:p w14:paraId="2539F808"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2,355</w:t>
            </w:r>
          </w:p>
          <w:p w14:paraId="3BED01E7"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(3.7%)</w:t>
            </w:r>
          </w:p>
        </w:tc>
        <w:tc>
          <w:tcPr>
            <w:tcW w:w="929" w:type="dxa"/>
            <w:noWrap/>
          </w:tcPr>
          <w:p w14:paraId="0E6EE133"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3,867</w:t>
            </w:r>
          </w:p>
          <w:p w14:paraId="4EC212AE"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(6.0%)</w:t>
            </w:r>
          </w:p>
        </w:tc>
        <w:tc>
          <w:tcPr>
            <w:tcW w:w="929" w:type="dxa"/>
            <w:noWrap/>
          </w:tcPr>
          <w:p w14:paraId="06537D0C"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4,398</w:t>
            </w:r>
          </w:p>
          <w:p w14:paraId="4BF0F50C"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(6.8%)</w:t>
            </w:r>
          </w:p>
        </w:tc>
        <w:tc>
          <w:tcPr>
            <w:tcW w:w="929" w:type="dxa"/>
            <w:noWrap/>
          </w:tcPr>
          <w:p w14:paraId="75F5B655"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5,324</w:t>
            </w:r>
          </w:p>
          <w:p w14:paraId="6E60C713"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(8.3%)</w:t>
            </w:r>
          </w:p>
        </w:tc>
        <w:tc>
          <w:tcPr>
            <w:tcW w:w="929" w:type="dxa"/>
            <w:noWrap/>
          </w:tcPr>
          <w:p w14:paraId="11C208D5"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6,387</w:t>
            </w:r>
          </w:p>
          <w:p w14:paraId="5BD9A0A1"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(9.9%)</w:t>
            </w:r>
          </w:p>
        </w:tc>
        <w:tc>
          <w:tcPr>
            <w:tcW w:w="929" w:type="dxa"/>
          </w:tcPr>
          <w:p w14:paraId="46F424BE"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39,784</w:t>
            </w:r>
          </w:p>
          <w:p w14:paraId="1F326837"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(61.8%)</w:t>
            </w:r>
          </w:p>
        </w:tc>
        <w:tc>
          <w:tcPr>
            <w:tcW w:w="930" w:type="dxa"/>
            <w:noWrap/>
            <w:tcMar>
              <w:left w:w="57" w:type="dxa"/>
              <w:right w:w="57" w:type="dxa"/>
            </w:tcMar>
          </w:tcPr>
          <w:p w14:paraId="6BD4BBA0"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64,337</w:t>
            </w:r>
          </w:p>
          <w:p w14:paraId="320A89A4" w14:textId="458E75A8" w:rsidR="00341597" w:rsidRPr="009D3CE4" w:rsidRDefault="00341597" w:rsidP="007F72E7">
            <w:pPr>
              <w:jc w:val="right"/>
              <w:cnfStyle w:val="000000100000" w:firstRow="0" w:lastRow="0" w:firstColumn="0" w:lastColumn="0" w:oddVBand="0" w:evenVBand="0" w:oddHBand="1" w:evenHBand="0" w:firstRowFirstColumn="0" w:firstRowLastColumn="0" w:lastRowFirstColumn="0" w:lastRowLastColumn="0"/>
              <w:rPr>
                <w:sz w:val="18"/>
                <w:szCs w:val="18"/>
              </w:rPr>
            </w:pPr>
            <w:r w:rsidRPr="009D3CE4">
              <w:t>(100.0%)</w:t>
            </w:r>
          </w:p>
        </w:tc>
      </w:tr>
      <w:tr w:rsidR="00CA743F" w:rsidRPr="00F54B70" w14:paraId="3500F0FD" w14:textId="77777777" w:rsidTr="00D21F72">
        <w:tc>
          <w:tcPr>
            <w:cnfStyle w:val="001000000000" w:firstRow="0" w:lastRow="0" w:firstColumn="1" w:lastColumn="0" w:oddVBand="0" w:evenVBand="0" w:oddHBand="0" w:evenHBand="0" w:firstRowFirstColumn="0" w:firstRowLastColumn="0" w:lastRowFirstColumn="0" w:lastRowLastColumn="0"/>
            <w:tcW w:w="1809" w:type="dxa"/>
            <w:noWrap/>
            <w:hideMark/>
          </w:tcPr>
          <w:p w14:paraId="4F3C99CF" w14:textId="77777777" w:rsidR="00341597" w:rsidRPr="002B6D18" w:rsidRDefault="00341597" w:rsidP="00B67C70">
            <w:r w:rsidRPr="002B6D18">
              <w:t>Creative Arts</w:t>
            </w:r>
          </w:p>
        </w:tc>
        <w:tc>
          <w:tcPr>
            <w:tcW w:w="929" w:type="dxa"/>
            <w:noWrap/>
          </w:tcPr>
          <w:p w14:paraId="62E576CF"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632</w:t>
            </w:r>
          </w:p>
          <w:p w14:paraId="180BD086"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(2.9%)</w:t>
            </w:r>
          </w:p>
        </w:tc>
        <w:tc>
          <w:tcPr>
            <w:tcW w:w="929" w:type="dxa"/>
            <w:noWrap/>
          </w:tcPr>
          <w:p w14:paraId="184B58AF"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1,026</w:t>
            </w:r>
          </w:p>
          <w:p w14:paraId="1D95E74D"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(4.7%)</w:t>
            </w:r>
          </w:p>
        </w:tc>
        <w:tc>
          <w:tcPr>
            <w:tcW w:w="929" w:type="dxa"/>
            <w:noWrap/>
          </w:tcPr>
          <w:p w14:paraId="1AD73184"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2,028</w:t>
            </w:r>
          </w:p>
          <w:p w14:paraId="4C9365CD"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(9.2%)</w:t>
            </w:r>
          </w:p>
        </w:tc>
        <w:tc>
          <w:tcPr>
            <w:tcW w:w="929" w:type="dxa"/>
            <w:noWrap/>
          </w:tcPr>
          <w:p w14:paraId="4DB542F0"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2,309</w:t>
            </w:r>
          </w:p>
          <w:p w14:paraId="3DD5C662"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(10.5%)</w:t>
            </w:r>
          </w:p>
        </w:tc>
        <w:tc>
          <w:tcPr>
            <w:tcW w:w="929" w:type="dxa"/>
            <w:noWrap/>
          </w:tcPr>
          <w:p w14:paraId="4D28653C"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2,212</w:t>
            </w:r>
          </w:p>
          <w:p w14:paraId="21C07B27"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(10.1%)</w:t>
            </w:r>
          </w:p>
        </w:tc>
        <w:tc>
          <w:tcPr>
            <w:tcW w:w="929" w:type="dxa"/>
            <w:noWrap/>
          </w:tcPr>
          <w:p w14:paraId="70413E2A"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1,457</w:t>
            </w:r>
          </w:p>
          <w:p w14:paraId="11FAB78A"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(6.6%)</w:t>
            </w:r>
          </w:p>
        </w:tc>
        <w:tc>
          <w:tcPr>
            <w:tcW w:w="929" w:type="dxa"/>
          </w:tcPr>
          <w:p w14:paraId="5A5FDA5C"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12,302</w:t>
            </w:r>
          </w:p>
          <w:p w14:paraId="2A48E23A"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(56.0%)</w:t>
            </w:r>
          </w:p>
        </w:tc>
        <w:tc>
          <w:tcPr>
            <w:tcW w:w="930" w:type="dxa"/>
            <w:noWrap/>
            <w:tcMar>
              <w:left w:w="57" w:type="dxa"/>
              <w:right w:w="57" w:type="dxa"/>
            </w:tcMar>
          </w:tcPr>
          <w:p w14:paraId="491B86A3"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21,966</w:t>
            </w:r>
          </w:p>
          <w:p w14:paraId="40090490" w14:textId="77777777" w:rsidR="00341597" w:rsidRPr="009D3CE4"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D3CE4">
              <w:t>(100.0%)</w:t>
            </w:r>
          </w:p>
        </w:tc>
      </w:tr>
      <w:tr w:rsidR="00F44C09" w:rsidRPr="00F54B70" w14:paraId="27C9FE19" w14:textId="77777777" w:rsidTr="00D21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hideMark/>
          </w:tcPr>
          <w:p w14:paraId="0029EA3D" w14:textId="77777777" w:rsidR="00341597" w:rsidRPr="00D374A4" w:rsidRDefault="00341597" w:rsidP="00B67C70">
            <w:r w:rsidRPr="008510F5">
              <w:t>Total</w:t>
            </w:r>
          </w:p>
        </w:tc>
        <w:tc>
          <w:tcPr>
            <w:tcW w:w="929" w:type="dxa"/>
            <w:noWrap/>
          </w:tcPr>
          <w:p w14:paraId="630BCED8"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7,657</w:t>
            </w:r>
          </w:p>
          <w:p w14:paraId="570B2683"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(2.7%)</w:t>
            </w:r>
          </w:p>
        </w:tc>
        <w:tc>
          <w:tcPr>
            <w:tcW w:w="929" w:type="dxa"/>
            <w:noWrap/>
          </w:tcPr>
          <w:p w14:paraId="61D142FC"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10,490</w:t>
            </w:r>
          </w:p>
          <w:p w14:paraId="34039DC1"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(3.7%)</w:t>
            </w:r>
          </w:p>
        </w:tc>
        <w:tc>
          <w:tcPr>
            <w:tcW w:w="929" w:type="dxa"/>
            <w:noWrap/>
          </w:tcPr>
          <w:p w14:paraId="09C7D7A6"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18,896</w:t>
            </w:r>
          </w:p>
          <w:p w14:paraId="52A8A94F"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(6.7%)</w:t>
            </w:r>
          </w:p>
        </w:tc>
        <w:tc>
          <w:tcPr>
            <w:tcW w:w="929" w:type="dxa"/>
            <w:noWrap/>
          </w:tcPr>
          <w:p w14:paraId="2B7429C5"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22,934</w:t>
            </w:r>
          </w:p>
          <w:p w14:paraId="22733DE4"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(8.2%)</w:t>
            </w:r>
          </w:p>
        </w:tc>
        <w:tc>
          <w:tcPr>
            <w:tcW w:w="929" w:type="dxa"/>
            <w:noWrap/>
          </w:tcPr>
          <w:p w14:paraId="3A1A06B5"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27,014</w:t>
            </w:r>
          </w:p>
          <w:p w14:paraId="13800E0C"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(9.6%)</w:t>
            </w:r>
          </w:p>
        </w:tc>
        <w:tc>
          <w:tcPr>
            <w:tcW w:w="929" w:type="dxa"/>
            <w:noWrap/>
          </w:tcPr>
          <w:p w14:paraId="32A78FFE"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28,284</w:t>
            </w:r>
          </w:p>
          <w:p w14:paraId="614BCE80"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(10.1%)</w:t>
            </w:r>
          </w:p>
        </w:tc>
        <w:tc>
          <w:tcPr>
            <w:tcW w:w="929" w:type="dxa"/>
          </w:tcPr>
          <w:p w14:paraId="343DEC6D"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165,838</w:t>
            </w:r>
          </w:p>
          <w:p w14:paraId="46A3E8F7"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(59.0%)</w:t>
            </w:r>
          </w:p>
        </w:tc>
        <w:tc>
          <w:tcPr>
            <w:tcW w:w="930" w:type="dxa"/>
            <w:noWrap/>
            <w:tcMar>
              <w:left w:w="57" w:type="dxa"/>
              <w:right w:w="57" w:type="dxa"/>
            </w:tcMar>
          </w:tcPr>
          <w:p w14:paraId="192D1DA1"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281,113</w:t>
            </w:r>
          </w:p>
          <w:p w14:paraId="72D6716B" w14:textId="77777777" w:rsidR="00341597" w:rsidRPr="009D3CE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CE4">
              <w:t>(100.0%)</w:t>
            </w:r>
          </w:p>
        </w:tc>
      </w:tr>
    </w:tbl>
    <w:p w14:paraId="0B25D209" w14:textId="77777777" w:rsidR="00341597" w:rsidRDefault="00341597" w:rsidP="00341597">
      <w:r w:rsidRPr="00EA7B02">
        <w:t>Note: Hospitality and Mixed Field Programs are not shown due to th</w:t>
      </w:r>
      <w:r>
        <w:t xml:space="preserve">e small number of </w:t>
      </w:r>
      <w:proofErr w:type="gramStart"/>
      <w:r>
        <w:t>offers,</w:t>
      </w:r>
      <w:proofErr w:type="gramEnd"/>
      <w:r>
        <w:t xml:space="preserve"> hence </w:t>
      </w:r>
      <w:r w:rsidRPr="00EA7B02">
        <w:t>the total number of offers does not equal the sum of offers by broad field of education in the above table.</w:t>
      </w:r>
      <w:r w:rsidRPr="00A02290">
        <w:t xml:space="preserve"> </w:t>
      </w:r>
    </w:p>
    <w:p w14:paraId="1B65F094" w14:textId="77777777" w:rsidR="00341597" w:rsidRPr="00B67C70" w:rsidRDefault="00341597" w:rsidP="00B67C70">
      <w:pPr>
        <w:pStyle w:val="Heading1"/>
      </w:pPr>
      <w:bookmarkStart w:id="77" w:name="_Toc416445756"/>
      <w:bookmarkStart w:id="78" w:name="_Toc447188867"/>
      <w:bookmarkStart w:id="79" w:name="_Toc480816336"/>
      <w:bookmarkStart w:id="80" w:name="_Toc492454265"/>
      <w:r w:rsidRPr="00B67C70">
        <w:lastRenderedPageBreak/>
        <w:t>Under-Represented Groups</w:t>
      </w:r>
      <w:bookmarkEnd w:id="77"/>
      <w:bookmarkEnd w:id="78"/>
      <w:bookmarkEnd w:id="79"/>
      <w:bookmarkEnd w:id="80"/>
    </w:p>
    <w:p w14:paraId="30CB2CE4" w14:textId="77777777" w:rsidR="00341597" w:rsidRPr="00CA743F" w:rsidRDefault="00341597" w:rsidP="00CA743F">
      <w:pPr>
        <w:pStyle w:val="Heading2"/>
      </w:pPr>
      <w:bookmarkStart w:id="81" w:name="_Toc416445757"/>
      <w:bookmarkStart w:id="82" w:name="_Toc492454266"/>
      <w:bookmarkStart w:id="83" w:name="_Toc269221710"/>
      <w:r w:rsidRPr="00CA743F">
        <w:t>Socioeconomic status</w:t>
      </w:r>
      <w:bookmarkEnd w:id="81"/>
      <w:bookmarkEnd w:id="82"/>
    </w:p>
    <w:p w14:paraId="7D85F978" w14:textId="77777777" w:rsidR="00341597" w:rsidRPr="00AC1937" w:rsidRDefault="00341597" w:rsidP="00B67C70">
      <w:pPr>
        <w:pStyle w:val="ListParagraph"/>
      </w:pPr>
      <w:r>
        <w:t xml:space="preserve">As of 27 </w:t>
      </w:r>
      <w:r w:rsidRPr="004D11AB">
        <w:t>February 201</w:t>
      </w:r>
      <w:r>
        <w:t>7</w:t>
      </w:r>
      <w:r w:rsidRPr="004D11AB">
        <w:t xml:space="preserve">, </w:t>
      </w:r>
      <w:r>
        <w:t>19.8</w:t>
      </w:r>
      <w:r w:rsidRPr="004D11AB">
        <w:t>% of total applications</w:t>
      </w:r>
      <w:r>
        <w:t xml:space="preserve"> </w:t>
      </w:r>
      <w:r w:rsidRPr="004D11AB">
        <w:t>were from applicants from a low socioeconomic status (SES) background,</w:t>
      </w:r>
      <w:r>
        <w:t xml:space="preserve"> compared with 50.2</w:t>
      </w:r>
      <w:r w:rsidRPr="004D11AB">
        <w:t>% for applicants from</w:t>
      </w:r>
      <w:r w:rsidRPr="005C2F13">
        <w:t xml:space="preserve"> </w:t>
      </w:r>
      <w:r>
        <w:t>a medium SES background</w:t>
      </w:r>
      <w:r w:rsidRPr="005C2F13">
        <w:t xml:space="preserve"> and </w:t>
      </w:r>
      <w:r>
        <w:t>28.1</w:t>
      </w:r>
      <w:r w:rsidRPr="005C2F13">
        <w:t xml:space="preserve">% </w:t>
      </w:r>
      <w:r>
        <w:t>for</w:t>
      </w:r>
      <w:r w:rsidRPr="005C2F13">
        <w:t xml:space="preserve"> applicants from </w:t>
      </w:r>
      <w:r>
        <w:t>a high SES background</w:t>
      </w:r>
      <w:r w:rsidRPr="005C2F13">
        <w:t xml:space="preserve"> (based on the postcode measure of SES</w:t>
      </w:r>
      <w:r>
        <w:rPr>
          <w:rStyle w:val="FootnoteReference"/>
        </w:rPr>
        <w:footnoteReference w:id="2"/>
      </w:r>
      <w:r>
        <w:t>).</w:t>
      </w:r>
    </w:p>
    <w:p w14:paraId="17C07E36" w14:textId="77777777" w:rsidR="00341597" w:rsidRPr="00AC1937" w:rsidRDefault="00341597" w:rsidP="00B67C70">
      <w:pPr>
        <w:pStyle w:val="ListParagraph"/>
      </w:pPr>
      <w:r w:rsidRPr="005C2F13">
        <w:t xml:space="preserve">To be represented in proportion to their share in the population, low and high SES applicants would each </w:t>
      </w:r>
      <w:r>
        <w:t xml:space="preserve">need to </w:t>
      </w:r>
      <w:r w:rsidRPr="005C2F13">
        <w:t xml:space="preserve">constitute 25.0% of the pool of </w:t>
      </w:r>
      <w:r>
        <w:t>applicants,</w:t>
      </w:r>
      <w:r w:rsidRPr="005C2F13">
        <w:t xml:space="preserve"> with medium SES applicants constituting the remaining 50.0%.</w:t>
      </w:r>
    </w:p>
    <w:p w14:paraId="4EB69CA2" w14:textId="77777777" w:rsidR="00341597" w:rsidRPr="00D52813" w:rsidRDefault="00341597" w:rsidP="00B67C70">
      <w:pPr>
        <w:pStyle w:val="ListParagraph"/>
      </w:pPr>
      <w:r w:rsidRPr="00D52813">
        <w:t>In 201</w:t>
      </w:r>
      <w:r>
        <w:t>7</w:t>
      </w:r>
      <w:r w:rsidRPr="00D52813">
        <w:t xml:space="preserve">, </w:t>
      </w:r>
      <w:r>
        <w:t>applicants</w:t>
      </w:r>
      <w:r w:rsidRPr="00D52813">
        <w:t xml:space="preserve"> from </w:t>
      </w:r>
      <w:r>
        <w:t xml:space="preserve">a </w:t>
      </w:r>
      <w:r w:rsidRPr="00D52813">
        <w:t xml:space="preserve">low SES background </w:t>
      </w:r>
      <w:r>
        <w:t>increased by 1.5% compared with the 2016</w:t>
      </w:r>
      <w:r w:rsidRPr="00D52813">
        <w:t xml:space="preserve"> </w:t>
      </w:r>
      <w:r>
        <w:t>applications. On the other hand, applications from medium and high SES backgrounds experienced less than average growth 0.4% and 0.8%, respectively.</w:t>
      </w:r>
    </w:p>
    <w:p w14:paraId="192B34EE" w14:textId="547E6AE1" w:rsidR="00D21F72" w:rsidRDefault="00D21F72" w:rsidP="00D21F72">
      <w:pPr>
        <w:pStyle w:val="Caption"/>
        <w:keepNext/>
      </w:pPr>
      <w:bookmarkStart w:id="84" w:name="_Toc492453643"/>
      <w:bookmarkStart w:id="85" w:name="_Toc492453868"/>
      <w:r>
        <w:t xml:space="preserve">Table </w:t>
      </w:r>
      <w:fldSimple w:instr=" SEQ Table \* ARABIC ">
        <w:r w:rsidR="00E05F5D">
          <w:rPr>
            <w:noProof/>
          </w:rPr>
          <w:t>12</w:t>
        </w:r>
      </w:fldSimple>
      <w:r w:rsidRPr="00486DA8">
        <w:t>: Applicants and Offers by socioeconomic status, February 2016 and February 2017</w:t>
      </w:r>
      <w:bookmarkEnd w:id="84"/>
      <w:bookmarkEnd w:id="85"/>
    </w:p>
    <w:tbl>
      <w:tblPr>
        <w:tblStyle w:val="DEEWRTable"/>
        <w:tblW w:w="5000" w:type="pct"/>
        <w:tblLook w:val="04A0" w:firstRow="1" w:lastRow="0" w:firstColumn="1" w:lastColumn="0" w:noHBand="0" w:noVBand="1"/>
      </w:tblPr>
      <w:tblGrid>
        <w:gridCol w:w="1139"/>
        <w:gridCol w:w="1327"/>
        <w:gridCol w:w="1200"/>
        <w:gridCol w:w="1421"/>
        <w:gridCol w:w="1264"/>
        <w:gridCol w:w="1298"/>
        <w:gridCol w:w="1593"/>
      </w:tblGrid>
      <w:tr w:rsidR="00341597" w:rsidRPr="00B875BD" w14:paraId="12C227D1" w14:textId="77777777" w:rsidTr="007F72E7">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616" w:type="pct"/>
            <w:vMerge w:val="restart"/>
          </w:tcPr>
          <w:p w14:paraId="7B8EE3E0" w14:textId="77777777" w:rsidR="00341597" w:rsidRPr="008C117A" w:rsidRDefault="00341597" w:rsidP="00A02290">
            <w:r w:rsidRPr="008C117A">
              <w:t>SES</w:t>
            </w:r>
          </w:p>
        </w:tc>
        <w:tc>
          <w:tcPr>
            <w:tcW w:w="2136" w:type="pct"/>
            <w:gridSpan w:val="3"/>
          </w:tcPr>
          <w:p w14:paraId="33C9104C" w14:textId="77777777" w:rsidR="00341597" w:rsidRPr="00C70963" w:rsidRDefault="00341597" w:rsidP="00F44C09">
            <w:pPr>
              <w:jc w:val="center"/>
              <w:cnfStyle w:val="100000000000" w:firstRow="1" w:lastRow="0" w:firstColumn="0" w:lastColumn="0" w:oddVBand="0" w:evenVBand="0" w:oddHBand="0" w:evenHBand="0" w:firstRowFirstColumn="0" w:firstRowLastColumn="0" w:lastRowFirstColumn="0" w:lastRowLastColumn="0"/>
            </w:pPr>
            <w:r>
              <w:t>Applicant</w:t>
            </w:r>
            <w:r w:rsidRPr="00C70963">
              <w:t>s</w:t>
            </w:r>
          </w:p>
        </w:tc>
        <w:tc>
          <w:tcPr>
            <w:tcW w:w="2248" w:type="pct"/>
            <w:gridSpan w:val="3"/>
            <w:tcBorders>
              <w:bottom w:val="nil"/>
            </w:tcBorders>
          </w:tcPr>
          <w:p w14:paraId="4382FA1E" w14:textId="77777777" w:rsidR="00341597" w:rsidRPr="00C70963" w:rsidRDefault="00341597" w:rsidP="00F44C09">
            <w:pPr>
              <w:jc w:val="center"/>
              <w:cnfStyle w:val="100000000000" w:firstRow="1" w:lastRow="0" w:firstColumn="0" w:lastColumn="0" w:oddVBand="0" w:evenVBand="0" w:oddHBand="0" w:evenHBand="0" w:firstRowFirstColumn="0" w:firstRowLastColumn="0" w:lastRowFirstColumn="0" w:lastRowLastColumn="0"/>
            </w:pPr>
            <w:r w:rsidRPr="00C70963">
              <w:t>Offers</w:t>
            </w:r>
          </w:p>
        </w:tc>
      </w:tr>
      <w:tr w:rsidR="00341597" w:rsidRPr="00B875BD" w14:paraId="050B8511" w14:textId="77777777" w:rsidTr="007F72E7">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616" w:type="pct"/>
            <w:vMerge/>
            <w:hideMark/>
          </w:tcPr>
          <w:p w14:paraId="3D7E4B60" w14:textId="77777777" w:rsidR="00341597" w:rsidRPr="008C117A" w:rsidRDefault="00341597" w:rsidP="00341597">
            <w:pPr>
              <w:spacing w:before="100" w:beforeAutospacing="1" w:after="100" w:afterAutospacing="1"/>
            </w:pPr>
          </w:p>
        </w:tc>
        <w:tc>
          <w:tcPr>
            <w:tcW w:w="718" w:type="pct"/>
          </w:tcPr>
          <w:p w14:paraId="311E8289" w14:textId="77777777" w:rsidR="00341597" w:rsidRPr="003762A0" w:rsidRDefault="00341597" w:rsidP="00F44C09">
            <w:pPr>
              <w:jc w:val="right"/>
              <w:cnfStyle w:val="000000100000" w:firstRow="0" w:lastRow="0" w:firstColumn="0" w:lastColumn="0" w:oddVBand="0" w:evenVBand="0" w:oddHBand="1" w:evenHBand="0" w:firstRowFirstColumn="0" w:firstRowLastColumn="0" w:lastRowFirstColumn="0" w:lastRowLastColumn="0"/>
              <w:rPr>
                <w:b/>
              </w:rPr>
            </w:pPr>
            <w:r w:rsidRPr="003762A0">
              <w:rPr>
                <w:b/>
              </w:rPr>
              <w:t>2016</w:t>
            </w:r>
          </w:p>
        </w:tc>
        <w:tc>
          <w:tcPr>
            <w:tcW w:w="649" w:type="pct"/>
            <w:hideMark/>
          </w:tcPr>
          <w:p w14:paraId="7A828161" w14:textId="77777777" w:rsidR="00341597" w:rsidRPr="003762A0" w:rsidRDefault="00341597" w:rsidP="00F44C09">
            <w:pPr>
              <w:jc w:val="right"/>
              <w:cnfStyle w:val="000000100000" w:firstRow="0" w:lastRow="0" w:firstColumn="0" w:lastColumn="0" w:oddVBand="0" w:evenVBand="0" w:oddHBand="1" w:evenHBand="0" w:firstRowFirstColumn="0" w:firstRowLastColumn="0" w:lastRowFirstColumn="0" w:lastRowLastColumn="0"/>
              <w:rPr>
                <w:b/>
              </w:rPr>
            </w:pPr>
            <w:r w:rsidRPr="003762A0">
              <w:rPr>
                <w:b/>
              </w:rPr>
              <w:t>2017</w:t>
            </w:r>
          </w:p>
        </w:tc>
        <w:tc>
          <w:tcPr>
            <w:tcW w:w="769" w:type="pct"/>
            <w:tcBorders>
              <w:right w:val="single" w:sz="4" w:space="0" w:color="auto"/>
            </w:tcBorders>
          </w:tcPr>
          <w:p w14:paraId="7BAA6E9B" w14:textId="77777777" w:rsidR="00341597" w:rsidRPr="003762A0" w:rsidRDefault="00341597" w:rsidP="00F44C09">
            <w:pPr>
              <w:jc w:val="right"/>
              <w:cnfStyle w:val="000000100000" w:firstRow="0" w:lastRow="0" w:firstColumn="0" w:lastColumn="0" w:oddVBand="0" w:evenVBand="0" w:oddHBand="1" w:evenHBand="0" w:firstRowFirstColumn="0" w:firstRowLastColumn="0" w:lastRowFirstColumn="0" w:lastRowLastColumn="0"/>
              <w:rPr>
                <w:b/>
              </w:rPr>
            </w:pPr>
            <w:r w:rsidRPr="003762A0">
              <w:rPr>
                <w:b/>
              </w:rPr>
              <w:t>Change</w:t>
            </w:r>
          </w:p>
        </w:tc>
        <w:tc>
          <w:tcPr>
            <w:tcW w:w="684" w:type="pct"/>
            <w:tcBorders>
              <w:left w:val="single" w:sz="4" w:space="0" w:color="auto"/>
              <w:bottom w:val="nil"/>
            </w:tcBorders>
          </w:tcPr>
          <w:p w14:paraId="546220A0" w14:textId="77777777" w:rsidR="00341597" w:rsidRPr="003762A0" w:rsidRDefault="00341597" w:rsidP="00F44C09">
            <w:pPr>
              <w:jc w:val="right"/>
              <w:cnfStyle w:val="000000100000" w:firstRow="0" w:lastRow="0" w:firstColumn="0" w:lastColumn="0" w:oddVBand="0" w:evenVBand="0" w:oddHBand="1" w:evenHBand="0" w:firstRowFirstColumn="0" w:firstRowLastColumn="0" w:lastRowFirstColumn="0" w:lastRowLastColumn="0"/>
              <w:rPr>
                <w:b/>
              </w:rPr>
            </w:pPr>
            <w:r w:rsidRPr="003762A0">
              <w:rPr>
                <w:b/>
              </w:rPr>
              <w:t>2016</w:t>
            </w:r>
          </w:p>
        </w:tc>
        <w:tc>
          <w:tcPr>
            <w:tcW w:w="702" w:type="pct"/>
            <w:tcBorders>
              <w:bottom w:val="nil"/>
            </w:tcBorders>
          </w:tcPr>
          <w:p w14:paraId="538A7EC1" w14:textId="77777777" w:rsidR="00341597" w:rsidRPr="003762A0" w:rsidRDefault="00341597" w:rsidP="00F44C09">
            <w:pPr>
              <w:jc w:val="right"/>
              <w:cnfStyle w:val="000000100000" w:firstRow="0" w:lastRow="0" w:firstColumn="0" w:lastColumn="0" w:oddVBand="0" w:evenVBand="0" w:oddHBand="1" w:evenHBand="0" w:firstRowFirstColumn="0" w:firstRowLastColumn="0" w:lastRowFirstColumn="0" w:lastRowLastColumn="0"/>
              <w:rPr>
                <w:b/>
              </w:rPr>
            </w:pPr>
            <w:r w:rsidRPr="003762A0">
              <w:rPr>
                <w:b/>
              </w:rPr>
              <w:t>2017</w:t>
            </w:r>
          </w:p>
        </w:tc>
        <w:tc>
          <w:tcPr>
            <w:tcW w:w="862" w:type="pct"/>
            <w:tcBorders>
              <w:bottom w:val="nil"/>
            </w:tcBorders>
          </w:tcPr>
          <w:p w14:paraId="032D89C9" w14:textId="77777777" w:rsidR="00341597" w:rsidRPr="003762A0" w:rsidRDefault="00341597" w:rsidP="00F44C09">
            <w:pPr>
              <w:jc w:val="right"/>
              <w:cnfStyle w:val="000000100000" w:firstRow="0" w:lastRow="0" w:firstColumn="0" w:lastColumn="0" w:oddVBand="0" w:evenVBand="0" w:oddHBand="1" w:evenHBand="0" w:firstRowFirstColumn="0" w:firstRowLastColumn="0" w:lastRowFirstColumn="0" w:lastRowLastColumn="0"/>
              <w:rPr>
                <w:b/>
              </w:rPr>
            </w:pPr>
            <w:r w:rsidRPr="003762A0">
              <w:rPr>
                <w:b/>
              </w:rPr>
              <w:t>Change</w:t>
            </w:r>
          </w:p>
        </w:tc>
      </w:tr>
      <w:tr w:rsidR="00341597" w:rsidRPr="0054157D" w14:paraId="79A857E4" w14:textId="77777777" w:rsidTr="007F72E7">
        <w:trPr>
          <w:trHeight w:val="313"/>
        </w:trPr>
        <w:tc>
          <w:tcPr>
            <w:cnfStyle w:val="001000000000" w:firstRow="0" w:lastRow="0" w:firstColumn="1" w:lastColumn="0" w:oddVBand="0" w:evenVBand="0" w:oddHBand="0" w:evenHBand="0" w:firstRowFirstColumn="0" w:firstRowLastColumn="0" w:lastRowFirstColumn="0" w:lastRowLastColumn="0"/>
            <w:tcW w:w="616" w:type="pct"/>
            <w:noWrap/>
          </w:tcPr>
          <w:p w14:paraId="25FC94A1" w14:textId="77777777" w:rsidR="00341597" w:rsidRPr="00B875BD" w:rsidRDefault="00341597" w:rsidP="00A02290">
            <w:r>
              <w:t>Low</w:t>
            </w:r>
          </w:p>
        </w:tc>
        <w:tc>
          <w:tcPr>
            <w:tcW w:w="718" w:type="pct"/>
          </w:tcPr>
          <w:p w14:paraId="65DE987B" w14:textId="77777777" w:rsidR="00341597" w:rsidRPr="005F6889"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5F6889">
              <w:t>66,183</w:t>
            </w:r>
          </w:p>
        </w:tc>
        <w:tc>
          <w:tcPr>
            <w:tcW w:w="649" w:type="pct"/>
            <w:noWrap/>
          </w:tcPr>
          <w:p w14:paraId="278CA17E" w14:textId="77777777" w:rsidR="00341597" w:rsidRPr="005F6889"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5F6889">
              <w:t>67,186</w:t>
            </w:r>
          </w:p>
        </w:tc>
        <w:tc>
          <w:tcPr>
            <w:tcW w:w="769" w:type="pct"/>
            <w:tcBorders>
              <w:right w:val="single" w:sz="4" w:space="0" w:color="auto"/>
            </w:tcBorders>
          </w:tcPr>
          <w:p w14:paraId="591C2D72" w14:textId="77777777" w:rsidR="00341597" w:rsidRPr="005F6889"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5F6889">
              <w:t>1.5%</w:t>
            </w:r>
          </w:p>
        </w:tc>
        <w:tc>
          <w:tcPr>
            <w:tcW w:w="684" w:type="pct"/>
            <w:tcBorders>
              <w:left w:val="single" w:sz="4" w:space="0" w:color="auto"/>
              <w:bottom w:val="nil"/>
            </w:tcBorders>
          </w:tcPr>
          <w:p w14:paraId="290863FA" w14:textId="77777777" w:rsidR="00341597" w:rsidRPr="00AE3565"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AE3565">
              <w:t>54,727</w:t>
            </w:r>
          </w:p>
        </w:tc>
        <w:tc>
          <w:tcPr>
            <w:tcW w:w="702" w:type="pct"/>
            <w:tcBorders>
              <w:bottom w:val="nil"/>
            </w:tcBorders>
          </w:tcPr>
          <w:p w14:paraId="41F0476F" w14:textId="77777777" w:rsidR="00341597" w:rsidRPr="00AE3565"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AE3565">
              <w:t>54,396</w:t>
            </w:r>
          </w:p>
        </w:tc>
        <w:tc>
          <w:tcPr>
            <w:tcW w:w="862" w:type="pct"/>
            <w:tcBorders>
              <w:bottom w:val="nil"/>
            </w:tcBorders>
          </w:tcPr>
          <w:p w14:paraId="39F15074" w14:textId="77777777" w:rsidR="00341597" w:rsidRPr="00AE3565"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AE3565">
              <w:t>-0.6%</w:t>
            </w:r>
          </w:p>
        </w:tc>
      </w:tr>
      <w:tr w:rsidR="00341597" w:rsidRPr="0054157D" w14:paraId="5D0BAF28" w14:textId="77777777" w:rsidTr="007F72E7">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616" w:type="pct"/>
            <w:noWrap/>
          </w:tcPr>
          <w:p w14:paraId="4A40B94B" w14:textId="77777777" w:rsidR="00341597" w:rsidRPr="00B875BD" w:rsidRDefault="00341597" w:rsidP="00A02290">
            <w:r>
              <w:t>Medium</w:t>
            </w:r>
          </w:p>
        </w:tc>
        <w:tc>
          <w:tcPr>
            <w:tcW w:w="718" w:type="pct"/>
          </w:tcPr>
          <w:p w14:paraId="301148A4" w14:textId="77777777" w:rsidR="00341597" w:rsidRPr="005F6889"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5F6889">
              <w:t>169,953</w:t>
            </w:r>
          </w:p>
        </w:tc>
        <w:tc>
          <w:tcPr>
            <w:tcW w:w="649" w:type="pct"/>
            <w:noWrap/>
          </w:tcPr>
          <w:p w14:paraId="221C7F9D" w14:textId="77777777" w:rsidR="00341597" w:rsidRPr="005F6889"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5F6889">
              <w:t>170,687</w:t>
            </w:r>
          </w:p>
        </w:tc>
        <w:tc>
          <w:tcPr>
            <w:tcW w:w="769" w:type="pct"/>
            <w:tcBorders>
              <w:right w:val="single" w:sz="4" w:space="0" w:color="auto"/>
            </w:tcBorders>
          </w:tcPr>
          <w:p w14:paraId="3A58812D" w14:textId="77777777" w:rsidR="00341597" w:rsidRPr="005F6889"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5F6889">
              <w:t>0.4%</w:t>
            </w:r>
          </w:p>
        </w:tc>
        <w:tc>
          <w:tcPr>
            <w:tcW w:w="684" w:type="pct"/>
            <w:tcBorders>
              <w:left w:val="single" w:sz="4" w:space="0" w:color="auto"/>
              <w:bottom w:val="nil"/>
            </w:tcBorders>
          </w:tcPr>
          <w:p w14:paraId="70607EB3" w14:textId="77777777" w:rsidR="00341597" w:rsidRPr="00AE3565"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AE3565">
              <w:t>142,830</w:t>
            </w:r>
          </w:p>
        </w:tc>
        <w:tc>
          <w:tcPr>
            <w:tcW w:w="702" w:type="pct"/>
            <w:tcBorders>
              <w:bottom w:val="nil"/>
            </w:tcBorders>
          </w:tcPr>
          <w:p w14:paraId="40E993AF" w14:textId="77777777" w:rsidR="00341597" w:rsidRPr="00AE3565"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AE3565">
              <w:t>141,412</w:t>
            </w:r>
          </w:p>
        </w:tc>
        <w:tc>
          <w:tcPr>
            <w:tcW w:w="862" w:type="pct"/>
            <w:tcBorders>
              <w:bottom w:val="nil"/>
            </w:tcBorders>
          </w:tcPr>
          <w:p w14:paraId="5BD387C0" w14:textId="77777777" w:rsidR="00341597" w:rsidRPr="00AE3565"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AE3565">
              <w:t>-1.0%</w:t>
            </w:r>
          </w:p>
        </w:tc>
      </w:tr>
      <w:tr w:rsidR="00341597" w:rsidRPr="0054157D" w14:paraId="288E2615" w14:textId="77777777" w:rsidTr="007F72E7">
        <w:trPr>
          <w:trHeight w:val="305"/>
        </w:trPr>
        <w:tc>
          <w:tcPr>
            <w:cnfStyle w:val="001000000000" w:firstRow="0" w:lastRow="0" w:firstColumn="1" w:lastColumn="0" w:oddVBand="0" w:evenVBand="0" w:oddHBand="0" w:evenHBand="0" w:firstRowFirstColumn="0" w:firstRowLastColumn="0" w:lastRowFirstColumn="0" w:lastRowLastColumn="0"/>
            <w:tcW w:w="616" w:type="pct"/>
            <w:noWrap/>
          </w:tcPr>
          <w:p w14:paraId="244B8CA4" w14:textId="77777777" w:rsidR="00341597" w:rsidRPr="00B875BD" w:rsidRDefault="00341597" w:rsidP="00A02290">
            <w:r>
              <w:t>High</w:t>
            </w:r>
          </w:p>
        </w:tc>
        <w:tc>
          <w:tcPr>
            <w:tcW w:w="718" w:type="pct"/>
          </w:tcPr>
          <w:p w14:paraId="015F33C4" w14:textId="77777777" w:rsidR="00341597" w:rsidRPr="005F6889"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5F6889">
              <w:t>94,773</w:t>
            </w:r>
          </w:p>
        </w:tc>
        <w:tc>
          <w:tcPr>
            <w:tcW w:w="649" w:type="pct"/>
            <w:noWrap/>
          </w:tcPr>
          <w:p w14:paraId="3C51A4EB" w14:textId="77777777" w:rsidR="00341597" w:rsidRPr="005F6889"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5F6889">
              <w:t>95,508</w:t>
            </w:r>
          </w:p>
        </w:tc>
        <w:tc>
          <w:tcPr>
            <w:tcW w:w="769" w:type="pct"/>
            <w:tcBorders>
              <w:right w:val="single" w:sz="4" w:space="0" w:color="auto"/>
            </w:tcBorders>
          </w:tcPr>
          <w:p w14:paraId="2330A67D" w14:textId="77777777" w:rsidR="00341597" w:rsidRPr="005F6889"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5F6889">
              <w:t>0.8%</w:t>
            </w:r>
          </w:p>
        </w:tc>
        <w:tc>
          <w:tcPr>
            <w:tcW w:w="684" w:type="pct"/>
            <w:tcBorders>
              <w:left w:val="single" w:sz="4" w:space="0" w:color="auto"/>
              <w:bottom w:val="nil"/>
            </w:tcBorders>
          </w:tcPr>
          <w:p w14:paraId="1C6FC38F" w14:textId="77777777" w:rsidR="00341597" w:rsidRPr="00AE3565"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AE3565">
              <w:t>80,775</w:t>
            </w:r>
          </w:p>
        </w:tc>
        <w:tc>
          <w:tcPr>
            <w:tcW w:w="702" w:type="pct"/>
            <w:tcBorders>
              <w:bottom w:val="nil"/>
            </w:tcBorders>
          </w:tcPr>
          <w:p w14:paraId="06ADF6A1" w14:textId="77777777" w:rsidR="00341597" w:rsidRPr="00AE3565"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AE3565">
              <w:t>80,355</w:t>
            </w:r>
          </w:p>
        </w:tc>
        <w:tc>
          <w:tcPr>
            <w:tcW w:w="862" w:type="pct"/>
            <w:tcBorders>
              <w:bottom w:val="nil"/>
            </w:tcBorders>
          </w:tcPr>
          <w:p w14:paraId="5ADB425F" w14:textId="77777777" w:rsidR="00341597" w:rsidRPr="00AE3565"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AE3565">
              <w:t>-0.5%</w:t>
            </w:r>
          </w:p>
        </w:tc>
      </w:tr>
      <w:tr w:rsidR="00341597" w:rsidRPr="0054157D" w14:paraId="4ABC68AC" w14:textId="77777777" w:rsidTr="007F72E7">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616" w:type="pct"/>
            <w:noWrap/>
          </w:tcPr>
          <w:p w14:paraId="7057B8DC" w14:textId="77777777" w:rsidR="00341597" w:rsidRPr="007D636D" w:rsidRDefault="00341597" w:rsidP="00A02290">
            <w:r w:rsidRPr="007D636D">
              <w:t>Total*</w:t>
            </w:r>
          </w:p>
        </w:tc>
        <w:tc>
          <w:tcPr>
            <w:tcW w:w="718" w:type="pct"/>
          </w:tcPr>
          <w:p w14:paraId="705BC9D4" w14:textId="77777777" w:rsidR="00341597" w:rsidRPr="00792F50"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792F50">
              <w:t>335,327</w:t>
            </w:r>
          </w:p>
        </w:tc>
        <w:tc>
          <w:tcPr>
            <w:tcW w:w="649" w:type="pct"/>
            <w:noWrap/>
          </w:tcPr>
          <w:p w14:paraId="0C5AB83D" w14:textId="77777777" w:rsidR="00341597" w:rsidRPr="00792F50"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792F50">
              <w:t>340,027</w:t>
            </w:r>
          </w:p>
        </w:tc>
        <w:tc>
          <w:tcPr>
            <w:tcW w:w="769" w:type="pct"/>
            <w:tcBorders>
              <w:right w:val="single" w:sz="4" w:space="0" w:color="auto"/>
            </w:tcBorders>
          </w:tcPr>
          <w:p w14:paraId="0F5AB722" w14:textId="77777777" w:rsidR="00341597" w:rsidRPr="00792F50"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792F50">
              <w:t>1.4%</w:t>
            </w:r>
          </w:p>
        </w:tc>
        <w:tc>
          <w:tcPr>
            <w:tcW w:w="684" w:type="pct"/>
            <w:tcBorders>
              <w:left w:val="single" w:sz="4" w:space="0" w:color="auto"/>
              <w:bottom w:val="single" w:sz="4" w:space="0" w:color="auto"/>
            </w:tcBorders>
          </w:tcPr>
          <w:p w14:paraId="263044F5" w14:textId="77777777" w:rsidR="00341597" w:rsidRPr="00792F50"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792F50">
              <w:t>281,549</w:t>
            </w:r>
          </w:p>
        </w:tc>
        <w:tc>
          <w:tcPr>
            <w:tcW w:w="702" w:type="pct"/>
            <w:tcBorders>
              <w:bottom w:val="single" w:sz="4" w:space="0" w:color="auto"/>
            </w:tcBorders>
          </w:tcPr>
          <w:p w14:paraId="24D227EC" w14:textId="77777777" w:rsidR="00341597" w:rsidRPr="00792F50"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792F50">
              <w:t>281,113</w:t>
            </w:r>
          </w:p>
        </w:tc>
        <w:tc>
          <w:tcPr>
            <w:tcW w:w="862" w:type="pct"/>
            <w:tcBorders>
              <w:bottom w:val="single" w:sz="4" w:space="0" w:color="auto"/>
            </w:tcBorders>
          </w:tcPr>
          <w:p w14:paraId="2D525610" w14:textId="77777777" w:rsidR="00341597" w:rsidRPr="00792F50"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792F50">
              <w:t>-0.2%</w:t>
            </w:r>
          </w:p>
        </w:tc>
      </w:tr>
    </w:tbl>
    <w:p w14:paraId="3908658D" w14:textId="77777777" w:rsidR="00341597" w:rsidRDefault="00341597" w:rsidP="00341597">
      <w:r>
        <w:t xml:space="preserve">* </w:t>
      </w:r>
      <w:r w:rsidRPr="00E83E10">
        <w:t>The Australia total includes da</w:t>
      </w:r>
      <w:r>
        <w:t>ta that could not be coded to an</w:t>
      </w:r>
      <w:r w:rsidRPr="00E83E10">
        <w:t xml:space="preserve"> SES</w:t>
      </w:r>
      <w:r>
        <w:t xml:space="preserve"> value.</w:t>
      </w:r>
    </w:p>
    <w:p w14:paraId="122CAE9D" w14:textId="77777777" w:rsidR="00341597" w:rsidRPr="00AC1937" w:rsidRDefault="00341597" w:rsidP="00B67C70">
      <w:pPr>
        <w:pStyle w:val="ListParagraph"/>
      </w:pPr>
      <w:r>
        <w:t xml:space="preserve">In </w:t>
      </w:r>
      <w:r w:rsidRPr="00696E12">
        <w:t>201</w:t>
      </w:r>
      <w:r>
        <w:t>7</w:t>
      </w:r>
      <w:r w:rsidRPr="00696E12">
        <w:t xml:space="preserve">, offers to applicants from a </w:t>
      </w:r>
      <w:r>
        <w:t>high</w:t>
      </w:r>
      <w:r w:rsidRPr="00696E12">
        <w:t xml:space="preserve"> SES background</w:t>
      </w:r>
      <w:r>
        <w:t xml:space="preserve"> </w:t>
      </w:r>
      <w:r w:rsidRPr="00AC1937">
        <w:t xml:space="preserve">have shown the smallest </w:t>
      </w:r>
      <w:r>
        <w:t>decrease</w:t>
      </w:r>
      <w:r w:rsidRPr="00542A7B">
        <w:t xml:space="preserve"> (</w:t>
      </w:r>
      <w:r>
        <w:t>-0.5</w:t>
      </w:r>
      <w:r w:rsidRPr="00542A7B">
        <w:t xml:space="preserve">%) compared with offers to applicants from </w:t>
      </w:r>
      <w:r>
        <w:t>a low</w:t>
      </w:r>
      <w:r w:rsidRPr="00542A7B">
        <w:t xml:space="preserve"> SES background </w:t>
      </w:r>
      <w:r>
        <w:t>(-0.6</w:t>
      </w:r>
      <w:r w:rsidRPr="00542A7B">
        <w:t xml:space="preserve">%) and </w:t>
      </w:r>
      <w:r>
        <w:t>medium</w:t>
      </w:r>
      <w:r w:rsidRPr="00542A7B">
        <w:t xml:space="preserve"> SES background (</w:t>
      </w:r>
      <w:r>
        <w:t>-1.0</w:t>
      </w:r>
      <w:r w:rsidRPr="00542A7B">
        <w:t xml:space="preserve">%). </w:t>
      </w:r>
    </w:p>
    <w:p w14:paraId="57336F16" w14:textId="77777777" w:rsidR="00341597" w:rsidRDefault="00341597" w:rsidP="00341597">
      <w:r w:rsidRPr="002F6CA5">
        <w:t xml:space="preserve">However, applicants from a low SES background were less likely to receive an offer. Their offer rate was </w:t>
      </w:r>
      <w:r>
        <w:t>81.0</w:t>
      </w:r>
      <w:r w:rsidRPr="002F6CA5">
        <w:t xml:space="preserve">% compared with </w:t>
      </w:r>
      <w:r>
        <w:t>82.8</w:t>
      </w:r>
      <w:r w:rsidRPr="002F6CA5">
        <w:t xml:space="preserve">% for applicants from a medium SES background and </w:t>
      </w:r>
      <w:r>
        <w:t>84.1</w:t>
      </w:r>
      <w:r w:rsidRPr="002F6CA5">
        <w:t>% for applicants from a high SES background in 201</w:t>
      </w:r>
      <w:r>
        <w:t>7.</w:t>
      </w:r>
      <w:r w:rsidRPr="002F6CA5">
        <w:t xml:space="preserve"> </w:t>
      </w:r>
    </w:p>
    <w:p w14:paraId="324A317D" w14:textId="3D63FB7F" w:rsidR="007F72E7" w:rsidRDefault="007F72E7" w:rsidP="007F72E7">
      <w:pPr>
        <w:pStyle w:val="Caption"/>
        <w:keepNext/>
      </w:pPr>
      <w:r>
        <w:lastRenderedPageBreak/>
        <w:t xml:space="preserve">Figure </w:t>
      </w:r>
      <w:fldSimple w:instr=" SEQ Figure \* ARABIC ">
        <w:r w:rsidR="00E05F5D">
          <w:rPr>
            <w:noProof/>
          </w:rPr>
          <w:t>2</w:t>
        </w:r>
      </w:fldSimple>
      <w:r w:rsidRPr="008854FF">
        <w:t>: Offer rates by socioeconomic status, February 2016 and February 2017</w:t>
      </w:r>
    </w:p>
    <w:p w14:paraId="18CBBECF" w14:textId="77777777" w:rsidR="00341597" w:rsidRPr="004D26A2" w:rsidRDefault="00341597" w:rsidP="00B67C70">
      <w:r>
        <w:rPr>
          <w:noProof/>
          <w:lang w:eastAsia="en-AU"/>
        </w:rPr>
        <w:drawing>
          <wp:inline distT="0" distB="0" distL="0" distR="0" wp14:anchorId="3DEB57F6" wp14:editId="089A57AE">
            <wp:extent cx="4559935" cy="2499360"/>
            <wp:effectExtent l="0" t="0" r="0" b="0"/>
            <wp:docPr id="9" name="Picture 9" descr="Applicants from a low SES background were less likely to receive an offer. Their offer rate was 81.0% compared with 82.8% for applicants from a medium SES background and 84.1or applicants from a high SES background in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59935" cy="2499360"/>
                    </a:xfrm>
                    <a:prstGeom prst="rect">
                      <a:avLst/>
                    </a:prstGeom>
                    <a:noFill/>
                  </pic:spPr>
                </pic:pic>
              </a:graphicData>
            </a:graphic>
          </wp:inline>
        </w:drawing>
      </w:r>
    </w:p>
    <w:p w14:paraId="5B63D24E" w14:textId="77777777" w:rsidR="00341597" w:rsidRPr="00CA743F" w:rsidRDefault="00341597" w:rsidP="00CA743F">
      <w:pPr>
        <w:pStyle w:val="Heading2"/>
      </w:pPr>
      <w:bookmarkStart w:id="86" w:name="_Toc416445758"/>
      <w:bookmarkStart w:id="87" w:name="_Toc492454267"/>
      <w:r w:rsidRPr="00CA743F">
        <w:t>Regional status</w:t>
      </w:r>
      <w:r w:rsidRPr="00CA743F">
        <w:footnoteReference w:id="3"/>
      </w:r>
      <w:bookmarkEnd w:id="86"/>
      <w:bookmarkEnd w:id="87"/>
    </w:p>
    <w:p w14:paraId="1F87E2A3" w14:textId="77777777" w:rsidR="00341597" w:rsidRPr="00AC1937" w:rsidRDefault="00341597" w:rsidP="00B67C70">
      <w:pPr>
        <w:pStyle w:val="ListParagraph"/>
      </w:pPr>
      <w:r>
        <w:t xml:space="preserve">About 75.0% of applications </w:t>
      </w:r>
      <w:r w:rsidRPr="00B875BD">
        <w:t>were from applicants living in metropolitan areas in 201</w:t>
      </w:r>
      <w:r>
        <w:t>7</w:t>
      </w:r>
      <w:r w:rsidRPr="00B875BD">
        <w:t xml:space="preserve">. </w:t>
      </w:r>
    </w:p>
    <w:p w14:paraId="3B0E5B0F" w14:textId="77777777" w:rsidR="00341597" w:rsidRPr="00B875BD" w:rsidRDefault="00341597" w:rsidP="00B67C70">
      <w:pPr>
        <w:pStyle w:val="ListParagraph"/>
      </w:pPr>
      <w:r>
        <w:t>In 2017, a</w:t>
      </w:r>
      <w:r w:rsidRPr="00B875BD">
        <w:t>pplications from metropolitan residents</w:t>
      </w:r>
      <w:r>
        <w:t xml:space="preserve"> increased by 1.3%, while applications from non-metropolitan residents decreased by 0.8%. </w:t>
      </w:r>
    </w:p>
    <w:p w14:paraId="30C8321B" w14:textId="77777777" w:rsidR="00341597" w:rsidRPr="00AC1937" w:rsidRDefault="00341597" w:rsidP="00B67C70">
      <w:pPr>
        <w:pStyle w:val="ListParagraph"/>
      </w:pPr>
      <w:r w:rsidRPr="00731A44">
        <w:t xml:space="preserve">Offers </w:t>
      </w:r>
      <w:r>
        <w:t>made to metropolitan applicants decreased by 0.5</w:t>
      </w:r>
      <w:r w:rsidRPr="00731A44">
        <w:t xml:space="preserve">% </w:t>
      </w:r>
      <w:r>
        <w:t xml:space="preserve">compared with a decrease of 1.6% in offers made to </w:t>
      </w:r>
      <w:r w:rsidRPr="00731A44">
        <w:t>non-metropolitan applicants</w:t>
      </w:r>
      <w:r w:rsidRPr="0072156E">
        <w:t xml:space="preserve">. </w:t>
      </w:r>
    </w:p>
    <w:p w14:paraId="5906CCCD" w14:textId="77777777" w:rsidR="00341597" w:rsidRDefault="00341597" w:rsidP="00B67C70">
      <w:pPr>
        <w:pStyle w:val="ListParagraph"/>
      </w:pPr>
      <w:r w:rsidRPr="00B875BD">
        <w:t xml:space="preserve">Applications from </w:t>
      </w:r>
      <w:r>
        <w:t>non-</w:t>
      </w:r>
      <w:r w:rsidRPr="00B875BD">
        <w:t xml:space="preserve">metropolitan </w:t>
      </w:r>
      <w:r>
        <w:t>residents</w:t>
      </w:r>
      <w:r w:rsidRPr="00B875BD">
        <w:t xml:space="preserve"> were </w:t>
      </w:r>
      <w:r>
        <w:t xml:space="preserve">more </w:t>
      </w:r>
      <w:r w:rsidRPr="00B875BD">
        <w:t xml:space="preserve">likely to result in an offer compared with </w:t>
      </w:r>
      <w:r>
        <w:t xml:space="preserve">applications from </w:t>
      </w:r>
      <w:r w:rsidRPr="00B875BD">
        <w:t xml:space="preserve">metropolitan </w:t>
      </w:r>
      <w:r>
        <w:t>residents, 85.4</w:t>
      </w:r>
      <w:r w:rsidRPr="00B875BD">
        <w:t xml:space="preserve">% compared with </w:t>
      </w:r>
      <w:r>
        <w:t>82.1</w:t>
      </w:r>
      <w:r w:rsidRPr="00B875BD">
        <w:t xml:space="preserve">% respectively. </w:t>
      </w:r>
    </w:p>
    <w:p w14:paraId="089F214C" w14:textId="3AD0E66D" w:rsidR="00D21F72" w:rsidRDefault="00D21F72" w:rsidP="00D21F72">
      <w:pPr>
        <w:pStyle w:val="Caption"/>
        <w:keepNext/>
      </w:pPr>
      <w:bookmarkStart w:id="88" w:name="_Toc492453644"/>
      <w:bookmarkStart w:id="89" w:name="_Toc492453869"/>
      <w:r>
        <w:t xml:space="preserve">Table </w:t>
      </w:r>
      <w:fldSimple w:instr=" SEQ Table \* ARABIC ">
        <w:r w:rsidR="00E05F5D">
          <w:rPr>
            <w:noProof/>
          </w:rPr>
          <w:t>13</w:t>
        </w:r>
      </w:fldSimple>
      <w:r w:rsidRPr="002E2FB5">
        <w:t>: Applicants and Offers by region, February 2016 and February 2017</w:t>
      </w:r>
      <w:bookmarkEnd w:id="88"/>
      <w:bookmarkEnd w:id="89"/>
    </w:p>
    <w:tbl>
      <w:tblPr>
        <w:tblStyle w:val="DEEWRTable"/>
        <w:tblW w:w="5000" w:type="pct"/>
        <w:tblLook w:val="04A0" w:firstRow="1" w:lastRow="0" w:firstColumn="1" w:lastColumn="0" w:noHBand="0" w:noVBand="1"/>
      </w:tblPr>
      <w:tblGrid>
        <w:gridCol w:w="1424"/>
        <w:gridCol w:w="1281"/>
        <w:gridCol w:w="1421"/>
        <w:gridCol w:w="1139"/>
        <w:gridCol w:w="1281"/>
        <w:gridCol w:w="1421"/>
        <w:gridCol w:w="1275"/>
      </w:tblGrid>
      <w:tr w:rsidR="00341597" w:rsidRPr="00B875BD" w14:paraId="06D2AE47" w14:textId="77777777" w:rsidTr="007F72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0" w:type="pct"/>
            <w:vMerge w:val="restart"/>
          </w:tcPr>
          <w:p w14:paraId="7E812E72" w14:textId="77777777" w:rsidR="00341597" w:rsidRPr="007D7C34" w:rsidRDefault="00341597" w:rsidP="00A02290">
            <w:r>
              <w:t>Region</w:t>
            </w:r>
          </w:p>
        </w:tc>
        <w:tc>
          <w:tcPr>
            <w:tcW w:w="2078" w:type="pct"/>
            <w:gridSpan w:val="3"/>
          </w:tcPr>
          <w:p w14:paraId="3CDFD642" w14:textId="77777777" w:rsidR="00341597" w:rsidRPr="007D7C34" w:rsidRDefault="00341597" w:rsidP="00F44C09">
            <w:pPr>
              <w:jc w:val="center"/>
              <w:cnfStyle w:val="100000000000" w:firstRow="1" w:lastRow="0" w:firstColumn="0" w:lastColumn="0" w:oddVBand="0" w:evenVBand="0" w:oddHBand="0" w:evenHBand="0" w:firstRowFirstColumn="0" w:firstRowLastColumn="0" w:lastRowFirstColumn="0" w:lastRowLastColumn="0"/>
            </w:pPr>
            <w:r w:rsidRPr="007D7C34">
              <w:t>Applica</w:t>
            </w:r>
            <w:r>
              <w:t>nts</w:t>
            </w:r>
          </w:p>
        </w:tc>
        <w:tc>
          <w:tcPr>
            <w:tcW w:w="2152" w:type="pct"/>
            <w:gridSpan w:val="3"/>
            <w:tcBorders>
              <w:bottom w:val="nil"/>
            </w:tcBorders>
          </w:tcPr>
          <w:p w14:paraId="722B6BC7" w14:textId="77777777" w:rsidR="00341597" w:rsidRPr="007D7C34" w:rsidRDefault="00341597" w:rsidP="00F44C09">
            <w:pPr>
              <w:jc w:val="center"/>
              <w:cnfStyle w:val="100000000000" w:firstRow="1" w:lastRow="0" w:firstColumn="0" w:lastColumn="0" w:oddVBand="0" w:evenVBand="0" w:oddHBand="0" w:evenHBand="0" w:firstRowFirstColumn="0" w:firstRowLastColumn="0" w:lastRowFirstColumn="0" w:lastRowLastColumn="0"/>
            </w:pPr>
            <w:r w:rsidRPr="007D7C34">
              <w:t>Offers</w:t>
            </w:r>
          </w:p>
        </w:tc>
      </w:tr>
      <w:tr w:rsidR="00341597" w:rsidRPr="00B875BD" w14:paraId="7CDBF3FC" w14:textId="77777777" w:rsidTr="007F7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0" w:type="pct"/>
            <w:vMerge/>
            <w:hideMark/>
          </w:tcPr>
          <w:p w14:paraId="5B748C5E" w14:textId="77777777" w:rsidR="00341597" w:rsidRPr="007D7C34" w:rsidRDefault="00341597" w:rsidP="00341597">
            <w:pPr>
              <w:spacing w:before="100" w:beforeAutospacing="1" w:after="100" w:afterAutospacing="1"/>
              <w:rPr>
                <w:b w:val="0"/>
              </w:rPr>
            </w:pPr>
          </w:p>
        </w:tc>
        <w:tc>
          <w:tcPr>
            <w:tcW w:w="693" w:type="pct"/>
          </w:tcPr>
          <w:p w14:paraId="2139E34B" w14:textId="77777777" w:rsidR="00341597" w:rsidRPr="007D7C3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7D7C34">
              <w:t>201</w:t>
            </w:r>
            <w:r>
              <w:t>6</w:t>
            </w:r>
          </w:p>
        </w:tc>
        <w:tc>
          <w:tcPr>
            <w:tcW w:w="769" w:type="pct"/>
            <w:hideMark/>
          </w:tcPr>
          <w:p w14:paraId="44D1725D" w14:textId="77777777" w:rsidR="00341597" w:rsidRPr="007D7C3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7D7C34">
              <w:t>201</w:t>
            </w:r>
            <w:r>
              <w:t>7</w:t>
            </w:r>
          </w:p>
        </w:tc>
        <w:tc>
          <w:tcPr>
            <w:tcW w:w="616" w:type="pct"/>
            <w:tcBorders>
              <w:right w:val="single" w:sz="4" w:space="0" w:color="auto"/>
            </w:tcBorders>
          </w:tcPr>
          <w:p w14:paraId="321D2384" w14:textId="77777777" w:rsidR="00341597" w:rsidRPr="007D7C3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7D7C34">
              <w:t>Change</w:t>
            </w:r>
          </w:p>
        </w:tc>
        <w:tc>
          <w:tcPr>
            <w:tcW w:w="693" w:type="pct"/>
            <w:tcBorders>
              <w:left w:val="single" w:sz="4" w:space="0" w:color="auto"/>
              <w:bottom w:val="nil"/>
            </w:tcBorders>
          </w:tcPr>
          <w:p w14:paraId="22E84E9B" w14:textId="77777777" w:rsidR="00341597" w:rsidRPr="007D7C3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7D7C34">
              <w:t>201</w:t>
            </w:r>
            <w:r>
              <w:t>6</w:t>
            </w:r>
          </w:p>
        </w:tc>
        <w:tc>
          <w:tcPr>
            <w:tcW w:w="769" w:type="pct"/>
            <w:tcBorders>
              <w:bottom w:val="nil"/>
            </w:tcBorders>
          </w:tcPr>
          <w:p w14:paraId="451C4702" w14:textId="77777777" w:rsidR="00341597" w:rsidRPr="007D7C3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7D7C34">
              <w:t>201</w:t>
            </w:r>
            <w:r>
              <w:t>7</w:t>
            </w:r>
          </w:p>
        </w:tc>
        <w:tc>
          <w:tcPr>
            <w:tcW w:w="690" w:type="pct"/>
            <w:tcBorders>
              <w:bottom w:val="nil"/>
            </w:tcBorders>
          </w:tcPr>
          <w:p w14:paraId="68DCE221" w14:textId="77777777" w:rsidR="00341597" w:rsidRPr="007D7C34"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7D7C34">
              <w:t>Change</w:t>
            </w:r>
          </w:p>
        </w:tc>
      </w:tr>
      <w:tr w:rsidR="00341597" w:rsidRPr="0054157D" w14:paraId="08A27692" w14:textId="77777777" w:rsidTr="007F72E7">
        <w:tc>
          <w:tcPr>
            <w:cnfStyle w:val="001000000000" w:firstRow="0" w:lastRow="0" w:firstColumn="1" w:lastColumn="0" w:oddVBand="0" w:evenVBand="0" w:oddHBand="0" w:evenHBand="0" w:firstRowFirstColumn="0" w:firstRowLastColumn="0" w:lastRowFirstColumn="0" w:lastRowLastColumn="0"/>
            <w:tcW w:w="770" w:type="pct"/>
            <w:noWrap/>
          </w:tcPr>
          <w:p w14:paraId="1D2C0F3F" w14:textId="77777777" w:rsidR="00341597" w:rsidRPr="00DE2636" w:rsidRDefault="00341597" w:rsidP="00A02290">
            <w:r w:rsidRPr="00DE2636">
              <w:t>Metro</w:t>
            </w:r>
          </w:p>
        </w:tc>
        <w:tc>
          <w:tcPr>
            <w:tcW w:w="693" w:type="pct"/>
          </w:tcPr>
          <w:p w14:paraId="3E51B1BD" w14:textId="77777777" w:rsidR="00341597" w:rsidRPr="00C01556"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C01556">
              <w:t>251,635</w:t>
            </w:r>
          </w:p>
        </w:tc>
        <w:tc>
          <w:tcPr>
            <w:tcW w:w="769" w:type="pct"/>
            <w:noWrap/>
          </w:tcPr>
          <w:p w14:paraId="5F1C6EEF" w14:textId="77777777" w:rsidR="00341597" w:rsidRPr="00C01556"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C01556">
              <w:t>254,790</w:t>
            </w:r>
          </w:p>
        </w:tc>
        <w:tc>
          <w:tcPr>
            <w:tcW w:w="616" w:type="pct"/>
            <w:tcBorders>
              <w:right w:val="single" w:sz="4" w:space="0" w:color="auto"/>
            </w:tcBorders>
          </w:tcPr>
          <w:p w14:paraId="60D8A768" w14:textId="77777777" w:rsidR="00341597" w:rsidRPr="00C01556"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C01556">
              <w:t>1.3%</w:t>
            </w:r>
          </w:p>
        </w:tc>
        <w:tc>
          <w:tcPr>
            <w:tcW w:w="693" w:type="pct"/>
            <w:tcBorders>
              <w:left w:val="single" w:sz="4" w:space="0" w:color="auto"/>
              <w:bottom w:val="nil"/>
            </w:tcBorders>
          </w:tcPr>
          <w:p w14:paraId="729B1FCA" w14:textId="77777777" w:rsidR="00341597" w:rsidRPr="007771CC"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7771CC">
              <w:t>210,084</w:t>
            </w:r>
          </w:p>
        </w:tc>
        <w:tc>
          <w:tcPr>
            <w:tcW w:w="769" w:type="pct"/>
            <w:tcBorders>
              <w:bottom w:val="nil"/>
            </w:tcBorders>
          </w:tcPr>
          <w:p w14:paraId="441F6E83" w14:textId="77777777" w:rsidR="00341597" w:rsidRPr="007771CC"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7771CC">
              <w:t>209,055</w:t>
            </w:r>
          </w:p>
        </w:tc>
        <w:tc>
          <w:tcPr>
            <w:tcW w:w="690" w:type="pct"/>
            <w:tcBorders>
              <w:bottom w:val="nil"/>
            </w:tcBorders>
          </w:tcPr>
          <w:p w14:paraId="04DF6140" w14:textId="77777777" w:rsidR="00341597" w:rsidRPr="007771CC"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7771CC">
              <w:t>-0.5%</w:t>
            </w:r>
          </w:p>
        </w:tc>
      </w:tr>
      <w:tr w:rsidR="00341597" w:rsidRPr="0054157D" w14:paraId="695780B2" w14:textId="77777777" w:rsidTr="007F7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0" w:type="pct"/>
            <w:noWrap/>
          </w:tcPr>
          <w:p w14:paraId="5BAB79DB" w14:textId="77777777" w:rsidR="00341597" w:rsidRPr="00DE2636" w:rsidRDefault="00341597" w:rsidP="00A02290">
            <w:r w:rsidRPr="00DE2636">
              <w:t>Non-Metro</w:t>
            </w:r>
          </w:p>
        </w:tc>
        <w:tc>
          <w:tcPr>
            <w:tcW w:w="693" w:type="pct"/>
          </w:tcPr>
          <w:p w14:paraId="5C6EB6F3" w14:textId="77777777" w:rsidR="00341597" w:rsidRPr="00C01556"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C01556">
              <w:t>79,719</w:t>
            </w:r>
          </w:p>
        </w:tc>
        <w:tc>
          <w:tcPr>
            <w:tcW w:w="769" w:type="pct"/>
            <w:noWrap/>
          </w:tcPr>
          <w:p w14:paraId="1E6D73CD" w14:textId="77777777" w:rsidR="00341597" w:rsidRPr="00C01556"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C01556">
              <w:t>79,057</w:t>
            </w:r>
          </w:p>
        </w:tc>
        <w:tc>
          <w:tcPr>
            <w:tcW w:w="616" w:type="pct"/>
            <w:tcBorders>
              <w:right w:val="single" w:sz="4" w:space="0" w:color="auto"/>
            </w:tcBorders>
          </w:tcPr>
          <w:p w14:paraId="68004C0C" w14:textId="77777777" w:rsidR="00341597" w:rsidRPr="00C01556"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C01556">
              <w:t>-0.8%</w:t>
            </w:r>
          </w:p>
        </w:tc>
        <w:tc>
          <w:tcPr>
            <w:tcW w:w="693" w:type="pct"/>
            <w:tcBorders>
              <w:left w:val="single" w:sz="4" w:space="0" w:color="auto"/>
              <w:bottom w:val="nil"/>
            </w:tcBorders>
          </w:tcPr>
          <w:p w14:paraId="6E725A9F" w14:textId="77777777" w:rsidR="00341597" w:rsidRPr="007771CC"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7771CC">
              <w:t>68,607</w:t>
            </w:r>
          </w:p>
        </w:tc>
        <w:tc>
          <w:tcPr>
            <w:tcW w:w="769" w:type="pct"/>
            <w:tcBorders>
              <w:bottom w:val="nil"/>
            </w:tcBorders>
          </w:tcPr>
          <w:p w14:paraId="340B860A" w14:textId="77777777" w:rsidR="00341597" w:rsidRPr="007771CC"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7771CC">
              <w:t>67,480</w:t>
            </w:r>
          </w:p>
        </w:tc>
        <w:tc>
          <w:tcPr>
            <w:tcW w:w="690" w:type="pct"/>
            <w:tcBorders>
              <w:bottom w:val="nil"/>
            </w:tcBorders>
          </w:tcPr>
          <w:p w14:paraId="39220646" w14:textId="77777777" w:rsidR="00341597" w:rsidRPr="007771CC"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7771CC">
              <w:t>-1.6%</w:t>
            </w:r>
          </w:p>
        </w:tc>
      </w:tr>
      <w:tr w:rsidR="00341597" w:rsidRPr="0054157D" w14:paraId="68622227" w14:textId="77777777" w:rsidTr="007F72E7">
        <w:tc>
          <w:tcPr>
            <w:cnfStyle w:val="001000000000" w:firstRow="0" w:lastRow="0" w:firstColumn="1" w:lastColumn="0" w:oddVBand="0" w:evenVBand="0" w:oddHBand="0" w:evenHBand="0" w:firstRowFirstColumn="0" w:firstRowLastColumn="0" w:lastRowFirstColumn="0" w:lastRowLastColumn="0"/>
            <w:tcW w:w="770" w:type="pct"/>
            <w:noWrap/>
          </w:tcPr>
          <w:p w14:paraId="5CF121A0" w14:textId="77777777" w:rsidR="00341597" w:rsidRPr="007D636D" w:rsidRDefault="00341597" w:rsidP="00A02290">
            <w:r w:rsidRPr="007D636D">
              <w:t>Total*</w:t>
            </w:r>
          </w:p>
        </w:tc>
        <w:tc>
          <w:tcPr>
            <w:tcW w:w="693" w:type="pct"/>
          </w:tcPr>
          <w:p w14:paraId="29A3E5B9" w14:textId="77777777" w:rsidR="00341597" w:rsidRPr="00C01556"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C01556">
              <w:t>335,327</w:t>
            </w:r>
          </w:p>
        </w:tc>
        <w:tc>
          <w:tcPr>
            <w:tcW w:w="769" w:type="pct"/>
            <w:noWrap/>
          </w:tcPr>
          <w:p w14:paraId="0FB0A195" w14:textId="77777777" w:rsidR="00341597" w:rsidRPr="00C01556"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C01556">
              <w:t>340,027</w:t>
            </w:r>
          </w:p>
        </w:tc>
        <w:tc>
          <w:tcPr>
            <w:tcW w:w="616" w:type="pct"/>
            <w:tcBorders>
              <w:right w:val="single" w:sz="4" w:space="0" w:color="auto"/>
            </w:tcBorders>
          </w:tcPr>
          <w:p w14:paraId="06338D86" w14:textId="77777777" w:rsidR="00341597"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C01556">
              <w:t>1.4%</w:t>
            </w:r>
          </w:p>
        </w:tc>
        <w:tc>
          <w:tcPr>
            <w:tcW w:w="693" w:type="pct"/>
            <w:tcBorders>
              <w:left w:val="single" w:sz="4" w:space="0" w:color="auto"/>
              <w:bottom w:val="single" w:sz="4" w:space="0" w:color="auto"/>
            </w:tcBorders>
          </w:tcPr>
          <w:p w14:paraId="02C91098" w14:textId="77777777" w:rsidR="00341597" w:rsidRPr="007771CC"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7771CC">
              <w:t>281,549</w:t>
            </w:r>
          </w:p>
        </w:tc>
        <w:tc>
          <w:tcPr>
            <w:tcW w:w="769" w:type="pct"/>
            <w:tcBorders>
              <w:bottom w:val="single" w:sz="4" w:space="0" w:color="auto"/>
            </w:tcBorders>
          </w:tcPr>
          <w:p w14:paraId="768E528F" w14:textId="77777777" w:rsidR="00341597" w:rsidRPr="007771CC"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7771CC">
              <w:t>281,113</w:t>
            </w:r>
          </w:p>
        </w:tc>
        <w:tc>
          <w:tcPr>
            <w:tcW w:w="690" w:type="pct"/>
            <w:tcBorders>
              <w:bottom w:val="single" w:sz="4" w:space="0" w:color="auto"/>
            </w:tcBorders>
          </w:tcPr>
          <w:p w14:paraId="4D0232C2" w14:textId="77777777" w:rsidR="00341597"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7771CC">
              <w:t>-0.2%</w:t>
            </w:r>
          </w:p>
        </w:tc>
      </w:tr>
    </w:tbl>
    <w:p w14:paraId="147BF758" w14:textId="77777777" w:rsidR="00341597" w:rsidRDefault="00341597" w:rsidP="00341597">
      <w:r w:rsidRPr="00B30AD0">
        <w:t>*The Australia total includes data that could not be coded to a region.</w:t>
      </w:r>
    </w:p>
    <w:p w14:paraId="409FE46F" w14:textId="50C703E7" w:rsidR="007F72E7" w:rsidRDefault="007F72E7" w:rsidP="007F72E7">
      <w:pPr>
        <w:pStyle w:val="Caption"/>
        <w:keepNext/>
      </w:pPr>
      <w:r>
        <w:lastRenderedPageBreak/>
        <w:t xml:space="preserve">Figure </w:t>
      </w:r>
      <w:fldSimple w:instr=" SEQ Figure \* ARABIC ">
        <w:r w:rsidR="00E05F5D">
          <w:rPr>
            <w:noProof/>
          </w:rPr>
          <w:t>3</w:t>
        </w:r>
      </w:fldSimple>
      <w:r w:rsidRPr="00A8367E">
        <w:t>: Offer rates by region, February 2016 and February 2017</w:t>
      </w:r>
    </w:p>
    <w:p w14:paraId="71480A20" w14:textId="77777777" w:rsidR="00341597" w:rsidRPr="004D26A2" w:rsidRDefault="00341597" w:rsidP="00B67C70">
      <w:r>
        <w:rPr>
          <w:noProof/>
          <w:lang w:eastAsia="en-AU"/>
        </w:rPr>
        <w:drawing>
          <wp:inline distT="0" distB="0" distL="0" distR="0" wp14:anchorId="2422637D" wp14:editId="564F6B81">
            <wp:extent cx="4651375" cy="2353310"/>
            <wp:effectExtent l="0" t="0" r="0" b="8890"/>
            <wp:docPr id="10" name="Picture 10" descr="Applications from non-metropolitan residents were more likely to result in an offer compared with applications from metropolitan residents, 85.4% compared with 82.1% respectiv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51375" cy="2353310"/>
                    </a:xfrm>
                    <a:prstGeom prst="rect">
                      <a:avLst/>
                    </a:prstGeom>
                    <a:noFill/>
                  </pic:spPr>
                </pic:pic>
              </a:graphicData>
            </a:graphic>
          </wp:inline>
        </w:drawing>
      </w:r>
    </w:p>
    <w:p w14:paraId="73B97398" w14:textId="77777777" w:rsidR="00341597" w:rsidRPr="00CA743F" w:rsidRDefault="00341597" w:rsidP="00CA743F">
      <w:pPr>
        <w:pStyle w:val="Heading2"/>
      </w:pPr>
      <w:bookmarkStart w:id="90" w:name="_Toc416445759"/>
      <w:bookmarkStart w:id="91" w:name="_Toc492454268"/>
      <w:r w:rsidRPr="00CA743F">
        <w:t>Indigenous status</w:t>
      </w:r>
      <w:bookmarkEnd w:id="90"/>
      <w:bookmarkEnd w:id="91"/>
    </w:p>
    <w:p w14:paraId="2C9485BB" w14:textId="77777777" w:rsidR="00341597" w:rsidRPr="00A83CAA" w:rsidRDefault="00341597" w:rsidP="00B67C70">
      <w:pPr>
        <w:pStyle w:val="ListParagraph"/>
      </w:pPr>
      <w:r w:rsidRPr="00A83CAA">
        <w:t>Nationally, there were 7120 applications made by Indigenous applicants</w:t>
      </w:r>
      <w:r>
        <w:rPr>
          <w:rStyle w:val="FootnoteReference"/>
        </w:rPr>
        <w:footnoteReference w:id="4"/>
      </w:r>
      <w:r w:rsidRPr="00A83CAA">
        <w:t xml:space="preserve"> in 2017, an increase of 5.5% compared with 2016. This represents 2.1% of all applications </w:t>
      </w:r>
      <w:r>
        <w:t>applied</w:t>
      </w:r>
      <w:r w:rsidRPr="00A83CAA">
        <w:t xml:space="preserve"> through </w:t>
      </w:r>
      <w:proofErr w:type="spellStart"/>
      <w:r w:rsidRPr="00A83CAA">
        <w:t>TACs</w:t>
      </w:r>
      <w:proofErr w:type="spellEnd"/>
      <w:r w:rsidRPr="00A83CAA">
        <w:t xml:space="preserve"> and directly to universities.</w:t>
      </w:r>
    </w:p>
    <w:p w14:paraId="58DB25FB" w14:textId="77777777" w:rsidR="00341597" w:rsidRPr="00AC1937" w:rsidRDefault="00341597" w:rsidP="00B67C70">
      <w:pPr>
        <w:pStyle w:val="ListParagraph"/>
      </w:pPr>
      <w:r w:rsidRPr="00B875BD">
        <w:t>Nationally</w:t>
      </w:r>
      <w:r>
        <w:t>,</w:t>
      </w:r>
      <w:r w:rsidRPr="00B875BD">
        <w:t xml:space="preserve"> </w:t>
      </w:r>
      <w:r>
        <w:t>5659</w:t>
      </w:r>
      <w:r w:rsidRPr="00B875BD">
        <w:t xml:space="preserve"> offers </w:t>
      </w:r>
      <w:r>
        <w:t>were made to Indigenous applicants, an increase of 3.3%.</w:t>
      </w:r>
    </w:p>
    <w:p w14:paraId="11A86EB8" w14:textId="77777777" w:rsidR="00341597" w:rsidRDefault="00341597" w:rsidP="00B67C70">
      <w:pPr>
        <w:pStyle w:val="ListParagraph"/>
      </w:pPr>
      <w:r>
        <w:t>As of 27</w:t>
      </w:r>
      <w:r w:rsidRPr="00731A44">
        <w:t xml:space="preserve"> February 201</w:t>
      </w:r>
      <w:r>
        <w:t>7</w:t>
      </w:r>
      <w:r w:rsidRPr="00731A44">
        <w:t xml:space="preserve">, </w:t>
      </w:r>
      <w:r>
        <w:t>just under</w:t>
      </w:r>
      <w:r w:rsidRPr="00731A44">
        <w:t xml:space="preserve"> </w:t>
      </w:r>
      <w:r>
        <w:t>four fifth of Indigenous applicants</w:t>
      </w:r>
      <w:r w:rsidRPr="00731A44">
        <w:t xml:space="preserve"> (</w:t>
      </w:r>
      <w:r>
        <w:t>79.5%)</w:t>
      </w:r>
      <w:r w:rsidRPr="00731A44">
        <w:t xml:space="preserve"> had </w:t>
      </w:r>
      <w:r>
        <w:t>received</w:t>
      </w:r>
      <w:r w:rsidRPr="00731A44">
        <w:t xml:space="preserve"> an offer</w:t>
      </w:r>
      <w:r w:rsidRPr="0072156E">
        <w:t>.</w:t>
      </w:r>
      <w:r>
        <w:t xml:space="preserve"> This is a de</w:t>
      </w:r>
      <w:r w:rsidRPr="00B875BD">
        <w:t xml:space="preserve">crease of </w:t>
      </w:r>
      <w:r>
        <w:t>1.7</w:t>
      </w:r>
      <w:r w:rsidRPr="00B875BD">
        <w:t xml:space="preserve"> percentage point</w:t>
      </w:r>
      <w:r>
        <w:t>s</w:t>
      </w:r>
      <w:r w:rsidRPr="00B875BD">
        <w:t xml:space="preserve"> compared with the same period last year.</w:t>
      </w:r>
      <w:r>
        <w:t xml:space="preserve"> </w:t>
      </w:r>
      <w:r w:rsidRPr="00B875BD">
        <w:t>The offer rate for n</w:t>
      </w:r>
      <w:r>
        <w:t>on-Indigenous applicants was 83.1</w:t>
      </w:r>
      <w:r w:rsidRPr="00B875BD">
        <w:t>% in 201</w:t>
      </w:r>
      <w:r>
        <w:t>7, a decrease of 1.2 percentage points over 2016</w:t>
      </w:r>
      <w:r w:rsidRPr="00B875BD">
        <w:t>.</w:t>
      </w:r>
      <w:bookmarkStart w:id="92" w:name="_Toc302565752"/>
      <w:bookmarkStart w:id="93" w:name="_Toc302565818"/>
      <w:bookmarkStart w:id="94" w:name="_Toc302565874"/>
      <w:bookmarkStart w:id="95" w:name="_Toc302565918"/>
      <w:bookmarkStart w:id="96" w:name="_Toc302983905"/>
      <w:bookmarkStart w:id="97" w:name="_Toc302985604"/>
      <w:bookmarkStart w:id="98" w:name="_Toc302985760"/>
      <w:bookmarkStart w:id="99" w:name="_Toc302985850"/>
      <w:bookmarkStart w:id="100" w:name="_Toc310626071"/>
    </w:p>
    <w:p w14:paraId="1F80171D" w14:textId="764CF38A" w:rsidR="007F72E7" w:rsidRDefault="007F72E7" w:rsidP="007F72E7">
      <w:pPr>
        <w:pStyle w:val="Caption"/>
        <w:keepNext/>
      </w:pPr>
      <w:r>
        <w:t xml:space="preserve">Figure </w:t>
      </w:r>
      <w:fldSimple w:instr=" SEQ Figure \* ARABIC ">
        <w:r w:rsidR="00E05F5D">
          <w:rPr>
            <w:noProof/>
          </w:rPr>
          <w:t>4</w:t>
        </w:r>
      </w:fldSimple>
      <w:r w:rsidRPr="002839E3">
        <w:t>: Offer rates by Indigenous status, February 2016 and February 2017</w:t>
      </w:r>
    </w:p>
    <w:p w14:paraId="3B3E1B47" w14:textId="77777777" w:rsidR="00341597" w:rsidRDefault="00341597" w:rsidP="00B67C70">
      <w:r>
        <w:rPr>
          <w:noProof/>
          <w:lang w:eastAsia="en-AU"/>
        </w:rPr>
        <w:drawing>
          <wp:inline distT="0" distB="0" distL="0" distR="0" wp14:anchorId="3FDC1D70" wp14:editId="7A6228E7">
            <wp:extent cx="5054957" cy="2653048"/>
            <wp:effectExtent l="0" t="0" r="0" b="0"/>
            <wp:docPr id="11" name="Picture 11" descr="The offer rate for Indigenous applicants was 79.5% in 2017, a decrease of 1.6 percentage points over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54050" cy="2652572"/>
                    </a:xfrm>
                    <a:prstGeom prst="rect">
                      <a:avLst/>
                    </a:prstGeom>
                    <a:noFill/>
                  </pic:spPr>
                </pic:pic>
              </a:graphicData>
            </a:graphic>
          </wp:inline>
        </w:drawing>
      </w:r>
    </w:p>
    <w:p w14:paraId="5B7AD50E" w14:textId="12FD90E4" w:rsidR="00D21F72" w:rsidRDefault="00D21F72" w:rsidP="00D21F72">
      <w:pPr>
        <w:pStyle w:val="Caption"/>
        <w:keepNext/>
      </w:pPr>
      <w:bookmarkStart w:id="101" w:name="_Toc492453645"/>
      <w:bookmarkStart w:id="102" w:name="_Toc492453870"/>
      <w:r>
        <w:lastRenderedPageBreak/>
        <w:t xml:space="preserve">Table </w:t>
      </w:r>
      <w:fldSimple w:instr=" SEQ Table \* ARABIC ">
        <w:r w:rsidR="00E05F5D">
          <w:rPr>
            <w:noProof/>
          </w:rPr>
          <w:t>14</w:t>
        </w:r>
      </w:fldSimple>
      <w:r w:rsidRPr="005131EE">
        <w:t>: Applicants and Offers by Indigenous status, February 2016 and February 2017</w:t>
      </w:r>
      <w:bookmarkEnd w:id="101"/>
      <w:bookmarkEnd w:id="102"/>
    </w:p>
    <w:tbl>
      <w:tblPr>
        <w:tblStyle w:val="DEEWRTable"/>
        <w:tblW w:w="5000" w:type="pct"/>
        <w:tblLook w:val="04A0" w:firstRow="1" w:lastRow="0" w:firstColumn="1" w:lastColumn="0" w:noHBand="0" w:noVBand="1"/>
      </w:tblPr>
      <w:tblGrid>
        <w:gridCol w:w="1539"/>
        <w:gridCol w:w="1187"/>
        <w:gridCol w:w="1416"/>
        <w:gridCol w:w="1135"/>
        <w:gridCol w:w="1275"/>
        <w:gridCol w:w="1418"/>
        <w:gridCol w:w="1272"/>
      </w:tblGrid>
      <w:tr w:rsidR="00341597" w:rsidRPr="00B875BD" w14:paraId="18EA7026" w14:textId="77777777" w:rsidTr="007F72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vMerge w:val="restart"/>
          </w:tcPr>
          <w:p w14:paraId="166D6C9D" w14:textId="77777777" w:rsidR="00341597" w:rsidRPr="009D30A5" w:rsidRDefault="00341597" w:rsidP="00A02290">
            <w:r>
              <w:t>Indigenous</w:t>
            </w:r>
          </w:p>
        </w:tc>
        <w:tc>
          <w:tcPr>
            <w:tcW w:w="2022" w:type="pct"/>
            <w:gridSpan w:val="3"/>
          </w:tcPr>
          <w:p w14:paraId="7EEC8E42" w14:textId="77777777" w:rsidR="00341597" w:rsidRPr="009D30A5" w:rsidRDefault="00341597" w:rsidP="00F44C09">
            <w:pPr>
              <w:jc w:val="center"/>
              <w:cnfStyle w:val="100000000000" w:firstRow="1" w:lastRow="0" w:firstColumn="0" w:lastColumn="0" w:oddVBand="0" w:evenVBand="0" w:oddHBand="0" w:evenHBand="0" w:firstRowFirstColumn="0" w:firstRowLastColumn="0" w:lastRowFirstColumn="0" w:lastRowLastColumn="0"/>
            </w:pPr>
            <w:r w:rsidRPr="009D30A5">
              <w:t>Applications</w:t>
            </w:r>
          </w:p>
        </w:tc>
        <w:tc>
          <w:tcPr>
            <w:tcW w:w="2146" w:type="pct"/>
            <w:gridSpan w:val="3"/>
            <w:tcBorders>
              <w:bottom w:val="nil"/>
            </w:tcBorders>
          </w:tcPr>
          <w:p w14:paraId="541A8844" w14:textId="77777777" w:rsidR="00341597" w:rsidRPr="009D30A5" w:rsidRDefault="00341597" w:rsidP="00F44C09">
            <w:pPr>
              <w:jc w:val="center"/>
              <w:cnfStyle w:val="100000000000" w:firstRow="1" w:lastRow="0" w:firstColumn="0" w:lastColumn="0" w:oddVBand="0" w:evenVBand="0" w:oddHBand="0" w:evenHBand="0" w:firstRowFirstColumn="0" w:firstRowLastColumn="0" w:lastRowFirstColumn="0" w:lastRowLastColumn="0"/>
            </w:pPr>
            <w:r w:rsidRPr="009D30A5">
              <w:t>Offers</w:t>
            </w:r>
          </w:p>
        </w:tc>
      </w:tr>
      <w:tr w:rsidR="00341597" w:rsidRPr="00B875BD" w14:paraId="4E3E9F4B" w14:textId="77777777" w:rsidTr="007F7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vMerge/>
            <w:hideMark/>
          </w:tcPr>
          <w:p w14:paraId="74DD144E" w14:textId="77777777" w:rsidR="00341597" w:rsidRPr="009D30A5" w:rsidRDefault="00341597" w:rsidP="00341597">
            <w:pPr>
              <w:spacing w:before="100" w:beforeAutospacing="1" w:after="100" w:afterAutospacing="1"/>
              <w:rPr>
                <w:b w:val="0"/>
              </w:rPr>
            </w:pPr>
          </w:p>
        </w:tc>
        <w:tc>
          <w:tcPr>
            <w:tcW w:w="642" w:type="pct"/>
          </w:tcPr>
          <w:p w14:paraId="6060DE82" w14:textId="77777777" w:rsidR="00341597" w:rsidRPr="009D30A5"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0A5">
              <w:t>201</w:t>
            </w:r>
            <w:r>
              <w:t>6</w:t>
            </w:r>
          </w:p>
        </w:tc>
        <w:tc>
          <w:tcPr>
            <w:tcW w:w="766" w:type="pct"/>
            <w:hideMark/>
          </w:tcPr>
          <w:p w14:paraId="7F4509E6" w14:textId="77777777" w:rsidR="00341597" w:rsidRPr="009D30A5"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0A5">
              <w:t>201</w:t>
            </w:r>
            <w:r>
              <w:t>7</w:t>
            </w:r>
          </w:p>
        </w:tc>
        <w:tc>
          <w:tcPr>
            <w:tcW w:w="614" w:type="pct"/>
            <w:tcBorders>
              <w:right w:val="single" w:sz="4" w:space="0" w:color="auto"/>
            </w:tcBorders>
          </w:tcPr>
          <w:p w14:paraId="1699B33E" w14:textId="77777777" w:rsidR="00341597" w:rsidRPr="009D30A5"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0A5">
              <w:t>Change</w:t>
            </w:r>
          </w:p>
        </w:tc>
        <w:tc>
          <w:tcPr>
            <w:tcW w:w="690" w:type="pct"/>
            <w:tcBorders>
              <w:left w:val="single" w:sz="4" w:space="0" w:color="auto"/>
              <w:bottom w:val="nil"/>
            </w:tcBorders>
          </w:tcPr>
          <w:p w14:paraId="217E2093" w14:textId="77777777" w:rsidR="00341597" w:rsidRPr="009D30A5"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0A5">
              <w:t>201</w:t>
            </w:r>
            <w:r>
              <w:t>6</w:t>
            </w:r>
          </w:p>
        </w:tc>
        <w:tc>
          <w:tcPr>
            <w:tcW w:w="767" w:type="pct"/>
            <w:tcBorders>
              <w:bottom w:val="nil"/>
            </w:tcBorders>
          </w:tcPr>
          <w:p w14:paraId="7EB47314" w14:textId="77777777" w:rsidR="00341597" w:rsidRPr="009D30A5"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0A5">
              <w:t>201</w:t>
            </w:r>
            <w:r>
              <w:t>7</w:t>
            </w:r>
          </w:p>
        </w:tc>
        <w:tc>
          <w:tcPr>
            <w:tcW w:w="689" w:type="pct"/>
            <w:tcBorders>
              <w:bottom w:val="nil"/>
            </w:tcBorders>
          </w:tcPr>
          <w:p w14:paraId="6BAFB1A3" w14:textId="77777777" w:rsidR="00341597" w:rsidRPr="009D30A5"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D30A5">
              <w:t>Change</w:t>
            </w:r>
          </w:p>
        </w:tc>
      </w:tr>
      <w:tr w:rsidR="00341597" w:rsidRPr="0054157D" w14:paraId="1AF46DB8" w14:textId="77777777" w:rsidTr="007F72E7">
        <w:tc>
          <w:tcPr>
            <w:cnfStyle w:val="001000000000" w:firstRow="0" w:lastRow="0" w:firstColumn="1" w:lastColumn="0" w:oddVBand="0" w:evenVBand="0" w:oddHBand="0" w:evenHBand="0" w:firstRowFirstColumn="0" w:firstRowLastColumn="0" w:lastRowFirstColumn="0" w:lastRowLastColumn="0"/>
            <w:tcW w:w="833" w:type="pct"/>
            <w:noWrap/>
          </w:tcPr>
          <w:p w14:paraId="5371DB6F" w14:textId="77777777" w:rsidR="00341597" w:rsidRPr="000110C9" w:rsidRDefault="00341597" w:rsidP="00A02290">
            <w:r w:rsidRPr="000110C9">
              <w:t>Indigenous</w:t>
            </w:r>
          </w:p>
        </w:tc>
        <w:tc>
          <w:tcPr>
            <w:tcW w:w="642" w:type="pct"/>
          </w:tcPr>
          <w:p w14:paraId="51FC0D56" w14:textId="77777777" w:rsidR="00341597" w:rsidRPr="00D26A7E"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D26A7E">
              <w:t>6,752</w:t>
            </w:r>
          </w:p>
        </w:tc>
        <w:tc>
          <w:tcPr>
            <w:tcW w:w="766" w:type="pct"/>
            <w:noWrap/>
          </w:tcPr>
          <w:p w14:paraId="4D98782E" w14:textId="77777777" w:rsidR="00341597" w:rsidRPr="00D26A7E"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D26A7E">
              <w:t>7,120</w:t>
            </w:r>
          </w:p>
        </w:tc>
        <w:tc>
          <w:tcPr>
            <w:tcW w:w="614" w:type="pct"/>
            <w:tcBorders>
              <w:right w:val="single" w:sz="4" w:space="0" w:color="auto"/>
            </w:tcBorders>
          </w:tcPr>
          <w:p w14:paraId="6D4751AD" w14:textId="77777777" w:rsidR="00341597" w:rsidRPr="00D26A7E"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D26A7E">
              <w:t>5.5%</w:t>
            </w:r>
          </w:p>
        </w:tc>
        <w:tc>
          <w:tcPr>
            <w:tcW w:w="690" w:type="pct"/>
            <w:tcBorders>
              <w:left w:val="single" w:sz="4" w:space="0" w:color="auto"/>
              <w:bottom w:val="nil"/>
            </w:tcBorders>
          </w:tcPr>
          <w:p w14:paraId="6415594C" w14:textId="77777777" w:rsidR="00341597" w:rsidRPr="00D26A7E"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D26A7E">
              <w:t>5,478</w:t>
            </w:r>
          </w:p>
        </w:tc>
        <w:tc>
          <w:tcPr>
            <w:tcW w:w="767" w:type="pct"/>
            <w:tcBorders>
              <w:bottom w:val="nil"/>
            </w:tcBorders>
          </w:tcPr>
          <w:p w14:paraId="220FB7C4" w14:textId="77777777" w:rsidR="00341597" w:rsidRPr="00D26A7E"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D26A7E">
              <w:t>5,659</w:t>
            </w:r>
          </w:p>
        </w:tc>
        <w:tc>
          <w:tcPr>
            <w:tcW w:w="689" w:type="pct"/>
            <w:tcBorders>
              <w:bottom w:val="nil"/>
            </w:tcBorders>
          </w:tcPr>
          <w:p w14:paraId="5009970B" w14:textId="77777777" w:rsidR="00341597" w:rsidRPr="00D26A7E"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D26A7E">
              <w:t>3.3%</w:t>
            </w:r>
          </w:p>
        </w:tc>
      </w:tr>
      <w:tr w:rsidR="00341597" w:rsidRPr="0054157D" w14:paraId="0834AA11" w14:textId="77777777" w:rsidTr="007F7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noWrap/>
          </w:tcPr>
          <w:p w14:paraId="2E21F4D3" w14:textId="77777777" w:rsidR="00341597" w:rsidRPr="000110C9" w:rsidRDefault="00341597" w:rsidP="00A02290">
            <w:r w:rsidRPr="000110C9">
              <w:t>Non-Indigenous</w:t>
            </w:r>
          </w:p>
        </w:tc>
        <w:tc>
          <w:tcPr>
            <w:tcW w:w="642" w:type="pct"/>
          </w:tcPr>
          <w:p w14:paraId="67BA1958" w14:textId="77777777" w:rsidR="00341597" w:rsidRPr="00D26A7E"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D26A7E">
              <w:t>317,986</w:t>
            </w:r>
          </w:p>
        </w:tc>
        <w:tc>
          <w:tcPr>
            <w:tcW w:w="766" w:type="pct"/>
            <w:noWrap/>
          </w:tcPr>
          <w:p w14:paraId="696B24E0" w14:textId="77777777" w:rsidR="00341597" w:rsidRPr="00D26A7E"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D26A7E">
              <w:t>320,788</w:t>
            </w:r>
          </w:p>
        </w:tc>
        <w:tc>
          <w:tcPr>
            <w:tcW w:w="614" w:type="pct"/>
            <w:tcBorders>
              <w:right w:val="single" w:sz="4" w:space="0" w:color="auto"/>
            </w:tcBorders>
          </w:tcPr>
          <w:p w14:paraId="4E729265" w14:textId="77777777" w:rsidR="00341597" w:rsidRPr="00D26A7E"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D26A7E">
              <w:t>0.9%</w:t>
            </w:r>
          </w:p>
        </w:tc>
        <w:tc>
          <w:tcPr>
            <w:tcW w:w="690" w:type="pct"/>
            <w:tcBorders>
              <w:left w:val="single" w:sz="4" w:space="0" w:color="auto"/>
              <w:bottom w:val="nil"/>
            </w:tcBorders>
          </w:tcPr>
          <w:p w14:paraId="1C67118C" w14:textId="77777777" w:rsidR="00341597" w:rsidRPr="00D26A7E"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D26A7E">
              <w:t>267,911</w:t>
            </w:r>
          </w:p>
        </w:tc>
        <w:tc>
          <w:tcPr>
            <w:tcW w:w="767" w:type="pct"/>
            <w:tcBorders>
              <w:bottom w:val="nil"/>
            </w:tcBorders>
          </w:tcPr>
          <w:p w14:paraId="3918EE11" w14:textId="77777777" w:rsidR="00341597" w:rsidRPr="00D26A7E"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D26A7E">
              <w:t>266,465</w:t>
            </w:r>
          </w:p>
        </w:tc>
        <w:tc>
          <w:tcPr>
            <w:tcW w:w="689" w:type="pct"/>
            <w:tcBorders>
              <w:bottom w:val="nil"/>
            </w:tcBorders>
          </w:tcPr>
          <w:p w14:paraId="0C71E396" w14:textId="77777777" w:rsidR="00341597" w:rsidRPr="00D26A7E"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D26A7E">
              <w:t>-0.5%</w:t>
            </w:r>
          </w:p>
        </w:tc>
      </w:tr>
      <w:tr w:rsidR="00341597" w:rsidRPr="0054157D" w14:paraId="5D3FAE84" w14:textId="77777777" w:rsidTr="007F72E7">
        <w:tc>
          <w:tcPr>
            <w:cnfStyle w:val="001000000000" w:firstRow="0" w:lastRow="0" w:firstColumn="1" w:lastColumn="0" w:oddVBand="0" w:evenVBand="0" w:oddHBand="0" w:evenHBand="0" w:firstRowFirstColumn="0" w:firstRowLastColumn="0" w:lastRowFirstColumn="0" w:lastRowLastColumn="0"/>
            <w:tcW w:w="833" w:type="pct"/>
            <w:noWrap/>
          </w:tcPr>
          <w:p w14:paraId="676D06F8" w14:textId="77777777" w:rsidR="00341597" w:rsidRPr="007D636D" w:rsidRDefault="00341597" w:rsidP="00A02290">
            <w:r w:rsidRPr="007D636D">
              <w:t>Total*</w:t>
            </w:r>
          </w:p>
        </w:tc>
        <w:tc>
          <w:tcPr>
            <w:tcW w:w="642" w:type="pct"/>
          </w:tcPr>
          <w:p w14:paraId="5CB14C28" w14:textId="77777777" w:rsidR="00341597" w:rsidRPr="00D26A7E"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D26A7E">
              <w:t>335,327</w:t>
            </w:r>
          </w:p>
        </w:tc>
        <w:tc>
          <w:tcPr>
            <w:tcW w:w="766" w:type="pct"/>
            <w:noWrap/>
          </w:tcPr>
          <w:p w14:paraId="18C3823C" w14:textId="77777777" w:rsidR="00341597" w:rsidRPr="00D26A7E"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D26A7E">
              <w:t>340,027</w:t>
            </w:r>
          </w:p>
        </w:tc>
        <w:tc>
          <w:tcPr>
            <w:tcW w:w="614" w:type="pct"/>
            <w:tcBorders>
              <w:right w:val="single" w:sz="4" w:space="0" w:color="auto"/>
            </w:tcBorders>
          </w:tcPr>
          <w:p w14:paraId="1F67FA43" w14:textId="77777777" w:rsidR="00341597" w:rsidRPr="00D26A7E"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D26A7E">
              <w:t>1.4%</w:t>
            </w:r>
          </w:p>
        </w:tc>
        <w:tc>
          <w:tcPr>
            <w:tcW w:w="690" w:type="pct"/>
            <w:tcBorders>
              <w:left w:val="single" w:sz="4" w:space="0" w:color="auto"/>
              <w:bottom w:val="single" w:sz="4" w:space="0" w:color="auto"/>
            </w:tcBorders>
          </w:tcPr>
          <w:p w14:paraId="72F8943C" w14:textId="77777777" w:rsidR="00341597" w:rsidRPr="00D26A7E"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D26A7E">
              <w:t>281,549</w:t>
            </w:r>
          </w:p>
        </w:tc>
        <w:tc>
          <w:tcPr>
            <w:tcW w:w="767" w:type="pct"/>
            <w:tcBorders>
              <w:bottom w:val="single" w:sz="4" w:space="0" w:color="auto"/>
            </w:tcBorders>
          </w:tcPr>
          <w:p w14:paraId="455BAEF8" w14:textId="77777777" w:rsidR="00341597" w:rsidRPr="00D26A7E"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D26A7E">
              <w:t>281,113</w:t>
            </w:r>
          </w:p>
        </w:tc>
        <w:tc>
          <w:tcPr>
            <w:tcW w:w="689" w:type="pct"/>
            <w:tcBorders>
              <w:bottom w:val="single" w:sz="4" w:space="0" w:color="auto"/>
            </w:tcBorders>
          </w:tcPr>
          <w:p w14:paraId="69542C98" w14:textId="77777777" w:rsidR="00341597" w:rsidRPr="00D26A7E"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D26A7E">
              <w:t>-0.2%</w:t>
            </w:r>
          </w:p>
        </w:tc>
      </w:tr>
    </w:tbl>
    <w:p w14:paraId="0AE3CBD2" w14:textId="77777777" w:rsidR="00341597" w:rsidRDefault="00341597" w:rsidP="00341597">
      <w:r w:rsidRPr="006F04A7">
        <w:t xml:space="preserve">*The Australia total includes data that could not be </w:t>
      </w:r>
      <w:r>
        <w:t>assigned to an Indigenous status</w:t>
      </w:r>
      <w:r w:rsidRPr="006F04A7">
        <w:t>.</w:t>
      </w:r>
      <w:bookmarkEnd w:id="92"/>
      <w:bookmarkEnd w:id="93"/>
      <w:bookmarkEnd w:id="94"/>
      <w:bookmarkEnd w:id="95"/>
      <w:bookmarkEnd w:id="96"/>
      <w:bookmarkEnd w:id="97"/>
      <w:bookmarkEnd w:id="98"/>
      <w:bookmarkEnd w:id="99"/>
      <w:bookmarkEnd w:id="100"/>
    </w:p>
    <w:p w14:paraId="02F10424" w14:textId="2D720984" w:rsidR="00341597" w:rsidRPr="00B67C70" w:rsidRDefault="00341597" w:rsidP="007F72E7">
      <w:pPr>
        <w:pStyle w:val="Heading1"/>
      </w:pPr>
      <w:bookmarkStart w:id="103" w:name="_Toc416445760"/>
      <w:bookmarkStart w:id="104" w:name="_Toc447188868"/>
      <w:bookmarkStart w:id="105" w:name="_Toc480816337"/>
      <w:bookmarkStart w:id="106" w:name="_Toc492454269"/>
      <w:bookmarkStart w:id="107" w:name="_Toc244329151"/>
      <w:bookmarkStart w:id="108" w:name="_Toc247959714"/>
      <w:bookmarkStart w:id="109" w:name="_Toc247959799"/>
      <w:bookmarkEnd w:id="33"/>
      <w:bookmarkEnd w:id="34"/>
      <w:bookmarkEnd w:id="35"/>
      <w:bookmarkEnd w:id="83"/>
      <w:r w:rsidRPr="00A86F09">
        <w:lastRenderedPageBreak/>
        <w:t xml:space="preserve">University </w:t>
      </w:r>
      <w:r w:rsidRPr="007F72E7">
        <w:t>Group</w:t>
      </w:r>
      <w:bookmarkEnd w:id="103"/>
      <w:bookmarkEnd w:id="104"/>
      <w:bookmarkEnd w:id="105"/>
      <w:bookmarkEnd w:id="106"/>
    </w:p>
    <w:p w14:paraId="733895EB" w14:textId="77777777" w:rsidR="00341597" w:rsidRPr="00CA743F" w:rsidRDefault="00341597" w:rsidP="00CA743F">
      <w:pPr>
        <w:pStyle w:val="Heading2"/>
      </w:pPr>
      <w:bookmarkStart w:id="110" w:name="_Toc416445761"/>
      <w:bookmarkStart w:id="111" w:name="_Toc492454270"/>
      <w:r w:rsidRPr="00CA743F">
        <w:t>Applications</w:t>
      </w:r>
      <w:bookmarkEnd w:id="110"/>
      <w:bookmarkEnd w:id="111"/>
    </w:p>
    <w:p w14:paraId="5CDC4518" w14:textId="77777777" w:rsidR="00341597" w:rsidRDefault="00341597" w:rsidP="00B67C70">
      <w:bookmarkStart w:id="112" w:name="_Toc416445762"/>
      <w:r>
        <w:t>The Innovative Research Universities (</w:t>
      </w:r>
      <w:proofErr w:type="spellStart"/>
      <w:r>
        <w:t>IRU</w:t>
      </w:r>
      <w:proofErr w:type="spellEnd"/>
      <w:r>
        <w:t>) recorded the largest increase in applications (6.9%), followed by Australian Technology Network (</w:t>
      </w:r>
      <w:proofErr w:type="spellStart"/>
      <w:r>
        <w:t>ATN</w:t>
      </w:r>
      <w:proofErr w:type="spellEnd"/>
      <w:r>
        <w:t>) (6.1%) in 2017.</w:t>
      </w:r>
    </w:p>
    <w:p w14:paraId="3998B89F" w14:textId="77777777" w:rsidR="00341597" w:rsidRDefault="00341597" w:rsidP="00B67C70">
      <w:r>
        <w:t>Applications decreased among the other two university groups with applications to the Group of Eight (</w:t>
      </w:r>
      <w:proofErr w:type="spellStart"/>
      <w:r>
        <w:t>Go8</w:t>
      </w:r>
      <w:proofErr w:type="spellEnd"/>
      <w:r>
        <w:t xml:space="preserve">) and Regional Universities Network (RUN) decreasing by 2.8% and 2.2%, respectively. </w:t>
      </w:r>
    </w:p>
    <w:p w14:paraId="15C65630" w14:textId="600EF9F9" w:rsidR="00341597" w:rsidRPr="00CA743F" w:rsidRDefault="00341597" w:rsidP="00CA743F">
      <w:pPr>
        <w:pStyle w:val="Heading2"/>
      </w:pPr>
      <w:bookmarkStart w:id="113" w:name="_Toc492454271"/>
      <w:r w:rsidRPr="00CA743F">
        <w:t>Offers</w:t>
      </w:r>
      <w:bookmarkEnd w:id="112"/>
      <w:bookmarkEnd w:id="113"/>
    </w:p>
    <w:p w14:paraId="74E53604" w14:textId="77777777" w:rsidR="00341597" w:rsidRPr="00653533" w:rsidRDefault="00341597" w:rsidP="00341597">
      <w:r w:rsidRPr="00315747">
        <w:t xml:space="preserve">The </w:t>
      </w:r>
      <w:proofErr w:type="spellStart"/>
      <w:r w:rsidRPr="00315747">
        <w:t>IRU</w:t>
      </w:r>
      <w:proofErr w:type="spellEnd"/>
      <w:r w:rsidRPr="00315747">
        <w:t xml:space="preserve"> universities recorded the largest increase in offers (5.3%)</w:t>
      </w:r>
      <w:r>
        <w:t>,</w:t>
      </w:r>
      <w:r w:rsidRPr="00315747">
        <w:t xml:space="preserve"> followed by </w:t>
      </w:r>
      <w:proofErr w:type="spellStart"/>
      <w:r w:rsidRPr="00315747">
        <w:t>ATN</w:t>
      </w:r>
      <w:proofErr w:type="spellEnd"/>
      <w:r w:rsidRPr="00315747">
        <w:t xml:space="preserve"> universities (1.4%) in 2017. Offers by the other two university groups decreased, where the </w:t>
      </w:r>
      <w:proofErr w:type="spellStart"/>
      <w:r w:rsidRPr="00315747">
        <w:t>Go8</w:t>
      </w:r>
      <w:proofErr w:type="spellEnd"/>
      <w:r w:rsidRPr="00315747">
        <w:t xml:space="preserve"> and RUN universities recorded decrease</w:t>
      </w:r>
      <w:r>
        <w:t>s</w:t>
      </w:r>
      <w:r w:rsidRPr="00315747">
        <w:t xml:space="preserve"> of -1.6% and -1.3%, respectively.</w:t>
      </w:r>
    </w:p>
    <w:p w14:paraId="29F2F5FD" w14:textId="1BCB27AC" w:rsidR="00D21F72" w:rsidRDefault="00D21F72" w:rsidP="00D21F72">
      <w:pPr>
        <w:pStyle w:val="Caption"/>
        <w:keepNext/>
      </w:pPr>
      <w:bookmarkStart w:id="114" w:name="_Toc492453646"/>
      <w:bookmarkStart w:id="115" w:name="_Toc492453871"/>
      <w:r>
        <w:t xml:space="preserve">Table </w:t>
      </w:r>
      <w:fldSimple w:instr=" SEQ Table \* ARABIC ">
        <w:r w:rsidR="00E05F5D">
          <w:rPr>
            <w:noProof/>
          </w:rPr>
          <w:t>15</w:t>
        </w:r>
      </w:fldSimple>
      <w:r w:rsidRPr="0048612F">
        <w:t>: Applicants and offers by university group, February 2016 and February 2017</w:t>
      </w:r>
      <w:bookmarkEnd w:id="114"/>
      <w:bookmarkEnd w:id="115"/>
    </w:p>
    <w:tbl>
      <w:tblPr>
        <w:tblStyle w:val="DEEWRTable"/>
        <w:tblW w:w="5000" w:type="pct"/>
        <w:tblLook w:val="04A0" w:firstRow="1" w:lastRow="0" w:firstColumn="1" w:lastColumn="0" w:noHBand="0" w:noVBand="1"/>
      </w:tblPr>
      <w:tblGrid>
        <w:gridCol w:w="3392"/>
        <w:gridCol w:w="974"/>
        <w:gridCol w:w="976"/>
        <w:gridCol w:w="978"/>
        <w:gridCol w:w="976"/>
        <w:gridCol w:w="976"/>
        <w:gridCol w:w="970"/>
      </w:tblGrid>
      <w:tr w:rsidR="00341597" w:rsidRPr="00B875BD" w14:paraId="215614FC" w14:textId="77777777" w:rsidTr="007F72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5" w:type="pct"/>
            <w:vMerge w:val="restart"/>
            <w:hideMark/>
          </w:tcPr>
          <w:p w14:paraId="3F3D32CB" w14:textId="77777777" w:rsidR="00341597" w:rsidRPr="000D0DEB" w:rsidRDefault="00341597" w:rsidP="00A02290">
            <w:pPr>
              <w:rPr>
                <w:rFonts w:cs="Calibri"/>
              </w:rPr>
            </w:pPr>
            <w:r w:rsidRPr="000D0DEB">
              <w:t>Type of university</w:t>
            </w:r>
          </w:p>
        </w:tc>
        <w:tc>
          <w:tcPr>
            <w:tcW w:w="1584" w:type="pct"/>
            <w:gridSpan w:val="3"/>
            <w:hideMark/>
          </w:tcPr>
          <w:p w14:paraId="29D27DC0" w14:textId="77777777" w:rsidR="00341597" w:rsidRPr="000D0DEB" w:rsidRDefault="00341597" w:rsidP="00F44C09">
            <w:pPr>
              <w:jc w:val="center"/>
              <w:cnfStyle w:val="100000000000" w:firstRow="1" w:lastRow="0" w:firstColumn="0" w:lastColumn="0" w:oddVBand="0" w:evenVBand="0" w:oddHBand="0" w:evenHBand="0" w:firstRowFirstColumn="0" w:firstRowLastColumn="0" w:lastRowFirstColumn="0" w:lastRowLastColumn="0"/>
              <w:rPr>
                <w:rFonts w:cs="Calibri"/>
              </w:rPr>
            </w:pPr>
            <w:r w:rsidRPr="000D0DEB">
              <w:t>Applica</w:t>
            </w:r>
            <w:r>
              <w:t>nts</w:t>
            </w:r>
          </w:p>
        </w:tc>
        <w:tc>
          <w:tcPr>
            <w:tcW w:w="1581" w:type="pct"/>
            <w:gridSpan w:val="3"/>
            <w:tcBorders>
              <w:bottom w:val="nil"/>
            </w:tcBorders>
            <w:hideMark/>
          </w:tcPr>
          <w:p w14:paraId="0B2EE6BA" w14:textId="77777777" w:rsidR="00341597" w:rsidRPr="000D0DEB" w:rsidRDefault="00341597" w:rsidP="00F44C09">
            <w:pPr>
              <w:jc w:val="center"/>
              <w:cnfStyle w:val="100000000000" w:firstRow="1" w:lastRow="0" w:firstColumn="0" w:lastColumn="0" w:oddVBand="0" w:evenVBand="0" w:oddHBand="0" w:evenHBand="0" w:firstRowFirstColumn="0" w:firstRowLastColumn="0" w:lastRowFirstColumn="0" w:lastRowLastColumn="0"/>
            </w:pPr>
            <w:r w:rsidRPr="000D0DEB">
              <w:t>Offers</w:t>
            </w:r>
          </w:p>
        </w:tc>
      </w:tr>
      <w:tr w:rsidR="00341597" w:rsidRPr="00B875BD" w14:paraId="4F1115AC" w14:textId="77777777" w:rsidTr="007F7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5" w:type="pct"/>
            <w:vMerge/>
            <w:hideMark/>
          </w:tcPr>
          <w:p w14:paraId="7E6FCFD9" w14:textId="77777777" w:rsidR="00341597" w:rsidRPr="000D0DEB" w:rsidRDefault="00341597" w:rsidP="00341597">
            <w:pPr>
              <w:spacing w:before="100" w:beforeAutospacing="1" w:after="100" w:afterAutospacing="1"/>
              <w:rPr>
                <w:b w:val="0"/>
              </w:rPr>
            </w:pPr>
          </w:p>
        </w:tc>
        <w:tc>
          <w:tcPr>
            <w:tcW w:w="527" w:type="pct"/>
            <w:hideMark/>
          </w:tcPr>
          <w:p w14:paraId="2285C2E7" w14:textId="77777777" w:rsidR="00341597" w:rsidRPr="000D0DEB"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0D0DEB">
              <w:t>201</w:t>
            </w:r>
            <w:r>
              <w:t>6</w:t>
            </w:r>
          </w:p>
        </w:tc>
        <w:tc>
          <w:tcPr>
            <w:tcW w:w="528" w:type="pct"/>
            <w:hideMark/>
          </w:tcPr>
          <w:p w14:paraId="0092D031" w14:textId="77777777" w:rsidR="00341597" w:rsidRPr="000D0DEB"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0D0DEB">
              <w:t>201</w:t>
            </w:r>
            <w:r>
              <w:t>7</w:t>
            </w:r>
          </w:p>
        </w:tc>
        <w:tc>
          <w:tcPr>
            <w:tcW w:w="528" w:type="pct"/>
            <w:tcBorders>
              <w:right w:val="single" w:sz="4" w:space="0" w:color="auto"/>
            </w:tcBorders>
            <w:hideMark/>
          </w:tcPr>
          <w:p w14:paraId="1B49AB17" w14:textId="77777777" w:rsidR="00341597" w:rsidRPr="000D0DEB"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0D0DEB">
              <w:t>Change</w:t>
            </w:r>
          </w:p>
        </w:tc>
        <w:tc>
          <w:tcPr>
            <w:tcW w:w="528" w:type="pct"/>
            <w:tcBorders>
              <w:left w:val="single" w:sz="4" w:space="0" w:color="auto"/>
              <w:bottom w:val="nil"/>
            </w:tcBorders>
            <w:hideMark/>
          </w:tcPr>
          <w:p w14:paraId="7435492D" w14:textId="77777777" w:rsidR="00341597" w:rsidRPr="000D0DEB"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0D0DEB">
              <w:t>201</w:t>
            </w:r>
            <w:r>
              <w:t>6</w:t>
            </w:r>
          </w:p>
        </w:tc>
        <w:tc>
          <w:tcPr>
            <w:tcW w:w="528" w:type="pct"/>
            <w:tcBorders>
              <w:bottom w:val="nil"/>
            </w:tcBorders>
            <w:hideMark/>
          </w:tcPr>
          <w:p w14:paraId="3B45350D" w14:textId="77777777" w:rsidR="00341597" w:rsidRPr="000D0DEB"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0D0DEB">
              <w:t>201</w:t>
            </w:r>
            <w:r>
              <w:t>7</w:t>
            </w:r>
          </w:p>
        </w:tc>
        <w:tc>
          <w:tcPr>
            <w:tcW w:w="525" w:type="pct"/>
            <w:tcBorders>
              <w:bottom w:val="nil"/>
            </w:tcBorders>
            <w:hideMark/>
          </w:tcPr>
          <w:p w14:paraId="691112F4" w14:textId="77777777" w:rsidR="00341597" w:rsidRPr="000D0DEB"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0D0DEB">
              <w:t>Change</w:t>
            </w:r>
          </w:p>
        </w:tc>
      </w:tr>
      <w:tr w:rsidR="00341597" w:rsidRPr="00653533" w14:paraId="0280F639" w14:textId="77777777" w:rsidTr="007F72E7">
        <w:tc>
          <w:tcPr>
            <w:cnfStyle w:val="001000000000" w:firstRow="0" w:lastRow="0" w:firstColumn="1" w:lastColumn="0" w:oddVBand="0" w:evenVBand="0" w:oddHBand="0" w:evenHBand="0" w:firstRowFirstColumn="0" w:firstRowLastColumn="0" w:lastRowFirstColumn="0" w:lastRowLastColumn="0"/>
            <w:tcW w:w="1835" w:type="pct"/>
            <w:noWrap/>
          </w:tcPr>
          <w:p w14:paraId="5D794B10" w14:textId="77777777" w:rsidR="00341597" w:rsidRPr="001D076C" w:rsidRDefault="00341597" w:rsidP="00A02290">
            <w:r w:rsidRPr="001D076C">
              <w:t>Group of Eight (</w:t>
            </w:r>
            <w:proofErr w:type="spellStart"/>
            <w:r w:rsidRPr="001D076C">
              <w:t>Go8</w:t>
            </w:r>
            <w:proofErr w:type="spellEnd"/>
            <w:r w:rsidRPr="001D076C">
              <w:t>)</w:t>
            </w:r>
          </w:p>
        </w:tc>
        <w:tc>
          <w:tcPr>
            <w:tcW w:w="527" w:type="pct"/>
            <w:noWrap/>
          </w:tcPr>
          <w:p w14:paraId="11418E04" w14:textId="77777777" w:rsidR="00341597" w:rsidRPr="005A0677"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5A0677">
              <w:t>77,644</w:t>
            </w:r>
          </w:p>
        </w:tc>
        <w:tc>
          <w:tcPr>
            <w:tcW w:w="528" w:type="pct"/>
            <w:noWrap/>
          </w:tcPr>
          <w:p w14:paraId="1AF1E3D5" w14:textId="77777777" w:rsidR="00341597" w:rsidRPr="005A0677"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5A0677">
              <w:t>75,474</w:t>
            </w:r>
          </w:p>
        </w:tc>
        <w:tc>
          <w:tcPr>
            <w:tcW w:w="528" w:type="pct"/>
            <w:tcBorders>
              <w:right w:val="single" w:sz="4" w:space="0" w:color="auto"/>
            </w:tcBorders>
            <w:noWrap/>
          </w:tcPr>
          <w:p w14:paraId="4CBE1495" w14:textId="77777777" w:rsidR="00341597" w:rsidRPr="005A0677"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5A0677">
              <w:t>-2.8%</w:t>
            </w:r>
          </w:p>
        </w:tc>
        <w:tc>
          <w:tcPr>
            <w:tcW w:w="528" w:type="pct"/>
            <w:tcBorders>
              <w:left w:val="single" w:sz="4" w:space="0" w:color="auto"/>
              <w:bottom w:val="nil"/>
            </w:tcBorders>
            <w:noWrap/>
          </w:tcPr>
          <w:p w14:paraId="3328666E" w14:textId="77777777" w:rsidR="00341597" w:rsidRPr="005A0677"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5A0677">
              <w:t>57,052</w:t>
            </w:r>
          </w:p>
        </w:tc>
        <w:tc>
          <w:tcPr>
            <w:tcW w:w="528" w:type="pct"/>
            <w:tcBorders>
              <w:bottom w:val="nil"/>
            </w:tcBorders>
            <w:noWrap/>
          </w:tcPr>
          <w:p w14:paraId="2FEE5CAF" w14:textId="77777777" w:rsidR="00341597" w:rsidRPr="005A0677"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5A0677">
              <w:t>56</w:t>
            </w:r>
            <w:r>
              <w:t>,</w:t>
            </w:r>
            <w:r w:rsidRPr="005A0677">
              <w:t>127</w:t>
            </w:r>
          </w:p>
        </w:tc>
        <w:tc>
          <w:tcPr>
            <w:tcW w:w="525" w:type="pct"/>
            <w:tcBorders>
              <w:bottom w:val="nil"/>
            </w:tcBorders>
            <w:noWrap/>
          </w:tcPr>
          <w:p w14:paraId="66666D6E" w14:textId="77777777" w:rsidR="00341597" w:rsidRPr="005A0677"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5A0677">
              <w:t>-1.6%</w:t>
            </w:r>
          </w:p>
        </w:tc>
      </w:tr>
      <w:tr w:rsidR="00341597" w:rsidRPr="00653533" w14:paraId="6174E57B" w14:textId="77777777" w:rsidTr="007F7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5" w:type="pct"/>
            <w:noWrap/>
            <w:hideMark/>
          </w:tcPr>
          <w:p w14:paraId="28729358" w14:textId="77777777" w:rsidR="00341597" w:rsidRPr="00B875BD" w:rsidRDefault="00341597" w:rsidP="00A02290">
            <w:r w:rsidRPr="00B875BD">
              <w:t>Australian Technology Network</w:t>
            </w:r>
            <w:r>
              <w:t xml:space="preserve"> (</w:t>
            </w:r>
            <w:proofErr w:type="spellStart"/>
            <w:r>
              <w:t>ATN</w:t>
            </w:r>
            <w:proofErr w:type="spellEnd"/>
            <w:r>
              <w:t>)</w:t>
            </w:r>
          </w:p>
        </w:tc>
        <w:tc>
          <w:tcPr>
            <w:tcW w:w="527" w:type="pct"/>
            <w:noWrap/>
          </w:tcPr>
          <w:p w14:paraId="4E8B5802" w14:textId="77777777" w:rsidR="00341597" w:rsidRPr="005A0677"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5A0677">
              <w:t>61,548</w:t>
            </w:r>
          </w:p>
        </w:tc>
        <w:tc>
          <w:tcPr>
            <w:tcW w:w="528" w:type="pct"/>
            <w:noWrap/>
          </w:tcPr>
          <w:p w14:paraId="52BC28AE" w14:textId="77777777" w:rsidR="00341597" w:rsidRPr="005A0677"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5A0677">
              <w:t>65,279</w:t>
            </w:r>
          </w:p>
        </w:tc>
        <w:tc>
          <w:tcPr>
            <w:tcW w:w="528" w:type="pct"/>
            <w:tcBorders>
              <w:right w:val="single" w:sz="4" w:space="0" w:color="auto"/>
            </w:tcBorders>
            <w:noWrap/>
          </w:tcPr>
          <w:p w14:paraId="177180E4" w14:textId="77777777" w:rsidR="00341597" w:rsidRPr="005A0677"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5A0677">
              <w:t>6.1%</w:t>
            </w:r>
          </w:p>
        </w:tc>
        <w:tc>
          <w:tcPr>
            <w:tcW w:w="528" w:type="pct"/>
            <w:tcBorders>
              <w:left w:val="single" w:sz="4" w:space="0" w:color="auto"/>
              <w:bottom w:val="nil"/>
            </w:tcBorders>
            <w:noWrap/>
          </w:tcPr>
          <w:p w14:paraId="786A70F5" w14:textId="77777777" w:rsidR="00341597" w:rsidRPr="005A0677"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5A0677">
              <w:t>48,432</w:t>
            </w:r>
          </w:p>
        </w:tc>
        <w:tc>
          <w:tcPr>
            <w:tcW w:w="528" w:type="pct"/>
            <w:tcBorders>
              <w:bottom w:val="nil"/>
            </w:tcBorders>
            <w:noWrap/>
          </w:tcPr>
          <w:p w14:paraId="267C67CF" w14:textId="77777777" w:rsidR="00341597" w:rsidRPr="005A0677"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5A0677">
              <w:t>49</w:t>
            </w:r>
            <w:r>
              <w:t>,</w:t>
            </w:r>
            <w:r w:rsidRPr="005A0677">
              <w:t>126</w:t>
            </w:r>
          </w:p>
        </w:tc>
        <w:tc>
          <w:tcPr>
            <w:tcW w:w="525" w:type="pct"/>
            <w:tcBorders>
              <w:bottom w:val="nil"/>
            </w:tcBorders>
            <w:noWrap/>
          </w:tcPr>
          <w:p w14:paraId="0DA72CF8" w14:textId="77777777" w:rsidR="00341597" w:rsidRPr="005A0677"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5A0677">
              <w:t>1.4%</w:t>
            </w:r>
          </w:p>
        </w:tc>
      </w:tr>
      <w:tr w:rsidR="00341597" w:rsidRPr="00B875BD" w14:paraId="31D5ECFE" w14:textId="77777777" w:rsidTr="007F72E7">
        <w:tc>
          <w:tcPr>
            <w:cnfStyle w:val="001000000000" w:firstRow="0" w:lastRow="0" w:firstColumn="1" w:lastColumn="0" w:oddVBand="0" w:evenVBand="0" w:oddHBand="0" w:evenHBand="0" w:firstRowFirstColumn="0" w:firstRowLastColumn="0" w:lastRowFirstColumn="0" w:lastRowLastColumn="0"/>
            <w:tcW w:w="1835" w:type="pct"/>
            <w:noWrap/>
            <w:hideMark/>
          </w:tcPr>
          <w:p w14:paraId="5C949326" w14:textId="77777777" w:rsidR="00341597" w:rsidRPr="00B875BD" w:rsidRDefault="00341597" w:rsidP="00A02290">
            <w:r w:rsidRPr="00B875BD">
              <w:t>Innovative Research Universities</w:t>
            </w:r>
            <w:r>
              <w:t xml:space="preserve"> (</w:t>
            </w:r>
            <w:proofErr w:type="spellStart"/>
            <w:r>
              <w:t>IRU</w:t>
            </w:r>
            <w:proofErr w:type="spellEnd"/>
            <w:r>
              <w:t>)</w:t>
            </w:r>
          </w:p>
        </w:tc>
        <w:tc>
          <w:tcPr>
            <w:tcW w:w="527" w:type="pct"/>
            <w:noWrap/>
          </w:tcPr>
          <w:p w14:paraId="4ADDEF1F" w14:textId="77777777" w:rsidR="00341597" w:rsidRPr="005A0677"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5A0677">
              <w:t>43,586</w:t>
            </w:r>
          </w:p>
        </w:tc>
        <w:tc>
          <w:tcPr>
            <w:tcW w:w="528" w:type="pct"/>
            <w:noWrap/>
          </w:tcPr>
          <w:p w14:paraId="3F2B5BB1" w14:textId="77777777" w:rsidR="00341597" w:rsidRPr="005A0677"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5A0677">
              <w:t>46,581</w:t>
            </w:r>
          </w:p>
        </w:tc>
        <w:tc>
          <w:tcPr>
            <w:tcW w:w="528" w:type="pct"/>
            <w:tcBorders>
              <w:right w:val="single" w:sz="4" w:space="0" w:color="auto"/>
            </w:tcBorders>
            <w:noWrap/>
          </w:tcPr>
          <w:p w14:paraId="7D69708F" w14:textId="77777777" w:rsidR="00341597" w:rsidRPr="005A0677"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5A0677">
              <w:t>6.9%</w:t>
            </w:r>
          </w:p>
        </w:tc>
        <w:tc>
          <w:tcPr>
            <w:tcW w:w="528" w:type="pct"/>
            <w:tcBorders>
              <w:left w:val="single" w:sz="4" w:space="0" w:color="auto"/>
              <w:bottom w:val="nil"/>
            </w:tcBorders>
            <w:noWrap/>
          </w:tcPr>
          <w:p w14:paraId="5110274B" w14:textId="77777777" w:rsidR="00341597" w:rsidRPr="005A0677"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5A0677">
              <w:t>36,935</w:t>
            </w:r>
          </w:p>
        </w:tc>
        <w:tc>
          <w:tcPr>
            <w:tcW w:w="528" w:type="pct"/>
            <w:tcBorders>
              <w:bottom w:val="nil"/>
            </w:tcBorders>
            <w:noWrap/>
          </w:tcPr>
          <w:p w14:paraId="73C04022" w14:textId="77777777" w:rsidR="00341597" w:rsidRPr="005A0677"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5A0677">
              <w:t>38</w:t>
            </w:r>
            <w:r>
              <w:t>,</w:t>
            </w:r>
            <w:r w:rsidRPr="005A0677">
              <w:t>886</w:t>
            </w:r>
          </w:p>
        </w:tc>
        <w:tc>
          <w:tcPr>
            <w:tcW w:w="525" w:type="pct"/>
            <w:tcBorders>
              <w:bottom w:val="nil"/>
            </w:tcBorders>
            <w:noWrap/>
          </w:tcPr>
          <w:p w14:paraId="31695B07" w14:textId="77777777" w:rsidR="00341597" w:rsidRPr="005A0677"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5A0677">
              <w:t>5.3%</w:t>
            </w:r>
          </w:p>
        </w:tc>
      </w:tr>
      <w:tr w:rsidR="00341597" w:rsidRPr="00B875BD" w14:paraId="1978809C" w14:textId="77777777" w:rsidTr="007F7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5" w:type="pct"/>
            <w:noWrap/>
            <w:hideMark/>
          </w:tcPr>
          <w:p w14:paraId="76F190C1" w14:textId="77777777" w:rsidR="00341597" w:rsidRPr="00B875BD" w:rsidRDefault="00341597" w:rsidP="00A02290">
            <w:r w:rsidRPr="00B875BD">
              <w:t>Regional Universities Network</w:t>
            </w:r>
            <w:r>
              <w:t xml:space="preserve"> (RUN)</w:t>
            </w:r>
          </w:p>
        </w:tc>
        <w:tc>
          <w:tcPr>
            <w:tcW w:w="527" w:type="pct"/>
            <w:noWrap/>
          </w:tcPr>
          <w:p w14:paraId="2C4B3D11" w14:textId="77777777" w:rsidR="00341597" w:rsidRPr="005A0677"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5A0677">
              <w:t>29,627</w:t>
            </w:r>
          </w:p>
        </w:tc>
        <w:tc>
          <w:tcPr>
            <w:tcW w:w="528" w:type="pct"/>
            <w:noWrap/>
          </w:tcPr>
          <w:p w14:paraId="5D727FE1" w14:textId="77777777" w:rsidR="00341597" w:rsidRPr="005A0677"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5A0677">
              <w:t>28,968</w:t>
            </w:r>
          </w:p>
        </w:tc>
        <w:tc>
          <w:tcPr>
            <w:tcW w:w="528" w:type="pct"/>
            <w:tcBorders>
              <w:right w:val="single" w:sz="4" w:space="0" w:color="auto"/>
            </w:tcBorders>
            <w:noWrap/>
          </w:tcPr>
          <w:p w14:paraId="0CA0B841" w14:textId="77777777" w:rsidR="00341597" w:rsidRPr="005A0677"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5A0677">
              <w:t>-2.2%</w:t>
            </w:r>
          </w:p>
        </w:tc>
        <w:tc>
          <w:tcPr>
            <w:tcW w:w="528" w:type="pct"/>
            <w:tcBorders>
              <w:left w:val="single" w:sz="4" w:space="0" w:color="auto"/>
              <w:bottom w:val="nil"/>
            </w:tcBorders>
            <w:noWrap/>
          </w:tcPr>
          <w:p w14:paraId="0CC93D1B" w14:textId="77777777" w:rsidR="00341597" w:rsidRPr="005A0677"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5A0677">
              <w:t>27,882</w:t>
            </w:r>
          </w:p>
        </w:tc>
        <w:tc>
          <w:tcPr>
            <w:tcW w:w="528" w:type="pct"/>
            <w:tcBorders>
              <w:bottom w:val="nil"/>
            </w:tcBorders>
            <w:noWrap/>
          </w:tcPr>
          <w:p w14:paraId="1F39DDB9" w14:textId="77777777" w:rsidR="00341597" w:rsidRPr="005A0677"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5A0677">
              <w:t>27</w:t>
            </w:r>
            <w:r>
              <w:t>,</w:t>
            </w:r>
            <w:r w:rsidRPr="005A0677">
              <w:t>513</w:t>
            </w:r>
          </w:p>
        </w:tc>
        <w:tc>
          <w:tcPr>
            <w:tcW w:w="525" w:type="pct"/>
            <w:tcBorders>
              <w:bottom w:val="nil"/>
            </w:tcBorders>
            <w:noWrap/>
          </w:tcPr>
          <w:p w14:paraId="09FBBC6E" w14:textId="77777777" w:rsidR="00341597" w:rsidRPr="005A0677"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5A0677">
              <w:t>-1.3%</w:t>
            </w:r>
          </w:p>
        </w:tc>
      </w:tr>
      <w:tr w:rsidR="00341597" w:rsidRPr="00B875BD" w14:paraId="25F0D5EA" w14:textId="77777777" w:rsidTr="007F72E7">
        <w:tc>
          <w:tcPr>
            <w:cnfStyle w:val="001000000000" w:firstRow="0" w:lastRow="0" w:firstColumn="1" w:lastColumn="0" w:oddVBand="0" w:evenVBand="0" w:oddHBand="0" w:evenHBand="0" w:firstRowFirstColumn="0" w:firstRowLastColumn="0" w:lastRowFirstColumn="0" w:lastRowLastColumn="0"/>
            <w:tcW w:w="1835" w:type="pct"/>
            <w:hideMark/>
          </w:tcPr>
          <w:p w14:paraId="3EEAA070" w14:textId="77777777" w:rsidR="00341597" w:rsidRPr="00147AA9" w:rsidRDefault="00341597" w:rsidP="00A02290">
            <w:r w:rsidRPr="00147AA9">
              <w:t>Australia</w:t>
            </w:r>
          </w:p>
        </w:tc>
        <w:tc>
          <w:tcPr>
            <w:tcW w:w="527" w:type="pct"/>
            <w:noWrap/>
          </w:tcPr>
          <w:p w14:paraId="4A19B244" w14:textId="77777777" w:rsidR="00341597" w:rsidRPr="00147AA9"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147AA9">
              <w:t>335,327</w:t>
            </w:r>
          </w:p>
        </w:tc>
        <w:tc>
          <w:tcPr>
            <w:tcW w:w="528" w:type="pct"/>
            <w:noWrap/>
          </w:tcPr>
          <w:p w14:paraId="56D8C2C7" w14:textId="77777777" w:rsidR="00341597" w:rsidRPr="00147AA9"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147AA9">
              <w:t>340,027</w:t>
            </w:r>
          </w:p>
        </w:tc>
        <w:tc>
          <w:tcPr>
            <w:tcW w:w="528" w:type="pct"/>
            <w:tcBorders>
              <w:right w:val="single" w:sz="4" w:space="0" w:color="auto"/>
            </w:tcBorders>
            <w:noWrap/>
          </w:tcPr>
          <w:p w14:paraId="54B53198" w14:textId="77777777" w:rsidR="00341597" w:rsidRPr="00147AA9"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147AA9">
              <w:t>1.4%</w:t>
            </w:r>
          </w:p>
        </w:tc>
        <w:tc>
          <w:tcPr>
            <w:tcW w:w="528" w:type="pct"/>
            <w:tcBorders>
              <w:left w:val="single" w:sz="4" w:space="0" w:color="auto"/>
              <w:bottom w:val="single" w:sz="4" w:space="0" w:color="auto"/>
            </w:tcBorders>
            <w:noWrap/>
          </w:tcPr>
          <w:p w14:paraId="463C843D" w14:textId="77777777" w:rsidR="00341597" w:rsidRPr="00147AA9"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147AA9">
              <w:t>281,549</w:t>
            </w:r>
          </w:p>
        </w:tc>
        <w:tc>
          <w:tcPr>
            <w:tcW w:w="528" w:type="pct"/>
            <w:tcBorders>
              <w:bottom w:val="single" w:sz="4" w:space="0" w:color="auto"/>
            </w:tcBorders>
            <w:noWrap/>
          </w:tcPr>
          <w:p w14:paraId="1AA9E0D8" w14:textId="77777777" w:rsidR="00341597" w:rsidRPr="00147AA9"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147AA9">
              <w:t>281</w:t>
            </w:r>
            <w:r>
              <w:t>,</w:t>
            </w:r>
            <w:r w:rsidRPr="00147AA9">
              <w:t>113</w:t>
            </w:r>
          </w:p>
        </w:tc>
        <w:tc>
          <w:tcPr>
            <w:tcW w:w="525" w:type="pct"/>
            <w:tcBorders>
              <w:bottom w:val="single" w:sz="4" w:space="0" w:color="auto"/>
            </w:tcBorders>
            <w:noWrap/>
          </w:tcPr>
          <w:p w14:paraId="0223794B" w14:textId="77777777" w:rsidR="00341597" w:rsidRPr="00147AA9"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147AA9">
              <w:t>-0.2%</w:t>
            </w:r>
          </w:p>
        </w:tc>
      </w:tr>
    </w:tbl>
    <w:p w14:paraId="234B372C" w14:textId="77777777" w:rsidR="00341597" w:rsidRPr="00CA743F" w:rsidRDefault="00341597" w:rsidP="00CA743F">
      <w:pPr>
        <w:pStyle w:val="Heading2"/>
      </w:pPr>
      <w:bookmarkStart w:id="116" w:name="_Toc416445763"/>
      <w:bookmarkStart w:id="117" w:name="_Toc492454272"/>
      <w:r w:rsidRPr="00CA743F">
        <w:t>Offer rates</w:t>
      </w:r>
      <w:bookmarkEnd w:id="116"/>
      <w:bookmarkEnd w:id="117"/>
    </w:p>
    <w:p w14:paraId="17905034" w14:textId="77777777" w:rsidR="00341597" w:rsidRPr="00B67C70" w:rsidRDefault="00341597" w:rsidP="00B67C70">
      <w:pPr>
        <w:pStyle w:val="ListParagraph"/>
      </w:pPr>
      <w:r w:rsidRPr="00B67C70">
        <w:t xml:space="preserve">Applications to </w:t>
      </w:r>
      <w:proofErr w:type="spellStart"/>
      <w:r w:rsidRPr="00B67C70">
        <w:t>Go8</w:t>
      </w:r>
      <w:proofErr w:type="spellEnd"/>
      <w:r w:rsidRPr="00B67C70">
        <w:t xml:space="preserve"> universities and </w:t>
      </w:r>
      <w:proofErr w:type="spellStart"/>
      <w:r w:rsidRPr="00B67C70">
        <w:t>ATN</w:t>
      </w:r>
      <w:proofErr w:type="spellEnd"/>
      <w:r w:rsidRPr="00B67C70">
        <w:t xml:space="preserve"> universities were least likely to receive an offer in 2017 (offer rates of 74.4% and 75.3% respectively), reflecting the higher entry requirements at these universities. </w:t>
      </w:r>
    </w:p>
    <w:p w14:paraId="16619DBB" w14:textId="77777777" w:rsidR="00341597" w:rsidRPr="00B67C70" w:rsidRDefault="00341597" w:rsidP="00B67C70">
      <w:pPr>
        <w:pStyle w:val="ListParagraph"/>
      </w:pPr>
      <w:r w:rsidRPr="00B67C70">
        <w:t xml:space="preserve">The offer rate increased by 0.9 percentage points at both </w:t>
      </w:r>
      <w:proofErr w:type="spellStart"/>
      <w:r w:rsidRPr="00B67C70">
        <w:t>Go8</w:t>
      </w:r>
      <w:proofErr w:type="spellEnd"/>
      <w:r w:rsidRPr="00B67C70">
        <w:t xml:space="preserve"> universities (to 74.4%) and RUN universities (to 95.0%) in 2017. </w:t>
      </w:r>
    </w:p>
    <w:p w14:paraId="2AF08A97" w14:textId="0BA5F427" w:rsidR="00341597" w:rsidRPr="00B67C70" w:rsidRDefault="00341597" w:rsidP="00B67C70">
      <w:pPr>
        <w:pStyle w:val="ListParagraph"/>
      </w:pPr>
      <w:r w:rsidRPr="00B67C70">
        <w:t xml:space="preserve">Offer rates decreased at both </w:t>
      </w:r>
      <w:proofErr w:type="spellStart"/>
      <w:r w:rsidRPr="00B67C70">
        <w:t>ATN</w:t>
      </w:r>
      <w:proofErr w:type="spellEnd"/>
      <w:r w:rsidRPr="00B67C70">
        <w:t xml:space="preserve"> universities (3.4 percentage points to 75.3%) and </w:t>
      </w:r>
      <w:proofErr w:type="spellStart"/>
      <w:r w:rsidRPr="00B67C70">
        <w:t>IRU</w:t>
      </w:r>
      <w:proofErr w:type="spellEnd"/>
      <w:r w:rsidRPr="00B67C70">
        <w:t xml:space="preserve"> universities (1.3 percentage points to 83.5%).</w:t>
      </w:r>
    </w:p>
    <w:p w14:paraId="39858419" w14:textId="77F4CD9E" w:rsidR="007F72E7" w:rsidRDefault="007F72E7" w:rsidP="007F72E7">
      <w:pPr>
        <w:pStyle w:val="Caption"/>
        <w:keepNext/>
      </w:pPr>
      <w:r>
        <w:lastRenderedPageBreak/>
        <w:t xml:space="preserve">Figure </w:t>
      </w:r>
      <w:fldSimple w:instr=" SEQ Figure \* ARABIC ">
        <w:r w:rsidR="00E05F5D">
          <w:rPr>
            <w:noProof/>
          </w:rPr>
          <w:t>5</w:t>
        </w:r>
      </w:fldSimple>
      <w:r w:rsidRPr="00081571">
        <w:t>: Offer rates by university group, February 2016 and February 2017</w:t>
      </w:r>
    </w:p>
    <w:p w14:paraId="3FCDD216" w14:textId="77777777" w:rsidR="00341597" w:rsidRPr="00B67C70" w:rsidRDefault="00341597" w:rsidP="00B67C70">
      <w:r w:rsidRPr="00B67C70">
        <w:rPr>
          <w:noProof/>
          <w:lang w:eastAsia="en-AU"/>
        </w:rPr>
        <w:drawing>
          <wp:inline distT="0" distB="0" distL="0" distR="0" wp14:anchorId="22C8103E" wp14:editId="7023EAC5">
            <wp:extent cx="5365115" cy="2517775"/>
            <wp:effectExtent l="0" t="0" r="6985" b="0"/>
            <wp:docPr id="3" name="Picture 3" descr="Applications to Go8 universities and ATN universities were least likely to receive an offer in 2017 (offer rates of 74.4% and 75.3% respectively), reflecting the higher entry requirements at these univers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65115" cy="2517775"/>
                    </a:xfrm>
                    <a:prstGeom prst="rect">
                      <a:avLst/>
                    </a:prstGeom>
                    <a:noFill/>
                  </pic:spPr>
                </pic:pic>
              </a:graphicData>
            </a:graphic>
          </wp:inline>
        </w:drawing>
      </w:r>
    </w:p>
    <w:p w14:paraId="7DE24A76" w14:textId="77777777" w:rsidR="00341597" w:rsidRDefault="00341597" w:rsidP="00A02290">
      <w:r w:rsidRPr="00147AA9">
        <w:t>Note: Offer rates are expressed as the number of offers as a percentage of first preference applications. Given that offers may result from lower order preferences, offer rates for university groups may exceed 100%.</w:t>
      </w:r>
    </w:p>
    <w:p w14:paraId="236D565B" w14:textId="69019C9E" w:rsidR="00341597" w:rsidRDefault="00341597" w:rsidP="007F72E7">
      <w:pPr>
        <w:pStyle w:val="Heading1"/>
      </w:pPr>
      <w:bookmarkStart w:id="118" w:name="_Toc416445764"/>
      <w:bookmarkStart w:id="119" w:name="_Toc447188869"/>
      <w:bookmarkStart w:id="120" w:name="_Toc480816338"/>
      <w:bookmarkStart w:id="121" w:name="_Toc492454273"/>
      <w:r>
        <w:lastRenderedPageBreak/>
        <w:t xml:space="preserve">TAC </w:t>
      </w:r>
      <w:r w:rsidRPr="007F72E7">
        <w:t>Applications</w:t>
      </w:r>
      <w:bookmarkEnd w:id="118"/>
      <w:bookmarkEnd w:id="119"/>
      <w:r>
        <w:t xml:space="preserve"> and Offers</w:t>
      </w:r>
      <w:bookmarkEnd w:id="120"/>
      <w:bookmarkEnd w:id="121"/>
    </w:p>
    <w:p w14:paraId="3496A219" w14:textId="77777777" w:rsidR="00341597" w:rsidRPr="00CA743F" w:rsidRDefault="00341597" w:rsidP="00CA743F">
      <w:pPr>
        <w:pStyle w:val="Heading2"/>
      </w:pPr>
      <w:bookmarkStart w:id="122" w:name="_Toc416445765"/>
      <w:bookmarkStart w:id="123" w:name="_Toc492454274"/>
      <w:r w:rsidRPr="00CA743F">
        <w:t>TAC Applications</w:t>
      </w:r>
      <w:bookmarkEnd w:id="122"/>
      <w:bookmarkEnd w:id="123"/>
    </w:p>
    <w:p w14:paraId="11D56609" w14:textId="77777777" w:rsidR="00341597" w:rsidRDefault="00341597" w:rsidP="00B67C70">
      <w:pPr>
        <w:pStyle w:val="ListParagraph"/>
      </w:pPr>
      <w:r w:rsidRPr="00091ADE">
        <w:t>The Department receives five submissions of applications and offers data from Tertiary Admissions Centres (</w:t>
      </w:r>
      <w:proofErr w:type="spellStart"/>
      <w:r w:rsidRPr="00091ADE">
        <w:t>TACs</w:t>
      </w:r>
      <w:proofErr w:type="spellEnd"/>
      <w:r w:rsidRPr="00091ADE">
        <w:t xml:space="preserve">) annually.  At the end of the </w:t>
      </w:r>
      <w:r>
        <w:t>third</w:t>
      </w:r>
      <w:r w:rsidRPr="00091ADE">
        <w:t xml:space="preserve"> submission (reference date of </w:t>
      </w:r>
      <w:r>
        <w:t>27 February 2017</w:t>
      </w:r>
      <w:r w:rsidRPr="00091ADE">
        <w:t xml:space="preserve">) there </w:t>
      </w:r>
      <w:r>
        <w:t>were</w:t>
      </w:r>
      <w:r w:rsidRPr="00091ADE">
        <w:t xml:space="preserve"> 265</w:t>
      </w:r>
      <w:r>
        <w:t>,648</w:t>
      </w:r>
      <w:r w:rsidRPr="00091ADE">
        <w:t xml:space="preserve"> applications</w:t>
      </w:r>
      <w:r>
        <w:t>, a de</w:t>
      </w:r>
      <w:r w:rsidRPr="007D4645">
        <w:t xml:space="preserve">crease of </w:t>
      </w:r>
      <w:r>
        <w:t>2.5</w:t>
      </w:r>
      <w:r w:rsidRPr="007D4645">
        <w:t xml:space="preserve">% </w:t>
      </w:r>
      <w:r>
        <w:t>compared to</w:t>
      </w:r>
      <w:r w:rsidRPr="007D4645">
        <w:t xml:space="preserve"> </w:t>
      </w:r>
      <w:r>
        <w:t>2016</w:t>
      </w:r>
      <w:r w:rsidRPr="007D4645">
        <w:t>.</w:t>
      </w:r>
      <w:r>
        <w:t xml:space="preserve"> This follows a decrease of 0.8% between 2015 and 2016 (excluding WA).</w:t>
      </w:r>
    </w:p>
    <w:p w14:paraId="42B82FA7" w14:textId="77777777" w:rsidR="00341597" w:rsidRPr="007D4645" w:rsidRDefault="00341597" w:rsidP="00B67C70">
      <w:pPr>
        <w:pStyle w:val="ListParagraph"/>
      </w:pPr>
      <w:r>
        <w:t>Compared with 2016, only Queensland recorded a positive growth (0.7%) in applications. All other states and territories experienced decline in applications, ranging from -0.2% (SA/NT) to -6.2% (Victoria).</w:t>
      </w:r>
    </w:p>
    <w:p w14:paraId="0A1AE5FE" w14:textId="66C67B0B" w:rsidR="00D21F72" w:rsidRDefault="00D21F72" w:rsidP="00D21F72">
      <w:pPr>
        <w:pStyle w:val="Caption"/>
        <w:keepNext/>
      </w:pPr>
      <w:bookmarkStart w:id="124" w:name="_Toc492453647"/>
      <w:bookmarkStart w:id="125" w:name="_Toc492453872"/>
      <w:r>
        <w:t xml:space="preserve">Table </w:t>
      </w:r>
      <w:fldSimple w:instr=" SEQ Table \* ARABIC ">
        <w:r w:rsidR="00E05F5D">
          <w:rPr>
            <w:noProof/>
          </w:rPr>
          <w:t>16</w:t>
        </w:r>
      </w:fldSimple>
      <w:r w:rsidRPr="005162C2">
        <w:t>: Highest preference applications by state and territory, February 2016 and February 2017</w:t>
      </w:r>
      <w:bookmarkEnd w:id="124"/>
      <w:bookmarkEnd w:id="125"/>
    </w:p>
    <w:tbl>
      <w:tblPr>
        <w:tblStyle w:val="DEEWRTable"/>
        <w:tblW w:w="5000" w:type="pct"/>
        <w:tblLook w:val="04A0" w:firstRow="1" w:lastRow="0" w:firstColumn="1" w:lastColumn="0" w:noHBand="0" w:noVBand="1"/>
      </w:tblPr>
      <w:tblGrid>
        <w:gridCol w:w="2919"/>
        <w:gridCol w:w="2257"/>
        <w:gridCol w:w="2033"/>
        <w:gridCol w:w="2033"/>
      </w:tblGrid>
      <w:tr w:rsidR="00341597" w:rsidRPr="00B875BD" w14:paraId="05D3B84B" w14:textId="77777777" w:rsidTr="00CA74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9" w:type="pct"/>
            <w:noWrap/>
            <w:hideMark/>
          </w:tcPr>
          <w:p w14:paraId="025EF756" w14:textId="77777777" w:rsidR="00341597" w:rsidRPr="00A02290" w:rsidRDefault="00341597" w:rsidP="00341597">
            <w:r w:rsidRPr="00A02290">
              <w:t>State/Territory</w:t>
            </w:r>
          </w:p>
        </w:tc>
        <w:tc>
          <w:tcPr>
            <w:tcW w:w="1221" w:type="pct"/>
          </w:tcPr>
          <w:p w14:paraId="104361E8" w14:textId="77777777" w:rsidR="00341597" w:rsidRPr="00511DE9" w:rsidRDefault="00341597" w:rsidP="00F44C09">
            <w:pPr>
              <w:jc w:val="right"/>
              <w:cnfStyle w:val="100000000000" w:firstRow="1" w:lastRow="0" w:firstColumn="0" w:lastColumn="0" w:oddVBand="0" w:evenVBand="0" w:oddHBand="0" w:evenHBand="0" w:firstRowFirstColumn="0" w:firstRowLastColumn="0" w:lastRowFirstColumn="0" w:lastRowLastColumn="0"/>
            </w:pPr>
            <w:r w:rsidRPr="00511DE9">
              <w:t>201</w:t>
            </w:r>
            <w:r>
              <w:t>6</w:t>
            </w:r>
          </w:p>
        </w:tc>
        <w:tc>
          <w:tcPr>
            <w:tcW w:w="1100" w:type="pct"/>
            <w:noWrap/>
            <w:hideMark/>
          </w:tcPr>
          <w:p w14:paraId="040FB596" w14:textId="77777777" w:rsidR="00341597" w:rsidRPr="00511DE9" w:rsidRDefault="00341597" w:rsidP="00F44C09">
            <w:pPr>
              <w:jc w:val="right"/>
              <w:cnfStyle w:val="100000000000" w:firstRow="1" w:lastRow="0" w:firstColumn="0" w:lastColumn="0" w:oddVBand="0" w:evenVBand="0" w:oddHBand="0" w:evenHBand="0" w:firstRowFirstColumn="0" w:firstRowLastColumn="0" w:lastRowFirstColumn="0" w:lastRowLastColumn="0"/>
            </w:pPr>
            <w:r w:rsidRPr="00511DE9">
              <w:t>201</w:t>
            </w:r>
            <w:r>
              <w:t>7</w:t>
            </w:r>
          </w:p>
        </w:tc>
        <w:tc>
          <w:tcPr>
            <w:tcW w:w="1100" w:type="pct"/>
            <w:noWrap/>
            <w:hideMark/>
          </w:tcPr>
          <w:p w14:paraId="69B5FDBA" w14:textId="77777777" w:rsidR="00341597" w:rsidRPr="00511DE9" w:rsidRDefault="00341597" w:rsidP="00F44C09">
            <w:pPr>
              <w:jc w:val="right"/>
              <w:cnfStyle w:val="100000000000" w:firstRow="1" w:lastRow="0" w:firstColumn="0" w:lastColumn="0" w:oddVBand="0" w:evenVBand="0" w:oddHBand="0" w:evenHBand="0" w:firstRowFirstColumn="0" w:firstRowLastColumn="0" w:lastRowFirstColumn="0" w:lastRowLastColumn="0"/>
            </w:pPr>
            <w:r w:rsidRPr="00511DE9">
              <w:t>Change</w:t>
            </w:r>
          </w:p>
        </w:tc>
      </w:tr>
      <w:tr w:rsidR="00341597" w:rsidRPr="00B875BD" w14:paraId="4E90BCE4" w14:textId="77777777" w:rsidTr="00CA74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9" w:type="pct"/>
            <w:noWrap/>
            <w:hideMark/>
          </w:tcPr>
          <w:p w14:paraId="2651C20E" w14:textId="77777777" w:rsidR="00341597" w:rsidRPr="00B875BD" w:rsidRDefault="00341597" w:rsidP="00A02290">
            <w:r w:rsidRPr="00B875BD">
              <w:t>NSW/ACT</w:t>
            </w:r>
          </w:p>
        </w:tc>
        <w:tc>
          <w:tcPr>
            <w:tcW w:w="1221" w:type="pct"/>
          </w:tcPr>
          <w:p w14:paraId="298E5E64" w14:textId="77777777" w:rsidR="00341597" w:rsidRPr="000D35E5"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0D35E5">
              <w:t>83,076</w:t>
            </w:r>
          </w:p>
        </w:tc>
        <w:tc>
          <w:tcPr>
            <w:tcW w:w="1100" w:type="pct"/>
            <w:noWrap/>
          </w:tcPr>
          <w:p w14:paraId="55C7EADC" w14:textId="77777777" w:rsidR="00341597" w:rsidRPr="000D35E5"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0D35E5">
              <w:t>80,460</w:t>
            </w:r>
          </w:p>
        </w:tc>
        <w:tc>
          <w:tcPr>
            <w:tcW w:w="1100" w:type="pct"/>
            <w:noWrap/>
          </w:tcPr>
          <w:p w14:paraId="7189CD2A" w14:textId="77777777" w:rsidR="00341597" w:rsidRPr="000D35E5"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0D35E5">
              <w:t>-3.1%</w:t>
            </w:r>
          </w:p>
        </w:tc>
      </w:tr>
      <w:tr w:rsidR="00341597" w:rsidRPr="00B875BD" w14:paraId="578418B2" w14:textId="77777777" w:rsidTr="00CA743F">
        <w:tc>
          <w:tcPr>
            <w:cnfStyle w:val="001000000000" w:firstRow="0" w:lastRow="0" w:firstColumn="1" w:lastColumn="0" w:oddVBand="0" w:evenVBand="0" w:oddHBand="0" w:evenHBand="0" w:firstRowFirstColumn="0" w:firstRowLastColumn="0" w:lastRowFirstColumn="0" w:lastRowLastColumn="0"/>
            <w:tcW w:w="1579" w:type="pct"/>
            <w:noWrap/>
            <w:hideMark/>
          </w:tcPr>
          <w:p w14:paraId="21AB619A" w14:textId="77777777" w:rsidR="00341597" w:rsidRPr="00B875BD" w:rsidRDefault="00341597" w:rsidP="00A02290">
            <w:r w:rsidRPr="00B875BD">
              <w:t>Vic.</w:t>
            </w:r>
          </w:p>
        </w:tc>
        <w:tc>
          <w:tcPr>
            <w:tcW w:w="1221" w:type="pct"/>
          </w:tcPr>
          <w:p w14:paraId="46CC2491" w14:textId="77777777" w:rsidR="00341597" w:rsidRPr="000D35E5"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0D35E5">
              <w:t>70,573</w:t>
            </w:r>
          </w:p>
        </w:tc>
        <w:tc>
          <w:tcPr>
            <w:tcW w:w="1100" w:type="pct"/>
            <w:noWrap/>
          </w:tcPr>
          <w:p w14:paraId="20A39D6D" w14:textId="77777777" w:rsidR="00341597" w:rsidRPr="000D35E5"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0D35E5">
              <w:t>66,204</w:t>
            </w:r>
          </w:p>
        </w:tc>
        <w:tc>
          <w:tcPr>
            <w:tcW w:w="1100" w:type="pct"/>
            <w:noWrap/>
          </w:tcPr>
          <w:p w14:paraId="3FDB34C4" w14:textId="77777777" w:rsidR="00341597" w:rsidRPr="000D35E5"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0D35E5">
              <w:t>-6.2%</w:t>
            </w:r>
          </w:p>
        </w:tc>
      </w:tr>
      <w:tr w:rsidR="00341597" w:rsidRPr="00B875BD" w14:paraId="0CBD5C1F" w14:textId="77777777" w:rsidTr="00CA74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9" w:type="pct"/>
            <w:noWrap/>
            <w:hideMark/>
          </w:tcPr>
          <w:p w14:paraId="01B4482C" w14:textId="77777777" w:rsidR="00341597" w:rsidRPr="00B875BD" w:rsidRDefault="00341597" w:rsidP="00A02290">
            <w:r w:rsidRPr="00B875BD">
              <w:t>Qld</w:t>
            </w:r>
            <w:r>
              <w:t>.</w:t>
            </w:r>
          </w:p>
        </w:tc>
        <w:tc>
          <w:tcPr>
            <w:tcW w:w="1221" w:type="pct"/>
          </w:tcPr>
          <w:p w14:paraId="7C417BD9" w14:textId="77777777" w:rsidR="00341597" w:rsidRPr="000D35E5"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0D35E5">
              <w:t>57,766</w:t>
            </w:r>
          </w:p>
        </w:tc>
        <w:tc>
          <w:tcPr>
            <w:tcW w:w="1100" w:type="pct"/>
            <w:noWrap/>
          </w:tcPr>
          <w:p w14:paraId="7739390E" w14:textId="77777777" w:rsidR="00341597" w:rsidRPr="000D35E5"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0D35E5">
              <w:t>58,169</w:t>
            </w:r>
          </w:p>
        </w:tc>
        <w:tc>
          <w:tcPr>
            <w:tcW w:w="1100" w:type="pct"/>
            <w:noWrap/>
          </w:tcPr>
          <w:p w14:paraId="694EBD34" w14:textId="77777777" w:rsidR="00341597" w:rsidRPr="000D35E5"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0D35E5">
              <w:t>0.7%</w:t>
            </w:r>
          </w:p>
        </w:tc>
      </w:tr>
      <w:tr w:rsidR="00341597" w:rsidRPr="00B875BD" w14:paraId="4A7E6D29" w14:textId="77777777" w:rsidTr="00CA743F">
        <w:tc>
          <w:tcPr>
            <w:cnfStyle w:val="001000000000" w:firstRow="0" w:lastRow="0" w:firstColumn="1" w:lastColumn="0" w:oddVBand="0" w:evenVBand="0" w:oddHBand="0" w:evenHBand="0" w:firstRowFirstColumn="0" w:firstRowLastColumn="0" w:lastRowFirstColumn="0" w:lastRowLastColumn="0"/>
            <w:tcW w:w="1579" w:type="pct"/>
            <w:noWrap/>
            <w:hideMark/>
          </w:tcPr>
          <w:p w14:paraId="5783B7C6" w14:textId="77777777" w:rsidR="00341597" w:rsidRPr="00B875BD" w:rsidRDefault="00341597" w:rsidP="00A02290">
            <w:r w:rsidRPr="00B875BD">
              <w:t>WA</w:t>
            </w:r>
          </w:p>
        </w:tc>
        <w:tc>
          <w:tcPr>
            <w:tcW w:w="1221" w:type="pct"/>
          </w:tcPr>
          <w:p w14:paraId="732E0EB4" w14:textId="77777777" w:rsidR="00341597" w:rsidRPr="000D35E5"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0D35E5">
              <w:t>17,221</w:t>
            </w:r>
          </w:p>
        </w:tc>
        <w:tc>
          <w:tcPr>
            <w:tcW w:w="1100" w:type="pct"/>
            <w:noWrap/>
          </w:tcPr>
          <w:p w14:paraId="48F6FF2F" w14:textId="77777777" w:rsidR="00341597" w:rsidRPr="000D35E5"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0D35E5">
              <w:t>17,095</w:t>
            </w:r>
          </w:p>
        </w:tc>
        <w:tc>
          <w:tcPr>
            <w:tcW w:w="1100" w:type="pct"/>
            <w:noWrap/>
          </w:tcPr>
          <w:p w14:paraId="46A88836" w14:textId="77777777" w:rsidR="00341597" w:rsidRPr="000D35E5"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0D35E5">
              <w:t>-0.7%</w:t>
            </w:r>
          </w:p>
        </w:tc>
      </w:tr>
      <w:tr w:rsidR="00341597" w:rsidRPr="00B875BD" w14:paraId="019E4E97" w14:textId="77777777" w:rsidTr="00CA74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9" w:type="pct"/>
            <w:noWrap/>
            <w:hideMark/>
          </w:tcPr>
          <w:p w14:paraId="6F2EAD29" w14:textId="77777777" w:rsidR="00341597" w:rsidRPr="00B875BD" w:rsidRDefault="00341597" w:rsidP="00A02290">
            <w:r w:rsidRPr="00B875BD">
              <w:t>SA/NT</w:t>
            </w:r>
          </w:p>
        </w:tc>
        <w:tc>
          <w:tcPr>
            <w:tcW w:w="1221" w:type="pct"/>
          </w:tcPr>
          <w:p w14:paraId="6CB5F3FB" w14:textId="77777777" w:rsidR="00341597" w:rsidRPr="000D35E5"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0D35E5">
              <w:t>27,482</w:t>
            </w:r>
          </w:p>
        </w:tc>
        <w:tc>
          <w:tcPr>
            <w:tcW w:w="1100" w:type="pct"/>
            <w:noWrap/>
          </w:tcPr>
          <w:p w14:paraId="1B5DC837" w14:textId="77777777" w:rsidR="00341597" w:rsidRPr="000D35E5" w:rsidRDefault="00341597" w:rsidP="00F44C09">
            <w:pPr>
              <w:jc w:val="right"/>
              <w:cnfStyle w:val="000000100000" w:firstRow="0" w:lastRow="0" w:firstColumn="0" w:lastColumn="0" w:oddVBand="0" w:evenVBand="0" w:oddHBand="1" w:evenHBand="0" w:firstRowFirstColumn="0" w:firstRowLastColumn="0" w:lastRowFirstColumn="0" w:lastRowLastColumn="0"/>
            </w:pPr>
            <w:r>
              <w:t>27,425</w:t>
            </w:r>
          </w:p>
        </w:tc>
        <w:tc>
          <w:tcPr>
            <w:tcW w:w="1100" w:type="pct"/>
            <w:noWrap/>
          </w:tcPr>
          <w:p w14:paraId="77D6AC56" w14:textId="77777777" w:rsidR="00341597" w:rsidRPr="000D35E5" w:rsidRDefault="00341597" w:rsidP="00F44C09">
            <w:pPr>
              <w:jc w:val="right"/>
              <w:cnfStyle w:val="000000100000" w:firstRow="0" w:lastRow="0" w:firstColumn="0" w:lastColumn="0" w:oddVBand="0" w:evenVBand="0" w:oddHBand="1" w:evenHBand="0" w:firstRowFirstColumn="0" w:firstRowLastColumn="0" w:lastRowFirstColumn="0" w:lastRowLastColumn="0"/>
            </w:pPr>
            <w:r>
              <w:t>-0.2</w:t>
            </w:r>
            <w:r w:rsidRPr="000D35E5">
              <w:t>%</w:t>
            </w:r>
          </w:p>
        </w:tc>
      </w:tr>
      <w:tr w:rsidR="00341597" w:rsidRPr="00B875BD" w14:paraId="79E5B9D8" w14:textId="77777777" w:rsidTr="00CA743F">
        <w:tc>
          <w:tcPr>
            <w:cnfStyle w:val="001000000000" w:firstRow="0" w:lastRow="0" w:firstColumn="1" w:lastColumn="0" w:oddVBand="0" w:evenVBand="0" w:oddHBand="0" w:evenHBand="0" w:firstRowFirstColumn="0" w:firstRowLastColumn="0" w:lastRowFirstColumn="0" w:lastRowLastColumn="0"/>
            <w:tcW w:w="1579" w:type="pct"/>
            <w:noWrap/>
            <w:hideMark/>
          </w:tcPr>
          <w:p w14:paraId="3139A72F" w14:textId="77777777" w:rsidR="00341597" w:rsidRPr="00B875BD" w:rsidRDefault="00341597" w:rsidP="00A02290">
            <w:r w:rsidRPr="00B875BD">
              <w:t>Tas.</w:t>
            </w:r>
          </w:p>
        </w:tc>
        <w:tc>
          <w:tcPr>
            <w:tcW w:w="1221" w:type="pct"/>
          </w:tcPr>
          <w:p w14:paraId="0BCF95FD" w14:textId="77777777" w:rsidR="00341597" w:rsidRPr="000D35E5"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0D35E5">
              <w:t>16,425</w:t>
            </w:r>
          </w:p>
        </w:tc>
        <w:tc>
          <w:tcPr>
            <w:tcW w:w="1100" w:type="pct"/>
            <w:noWrap/>
          </w:tcPr>
          <w:p w14:paraId="35B9B6B5" w14:textId="77777777" w:rsidR="00341597" w:rsidRPr="000D35E5"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0D35E5">
              <w:t>16,325</w:t>
            </w:r>
          </w:p>
        </w:tc>
        <w:tc>
          <w:tcPr>
            <w:tcW w:w="1100" w:type="pct"/>
            <w:noWrap/>
          </w:tcPr>
          <w:p w14:paraId="30A30AE5" w14:textId="77777777" w:rsidR="00341597" w:rsidRPr="000D35E5"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0D35E5">
              <w:t>-0.6%</w:t>
            </w:r>
          </w:p>
        </w:tc>
      </w:tr>
      <w:tr w:rsidR="00341597" w:rsidRPr="00B875BD" w14:paraId="65202740" w14:textId="77777777" w:rsidTr="00CA74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9" w:type="pct"/>
            <w:noWrap/>
          </w:tcPr>
          <w:p w14:paraId="7D179EAF" w14:textId="77777777" w:rsidR="00341597" w:rsidRPr="0032488B" w:rsidRDefault="00341597" w:rsidP="00A02290">
            <w:r w:rsidRPr="0032488B">
              <w:t>Australia</w:t>
            </w:r>
          </w:p>
        </w:tc>
        <w:tc>
          <w:tcPr>
            <w:tcW w:w="1221" w:type="pct"/>
          </w:tcPr>
          <w:p w14:paraId="0E2F8C26" w14:textId="77777777" w:rsidR="00341597" w:rsidRPr="0032488B"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32488B">
              <w:t>272,543</w:t>
            </w:r>
          </w:p>
        </w:tc>
        <w:tc>
          <w:tcPr>
            <w:tcW w:w="1100" w:type="pct"/>
            <w:noWrap/>
          </w:tcPr>
          <w:p w14:paraId="512048EC" w14:textId="77777777" w:rsidR="00341597" w:rsidRPr="0032488B" w:rsidRDefault="00341597" w:rsidP="00F44C09">
            <w:pPr>
              <w:jc w:val="right"/>
              <w:cnfStyle w:val="000000100000" w:firstRow="0" w:lastRow="0" w:firstColumn="0" w:lastColumn="0" w:oddVBand="0" w:evenVBand="0" w:oddHBand="1" w:evenHBand="0" w:firstRowFirstColumn="0" w:firstRowLastColumn="0" w:lastRowFirstColumn="0" w:lastRowLastColumn="0"/>
            </w:pPr>
            <w:r>
              <w:t>265,648</w:t>
            </w:r>
          </w:p>
        </w:tc>
        <w:tc>
          <w:tcPr>
            <w:tcW w:w="1100" w:type="pct"/>
            <w:noWrap/>
          </w:tcPr>
          <w:p w14:paraId="5E9A6BA3" w14:textId="77777777" w:rsidR="00341597" w:rsidRPr="0032488B"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32488B">
              <w:t>-2.5%</w:t>
            </w:r>
          </w:p>
        </w:tc>
      </w:tr>
    </w:tbl>
    <w:p w14:paraId="1D8EB6B1" w14:textId="77777777" w:rsidR="00341597" w:rsidRPr="008A24C1" w:rsidRDefault="00341597" w:rsidP="00A02290">
      <w:r w:rsidRPr="008A24C1">
        <w:t>Notes:</w:t>
      </w:r>
      <w:r>
        <w:t xml:space="preserve"> State and territory refers to tertiary Admission Centres’ (</w:t>
      </w:r>
      <w:proofErr w:type="spellStart"/>
      <w:r>
        <w:t>TACs</w:t>
      </w:r>
      <w:proofErr w:type="spellEnd"/>
      <w:r>
        <w:t>’) jurisdictions</w:t>
      </w:r>
    </w:p>
    <w:p w14:paraId="0703621F" w14:textId="77777777" w:rsidR="00341597" w:rsidRPr="00532FFC" w:rsidRDefault="00341597" w:rsidP="00A02290">
      <w:pPr>
        <w:pStyle w:val="Heading2"/>
      </w:pPr>
      <w:bookmarkStart w:id="126" w:name="_Toc492454275"/>
      <w:r w:rsidRPr="00532FFC">
        <w:t>Prior Education</w:t>
      </w:r>
      <w:r>
        <w:t xml:space="preserve"> – TAC applications</w:t>
      </w:r>
      <w:bookmarkEnd w:id="126"/>
    </w:p>
    <w:p w14:paraId="27D7ED1F" w14:textId="77777777" w:rsidR="00341597" w:rsidRPr="00532FFC" w:rsidRDefault="00341597" w:rsidP="00B67C70">
      <w:pPr>
        <w:pStyle w:val="ListParagraph"/>
      </w:pPr>
      <w:r w:rsidRPr="00532FFC">
        <w:t xml:space="preserve">Nationally, </w:t>
      </w:r>
      <w:r>
        <w:t>Year 12 applications de</w:t>
      </w:r>
      <w:r w:rsidRPr="00532FFC">
        <w:t xml:space="preserve">creased by </w:t>
      </w:r>
      <w:r>
        <w:t>0.2%</w:t>
      </w:r>
      <w:r w:rsidRPr="00532FFC">
        <w:t xml:space="preserve"> in 201</w:t>
      </w:r>
      <w:r>
        <w:t>7</w:t>
      </w:r>
      <w:r w:rsidRPr="00532FFC">
        <w:t xml:space="preserve">, following an increase of </w:t>
      </w:r>
      <w:r>
        <w:t>1.6</w:t>
      </w:r>
      <w:r w:rsidRPr="00532FFC">
        <w:t>% in 201</w:t>
      </w:r>
      <w:r>
        <w:t>6</w:t>
      </w:r>
      <w:r w:rsidRPr="00532FFC">
        <w:t xml:space="preserve">. </w:t>
      </w:r>
    </w:p>
    <w:p w14:paraId="21B07809" w14:textId="77777777" w:rsidR="00341597" w:rsidRPr="00532FFC" w:rsidRDefault="00341597" w:rsidP="00B67C70">
      <w:pPr>
        <w:pStyle w:val="ListParagraph"/>
      </w:pPr>
      <w:r w:rsidRPr="00532FFC">
        <w:t xml:space="preserve">All states and territories recorded increases in Year 12 applications, except for </w:t>
      </w:r>
      <w:r w:rsidRPr="00532FFC">
        <w:br/>
      </w:r>
      <w:r>
        <w:t>NSW/ACT</w:t>
      </w:r>
      <w:r w:rsidRPr="00532FFC">
        <w:t xml:space="preserve"> (-</w:t>
      </w:r>
      <w:r>
        <w:t>1.4</w:t>
      </w:r>
      <w:r w:rsidRPr="00532FFC">
        <w:t>%)</w:t>
      </w:r>
      <w:r>
        <w:t xml:space="preserve"> and Victoria (-0.7%)</w:t>
      </w:r>
      <w:r w:rsidRPr="00532FFC">
        <w:t>.</w:t>
      </w:r>
    </w:p>
    <w:p w14:paraId="09F9A679" w14:textId="77777777" w:rsidR="00341597" w:rsidRPr="00532FFC" w:rsidRDefault="00341597" w:rsidP="00B67C70">
      <w:pPr>
        <w:pStyle w:val="ListParagraph"/>
      </w:pPr>
      <w:r w:rsidRPr="00532FFC">
        <w:t xml:space="preserve">Non-Year 12 applications decreased by </w:t>
      </w:r>
      <w:r>
        <w:t>5.7</w:t>
      </w:r>
      <w:r w:rsidRPr="00532FFC">
        <w:t>% in 201</w:t>
      </w:r>
      <w:r>
        <w:t>7</w:t>
      </w:r>
      <w:r w:rsidRPr="00532FFC">
        <w:t xml:space="preserve">, following a decrease of </w:t>
      </w:r>
      <w:r>
        <w:t>3.7</w:t>
      </w:r>
      <w:r w:rsidRPr="00532FFC">
        <w:t>% in 201</w:t>
      </w:r>
      <w:r>
        <w:t>6</w:t>
      </w:r>
      <w:r w:rsidRPr="00532FFC">
        <w:t xml:space="preserve">. </w:t>
      </w:r>
    </w:p>
    <w:p w14:paraId="49742215" w14:textId="77777777" w:rsidR="00341597" w:rsidRPr="00532FFC" w:rsidRDefault="00341597" w:rsidP="00B67C70">
      <w:pPr>
        <w:pStyle w:val="ListParagraph"/>
      </w:pPr>
      <w:r w:rsidRPr="00532FFC">
        <w:t xml:space="preserve">This is in line with a broader trend in recent years that has seen non-Year 12 applicants less likely to apply for admission through </w:t>
      </w:r>
      <w:proofErr w:type="spellStart"/>
      <w:r w:rsidRPr="00532FFC">
        <w:t>TACs</w:t>
      </w:r>
      <w:proofErr w:type="spellEnd"/>
      <w:r w:rsidRPr="00532FFC">
        <w:t xml:space="preserve"> and more likely to a</w:t>
      </w:r>
      <w:r>
        <w:t>pply directly to universities</w:t>
      </w:r>
      <w:r w:rsidRPr="00532FFC">
        <w:t>.</w:t>
      </w:r>
    </w:p>
    <w:p w14:paraId="074C6D54" w14:textId="77777777" w:rsidR="00341597" w:rsidRDefault="00341597" w:rsidP="00341597">
      <w:r w:rsidRPr="00532FFC">
        <w:t xml:space="preserve">Except </w:t>
      </w:r>
      <w:r>
        <w:t>Queensland</w:t>
      </w:r>
      <w:r w:rsidRPr="00532FFC">
        <w:t xml:space="preserve"> (</w:t>
      </w:r>
      <w:r>
        <w:t xml:space="preserve">0.1%), </w:t>
      </w:r>
      <w:r w:rsidRPr="00532FFC">
        <w:t>all states and territories recorded declines in non-Year 12 applic</w:t>
      </w:r>
      <w:r>
        <w:t>ations in 2017</w:t>
      </w:r>
      <w:r w:rsidRPr="00532FFC">
        <w:t>: Victoria (-</w:t>
      </w:r>
      <w:r>
        <w:t>17.1</w:t>
      </w:r>
      <w:r w:rsidRPr="00532FFC">
        <w:t>%)</w:t>
      </w:r>
      <w:r>
        <w:t>, WA (-7.0</w:t>
      </w:r>
      <w:r w:rsidRPr="00532FFC">
        <w:t>%) and NSW/ACT (-</w:t>
      </w:r>
      <w:r>
        <w:t>6.0</w:t>
      </w:r>
      <w:r w:rsidRPr="00532FFC">
        <w:t>%), SA/NT (-</w:t>
      </w:r>
      <w:r>
        <w:t>1.4%) and Tasmania (-0.8%).</w:t>
      </w:r>
    </w:p>
    <w:p w14:paraId="4077E3F1" w14:textId="57616A03" w:rsidR="00D21F72" w:rsidRDefault="00D21F72" w:rsidP="00D21F72">
      <w:pPr>
        <w:pStyle w:val="Caption"/>
        <w:keepNext/>
      </w:pPr>
      <w:bookmarkStart w:id="127" w:name="_Toc492453648"/>
      <w:bookmarkStart w:id="128" w:name="_Toc492453873"/>
      <w:r>
        <w:lastRenderedPageBreak/>
        <w:t xml:space="preserve">Table </w:t>
      </w:r>
      <w:fldSimple w:instr=" SEQ Table \* ARABIC ">
        <w:r w:rsidR="00E05F5D">
          <w:rPr>
            <w:noProof/>
          </w:rPr>
          <w:t>17</w:t>
        </w:r>
      </w:fldSimple>
      <w:r w:rsidRPr="00C85887">
        <w:t>: Highest preference applications by Year 12 status, by state and territory February 2016 and February 2017</w:t>
      </w:r>
      <w:bookmarkEnd w:id="127"/>
      <w:bookmarkEnd w:id="128"/>
    </w:p>
    <w:tbl>
      <w:tblPr>
        <w:tblStyle w:val="DEEWRTable"/>
        <w:tblW w:w="5000" w:type="pct"/>
        <w:tblLook w:val="04A0" w:firstRow="1" w:lastRow="0" w:firstColumn="1" w:lastColumn="0" w:noHBand="0" w:noVBand="1"/>
      </w:tblPr>
      <w:tblGrid>
        <w:gridCol w:w="2023"/>
        <w:gridCol w:w="1227"/>
        <w:gridCol w:w="1229"/>
        <w:gridCol w:w="1153"/>
        <w:gridCol w:w="1229"/>
        <w:gridCol w:w="1229"/>
        <w:gridCol w:w="1152"/>
      </w:tblGrid>
      <w:tr w:rsidR="00341597" w:rsidRPr="000A02E1" w14:paraId="6ECC2DE5" w14:textId="77777777" w:rsidTr="007F72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4" w:type="pct"/>
            <w:vMerge w:val="restart"/>
            <w:noWrap/>
            <w:hideMark/>
          </w:tcPr>
          <w:p w14:paraId="6877C0AD" w14:textId="77777777" w:rsidR="00341597" w:rsidRPr="00716FEE" w:rsidRDefault="00341597" w:rsidP="00341597">
            <w:r w:rsidRPr="00716FEE">
              <w:t>State/Territory</w:t>
            </w:r>
          </w:p>
        </w:tc>
        <w:tc>
          <w:tcPr>
            <w:tcW w:w="1952" w:type="pct"/>
            <w:gridSpan w:val="3"/>
            <w:noWrap/>
            <w:hideMark/>
          </w:tcPr>
          <w:p w14:paraId="55279273" w14:textId="77777777" w:rsidR="00341597" w:rsidRPr="00716FEE" w:rsidRDefault="00341597" w:rsidP="00F44C09">
            <w:pPr>
              <w:jc w:val="center"/>
              <w:cnfStyle w:val="100000000000" w:firstRow="1" w:lastRow="0" w:firstColumn="0" w:lastColumn="0" w:oddVBand="0" w:evenVBand="0" w:oddHBand="0" w:evenHBand="0" w:firstRowFirstColumn="0" w:firstRowLastColumn="0" w:lastRowFirstColumn="0" w:lastRowLastColumn="0"/>
            </w:pPr>
            <w:r w:rsidRPr="00716FEE">
              <w:t>Year 12</w:t>
            </w:r>
          </w:p>
        </w:tc>
        <w:tc>
          <w:tcPr>
            <w:tcW w:w="1953" w:type="pct"/>
            <w:gridSpan w:val="3"/>
            <w:tcBorders>
              <w:bottom w:val="nil"/>
            </w:tcBorders>
            <w:noWrap/>
            <w:hideMark/>
          </w:tcPr>
          <w:p w14:paraId="6A2A2B4E" w14:textId="77777777" w:rsidR="00341597" w:rsidRPr="00716FEE" w:rsidRDefault="00341597" w:rsidP="00F44C09">
            <w:pPr>
              <w:jc w:val="center"/>
              <w:cnfStyle w:val="100000000000" w:firstRow="1" w:lastRow="0" w:firstColumn="0" w:lastColumn="0" w:oddVBand="0" w:evenVBand="0" w:oddHBand="0" w:evenHBand="0" w:firstRowFirstColumn="0" w:firstRowLastColumn="0" w:lastRowFirstColumn="0" w:lastRowLastColumn="0"/>
            </w:pPr>
            <w:r w:rsidRPr="00716FEE">
              <w:t>Non-Year 12</w:t>
            </w:r>
          </w:p>
        </w:tc>
      </w:tr>
      <w:tr w:rsidR="00341597" w:rsidRPr="000A02E1" w14:paraId="1CC4EF25" w14:textId="77777777" w:rsidTr="007F7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4" w:type="pct"/>
            <w:vMerge/>
            <w:noWrap/>
            <w:hideMark/>
          </w:tcPr>
          <w:p w14:paraId="2A098CE0" w14:textId="77777777" w:rsidR="00341597" w:rsidRPr="00716FEE" w:rsidRDefault="00341597" w:rsidP="00341597"/>
        </w:tc>
        <w:tc>
          <w:tcPr>
            <w:tcW w:w="664" w:type="pct"/>
            <w:noWrap/>
          </w:tcPr>
          <w:p w14:paraId="4B6E2964" w14:textId="77777777" w:rsidR="00341597" w:rsidRPr="003762A0" w:rsidRDefault="00341597" w:rsidP="00F44C09">
            <w:pPr>
              <w:jc w:val="right"/>
              <w:cnfStyle w:val="000000100000" w:firstRow="0" w:lastRow="0" w:firstColumn="0" w:lastColumn="0" w:oddVBand="0" w:evenVBand="0" w:oddHBand="1" w:evenHBand="0" w:firstRowFirstColumn="0" w:firstRowLastColumn="0" w:lastRowFirstColumn="0" w:lastRowLastColumn="0"/>
              <w:rPr>
                <w:b/>
              </w:rPr>
            </w:pPr>
            <w:r w:rsidRPr="003762A0">
              <w:rPr>
                <w:b/>
              </w:rPr>
              <w:t>2016</w:t>
            </w:r>
          </w:p>
        </w:tc>
        <w:tc>
          <w:tcPr>
            <w:tcW w:w="665" w:type="pct"/>
            <w:noWrap/>
          </w:tcPr>
          <w:p w14:paraId="5C36CE1F" w14:textId="77777777" w:rsidR="00341597" w:rsidRPr="003762A0" w:rsidRDefault="00341597" w:rsidP="00F44C09">
            <w:pPr>
              <w:jc w:val="right"/>
              <w:cnfStyle w:val="000000100000" w:firstRow="0" w:lastRow="0" w:firstColumn="0" w:lastColumn="0" w:oddVBand="0" w:evenVBand="0" w:oddHBand="1" w:evenHBand="0" w:firstRowFirstColumn="0" w:firstRowLastColumn="0" w:lastRowFirstColumn="0" w:lastRowLastColumn="0"/>
              <w:rPr>
                <w:b/>
              </w:rPr>
            </w:pPr>
            <w:r w:rsidRPr="003762A0">
              <w:rPr>
                <w:b/>
              </w:rPr>
              <w:t>2017</w:t>
            </w:r>
          </w:p>
        </w:tc>
        <w:tc>
          <w:tcPr>
            <w:tcW w:w="624" w:type="pct"/>
            <w:tcBorders>
              <w:right w:val="single" w:sz="4" w:space="0" w:color="auto"/>
            </w:tcBorders>
            <w:noWrap/>
          </w:tcPr>
          <w:p w14:paraId="3D8E7193" w14:textId="77777777" w:rsidR="00341597" w:rsidRPr="003762A0" w:rsidRDefault="00341597" w:rsidP="00F44C09">
            <w:pPr>
              <w:jc w:val="right"/>
              <w:cnfStyle w:val="000000100000" w:firstRow="0" w:lastRow="0" w:firstColumn="0" w:lastColumn="0" w:oddVBand="0" w:evenVBand="0" w:oddHBand="1" w:evenHBand="0" w:firstRowFirstColumn="0" w:firstRowLastColumn="0" w:lastRowFirstColumn="0" w:lastRowLastColumn="0"/>
              <w:rPr>
                <w:b/>
              </w:rPr>
            </w:pPr>
            <w:r w:rsidRPr="003762A0">
              <w:rPr>
                <w:b/>
              </w:rPr>
              <w:t>Change</w:t>
            </w:r>
          </w:p>
        </w:tc>
        <w:tc>
          <w:tcPr>
            <w:tcW w:w="665" w:type="pct"/>
            <w:tcBorders>
              <w:left w:val="single" w:sz="4" w:space="0" w:color="auto"/>
              <w:bottom w:val="nil"/>
            </w:tcBorders>
            <w:noWrap/>
          </w:tcPr>
          <w:p w14:paraId="1CA7E6FA" w14:textId="77777777" w:rsidR="00341597" w:rsidRPr="003762A0" w:rsidRDefault="00341597" w:rsidP="00F44C09">
            <w:pPr>
              <w:jc w:val="right"/>
              <w:cnfStyle w:val="000000100000" w:firstRow="0" w:lastRow="0" w:firstColumn="0" w:lastColumn="0" w:oddVBand="0" w:evenVBand="0" w:oddHBand="1" w:evenHBand="0" w:firstRowFirstColumn="0" w:firstRowLastColumn="0" w:lastRowFirstColumn="0" w:lastRowLastColumn="0"/>
              <w:rPr>
                <w:b/>
              </w:rPr>
            </w:pPr>
            <w:r w:rsidRPr="003762A0">
              <w:rPr>
                <w:b/>
              </w:rPr>
              <w:t>2016</w:t>
            </w:r>
          </w:p>
        </w:tc>
        <w:tc>
          <w:tcPr>
            <w:tcW w:w="665" w:type="pct"/>
            <w:tcBorders>
              <w:bottom w:val="nil"/>
            </w:tcBorders>
            <w:noWrap/>
          </w:tcPr>
          <w:p w14:paraId="7054BEBD" w14:textId="77777777" w:rsidR="00341597" w:rsidRPr="003762A0" w:rsidRDefault="00341597" w:rsidP="00F44C09">
            <w:pPr>
              <w:jc w:val="right"/>
              <w:cnfStyle w:val="000000100000" w:firstRow="0" w:lastRow="0" w:firstColumn="0" w:lastColumn="0" w:oddVBand="0" w:evenVBand="0" w:oddHBand="1" w:evenHBand="0" w:firstRowFirstColumn="0" w:firstRowLastColumn="0" w:lastRowFirstColumn="0" w:lastRowLastColumn="0"/>
              <w:rPr>
                <w:b/>
              </w:rPr>
            </w:pPr>
            <w:r w:rsidRPr="003762A0">
              <w:rPr>
                <w:b/>
              </w:rPr>
              <w:t>2017</w:t>
            </w:r>
          </w:p>
        </w:tc>
        <w:tc>
          <w:tcPr>
            <w:tcW w:w="623" w:type="pct"/>
            <w:tcBorders>
              <w:bottom w:val="nil"/>
            </w:tcBorders>
            <w:noWrap/>
          </w:tcPr>
          <w:p w14:paraId="7E264228" w14:textId="77777777" w:rsidR="00341597" w:rsidRPr="003762A0" w:rsidRDefault="00341597" w:rsidP="00F44C09">
            <w:pPr>
              <w:jc w:val="right"/>
              <w:cnfStyle w:val="000000100000" w:firstRow="0" w:lastRow="0" w:firstColumn="0" w:lastColumn="0" w:oddVBand="0" w:evenVBand="0" w:oddHBand="1" w:evenHBand="0" w:firstRowFirstColumn="0" w:firstRowLastColumn="0" w:lastRowFirstColumn="0" w:lastRowLastColumn="0"/>
              <w:rPr>
                <w:b/>
              </w:rPr>
            </w:pPr>
            <w:r w:rsidRPr="003762A0">
              <w:rPr>
                <w:b/>
              </w:rPr>
              <w:t>Change</w:t>
            </w:r>
          </w:p>
        </w:tc>
      </w:tr>
      <w:tr w:rsidR="00341597" w:rsidRPr="000A02E1" w14:paraId="186370D5" w14:textId="77777777" w:rsidTr="007F72E7">
        <w:tc>
          <w:tcPr>
            <w:cnfStyle w:val="001000000000" w:firstRow="0" w:lastRow="0" w:firstColumn="1" w:lastColumn="0" w:oddVBand="0" w:evenVBand="0" w:oddHBand="0" w:evenHBand="0" w:firstRowFirstColumn="0" w:firstRowLastColumn="0" w:lastRowFirstColumn="0" w:lastRowLastColumn="0"/>
            <w:tcW w:w="1094" w:type="pct"/>
            <w:hideMark/>
          </w:tcPr>
          <w:p w14:paraId="4A172699" w14:textId="77777777" w:rsidR="00341597" w:rsidRPr="000A02E1" w:rsidRDefault="00341597" w:rsidP="00341597">
            <w:r w:rsidRPr="000A02E1">
              <w:t>NSW/ACT</w:t>
            </w:r>
          </w:p>
        </w:tc>
        <w:tc>
          <w:tcPr>
            <w:tcW w:w="664" w:type="pct"/>
            <w:noWrap/>
          </w:tcPr>
          <w:p w14:paraId="75309259" w14:textId="77777777" w:rsidR="00341597" w:rsidRPr="0004141A"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04141A">
              <w:t>51,476</w:t>
            </w:r>
          </w:p>
        </w:tc>
        <w:tc>
          <w:tcPr>
            <w:tcW w:w="665" w:type="pct"/>
            <w:noWrap/>
          </w:tcPr>
          <w:p w14:paraId="636B4735" w14:textId="77777777" w:rsidR="00341597" w:rsidRPr="006A10DA"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6A10DA">
              <w:t>50,760</w:t>
            </w:r>
          </w:p>
        </w:tc>
        <w:tc>
          <w:tcPr>
            <w:tcW w:w="624" w:type="pct"/>
            <w:tcBorders>
              <w:right w:val="single" w:sz="4" w:space="0" w:color="auto"/>
            </w:tcBorders>
            <w:noWrap/>
          </w:tcPr>
          <w:p w14:paraId="2597A53B" w14:textId="77777777" w:rsidR="00341597" w:rsidRPr="008F46EF"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8F46EF">
              <w:t>-1.4%</w:t>
            </w:r>
          </w:p>
        </w:tc>
        <w:tc>
          <w:tcPr>
            <w:tcW w:w="665" w:type="pct"/>
            <w:tcBorders>
              <w:left w:val="single" w:sz="4" w:space="0" w:color="auto"/>
              <w:bottom w:val="nil"/>
            </w:tcBorders>
            <w:noWrap/>
          </w:tcPr>
          <w:p w14:paraId="45AA8E44" w14:textId="77777777" w:rsidR="00341597" w:rsidRPr="005F37EB"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5F37EB">
              <w:t>31,600</w:t>
            </w:r>
          </w:p>
        </w:tc>
        <w:tc>
          <w:tcPr>
            <w:tcW w:w="665" w:type="pct"/>
            <w:tcBorders>
              <w:bottom w:val="nil"/>
            </w:tcBorders>
            <w:noWrap/>
          </w:tcPr>
          <w:p w14:paraId="3B20ABA2" w14:textId="77777777" w:rsidR="00341597" w:rsidRPr="005F37EB"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5F37EB">
              <w:t>29,700</w:t>
            </w:r>
          </w:p>
        </w:tc>
        <w:tc>
          <w:tcPr>
            <w:tcW w:w="623" w:type="pct"/>
            <w:tcBorders>
              <w:bottom w:val="nil"/>
            </w:tcBorders>
            <w:noWrap/>
          </w:tcPr>
          <w:p w14:paraId="6F653306" w14:textId="77777777" w:rsidR="00341597" w:rsidRPr="005F37EB"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5F37EB">
              <w:t>-6.0%</w:t>
            </w:r>
          </w:p>
        </w:tc>
      </w:tr>
      <w:tr w:rsidR="00341597" w:rsidRPr="00B875BD" w14:paraId="39B036AE" w14:textId="77777777" w:rsidTr="007F7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4" w:type="pct"/>
            <w:hideMark/>
          </w:tcPr>
          <w:p w14:paraId="39EC5466" w14:textId="77777777" w:rsidR="00341597" w:rsidRPr="000A02E1" w:rsidRDefault="00341597" w:rsidP="00341597">
            <w:r w:rsidRPr="000A02E1">
              <w:t>Vic.</w:t>
            </w:r>
          </w:p>
        </w:tc>
        <w:tc>
          <w:tcPr>
            <w:tcW w:w="664" w:type="pct"/>
            <w:noWrap/>
          </w:tcPr>
          <w:p w14:paraId="3A6EAFA9" w14:textId="77777777" w:rsidR="00341597" w:rsidRPr="0004141A"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04141A">
              <w:t>46,908</w:t>
            </w:r>
          </w:p>
        </w:tc>
        <w:tc>
          <w:tcPr>
            <w:tcW w:w="665" w:type="pct"/>
            <w:noWrap/>
          </w:tcPr>
          <w:p w14:paraId="4355C1BB" w14:textId="77777777" w:rsidR="00341597" w:rsidRPr="006A10DA"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6A10DA">
              <w:t>46,588</w:t>
            </w:r>
          </w:p>
        </w:tc>
        <w:tc>
          <w:tcPr>
            <w:tcW w:w="624" w:type="pct"/>
            <w:tcBorders>
              <w:right w:val="single" w:sz="4" w:space="0" w:color="auto"/>
            </w:tcBorders>
            <w:noWrap/>
          </w:tcPr>
          <w:p w14:paraId="4BF60CE2" w14:textId="77777777" w:rsidR="00341597" w:rsidRPr="008F46EF"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8F46EF">
              <w:t>-0.7%</w:t>
            </w:r>
          </w:p>
        </w:tc>
        <w:tc>
          <w:tcPr>
            <w:tcW w:w="665" w:type="pct"/>
            <w:tcBorders>
              <w:left w:val="single" w:sz="4" w:space="0" w:color="auto"/>
              <w:bottom w:val="nil"/>
            </w:tcBorders>
            <w:noWrap/>
          </w:tcPr>
          <w:p w14:paraId="39590DCC" w14:textId="77777777" w:rsidR="00341597" w:rsidRPr="005F37EB"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5F37EB">
              <w:t>23,665</w:t>
            </w:r>
          </w:p>
        </w:tc>
        <w:tc>
          <w:tcPr>
            <w:tcW w:w="665" w:type="pct"/>
            <w:tcBorders>
              <w:bottom w:val="nil"/>
            </w:tcBorders>
            <w:noWrap/>
          </w:tcPr>
          <w:p w14:paraId="287320D4" w14:textId="77777777" w:rsidR="00341597" w:rsidRPr="005F37EB"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5F37EB">
              <w:t>19,616</w:t>
            </w:r>
          </w:p>
        </w:tc>
        <w:tc>
          <w:tcPr>
            <w:tcW w:w="623" w:type="pct"/>
            <w:tcBorders>
              <w:bottom w:val="nil"/>
            </w:tcBorders>
            <w:noWrap/>
          </w:tcPr>
          <w:p w14:paraId="63BF370F" w14:textId="77777777" w:rsidR="00341597" w:rsidRPr="005F37EB"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5F37EB">
              <w:t>-17.1%</w:t>
            </w:r>
          </w:p>
        </w:tc>
      </w:tr>
      <w:tr w:rsidR="00341597" w:rsidRPr="00B875BD" w14:paraId="7FD3B37A" w14:textId="77777777" w:rsidTr="007F72E7">
        <w:tc>
          <w:tcPr>
            <w:cnfStyle w:val="001000000000" w:firstRow="0" w:lastRow="0" w:firstColumn="1" w:lastColumn="0" w:oddVBand="0" w:evenVBand="0" w:oddHBand="0" w:evenHBand="0" w:firstRowFirstColumn="0" w:firstRowLastColumn="0" w:lastRowFirstColumn="0" w:lastRowLastColumn="0"/>
            <w:tcW w:w="1094" w:type="pct"/>
            <w:hideMark/>
          </w:tcPr>
          <w:p w14:paraId="382E9132" w14:textId="77777777" w:rsidR="00341597" w:rsidRPr="00B875BD" w:rsidRDefault="00341597" w:rsidP="00341597">
            <w:r w:rsidRPr="00B875BD">
              <w:t>Qld</w:t>
            </w:r>
            <w:r>
              <w:t>.</w:t>
            </w:r>
          </w:p>
        </w:tc>
        <w:tc>
          <w:tcPr>
            <w:tcW w:w="664" w:type="pct"/>
            <w:noWrap/>
          </w:tcPr>
          <w:p w14:paraId="6D84F8CA" w14:textId="77777777" w:rsidR="00341597" w:rsidRPr="0004141A"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04141A">
              <w:t>29,301</w:t>
            </w:r>
          </w:p>
        </w:tc>
        <w:tc>
          <w:tcPr>
            <w:tcW w:w="665" w:type="pct"/>
            <w:noWrap/>
          </w:tcPr>
          <w:p w14:paraId="21493E1E" w14:textId="77777777" w:rsidR="00341597" w:rsidRPr="006A10DA"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6A10DA">
              <w:t>29,671</w:t>
            </w:r>
          </w:p>
        </w:tc>
        <w:tc>
          <w:tcPr>
            <w:tcW w:w="624" w:type="pct"/>
            <w:tcBorders>
              <w:right w:val="single" w:sz="4" w:space="0" w:color="auto"/>
            </w:tcBorders>
            <w:noWrap/>
          </w:tcPr>
          <w:p w14:paraId="11E0CB8F" w14:textId="77777777" w:rsidR="00341597" w:rsidRPr="008F46EF"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8F46EF">
              <w:t>1.3%</w:t>
            </w:r>
          </w:p>
        </w:tc>
        <w:tc>
          <w:tcPr>
            <w:tcW w:w="665" w:type="pct"/>
            <w:tcBorders>
              <w:left w:val="single" w:sz="4" w:space="0" w:color="auto"/>
              <w:bottom w:val="nil"/>
            </w:tcBorders>
            <w:noWrap/>
          </w:tcPr>
          <w:p w14:paraId="77EDEB70" w14:textId="77777777" w:rsidR="00341597" w:rsidRPr="005F37EB"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5F37EB">
              <w:t>28,465</w:t>
            </w:r>
          </w:p>
        </w:tc>
        <w:tc>
          <w:tcPr>
            <w:tcW w:w="665" w:type="pct"/>
            <w:tcBorders>
              <w:bottom w:val="nil"/>
            </w:tcBorders>
            <w:noWrap/>
          </w:tcPr>
          <w:p w14:paraId="7D6E1441" w14:textId="77777777" w:rsidR="00341597" w:rsidRPr="005F37EB"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5F37EB">
              <w:t>28,498</w:t>
            </w:r>
          </w:p>
        </w:tc>
        <w:tc>
          <w:tcPr>
            <w:tcW w:w="623" w:type="pct"/>
            <w:tcBorders>
              <w:bottom w:val="nil"/>
            </w:tcBorders>
            <w:noWrap/>
          </w:tcPr>
          <w:p w14:paraId="030C0976" w14:textId="77777777" w:rsidR="00341597" w:rsidRPr="005F37EB"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5F37EB">
              <w:t>0.1%</w:t>
            </w:r>
          </w:p>
        </w:tc>
      </w:tr>
      <w:tr w:rsidR="00341597" w:rsidRPr="00B875BD" w14:paraId="7D350A14" w14:textId="77777777" w:rsidTr="007F7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4" w:type="pct"/>
            <w:hideMark/>
          </w:tcPr>
          <w:p w14:paraId="779957B0" w14:textId="77777777" w:rsidR="00341597" w:rsidRPr="00B875BD" w:rsidRDefault="00341597" w:rsidP="00341597">
            <w:r w:rsidRPr="00B875BD">
              <w:t>WA</w:t>
            </w:r>
            <w:r w:rsidRPr="00B875BD" w:rsidDel="000861C1">
              <w:t xml:space="preserve"> </w:t>
            </w:r>
          </w:p>
        </w:tc>
        <w:tc>
          <w:tcPr>
            <w:tcW w:w="664" w:type="pct"/>
            <w:noWrap/>
          </w:tcPr>
          <w:p w14:paraId="50C6022F" w14:textId="77777777" w:rsidR="00341597" w:rsidRPr="0004141A"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04141A">
              <w:t>12,701</w:t>
            </w:r>
          </w:p>
        </w:tc>
        <w:tc>
          <w:tcPr>
            <w:tcW w:w="665" w:type="pct"/>
            <w:noWrap/>
          </w:tcPr>
          <w:p w14:paraId="574E99AB" w14:textId="77777777" w:rsidR="00341597" w:rsidRPr="006A10DA"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6A10DA">
              <w:t>12,893</w:t>
            </w:r>
          </w:p>
        </w:tc>
        <w:tc>
          <w:tcPr>
            <w:tcW w:w="624" w:type="pct"/>
            <w:tcBorders>
              <w:right w:val="single" w:sz="4" w:space="0" w:color="auto"/>
            </w:tcBorders>
            <w:noWrap/>
          </w:tcPr>
          <w:p w14:paraId="7D6A11BB" w14:textId="77777777" w:rsidR="00341597" w:rsidRPr="008F46EF"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8F46EF">
              <w:t>1.5%</w:t>
            </w:r>
          </w:p>
        </w:tc>
        <w:tc>
          <w:tcPr>
            <w:tcW w:w="665" w:type="pct"/>
            <w:tcBorders>
              <w:left w:val="single" w:sz="4" w:space="0" w:color="auto"/>
              <w:bottom w:val="nil"/>
            </w:tcBorders>
            <w:noWrap/>
          </w:tcPr>
          <w:p w14:paraId="69372040" w14:textId="77777777" w:rsidR="00341597" w:rsidRPr="005F37EB"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5F37EB">
              <w:t>4,520</w:t>
            </w:r>
          </w:p>
        </w:tc>
        <w:tc>
          <w:tcPr>
            <w:tcW w:w="665" w:type="pct"/>
            <w:tcBorders>
              <w:bottom w:val="nil"/>
            </w:tcBorders>
            <w:noWrap/>
          </w:tcPr>
          <w:p w14:paraId="02DD380E" w14:textId="77777777" w:rsidR="00341597" w:rsidRPr="005F37EB"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5F37EB">
              <w:t>4,202</w:t>
            </w:r>
          </w:p>
        </w:tc>
        <w:tc>
          <w:tcPr>
            <w:tcW w:w="623" w:type="pct"/>
            <w:tcBorders>
              <w:bottom w:val="nil"/>
            </w:tcBorders>
            <w:noWrap/>
          </w:tcPr>
          <w:p w14:paraId="7BBC2DC6" w14:textId="77777777" w:rsidR="00341597" w:rsidRPr="005F37EB"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5F37EB">
              <w:t>-7.0%</w:t>
            </w:r>
          </w:p>
        </w:tc>
      </w:tr>
      <w:tr w:rsidR="00341597" w:rsidRPr="00B875BD" w14:paraId="5EC44FEA" w14:textId="77777777" w:rsidTr="007F72E7">
        <w:tc>
          <w:tcPr>
            <w:cnfStyle w:val="001000000000" w:firstRow="0" w:lastRow="0" w:firstColumn="1" w:lastColumn="0" w:oddVBand="0" w:evenVBand="0" w:oddHBand="0" w:evenHBand="0" w:firstRowFirstColumn="0" w:firstRowLastColumn="0" w:lastRowFirstColumn="0" w:lastRowLastColumn="0"/>
            <w:tcW w:w="1094" w:type="pct"/>
            <w:hideMark/>
          </w:tcPr>
          <w:p w14:paraId="76D0897D" w14:textId="77777777" w:rsidR="00341597" w:rsidRPr="00B875BD" w:rsidRDefault="00341597" w:rsidP="00341597">
            <w:r w:rsidRPr="00B875BD">
              <w:t>SA/NT</w:t>
            </w:r>
          </w:p>
        </w:tc>
        <w:tc>
          <w:tcPr>
            <w:tcW w:w="664" w:type="pct"/>
            <w:noWrap/>
          </w:tcPr>
          <w:p w14:paraId="393773BA" w14:textId="77777777" w:rsidR="00341597" w:rsidRPr="0004141A"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04141A">
              <w:t>13,124</w:t>
            </w:r>
          </w:p>
        </w:tc>
        <w:tc>
          <w:tcPr>
            <w:tcW w:w="665" w:type="pct"/>
            <w:noWrap/>
          </w:tcPr>
          <w:p w14:paraId="1F5F6F07" w14:textId="77777777" w:rsidR="00341597" w:rsidRPr="006A10DA"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6A10DA">
              <w:t>13,233</w:t>
            </w:r>
          </w:p>
        </w:tc>
        <w:tc>
          <w:tcPr>
            <w:tcW w:w="624" w:type="pct"/>
            <w:tcBorders>
              <w:right w:val="single" w:sz="4" w:space="0" w:color="auto"/>
            </w:tcBorders>
            <w:noWrap/>
          </w:tcPr>
          <w:p w14:paraId="2B332BD2" w14:textId="77777777" w:rsidR="00341597" w:rsidRPr="008F46EF"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8F46EF">
              <w:t>0.8%</w:t>
            </w:r>
          </w:p>
        </w:tc>
        <w:tc>
          <w:tcPr>
            <w:tcW w:w="665" w:type="pct"/>
            <w:tcBorders>
              <w:left w:val="single" w:sz="4" w:space="0" w:color="auto"/>
              <w:bottom w:val="nil"/>
            </w:tcBorders>
            <w:noWrap/>
          </w:tcPr>
          <w:p w14:paraId="6524EDAE" w14:textId="77777777" w:rsidR="00341597" w:rsidRPr="005F37EB"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5F37EB">
              <w:t>14,358</w:t>
            </w:r>
          </w:p>
        </w:tc>
        <w:tc>
          <w:tcPr>
            <w:tcW w:w="665" w:type="pct"/>
            <w:tcBorders>
              <w:bottom w:val="nil"/>
            </w:tcBorders>
            <w:noWrap/>
          </w:tcPr>
          <w:p w14:paraId="54BF169C" w14:textId="77777777" w:rsidR="00341597" w:rsidRPr="005F37EB"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5F37EB">
              <w:t>14,161</w:t>
            </w:r>
          </w:p>
        </w:tc>
        <w:tc>
          <w:tcPr>
            <w:tcW w:w="623" w:type="pct"/>
            <w:tcBorders>
              <w:bottom w:val="nil"/>
            </w:tcBorders>
            <w:noWrap/>
          </w:tcPr>
          <w:p w14:paraId="41D335D0" w14:textId="77777777" w:rsidR="00341597" w:rsidRPr="005F37EB"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5F37EB">
              <w:t>-1.4%</w:t>
            </w:r>
          </w:p>
        </w:tc>
      </w:tr>
      <w:tr w:rsidR="00341597" w:rsidRPr="00B875BD" w14:paraId="2BC6F387" w14:textId="77777777" w:rsidTr="007F7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4" w:type="pct"/>
            <w:hideMark/>
          </w:tcPr>
          <w:p w14:paraId="2C3ABEAB" w14:textId="77777777" w:rsidR="00341597" w:rsidRPr="00B875BD" w:rsidRDefault="00341597" w:rsidP="00341597">
            <w:r w:rsidRPr="00B875BD">
              <w:t>Tas.</w:t>
            </w:r>
          </w:p>
        </w:tc>
        <w:tc>
          <w:tcPr>
            <w:tcW w:w="664" w:type="pct"/>
            <w:noWrap/>
          </w:tcPr>
          <w:p w14:paraId="64B166DB" w14:textId="77777777" w:rsidR="00341597" w:rsidRPr="0004141A"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04141A">
              <w:t>3,274</w:t>
            </w:r>
          </w:p>
        </w:tc>
        <w:tc>
          <w:tcPr>
            <w:tcW w:w="665" w:type="pct"/>
            <w:noWrap/>
          </w:tcPr>
          <w:p w14:paraId="04C3DD5E" w14:textId="77777777" w:rsidR="00341597" w:rsidRPr="006A10DA"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6A10DA">
              <w:t>3,284</w:t>
            </w:r>
          </w:p>
        </w:tc>
        <w:tc>
          <w:tcPr>
            <w:tcW w:w="624" w:type="pct"/>
            <w:tcBorders>
              <w:right w:val="single" w:sz="4" w:space="0" w:color="auto"/>
            </w:tcBorders>
            <w:noWrap/>
          </w:tcPr>
          <w:p w14:paraId="691011A6" w14:textId="77777777" w:rsidR="00341597" w:rsidRPr="008F46EF"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8F46EF">
              <w:t>0.3%</w:t>
            </w:r>
          </w:p>
        </w:tc>
        <w:tc>
          <w:tcPr>
            <w:tcW w:w="665" w:type="pct"/>
            <w:tcBorders>
              <w:left w:val="single" w:sz="4" w:space="0" w:color="auto"/>
              <w:bottom w:val="nil"/>
            </w:tcBorders>
            <w:noWrap/>
          </w:tcPr>
          <w:p w14:paraId="2881F77B" w14:textId="77777777" w:rsidR="00341597" w:rsidRPr="005F37EB"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5F37EB">
              <w:t>13,151</w:t>
            </w:r>
          </w:p>
        </w:tc>
        <w:tc>
          <w:tcPr>
            <w:tcW w:w="665" w:type="pct"/>
            <w:tcBorders>
              <w:bottom w:val="nil"/>
            </w:tcBorders>
            <w:noWrap/>
          </w:tcPr>
          <w:p w14:paraId="1CFFEBEC" w14:textId="77777777" w:rsidR="00341597" w:rsidRPr="005F37EB"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5F37EB">
              <w:t>13,041</w:t>
            </w:r>
          </w:p>
        </w:tc>
        <w:tc>
          <w:tcPr>
            <w:tcW w:w="623" w:type="pct"/>
            <w:tcBorders>
              <w:bottom w:val="nil"/>
            </w:tcBorders>
            <w:noWrap/>
          </w:tcPr>
          <w:p w14:paraId="210A8617" w14:textId="77777777" w:rsidR="00341597" w:rsidRPr="005F37EB"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5F37EB">
              <w:t>-0.8%</w:t>
            </w:r>
          </w:p>
        </w:tc>
      </w:tr>
      <w:tr w:rsidR="00341597" w:rsidRPr="00B875BD" w14:paraId="6A5E69DC" w14:textId="77777777" w:rsidTr="007F72E7">
        <w:tc>
          <w:tcPr>
            <w:cnfStyle w:val="001000000000" w:firstRow="0" w:lastRow="0" w:firstColumn="1" w:lastColumn="0" w:oddVBand="0" w:evenVBand="0" w:oddHBand="0" w:evenHBand="0" w:firstRowFirstColumn="0" w:firstRowLastColumn="0" w:lastRowFirstColumn="0" w:lastRowLastColumn="0"/>
            <w:tcW w:w="1094" w:type="pct"/>
          </w:tcPr>
          <w:p w14:paraId="0A794D59" w14:textId="77777777" w:rsidR="00341597" w:rsidRPr="002F4AA7" w:rsidRDefault="00341597" w:rsidP="00A02290">
            <w:r w:rsidRPr="002F4AA7">
              <w:t>Australia</w:t>
            </w:r>
          </w:p>
        </w:tc>
        <w:tc>
          <w:tcPr>
            <w:tcW w:w="664" w:type="pct"/>
            <w:noWrap/>
          </w:tcPr>
          <w:p w14:paraId="6A9917DC" w14:textId="77777777" w:rsidR="00341597" w:rsidRPr="002F4AA7"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2F4AA7">
              <w:t>156,784</w:t>
            </w:r>
          </w:p>
        </w:tc>
        <w:tc>
          <w:tcPr>
            <w:tcW w:w="665" w:type="pct"/>
            <w:noWrap/>
          </w:tcPr>
          <w:p w14:paraId="0E354C89" w14:textId="77777777" w:rsidR="00341597" w:rsidRPr="002F4AA7"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2F4AA7">
              <w:t>156,429</w:t>
            </w:r>
          </w:p>
        </w:tc>
        <w:tc>
          <w:tcPr>
            <w:tcW w:w="624" w:type="pct"/>
            <w:tcBorders>
              <w:right w:val="single" w:sz="4" w:space="0" w:color="auto"/>
            </w:tcBorders>
            <w:noWrap/>
          </w:tcPr>
          <w:p w14:paraId="2DC5CFAE" w14:textId="77777777" w:rsidR="00341597" w:rsidRPr="002F4AA7"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2F4AA7">
              <w:t>-0.2%</w:t>
            </w:r>
          </w:p>
        </w:tc>
        <w:tc>
          <w:tcPr>
            <w:tcW w:w="665" w:type="pct"/>
            <w:tcBorders>
              <w:left w:val="single" w:sz="4" w:space="0" w:color="auto"/>
              <w:bottom w:val="single" w:sz="4" w:space="0" w:color="auto"/>
            </w:tcBorders>
            <w:noWrap/>
          </w:tcPr>
          <w:p w14:paraId="18BD0AA0" w14:textId="77777777" w:rsidR="00341597" w:rsidRPr="002F4AA7"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2F4AA7">
              <w:t>115,759</w:t>
            </w:r>
          </w:p>
        </w:tc>
        <w:tc>
          <w:tcPr>
            <w:tcW w:w="665" w:type="pct"/>
            <w:tcBorders>
              <w:bottom w:val="single" w:sz="4" w:space="0" w:color="auto"/>
            </w:tcBorders>
            <w:noWrap/>
          </w:tcPr>
          <w:p w14:paraId="274D4962" w14:textId="77777777" w:rsidR="00341597" w:rsidRPr="002F4AA7"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2F4AA7">
              <w:t>109,218</w:t>
            </w:r>
          </w:p>
        </w:tc>
        <w:tc>
          <w:tcPr>
            <w:tcW w:w="623" w:type="pct"/>
            <w:tcBorders>
              <w:bottom w:val="single" w:sz="4" w:space="0" w:color="auto"/>
            </w:tcBorders>
            <w:noWrap/>
          </w:tcPr>
          <w:p w14:paraId="5B05035A" w14:textId="77777777" w:rsidR="00341597" w:rsidRPr="002F4AA7" w:rsidRDefault="00341597" w:rsidP="007F72E7">
            <w:pPr>
              <w:jc w:val="right"/>
              <w:cnfStyle w:val="000000000000" w:firstRow="0" w:lastRow="0" w:firstColumn="0" w:lastColumn="0" w:oddVBand="0" w:evenVBand="0" w:oddHBand="0" w:evenHBand="0" w:firstRowFirstColumn="0" w:firstRowLastColumn="0" w:lastRowFirstColumn="0" w:lastRowLastColumn="0"/>
            </w:pPr>
            <w:r w:rsidRPr="002F4AA7">
              <w:t>-5.7%</w:t>
            </w:r>
          </w:p>
        </w:tc>
      </w:tr>
    </w:tbl>
    <w:p w14:paraId="431018C7" w14:textId="44ED678B" w:rsidR="00341597" w:rsidRDefault="00341597" w:rsidP="00341597">
      <w:r>
        <w:t>Note:</w:t>
      </w:r>
      <w:r w:rsidRPr="003A45C2">
        <w:t xml:space="preserve"> </w:t>
      </w:r>
      <w:r w:rsidRPr="00B875BD">
        <w:t xml:space="preserve">Hospitality and Mixed Field </w:t>
      </w:r>
      <w:r>
        <w:t>P</w:t>
      </w:r>
      <w:r w:rsidRPr="00B875BD">
        <w:t xml:space="preserve">rograms are not shown </w:t>
      </w:r>
      <w:r>
        <w:t>due to the small number of applications/offers. H</w:t>
      </w:r>
      <w:r w:rsidRPr="00B875BD">
        <w:t>ence</w:t>
      </w:r>
      <w:r>
        <w:t>,</w:t>
      </w:r>
      <w:r w:rsidRPr="00B875BD">
        <w:t xml:space="preserve"> the total number of applications/offers does not equal the sum of applications/offers by broad field of education in the above table.</w:t>
      </w:r>
    </w:p>
    <w:p w14:paraId="210A0AE0" w14:textId="77777777" w:rsidR="00341597" w:rsidRPr="00CA743F" w:rsidRDefault="00341597" w:rsidP="00CA743F">
      <w:pPr>
        <w:pStyle w:val="Heading2"/>
      </w:pPr>
      <w:bookmarkStart w:id="129" w:name="_Toc492454276"/>
      <w:r w:rsidRPr="00CA743F">
        <w:t>TAC Offers</w:t>
      </w:r>
      <w:bookmarkEnd w:id="129"/>
    </w:p>
    <w:p w14:paraId="37DE06E2" w14:textId="1B4D3FCF" w:rsidR="00D21F72" w:rsidRDefault="00D21F72" w:rsidP="00D21F72">
      <w:pPr>
        <w:pStyle w:val="Caption"/>
        <w:keepNext/>
      </w:pPr>
      <w:bookmarkStart w:id="130" w:name="_Toc492453649"/>
      <w:bookmarkStart w:id="131" w:name="_Toc492453874"/>
      <w:r>
        <w:t xml:space="preserve">Table </w:t>
      </w:r>
      <w:fldSimple w:instr=" SEQ Table \* ARABIC ">
        <w:r w:rsidR="00E05F5D">
          <w:rPr>
            <w:noProof/>
          </w:rPr>
          <w:t>18</w:t>
        </w:r>
      </w:fldSimple>
      <w:r w:rsidRPr="00AF06BF">
        <w:t>: Offers and offer rates by state and territory, February 2016 and February 2017</w:t>
      </w:r>
      <w:bookmarkEnd w:id="130"/>
      <w:bookmarkEnd w:id="131"/>
    </w:p>
    <w:tbl>
      <w:tblPr>
        <w:tblStyle w:val="DEEWRTable"/>
        <w:tblW w:w="5000" w:type="pct"/>
        <w:tblLook w:val="04A0" w:firstRow="1" w:lastRow="0" w:firstColumn="1" w:lastColumn="0" w:noHBand="0" w:noVBand="1"/>
      </w:tblPr>
      <w:tblGrid>
        <w:gridCol w:w="1956"/>
        <w:gridCol w:w="1325"/>
        <w:gridCol w:w="1190"/>
        <w:gridCol w:w="1194"/>
        <w:gridCol w:w="1194"/>
        <w:gridCol w:w="1194"/>
        <w:gridCol w:w="1189"/>
      </w:tblGrid>
      <w:tr w:rsidR="00341597" w:rsidRPr="00B875BD" w14:paraId="6FF8AD61" w14:textId="77777777" w:rsidTr="007F72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noWrap/>
          </w:tcPr>
          <w:p w14:paraId="0FC32A6D" w14:textId="77777777" w:rsidR="00341597" w:rsidRPr="00511DE9" w:rsidRDefault="00341597" w:rsidP="00341597">
            <w:pPr>
              <w:rPr>
                <w:b w:val="0"/>
              </w:rPr>
            </w:pPr>
          </w:p>
        </w:tc>
        <w:tc>
          <w:tcPr>
            <w:tcW w:w="2007" w:type="pct"/>
            <w:gridSpan w:val="3"/>
          </w:tcPr>
          <w:p w14:paraId="4D3F4321" w14:textId="77777777" w:rsidR="00341597" w:rsidRPr="00511DE9" w:rsidRDefault="00341597" w:rsidP="00F44C09">
            <w:pPr>
              <w:jc w:val="center"/>
              <w:cnfStyle w:val="100000000000" w:firstRow="1" w:lastRow="0" w:firstColumn="0" w:lastColumn="0" w:oddVBand="0" w:evenVBand="0" w:oddHBand="0" w:evenHBand="0" w:firstRowFirstColumn="0" w:firstRowLastColumn="0" w:lastRowFirstColumn="0" w:lastRowLastColumn="0"/>
            </w:pPr>
            <w:r>
              <w:t>Offers</w:t>
            </w:r>
          </w:p>
        </w:tc>
        <w:tc>
          <w:tcPr>
            <w:tcW w:w="1936" w:type="pct"/>
            <w:gridSpan w:val="3"/>
            <w:tcBorders>
              <w:bottom w:val="nil"/>
            </w:tcBorders>
          </w:tcPr>
          <w:p w14:paraId="0EFF3749" w14:textId="77777777" w:rsidR="00341597" w:rsidRPr="00511DE9" w:rsidRDefault="00341597" w:rsidP="00F44C09">
            <w:pPr>
              <w:jc w:val="center"/>
              <w:cnfStyle w:val="100000000000" w:firstRow="1" w:lastRow="0" w:firstColumn="0" w:lastColumn="0" w:oddVBand="0" w:evenVBand="0" w:oddHBand="0" w:evenHBand="0" w:firstRowFirstColumn="0" w:firstRowLastColumn="0" w:lastRowFirstColumn="0" w:lastRowLastColumn="0"/>
            </w:pPr>
            <w:r>
              <w:t>Offer rates</w:t>
            </w:r>
          </w:p>
        </w:tc>
      </w:tr>
      <w:tr w:rsidR="00341597" w:rsidRPr="00B875BD" w14:paraId="0CE143FB" w14:textId="77777777" w:rsidTr="007F7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noWrap/>
            <w:hideMark/>
          </w:tcPr>
          <w:p w14:paraId="3220557B" w14:textId="77777777" w:rsidR="00341597" w:rsidRPr="00A02290" w:rsidRDefault="00341597" w:rsidP="00341597">
            <w:r w:rsidRPr="00A02290">
              <w:t>State/Territory</w:t>
            </w:r>
          </w:p>
        </w:tc>
        <w:tc>
          <w:tcPr>
            <w:tcW w:w="717" w:type="pct"/>
          </w:tcPr>
          <w:p w14:paraId="1D7C1119" w14:textId="77777777" w:rsidR="00341597" w:rsidRPr="003762A0" w:rsidRDefault="00341597" w:rsidP="00B67C70">
            <w:pPr>
              <w:jc w:val="right"/>
              <w:cnfStyle w:val="000000100000" w:firstRow="0" w:lastRow="0" w:firstColumn="0" w:lastColumn="0" w:oddVBand="0" w:evenVBand="0" w:oddHBand="1" w:evenHBand="0" w:firstRowFirstColumn="0" w:firstRowLastColumn="0" w:lastRowFirstColumn="0" w:lastRowLastColumn="0"/>
              <w:rPr>
                <w:b/>
              </w:rPr>
            </w:pPr>
            <w:r w:rsidRPr="003762A0">
              <w:rPr>
                <w:b/>
              </w:rPr>
              <w:t>2016</w:t>
            </w:r>
          </w:p>
        </w:tc>
        <w:tc>
          <w:tcPr>
            <w:tcW w:w="644" w:type="pct"/>
          </w:tcPr>
          <w:p w14:paraId="3BA8B583" w14:textId="77777777" w:rsidR="00341597" w:rsidRPr="003762A0" w:rsidRDefault="00341597" w:rsidP="00B67C70">
            <w:pPr>
              <w:jc w:val="right"/>
              <w:cnfStyle w:val="000000100000" w:firstRow="0" w:lastRow="0" w:firstColumn="0" w:lastColumn="0" w:oddVBand="0" w:evenVBand="0" w:oddHBand="1" w:evenHBand="0" w:firstRowFirstColumn="0" w:firstRowLastColumn="0" w:lastRowFirstColumn="0" w:lastRowLastColumn="0"/>
              <w:rPr>
                <w:b/>
              </w:rPr>
            </w:pPr>
            <w:r w:rsidRPr="003762A0">
              <w:rPr>
                <w:b/>
              </w:rPr>
              <w:t>2017</w:t>
            </w:r>
          </w:p>
        </w:tc>
        <w:tc>
          <w:tcPr>
            <w:tcW w:w="646" w:type="pct"/>
            <w:tcBorders>
              <w:right w:val="single" w:sz="4" w:space="0" w:color="auto"/>
            </w:tcBorders>
          </w:tcPr>
          <w:p w14:paraId="52483CBA" w14:textId="77777777" w:rsidR="00341597" w:rsidRPr="003762A0" w:rsidRDefault="00341597" w:rsidP="00B67C70">
            <w:pPr>
              <w:jc w:val="right"/>
              <w:cnfStyle w:val="000000100000" w:firstRow="0" w:lastRow="0" w:firstColumn="0" w:lastColumn="0" w:oddVBand="0" w:evenVBand="0" w:oddHBand="1" w:evenHBand="0" w:firstRowFirstColumn="0" w:firstRowLastColumn="0" w:lastRowFirstColumn="0" w:lastRowLastColumn="0"/>
              <w:rPr>
                <w:b/>
              </w:rPr>
            </w:pPr>
            <w:r w:rsidRPr="003762A0">
              <w:rPr>
                <w:b/>
              </w:rPr>
              <w:t>Change</w:t>
            </w:r>
          </w:p>
        </w:tc>
        <w:tc>
          <w:tcPr>
            <w:tcW w:w="646" w:type="pct"/>
            <w:tcBorders>
              <w:left w:val="single" w:sz="4" w:space="0" w:color="auto"/>
              <w:bottom w:val="nil"/>
            </w:tcBorders>
          </w:tcPr>
          <w:p w14:paraId="384E991E" w14:textId="77777777" w:rsidR="00341597" w:rsidRPr="003762A0" w:rsidRDefault="00341597" w:rsidP="00B67C70">
            <w:pPr>
              <w:jc w:val="right"/>
              <w:cnfStyle w:val="000000100000" w:firstRow="0" w:lastRow="0" w:firstColumn="0" w:lastColumn="0" w:oddVBand="0" w:evenVBand="0" w:oddHBand="1" w:evenHBand="0" w:firstRowFirstColumn="0" w:firstRowLastColumn="0" w:lastRowFirstColumn="0" w:lastRowLastColumn="0"/>
              <w:rPr>
                <w:b/>
              </w:rPr>
            </w:pPr>
            <w:r w:rsidRPr="003762A0">
              <w:rPr>
                <w:b/>
              </w:rPr>
              <w:t>2016</w:t>
            </w:r>
          </w:p>
        </w:tc>
        <w:tc>
          <w:tcPr>
            <w:tcW w:w="646" w:type="pct"/>
            <w:tcBorders>
              <w:bottom w:val="nil"/>
            </w:tcBorders>
          </w:tcPr>
          <w:p w14:paraId="3A54DCCE" w14:textId="77777777" w:rsidR="00341597" w:rsidRPr="003762A0" w:rsidRDefault="00341597" w:rsidP="00B67C70">
            <w:pPr>
              <w:jc w:val="right"/>
              <w:cnfStyle w:val="000000100000" w:firstRow="0" w:lastRow="0" w:firstColumn="0" w:lastColumn="0" w:oddVBand="0" w:evenVBand="0" w:oddHBand="1" w:evenHBand="0" w:firstRowFirstColumn="0" w:firstRowLastColumn="0" w:lastRowFirstColumn="0" w:lastRowLastColumn="0"/>
              <w:rPr>
                <w:b/>
              </w:rPr>
            </w:pPr>
            <w:r w:rsidRPr="003762A0">
              <w:rPr>
                <w:b/>
              </w:rPr>
              <w:t>2017</w:t>
            </w:r>
          </w:p>
        </w:tc>
        <w:tc>
          <w:tcPr>
            <w:tcW w:w="644" w:type="pct"/>
            <w:tcBorders>
              <w:bottom w:val="nil"/>
            </w:tcBorders>
            <w:noWrap/>
          </w:tcPr>
          <w:p w14:paraId="64A79A8F" w14:textId="77777777" w:rsidR="00341597" w:rsidRPr="003762A0" w:rsidRDefault="00341597" w:rsidP="00B67C70">
            <w:pPr>
              <w:jc w:val="right"/>
              <w:cnfStyle w:val="000000100000" w:firstRow="0" w:lastRow="0" w:firstColumn="0" w:lastColumn="0" w:oddVBand="0" w:evenVBand="0" w:oddHBand="1" w:evenHBand="0" w:firstRowFirstColumn="0" w:firstRowLastColumn="0" w:lastRowFirstColumn="0" w:lastRowLastColumn="0"/>
              <w:rPr>
                <w:b/>
              </w:rPr>
            </w:pPr>
            <w:r w:rsidRPr="003762A0">
              <w:rPr>
                <w:b/>
              </w:rPr>
              <w:t>Change</w:t>
            </w:r>
          </w:p>
        </w:tc>
      </w:tr>
      <w:tr w:rsidR="00341597" w:rsidRPr="00B875BD" w14:paraId="0F06A0F9" w14:textId="77777777" w:rsidTr="007F72E7">
        <w:tc>
          <w:tcPr>
            <w:cnfStyle w:val="001000000000" w:firstRow="0" w:lastRow="0" w:firstColumn="1" w:lastColumn="0" w:oddVBand="0" w:evenVBand="0" w:oddHBand="0" w:evenHBand="0" w:firstRowFirstColumn="0" w:firstRowLastColumn="0" w:lastRowFirstColumn="0" w:lastRowLastColumn="0"/>
            <w:tcW w:w="1058" w:type="pct"/>
            <w:noWrap/>
            <w:hideMark/>
          </w:tcPr>
          <w:p w14:paraId="38F9BA78" w14:textId="77777777" w:rsidR="00341597" w:rsidRPr="00B875BD" w:rsidRDefault="00341597" w:rsidP="00341597">
            <w:r w:rsidRPr="00B875BD">
              <w:t>NSW/ACT</w:t>
            </w:r>
          </w:p>
        </w:tc>
        <w:tc>
          <w:tcPr>
            <w:tcW w:w="717" w:type="pct"/>
          </w:tcPr>
          <w:p w14:paraId="5F734F9B" w14:textId="77777777" w:rsidR="00341597" w:rsidRPr="004F1AEC" w:rsidRDefault="00341597" w:rsidP="00B67C70">
            <w:pPr>
              <w:jc w:val="right"/>
              <w:cnfStyle w:val="000000000000" w:firstRow="0" w:lastRow="0" w:firstColumn="0" w:lastColumn="0" w:oddVBand="0" w:evenVBand="0" w:oddHBand="0" w:evenHBand="0" w:firstRowFirstColumn="0" w:firstRowLastColumn="0" w:lastRowFirstColumn="0" w:lastRowLastColumn="0"/>
            </w:pPr>
            <w:r w:rsidRPr="004F1AEC">
              <w:t>70,706</w:t>
            </w:r>
          </w:p>
        </w:tc>
        <w:tc>
          <w:tcPr>
            <w:tcW w:w="644" w:type="pct"/>
          </w:tcPr>
          <w:p w14:paraId="65C1C81F" w14:textId="77777777" w:rsidR="00341597" w:rsidRPr="004F1AEC" w:rsidRDefault="00341597" w:rsidP="00B67C70">
            <w:pPr>
              <w:jc w:val="right"/>
              <w:cnfStyle w:val="000000000000" w:firstRow="0" w:lastRow="0" w:firstColumn="0" w:lastColumn="0" w:oddVBand="0" w:evenVBand="0" w:oddHBand="0" w:evenHBand="0" w:firstRowFirstColumn="0" w:firstRowLastColumn="0" w:lastRowFirstColumn="0" w:lastRowLastColumn="0"/>
            </w:pPr>
            <w:r w:rsidRPr="004F1AEC">
              <w:t>67,128</w:t>
            </w:r>
          </w:p>
        </w:tc>
        <w:tc>
          <w:tcPr>
            <w:tcW w:w="646" w:type="pct"/>
            <w:tcBorders>
              <w:right w:val="single" w:sz="4" w:space="0" w:color="auto"/>
            </w:tcBorders>
          </w:tcPr>
          <w:p w14:paraId="56272CCB" w14:textId="77777777" w:rsidR="00341597" w:rsidRPr="004F1AEC" w:rsidRDefault="00341597" w:rsidP="00B67C70">
            <w:pPr>
              <w:jc w:val="right"/>
              <w:cnfStyle w:val="000000000000" w:firstRow="0" w:lastRow="0" w:firstColumn="0" w:lastColumn="0" w:oddVBand="0" w:evenVBand="0" w:oddHBand="0" w:evenHBand="0" w:firstRowFirstColumn="0" w:firstRowLastColumn="0" w:lastRowFirstColumn="0" w:lastRowLastColumn="0"/>
            </w:pPr>
            <w:r w:rsidRPr="004F1AEC">
              <w:t>-5.1%</w:t>
            </w:r>
          </w:p>
        </w:tc>
        <w:tc>
          <w:tcPr>
            <w:tcW w:w="646" w:type="pct"/>
            <w:tcBorders>
              <w:left w:val="single" w:sz="4" w:space="0" w:color="auto"/>
              <w:bottom w:val="nil"/>
            </w:tcBorders>
          </w:tcPr>
          <w:p w14:paraId="37EE584A" w14:textId="77777777" w:rsidR="00341597" w:rsidRPr="00427241" w:rsidRDefault="00341597" w:rsidP="00B67C70">
            <w:pPr>
              <w:jc w:val="right"/>
              <w:cnfStyle w:val="000000000000" w:firstRow="0" w:lastRow="0" w:firstColumn="0" w:lastColumn="0" w:oddVBand="0" w:evenVBand="0" w:oddHBand="0" w:evenHBand="0" w:firstRowFirstColumn="0" w:firstRowLastColumn="0" w:lastRowFirstColumn="0" w:lastRowLastColumn="0"/>
            </w:pPr>
            <w:r w:rsidRPr="00427241">
              <w:t>85.1%</w:t>
            </w:r>
          </w:p>
        </w:tc>
        <w:tc>
          <w:tcPr>
            <w:tcW w:w="646" w:type="pct"/>
            <w:tcBorders>
              <w:bottom w:val="nil"/>
            </w:tcBorders>
          </w:tcPr>
          <w:p w14:paraId="4DBDE1FA" w14:textId="77777777" w:rsidR="00341597" w:rsidRPr="00427241" w:rsidRDefault="00341597" w:rsidP="00B67C70">
            <w:pPr>
              <w:jc w:val="right"/>
              <w:cnfStyle w:val="000000000000" w:firstRow="0" w:lastRow="0" w:firstColumn="0" w:lastColumn="0" w:oddVBand="0" w:evenVBand="0" w:oddHBand="0" w:evenHBand="0" w:firstRowFirstColumn="0" w:firstRowLastColumn="0" w:lastRowFirstColumn="0" w:lastRowLastColumn="0"/>
            </w:pPr>
            <w:r w:rsidRPr="00427241">
              <w:t>83.4%</w:t>
            </w:r>
          </w:p>
        </w:tc>
        <w:tc>
          <w:tcPr>
            <w:tcW w:w="644" w:type="pct"/>
            <w:tcBorders>
              <w:bottom w:val="nil"/>
            </w:tcBorders>
            <w:noWrap/>
          </w:tcPr>
          <w:p w14:paraId="08931E86" w14:textId="77777777" w:rsidR="00341597" w:rsidRPr="00427241" w:rsidRDefault="00341597" w:rsidP="00B67C70">
            <w:pPr>
              <w:jc w:val="right"/>
              <w:cnfStyle w:val="000000000000" w:firstRow="0" w:lastRow="0" w:firstColumn="0" w:lastColumn="0" w:oddVBand="0" w:evenVBand="0" w:oddHBand="0" w:evenHBand="0" w:firstRowFirstColumn="0" w:firstRowLastColumn="0" w:lastRowFirstColumn="0" w:lastRowLastColumn="0"/>
            </w:pPr>
            <w:r w:rsidRPr="00427241">
              <w:t>-1.7</w:t>
            </w:r>
            <w:r>
              <w:t xml:space="preserve"> p. p</w:t>
            </w:r>
          </w:p>
        </w:tc>
      </w:tr>
      <w:tr w:rsidR="00341597" w:rsidRPr="00B875BD" w14:paraId="2B865F5E" w14:textId="77777777" w:rsidTr="007F7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noWrap/>
            <w:hideMark/>
          </w:tcPr>
          <w:p w14:paraId="0C5A1CF8" w14:textId="77777777" w:rsidR="00341597" w:rsidRPr="00B875BD" w:rsidRDefault="00341597" w:rsidP="00341597">
            <w:r w:rsidRPr="00B875BD">
              <w:t>Vic.</w:t>
            </w:r>
          </w:p>
        </w:tc>
        <w:tc>
          <w:tcPr>
            <w:tcW w:w="717" w:type="pct"/>
          </w:tcPr>
          <w:p w14:paraId="78160585" w14:textId="77777777" w:rsidR="00341597" w:rsidRPr="004F1AEC" w:rsidRDefault="00341597" w:rsidP="00B67C70">
            <w:pPr>
              <w:jc w:val="right"/>
              <w:cnfStyle w:val="000000100000" w:firstRow="0" w:lastRow="0" w:firstColumn="0" w:lastColumn="0" w:oddVBand="0" w:evenVBand="0" w:oddHBand="1" w:evenHBand="0" w:firstRowFirstColumn="0" w:firstRowLastColumn="0" w:lastRowFirstColumn="0" w:lastRowLastColumn="0"/>
            </w:pPr>
            <w:r w:rsidRPr="004F1AEC">
              <w:t>55,323</w:t>
            </w:r>
          </w:p>
        </w:tc>
        <w:tc>
          <w:tcPr>
            <w:tcW w:w="644" w:type="pct"/>
          </w:tcPr>
          <w:p w14:paraId="7FDEBEB1" w14:textId="77777777" w:rsidR="00341597" w:rsidRPr="004F1AEC" w:rsidRDefault="00341597" w:rsidP="00B67C70">
            <w:pPr>
              <w:jc w:val="right"/>
              <w:cnfStyle w:val="000000100000" w:firstRow="0" w:lastRow="0" w:firstColumn="0" w:lastColumn="0" w:oddVBand="0" w:evenVBand="0" w:oddHBand="1" w:evenHBand="0" w:firstRowFirstColumn="0" w:firstRowLastColumn="0" w:lastRowFirstColumn="0" w:lastRowLastColumn="0"/>
            </w:pPr>
            <w:r w:rsidRPr="004F1AEC">
              <w:t>52,851</w:t>
            </w:r>
          </w:p>
        </w:tc>
        <w:tc>
          <w:tcPr>
            <w:tcW w:w="646" w:type="pct"/>
            <w:tcBorders>
              <w:right w:val="single" w:sz="4" w:space="0" w:color="auto"/>
            </w:tcBorders>
          </w:tcPr>
          <w:p w14:paraId="1F46846A" w14:textId="77777777" w:rsidR="00341597" w:rsidRPr="004F1AEC" w:rsidRDefault="00341597" w:rsidP="00B67C70">
            <w:pPr>
              <w:jc w:val="right"/>
              <w:cnfStyle w:val="000000100000" w:firstRow="0" w:lastRow="0" w:firstColumn="0" w:lastColumn="0" w:oddVBand="0" w:evenVBand="0" w:oddHBand="1" w:evenHBand="0" w:firstRowFirstColumn="0" w:firstRowLastColumn="0" w:lastRowFirstColumn="0" w:lastRowLastColumn="0"/>
            </w:pPr>
            <w:r w:rsidRPr="004F1AEC">
              <w:t>-4.5%</w:t>
            </w:r>
          </w:p>
        </w:tc>
        <w:tc>
          <w:tcPr>
            <w:tcW w:w="646" w:type="pct"/>
            <w:tcBorders>
              <w:left w:val="single" w:sz="4" w:space="0" w:color="auto"/>
              <w:bottom w:val="nil"/>
            </w:tcBorders>
          </w:tcPr>
          <w:p w14:paraId="6F529093" w14:textId="77777777" w:rsidR="00341597" w:rsidRPr="00427241" w:rsidRDefault="00341597" w:rsidP="00B67C70">
            <w:pPr>
              <w:jc w:val="right"/>
              <w:cnfStyle w:val="000000100000" w:firstRow="0" w:lastRow="0" w:firstColumn="0" w:lastColumn="0" w:oddVBand="0" w:evenVBand="0" w:oddHBand="1" w:evenHBand="0" w:firstRowFirstColumn="0" w:firstRowLastColumn="0" w:lastRowFirstColumn="0" w:lastRowLastColumn="0"/>
            </w:pPr>
            <w:r w:rsidRPr="00427241">
              <w:t>78.4%</w:t>
            </w:r>
          </w:p>
        </w:tc>
        <w:tc>
          <w:tcPr>
            <w:tcW w:w="646" w:type="pct"/>
            <w:tcBorders>
              <w:bottom w:val="nil"/>
            </w:tcBorders>
          </w:tcPr>
          <w:p w14:paraId="4D814ED6" w14:textId="77777777" w:rsidR="00341597" w:rsidRPr="00427241" w:rsidRDefault="00341597" w:rsidP="00B67C70">
            <w:pPr>
              <w:jc w:val="right"/>
              <w:cnfStyle w:val="000000100000" w:firstRow="0" w:lastRow="0" w:firstColumn="0" w:lastColumn="0" w:oddVBand="0" w:evenVBand="0" w:oddHBand="1" w:evenHBand="0" w:firstRowFirstColumn="0" w:firstRowLastColumn="0" w:lastRowFirstColumn="0" w:lastRowLastColumn="0"/>
            </w:pPr>
            <w:r w:rsidRPr="00427241">
              <w:t>79.8%</w:t>
            </w:r>
          </w:p>
        </w:tc>
        <w:tc>
          <w:tcPr>
            <w:tcW w:w="644" w:type="pct"/>
            <w:tcBorders>
              <w:bottom w:val="nil"/>
            </w:tcBorders>
            <w:noWrap/>
          </w:tcPr>
          <w:p w14:paraId="74BA561C" w14:textId="77777777" w:rsidR="00341597" w:rsidRPr="00427241" w:rsidRDefault="00341597" w:rsidP="00B67C70">
            <w:pPr>
              <w:jc w:val="right"/>
              <w:cnfStyle w:val="000000100000" w:firstRow="0" w:lastRow="0" w:firstColumn="0" w:lastColumn="0" w:oddVBand="0" w:evenVBand="0" w:oddHBand="1" w:evenHBand="0" w:firstRowFirstColumn="0" w:firstRowLastColumn="0" w:lastRowFirstColumn="0" w:lastRowLastColumn="0"/>
            </w:pPr>
            <w:r w:rsidRPr="00427241">
              <w:t>1.4</w:t>
            </w:r>
            <w:r>
              <w:t xml:space="preserve"> </w:t>
            </w:r>
            <w:r w:rsidRPr="000079B7">
              <w:t>p. p</w:t>
            </w:r>
          </w:p>
        </w:tc>
      </w:tr>
      <w:tr w:rsidR="00341597" w:rsidRPr="00B875BD" w14:paraId="5368ACB1" w14:textId="77777777" w:rsidTr="007F72E7">
        <w:tc>
          <w:tcPr>
            <w:cnfStyle w:val="001000000000" w:firstRow="0" w:lastRow="0" w:firstColumn="1" w:lastColumn="0" w:oddVBand="0" w:evenVBand="0" w:oddHBand="0" w:evenHBand="0" w:firstRowFirstColumn="0" w:firstRowLastColumn="0" w:lastRowFirstColumn="0" w:lastRowLastColumn="0"/>
            <w:tcW w:w="1058" w:type="pct"/>
            <w:noWrap/>
            <w:hideMark/>
          </w:tcPr>
          <w:p w14:paraId="5D0561E7" w14:textId="77777777" w:rsidR="00341597" w:rsidRPr="00B875BD" w:rsidRDefault="00341597" w:rsidP="00341597">
            <w:r w:rsidRPr="00B875BD">
              <w:t>Qld</w:t>
            </w:r>
            <w:r>
              <w:t>.</w:t>
            </w:r>
          </w:p>
        </w:tc>
        <w:tc>
          <w:tcPr>
            <w:tcW w:w="717" w:type="pct"/>
          </w:tcPr>
          <w:p w14:paraId="3289C312" w14:textId="77777777" w:rsidR="00341597" w:rsidRPr="004F1AEC" w:rsidRDefault="00341597" w:rsidP="00B67C70">
            <w:pPr>
              <w:jc w:val="right"/>
              <w:cnfStyle w:val="000000000000" w:firstRow="0" w:lastRow="0" w:firstColumn="0" w:lastColumn="0" w:oddVBand="0" w:evenVBand="0" w:oddHBand="0" w:evenHBand="0" w:firstRowFirstColumn="0" w:firstRowLastColumn="0" w:lastRowFirstColumn="0" w:lastRowLastColumn="0"/>
            </w:pPr>
            <w:r w:rsidRPr="004F1AEC">
              <w:t>47,098</w:t>
            </w:r>
          </w:p>
        </w:tc>
        <w:tc>
          <w:tcPr>
            <w:tcW w:w="644" w:type="pct"/>
          </w:tcPr>
          <w:p w14:paraId="6A0D4F72" w14:textId="77777777" w:rsidR="00341597" w:rsidRPr="004F1AEC" w:rsidRDefault="00341597" w:rsidP="00B67C70">
            <w:pPr>
              <w:jc w:val="right"/>
              <w:cnfStyle w:val="000000000000" w:firstRow="0" w:lastRow="0" w:firstColumn="0" w:lastColumn="0" w:oddVBand="0" w:evenVBand="0" w:oddHBand="0" w:evenHBand="0" w:firstRowFirstColumn="0" w:firstRowLastColumn="0" w:lastRowFirstColumn="0" w:lastRowLastColumn="0"/>
            </w:pPr>
            <w:r w:rsidRPr="004F1AEC">
              <w:t>47,785</w:t>
            </w:r>
          </w:p>
        </w:tc>
        <w:tc>
          <w:tcPr>
            <w:tcW w:w="646" w:type="pct"/>
            <w:tcBorders>
              <w:right w:val="single" w:sz="4" w:space="0" w:color="auto"/>
            </w:tcBorders>
          </w:tcPr>
          <w:p w14:paraId="1BADB450" w14:textId="77777777" w:rsidR="00341597" w:rsidRPr="004F1AEC" w:rsidRDefault="00341597" w:rsidP="00B67C70">
            <w:pPr>
              <w:jc w:val="right"/>
              <w:cnfStyle w:val="000000000000" w:firstRow="0" w:lastRow="0" w:firstColumn="0" w:lastColumn="0" w:oddVBand="0" w:evenVBand="0" w:oddHBand="0" w:evenHBand="0" w:firstRowFirstColumn="0" w:firstRowLastColumn="0" w:lastRowFirstColumn="0" w:lastRowLastColumn="0"/>
            </w:pPr>
            <w:r w:rsidRPr="004F1AEC">
              <w:t>1.5%</w:t>
            </w:r>
          </w:p>
        </w:tc>
        <w:tc>
          <w:tcPr>
            <w:tcW w:w="646" w:type="pct"/>
            <w:tcBorders>
              <w:left w:val="single" w:sz="4" w:space="0" w:color="auto"/>
              <w:bottom w:val="nil"/>
            </w:tcBorders>
          </w:tcPr>
          <w:p w14:paraId="71EB2A1D" w14:textId="77777777" w:rsidR="00341597" w:rsidRPr="00427241" w:rsidRDefault="00341597" w:rsidP="00B67C70">
            <w:pPr>
              <w:jc w:val="right"/>
              <w:cnfStyle w:val="000000000000" w:firstRow="0" w:lastRow="0" w:firstColumn="0" w:lastColumn="0" w:oddVBand="0" w:evenVBand="0" w:oddHBand="0" w:evenHBand="0" w:firstRowFirstColumn="0" w:firstRowLastColumn="0" w:lastRowFirstColumn="0" w:lastRowLastColumn="0"/>
            </w:pPr>
            <w:r w:rsidRPr="00427241">
              <w:t>81.5%</w:t>
            </w:r>
          </w:p>
        </w:tc>
        <w:tc>
          <w:tcPr>
            <w:tcW w:w="646" w:type="pct"/>
            <w:tcBorders>
              <w:bottom w:val="nil"/>
            </w:tcBorders>
          </w:tcPr>
          <w:p w14:paraId="65BB9E8F" w14:textId="77777777" w:rsidR="00341597" w:rsidRPr="00427241" w:rsidRDefault="00341597" w:rsidP="00B67C70">
            <w:pPr>
              <w:jc w:val="right"/>
              <w:cnfStyle w:val="000000000000" w:firstRow="0" w:lastRow="0" w:firstColumn="0" w:lastColumn="0" w:oddVBand="0" w:evenVBand="0" w:oddHBand="0" w:evenHBand="0" w:firstRowFirstColumn="0" w:firstRowLastColumn="0" w:lastRowFirstColumn="0" w:lastRowLastColumn="0"/>
            </w:pPr>
            <w:r w:rsidRPr="00427241">
              <w:t>82.1%</w:t>
            </w:r>
          </w:p>
        </w:tc>
        <w:tc>
          <w:tcPr>
            <w:tcW w:w="644" w:type="pct"/>
            <w:tcBorders>
              <w:bottom w:val="nil"/>
            </w:tcBorders>
            <w:noWrap/>
          </w:tcPr>
          <w:p w14:paraId="69BEAFBC" w14:textId="77777777" w:rsidR="00341597" w:rsidRPr="00427241" w:rsidRDefault="00341597" w:rsidP="00B67C70">
            <w:pPr>
              <w:jc w:val="right"/>
              <w:cnfStyle w:val="000000000000" w:firstRow="0" w:lastRow="0" w:firstColumn="0" w:lastColumn="0" w:oddVBand="0" w:evenVBand="0" w:oddHBand="0" w:evenHBand="0" w:firstRowFirstColumn="0" w:firstRowLastColumn="0" w:lastRowFirstColumn="0" w:lastRowLastColumn="0"/>
            </w:pPr>
            <w:r w:rsidRPr="00427241">
              <w:t>0.6</w:t>
            </w:r>
            <w:r>
              <w:t xml:space="preserve"> </w:t>
            </w:r>
            <w:r w:rsidRPr="000079B7">
              <w:t>p. p</w:t>
            </w:r>
          </w:p>
        </w:tc>
      </w:tr>
      <w:tr w:rsidR="00341597" w:rsidRPr="00B875BD" w14:paraId="74E9E4AB" w14:textId="77777777" w:rsidTr="007F7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noWrap/>
            <w:hideMark/>
          </w:tcPr>
          <w:p w14:paraId="71B5E3A1" w14:textId="77777777" w:rsidR="00341597" w:rsidRPr="00B875BD" w:rsidRDefault="00341597" w:rsidP="00341597">
            <w:r w:rsidRPr="00B875BD">
              <w:t>WA</w:t>
            </w:r>
          </w:p>
        </w:tc>
        <w:tc>
          <w:tcPr>
            <w:tcW w:w="717" w:type="pct"/>
          </w:tcPr>
          <w:p w14:paraId="69EA95D1" w14:textId="77777777" w:rsidR="00341597" w:rsidRPr="004F1AEC" w:rsidRDefault="00341597" w:rsidP="00B67C70">
            <w:pPr>
              <w:jc w:val="right"/>
              <w:cnfStyle w:val="000000100000" w:firstRow="0" w:lastRow="0" w:firstColumn="0" w:lastColumn="0" w:oddVBand="0" w:evenVBand="0" w:oddHBand="1" w:evenHBand="0" w:firstRowFirstColumn="0" w:firstRowLastColumn="0" w:lastRowFirstColumn="0" w:lastRowLastColumn="0"/>
            </w:pPr>
            <w:r w:rsidRPr="004F1AEC">
              <w:t>14,151</w:t>
            </w:r>
          </w:p>
        </w:tc>
        <w:tc>
          <w:tcPr>
            <w:tcW w:w="644" w:type="pct"/>
          </w:tcPr>
          <w:p w14:paraId="67825634" w14:textId="77777777" w:rsidR="00341597" w:rsidRPr="004F1AEC" w:rsidRDefault="00341597" w:rsidP="00B67C70">
            <w:pPr>
              <w:jc w:val="right"/>
              <w:cnfStyle w:val="000000100000" w:firstRow="0" w:lastRow="0" w:firstColumn="0" w:lastColumn="0" w:oddVBand="0" w:evenVBand="0" w:oddHBand="1" w:evenHBand="0" w:firstRowFirstColumn="0" w:firstRowLastColumn="0" w:lastRowFirstColumn="0" w:lastRowLastColumn="0"/>
            </w:pPr>
            <w:r w:rsidRPr="004F1AEC">
              <w:t>13,073</w:t>
            </w:r>
          </w:p>
        </w:tc>
        <w:tc>
          <w:tcPr>
            <w:tcW w:w="646" w:type="pct"/>
            <w:tcBorders>
              <w:right w:val="single" w:sz="4" w:space="0" w:color="auto"/>
            </w:tcBorders>
          </w:tcPr>
          <w:p w14:paraId="0E31FC95" w14:textId="77777777" w:rsidR="00341597" w:rsidRPr="004F1AEC" w:rsidRDefault="00341597" w:rsidP="00B67C70">
            <w:pPr>
              <w:jc w:val="right"/>
              <w:cnfStyle w:val="000000100000" w:firstRow="0" w:lastRow="0" w:firstColumn="0" w:lastColumn="0" w:oddVBand="0" w:evenVBand="0" w:oddHBand="1" w:evenHBand="0" w:firstRowFirstColumn="0" w:firstRowLastColumn="0" w:lastRowFirstColumn="0" w:lastRowLastColumn="0"/>
            </w:pPr>
            <w:r w:rsidRPr="004F1AEC">
              <w:t>-7.6%</w:t>
            </w:r>
          </w:p>
        </w:tc>
        <w:tc>
          <w:tcPr>
            <w:tcW w:w="646" w:type="pct"/>
            <w:tcBorders>
              <w:left w:val="single" w:sz="4" w:space="0" w:color="auto"/>
              <w:bottom w:val="nil"/>
            </w:tcBorders>
          </w:tcPr>
          <w:p w14:paraId="2EB3A4FD" w14:textId="77777777" w:rsidR="00341597" w:rsidRPr="00427241" w:rsidRDefault="00341597" w:rsidP="00B67C70">
            <w:pPr>
              <w:jc w:val="right"/>
              <w:cnfStyle w:val="000000100000" w:firstRow="0" w:lastRow="0" w:firstColumn="0" w:lastColumn="0" w:oddVBand="0" w:evenVBand="0" w:oddHBand="1" w:evenHBand="0" w:firstRowFirstColumn="0" w:firstRowLastColumn="0" w:lastRowFirstColumn="0" w:lastRowLastColumn="0"/>
            </w:pPr>
            <w:r w:rsidRPr="00427241">
              <w:t>82.2%</w:t>
            </w:r>
          </w:p>
        </w:tc>
        <w:tc>
          <w:tcPr>
            <w:tcW w:w="646" w:type="pct"/>
            <w:tcBorders>
              <w:bottom w:val="nil"/>
            </w:tcBorders>
          </w:tcPr>
          <w:p w14:paraId="3CCD54FA" w14:textId="77777777" w:rsidR="00341597" w:rsidRPr="00427241" w:rsidRDefault="00341597" w:rsidP="00B67C70">
            <w:pPr>
              <w:jc w:val="right"/>
              <w:cnfStyle w:val="000000100000" w:firstRow="0" w:lastRow="0" w:firstColumn="0" w:lastColumn="0" w:oddVBand="0" w:evenVBand="0" w:oddHBand="1" w:evenHBand="0" w:firstRowFirstColumn="0" w:firstRowLastColumn="0" w:lastRowFirstColumn="0" w:lastRowLastColumn="0"/>
            </w:pPr>
            <w:r w:rsidRPr="00427241">
              <w:t>76.5%</w:t>
            </w:r>
          </w:p>
        </w:tc>
        <w:tc>
          <w:tcPr>
            <w:tcW w:w="644" w:type="pct"/>
            <w:tcBorders>
              <w:bottom w:val="nil"/>
            </w:tcBorders>
            <w:noWrap/>
          </w:tcPr>
          <w:p w14:paraId="2C41D735" w14:textId="77777777" w:rsidR="00341597" w:rsidRPr="00427241" w:rsidRDefault="00341597" w:rsidP="00B67C70">
            <w:pPr>
              <w:jc w:val="right"/>
              <w:cnfStyle w:val="000000100000" w:firstRow="0" w:lastRow="0" w:firstColumn="0" w:lastColumn="0" w:oddVBand="0" w:evenVBand="0" w:oddHBand="1" w:evenHBand="0" w:firstRowFirstColumn="0" w:firstRowLastColumn="0" w:lastRowFirstColumn="0" w:lastRowLastColumn="0"/>
            </w:pPr>
            <w:r w:rsidRPr="00427241">
              <w:t>-5.7</w:t>
            </w:r>
            <w:r>
              <w:t xml:space="preserve"> </w:t>
            </w:r>
            <w:r w:rsidRPr="000079B7">
              <w:t>p. p</w:t>
            </w:r>
          </w:p>
        </w:tc>
      </w:tr>
      <w:tr w:rsidR="00341597" w:rsidRPr="00B875BD" w14:paraId="61D34B62" w14:textId="77777777" w:rsidTr="007F72E7">
        <w:tc>
          <w:tcPr>
            <w:cnfStyle w:val="001000000000" w:firstRow="0" w:lastRow="0" w:firstColumn="1" w:lastColumn="0" w:oddVBand="0" w:evenVBand="0" w:oddHBand="0" w:evenHBand="0" w:firstRowFirstColumn="0" w:firstRowLastColumn="0" w:lastRowFirstColumn="0" w:lastRowLastColumn="0"/>
            <w:tcW w:w="1058" w:type="pct"/>
            <w:noWrap/>
            <w:hideMark/>
          </w:tcPr>
          <w:p w14:paraId="4BF65AD9" w14:textId="77777777" w:rsidR="00341597" w:rsidRPr="00B875BD" w:rsidRDefault="00341597" w:rsidP="00341597">
            <w:r w:rsidRPr="00B875BD">
              <w:t>SA/NT</w:t>
            </w:r>
          </w:p>
        </w:tc>
        <w:tc>
          <w:tcPr>
            <w:tcW w:w="717" w:type="pct"/>
          </w:tcPr>
          <w:p w14:paraId="450811DF" w14:textId="77777777" w:rsidR="00341597" w:rsidRPr="004F1AEC" w:rsidRDefault="00341597" w:rsidP="00B67C70">
            <w:pPr>
              <w:jc w:val="right"/>
              <w:cnfStyle w:val="000000000000" w:firstRow="0" w:lastRow="0" w:firstColumn="0" w:lastColumn="0" w:oddVBand="0" w:evenVBand="0" w:oddHBand="0" w:evenHBand="0" w:firstRowFirstColumn="0" w:firstRowLastColumn="0" w:lastRowFirstColumn="0" w:lastRowLastColumn="0"/>
            </w:pPr>
            <w:r w:rsidRPr="004F1AEC">
              <w:t>20,265</w:t>
            </w:r>
          </w:p>
        </w:tc>
        <w:tc>
          <w:tcPr>
            <w:tcW w:w="644" w:type="pct"/>
          </w:tcPr>
          <w:p w14:paraId="61A26616" w14:textId="77777777" w:rsidR="00341597" w:rsidRPr="004F1AEC" w:rsidRDefault="00341597" w:rsidP="00B67C70">
            <w:pPr>
              <w:jc w:val="right"/>
              <w:cnfStyle w:val="000000000000" w:firstRow="0" w:lastRow="0" w:firstColumn="0" w:lastColumn="0" w:oddVBand="0" w:evenVBand="0" w:oddHBand="0" w:evenHBand="0" w:firstRowFirstColumn="0" w:firstRowLastColumn="0" w:lastRowFirstColumn="0" w:lastRowLastColumn="0"/>
            </w:pPr>
            <w:r w:rsidRPr="004F1AEC">
              <w:t>19,874</w:t>
            </w:r>
          </w:p>
        </w:tc>
        <w:tc>
          <w:tcPr>
            <w:tcW w:w="646" w:type="pct"/>
            <w:tcBorders>
              <w:right w:val="single" w:sz="4" w:space="0" w:color="auto"/>
            </w:tcBorders>
          </w:tcPr>
          <w:p w14:paraId="2E333E2C" w14:textId="77777777" w:rsidR="00341597" w:rsidRPr="004F1AEC" w:rsidRDefault="00341597" w:rsidP="00B67C70">
            <w:pPr>
              <w:jc w:val="right"/>
              <w:cnfStyle w:val="000000000000" w:firstRow="0" w:lastRow="0" w:firstColumn="0" w:lastColumn="0" w:oddVBand="0" w:evenVBand="0" w:oddHBand="0" w:evenHBand="0" w:firstRowFirstColumn="0" w:firstRowLastColumn="0" w:lastRowFirstColumn="0" w:lastRowLastColumn="0"/>
            </w:pPr>
            <w:r w:rsidRPr="004F1AEC">
              <w:t>-1.9%</w:t>
            </w:r>
          </w:p>
        </w:tc>
        <w:tc>
          <w:tcPr>
            <w:tcW w:w="646" w:type="pct"/>
            <w:tcBorders>
              <w:left w:val="single" w:sz="4" w:space="0" w:color="auto"/>
              <w:bottom w:val="nil"/>
            </w:tcBorders>
          </w:tcPr>
          <w:p w14:paraId="7EE4F233" w14:textId="77777777" w:rsidR="00341597" w:rsidRPr="00427241" w:rsidRDefault="00341597" w:rsidP="00B67C70">
            <w:pPr>
              <w:jc w:val="right"/>
              <w:cnfStyle w:val="000000000000" w:firstRow="0" w:lastRow="0" w:firstColumn="0" w:lastColumn="0" w:oddVBand="0" w:evenVBand="0" w:oddHBand="0" w:evenHBand="0" w:firstRowFirstColumn="0" w:firstRowLastColumn="0" w:lastRowFirstColumn="0" w:lastRowLastColumn="0"/>
            </w:pPr>
            <w:r w:rsidRPr="00427241">
              <w:t>73.7%</w:t>
            </w:r>
          </w:p>
        </w:tc>
        <w:tc>
          <w:tcPr>
            <w:tcW w:w="646" w:type="pct"/>
            <w:tcBorders>
              <w:bottom w:val="nil"/>
            </w:tcBorders>
          </w:tcPr>
          <w:p w14:paraId="302C9506" w14:textId="77777777" w:rsidR="00341597" w:rsidRPr="00427241" w:rsidRDefault="00341597" w:rsidP="00B67C70">
            <w:pPr>
              <w:jc w:val="right"/>
              <w:cnfStyle w:val="000000000000" w:firstRow="0" w:lastRow="0" w:firstColumn="0" w:lastColumn="0" w:oddVBand="0" w:evenVBand="0" w:oddHBand="0" w:evenHBand="0" w:firstRowFirstColumn="0" w:firstRowLastColumn="0" w:lastRowFirstColumn="0" w:lastRowLastColumn="0"/>
            </w:pPr>
            <w:r w:rsidRPr="00427241">
              <w:t>72.5%</w:t>
            </w:r>
          </w:p>
        </w:tc>
        <w:tc>
          <w:tcPr>
            <w:tcW w:w="644" w:type="pct"/>
            <w:tcBorders>
              <w:bottom w:val="nil"/>
            </w:tcBorders>
            <w:noWrap/>
          </w:tcPr>
          <w:p w14:paraId="395DE2D1" w14:textId="77777777" w:rsidR="00341597" w:rsidRPr="00427241" w:rsidRDefault="00341597" w:rsidP="00B67C70">
            <w:pPr>
              <w:jc w:val="right"/>
              <w:cnfStyle w:val="000000000000" w:firstRow="0" w:lastRow="0" w:firstColumn="0" w:lastColumn="0" w:oddVBand="0" w:evenVBand="0" w:oddHBand="0" w:evenHBand="0" w:firstRowFirstColumn="0" w:firstRowLastColumn="0" w:lastRowFirstColumn="0" w:lastRowLastColumn="0"/>
            </w:pPr>
            <w:r w:rsidRPr="00427241">
              <w:t>-1.3</w:t>
            </w:r>
            <w:r>
              <w:t xml:space="preserve"> </w:t>
            </w:r>
            <w:r w:rsidRPr="000079B7">
              <w:t>p. p</w:t>
            </w:r>
          </w:p>
        </w:tc>
      </w:tr>
      <w:tr w:rsidR="00341597" w:rsidRPr="00B875BD" w14:paraId="4D50EE03" w14:textId="77777777" w:rsidTr="007F7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noWrap/>
            <w:hideMark/>
          </w:tcPr>
          <w:p w14:paraId="01FFD82E" w14:textId="77777777" w:rsidR="00341597" w:rsidRPr="00B875BD" w:rsidRDefault="00341597" w:rsidP="00341597">
            <w:r w:rsidRPr="00B875BD">
              <w:t>Tas.</w:t>
            </w:r>
          </w:p>
        </w:tc>
        <w:tc>
          <w:tcPr>
            <w:tcW w:w="717" w:type="pct"/>
          </w:tcPr>
          <w:p w14:paraId="4F150D90" w14:textId="77777777" w:rsidR="00341597" w:rsidRPr="004F1AEC" w:rsidRDefault="00341597" w:rsidP="00B67C70">
            <w:pPr>
              <w:jc w:val="right"/>
              <w:cnfStyle w:val="000000100000" w:firstRow="0" w:lastRow="0" w:firstColumn="0" w:lastColumn="0" w:oddVBand="0" w:evenVBand="0" w:oddHBand="1" w:evenHBand="0" w:firstRowFirstColumn="0" w:firstRowLastColumn="0" w:lastRowFirstColumn="0" w:lastRowLastColumn="0"/>
            </w:pPr>
            <w:r w:rsidRPr="004F1AEC">
              <w:t>13,517</w:t>
            </w:r>
          </w:p>
        </w:tc>
        <w:tc>
          <w:tcPr>
            <w:tcW w:w="644" w:type="pct"/>
          </w:tcPr>
          <w:p w14:paraId="75B637A3" w14:textId="77777777" w:rsidR="00341597" w:rsidRPr="004F1AEC" w:rsidRDefault="00341597" w:rsidP="00B67C70">
            <w:pPr>
              <w:jc w:val="right"/>
              <w:cnfStyle w:val="000000100000" w:firstRow="0" w:lastRow="0" w:firstColumn="0" w:lastColumn="0" w:oddVBand="0" w:evenVBand="0" w:oddHBand="1" w:evenHBand="0" w:firstRowFirstColumn="0" w:firstRowLastColumn="0" w:lastRowFirstColumn="0" w:lastRowLastColumn="0"/>
            </w:pPr>
            <w:r w:rsidRPr="004F1AEC">
              <w:t>13,842</w:t>
            </w:r>
          </w:p>
        </w:tc>
        <w:tc>
          <w:tcPr>
            <w:tcW w:w="646" w:type="pct"/>
            <w:tcBorders>
              <w:right w:val="single" w:sz="4" w:space="0" w:color="auto"/>
            </w:tcBorders>
          </w:tcPr>
          <w:p w14:paraId="6A814F64" w14:textId="77777777" w:rsidR="00341597" w:rsidRPr="004F1AEC" w:rsidRDefault="00341597" w:rsidP="00B67C70">
            <w:pPr>
              <w:jc w:val="right"/>
              <w:cnfStyle w:val="000000100000" w:firstRow="0" w:lastRow="0" w:firstColumn="0" w:lastColumn="0" w:oddVBand="0" w:evenVBand="0" w:oddHBand="1" w:evenHBand="0" w:firstRowFirstColumn="0" w:firstRowLastColumn="0" w:lastRowFirstColumn="0" w:lastRowLastColumn="0"/>
            </w:pPr>
            <w:r w:rsidRPr="004F1AEC">
              <w:t>2.4%</w:t>
            </w:r>
          </w:p>
        </w:tc>
        <w:tc>
          <w:tcPr>
            <w:tcW w:w="646" w:type="pct"/>
            <w:tcBorders>
              <w:left w:val="single" w:sz="4" w:space="0" w:color="auto"/>
              <w:bottom w:val="nil"/>
            </w:tcBorders>
          </w:tcPr>
          <w:p w14:paraId="7DCF8DCF" w14:textId="77777777" w:rsidR="00341597" w:rsidRPr="00427241" w:rsidRDefault="00341597" w:rsidP="00B67C70">
            <w:pPr>
              <w:jc w:val="right"/>
              <w:cnfStyle w:val="000000100000" w:firstRow="0" w:lastRow="0" w:firstColumn="0" w:lastColumn="0" w:oddVBand="0" w:evenVBand="0" w:oddHBand="1" w:evenHBand="0" w:firstRowFirstColumn="0" w:firstRowLastColumn="0" w:lastRowFirstColumn="0" w:lastRowLastColumn="0"/>
            </w:pPr>
            <w:r w:rsidRPr="00427241">
              <w:t>82.3%</w:t>
            </w:r>
          </w:p>
        </w:tc>
        <w:tc>
          <w:tcPr>
            <w:tcW w:w="646" w:type="pct"/>
            <w:tcBorders>
              <w:bottom w:val="nil"/>
            </w:tcBorders>
          </w:tcPr>
          <w:p w14:paraId="1E804047" w14:textId="77777777" w:rsidR="00341597" w:rsidRPr="00427241" w:rsidRDefault="00341597" w:rsidP="00B67C70">
            <w:pPr>
              <w:jc w:val="right"/>
              <w:cnfStyle w:val="000000100000" w:firstRow="0" w:lastRow="0" w:firstColumn="0" w:lastColumn="0" w:oddVBand="0" w:evenVBand="0" w:oddHBand="1" w:evenHBand="0" w:firstRowFirstColumn="0" w:firstRowLastColumn="0" w:lastRowFirstColumn="0" w:lastRowLastColumn="0"/>
            </w:pPr>
            <w:r w:rsidRPr="00427241">
              <w:t>84.8%</w:t>
            </w:r>
          </w:p>
        </w:tc>
        <w:tc>
          <w:tcPr>
            <w:tcW w:w="644" w:type="pct"/>
            <w:tcBorders>
              <w:bottom w:val="nil"/>
            </w:tcBorders>
            <w:noWrap/>
          </w:tcPr>
          <w:p w14:paraId="392EA3DB" w14:textId="77777777" w:rsidR="00341597" w:rsidRPr="00427241" w:rsidRDefault="00341597" w:rsidP="00B67C70">
            <w:pPr>
              <w:jc w:val="right"/>
              <w:cnfStyle w:val="000000100000" w:firstRow="0" w:lastRow="0" w:firstColumn="0" w:lastColumn="0" w:oddVBand="0" w:evenVBand="0" w:oddHBand="1" w:evenHBand="0" w:firstRowFirstColumn="0" w:firstRowLastColumn="0" w:lastRowFirstColumn="0" w:lastRowLastColumn="0"/>
            </w:pPr>
            <w:r w:rsidRPr="00427241">
              <w:t>2.5</w:t>
            </w:r>
            <w:r>
              <w:t xml:space="preserve"> </w:t>
            </w:r>
            <w:r w:rsidRPr="000079B7">
              <w:t>p. p</w:t>
            </w:r>
          </w:p>
        </w:tc>
      </w:tr>
      <w:tr w:rsidR="00341597" w:rsidRPr="00B875BD" w14:paraId="269180CF" w14:textId="77777777" w:rsidTr="007F72E7">
        <w:tc>
          <w:tcPr>
            <w:cnfStyle w:val="001000000000" w:firstRow="0" w:lastRow="0" w:firstColumn="1" w:lastColumn="0" w:oddVBand="0" w:evenVBand="0" w:oddHBand="0" w:evenHBand="0" w:firstRowFirstColumn="0" w:firstRowLastColumn="0" w:lastRowFirstColumn="0" w:lastRowLastColumn="0"/>
            <w:tcW w:w="1058" w:type="pct"/>
            <w:noWrap/>
          </w:tcPr>
          <w:p w14:paraId="34C7C0AF" w14:textId="77777777" w:rsidR="00341597" w:rsidRPr="00BA1AAC" w:rsidRDefault="00341597" w:rsidP="00A02290">
            <w:r w:rsidRPr="00BA1AAC">
              <w:t>Australia</w:t>
            </w:r>
          </w:p>
        </w:tc>
        <w:tc>
          <w:tcPr>
            <w:tcW w:w="717" w:type="pct"/>
          </w:tcPr>
          <w:p w14:paraId="6E37BA03" w14:textId="77777777" w:rsidR="00341597" w:rsidRPr="00BA1AAC" w:rsidRDefault="00341597" w:rsidP="00B67C70">
            <w:pPr>
              <w:jc w:val="right"/>
              <w:cnfStyle w:val="000000000000" w:firstRow="0" w:lastRow="0" w:firstColumn="0" w:lastColumn="0" w:oddVBand="0" w:evenVBand="0" w:oddHBand="0" w:evenHBand="0" w:firstRowFirstColumn="0" w:firstRowLastColumn="0" w:lastRowFirstColumn="0" w:lastRowLastColumn="0"/>
            </w:pPr>
            <w:r w:rsidRPr="00BA1AAC">
              <w:t>221,060</w:t>
            </w:r>
          </w:p>
        </w:tc>
        <w:tc>
          <w:tcPr>
            <w:tcW w:w="644" w:type="pct"/>
          </w:tcPr>
          <w:p w14:paraId="6AE7E705" w14:textId="77777777" w:rsidR="00341597" w:rsidRPr="00BA1AAC" w:rsidRDefault="00341597" w:rsidP="00B67C70">
            <w:pPr>
              <w:jc w:val="right"/>
              <w:cnfStyle w:val="000000000000" w:firstRow="0" w:lastRow="0" w:firstColumn="0" w:lastColumn="0" w:oddVBand="0" w:evenVBand="0" w:oddHBand="0" w:evenHBand="0" w:firstRowFirstColumn="0" w:firstRowLastColumn="0" w:lastRowFirstColumn="0" w:lastRowLastColumn="0"/>
            </w:pPr>
            <w:r w:rsidRPr="00BA1AAC">
              <w:t>214,553</w:t>
            </w:r>
          </w:p>
        </w:tc>
        <w:tc>
          <w:tcPr>
            <w:tcW w:w="646" w:type="pct"/>
            <w:tcBorders>
              <w:right w:val="single" w:sz="4" w:space="0" w:color="auto"/>
            </w:tcBorders>
          </w:tcPr>
          <w:p w14:paraId="5D96943D" w14:textId="77777777" w:rsidR="00341597" w:rsidRPr="00BA1AAC" w:rsidRDefault="00341597" w:rsidP="00B67C70">
            <w:pPr>
              <w:jc w:val="right"/>
              <w:cnfStyle w:val="000000000000" w:firstRow="0" w:lastRow="0" w:firstColumn="0" w:lastColumn="0" w:oddVBand="0" w:evenVBand="0" w:oddHBand="0" w:evenHBand="0" w:firstRowFirstColumn="0" w:firstRowLastColumn="0" w:lastRowFirstColumn="0" w:lastRowLastColumn="0"/>
            </w:pPr>
            <w:r w:rsidRPr="00BA1AAC">
              <w:t>-2.9%</w:t>
            </w:r>
          </w:p>
        </w:tc>
        <w:tc>
          <w:tcPr>
            <w:tcW w:w="646" w:type="pct"/>
            <w:tcBorders>
              <w:left w:val="single" w:sz="4" w:space="0" w:color="auto"/>
              <w:bottom w:val="single" w:sz="4" w:space="0" w:color="auto"/>
            </w:tcBorders>
          </w:tcPr>
          <w:p w14:paraId="74C1D7E0" w14:textId="77777777" w:rsidR="00341597" w:rsidRPr="00BA1AAC" w:rsidRDefault="00341597" w:rsidP="00B67C70">
            <w:pPr>
              <w:jc w:val="right"/>
              <w:cnfStyle w:val="000000000000" w:firstRow="0" w:lastRow="0" w:firstColumn="0" w:lastColumn="0" w:oddVBand="0" w:evenVBand="0" w:oddHBand="0" w:evenHBand="0" w:firstRowFirstColumn="0" w:firstRowLastColumn="0" w:lastRowFirstColumn="0" w:lastRowLastColumn="0"/>
            </w:pPr>
            <w:r w:rsidRPr="00BA1AAC">
              <w:t>81.1%</w:t>
            </w:r>
          </w:p>
        </w:tc>
        <w:tc>
          <w:tcPr>
            <w:tcW w:w="646" w:type="pct"/>
            <w:tcBorders>
              <w:bottom w:val="single" w:sz="4" w:space="0" w:color="auto"/>
            </w:tcBorders>
          </w:tcPr>
          <w:p w14:paraId="4B83A5E9" w14:textId="77777777" w:rsidR="00341597" w:rsidRPr="00BA1AAC" w:rsidRDefault="00341597" w:rsidP="00B67C70">
            <w:pPr>
              <w:jc w:val="right"/>
              <w:cnfStyle w:val="000000000000" w:firstRow="0" w:lastRow="0" w:firstColumn="0" w:lastColumn="0" w:oddVBand="0" w:evenVBand="0" w:oddHBand="0" w:evenHBand="0" w:firstRowFirstColumn="0" w:firstRowLastColumn="0" w:lastRowFirstColumn="0" w:lastRowLastColumn="0"/>
            </w:pPr>
            <w:r w:rsidRPr="00BA1AAC">
              <w:t>80.8%</w:t>
            </w:r>
          </w:p>
        </w:tc>
        <w:tc>
          <w:tcPr>
            <w:tcW w:w="644" w:type="pct"/>
            <w:tcBorders>
              <w:bottom w:val="single" w:sz="4" w:space="0" w:color="auto"/>
            </w:tcBorders>
            <w:noWrap/>
          </w:tcPr>
          <w:p w14:paraId="1480A6F3" w14:textId="77777777" w:rsidR="00341597" w:rsidRPr="00BA1AAC" w:rsidRDefault="00341597" w:rsidP="00B67C70">
            <w:pPr>
              <w:jc w:val="right"/>
              <w:cnfStyle w:val="000000000000" w:firstRow="0" w:lastRow="0" w:firstColumn="0" w:lastColumn="0" w:oddVBand="0" w:evenVBand="0" w:oddHBand="0" w:evenHBand="0" w:firstRowFirstColumn="0" w:firstRowLastColumn="0" w:lastRowFirstColumn="0" w:lastRowLastColumn="0"/>
            </w:pPr>
            <w:r w:rsidRPr="00BA1AAC">
              <w:t>-0.4 p. p</w:t>
            </w:r>
          </w:p>
        </w:tc>
      </w:tr>
    </w:tbl>
    <w:p w14:paraId="37075872" w14:textId="77777777" w:rsidR="00341597" w:rsidRDefault="00341597" w:rsidP="00B67C70"/>
    <w:p w14:paraId="2FD8DFB0" w14:textId="77777777" w:rsidR="00341597" w:rsidRPr="00B27CE8" w:rsidRDefault="00341597" w:rsidP="00B67C70">
      <w:pPr>
        <w:pStyle w:val="ListParagraph"/>
      </w:pPr>
      <w:r w:rsidRPr="00B27CE8">
        <w:t xml:space="preserve">As of </w:t>
      </w:r>
      <w:r>
        <w:t>27</w:t>
      </w:r>
      <w:r w:rsidRPr="00B27CE8">
        <w:t xml:space="preserve"> February 201</w:t>
      </w:r>
      <w:r>
        <w:t>7</w:t>
      </w:r>
      <w:r w:rsidRPr="00B27CE8">
        <w:t xml:space="preserve">, there were </w:t>
      </w:r>
      <w:r>
        <w:t>214,553</w:t>
      </w:r>
      <w:r w:rsidRPr="00AC1937">
        <w:t xml:space="preserve"> </w:t>
      </w:r>
      <w:r>
        <w:t>offers made, a de</w:t>
      </w:r>
      <w:r w:rsidRPr="00B27CE8">
        <w:t xml:space="preserve">crease </w:t>
      </w:r>
      <w:r>
        <w:t>of -2.9%</w:t>
      </w:r>
      <w:r w:rsidRPr="00B27CE8">
        <w:t xml:space="preserve"> compared with the same time in 201</w:t>
      </w:r>
      <w:r>
        <w:t>6</w:t>
      </w:r>
      <w:r w:rsidRPr="00B27CE8">
        <w:t>.</w:t>
      </w:r>
      <w:r>
        <w:t xml:space="preserve"> This follows an increase of 0.3% between 2015 and 2016.</w:t>
      </w:r>
    </w:p>
    <w:p w14:paraId="2E0A2759" w14:textId="77777777" w:rsidR="00341597" w:rsidRDefault="00341597" w:rsidP="00B67C70">
      <w:pPr>
        <w:pStyle w:val="ListParagraph"/>
      </w:pPr>
      <w:r>
        <w:t>Except Queensland (1.5%) and Tasmania (2.4%), all states and territories recorded negative growth in offers.  WA recorded the largest decrease in offers (-7.6%), followed by NSW/ACT (-5.1</w:t>
      </w:r>
      <w:r w:rsidRPr="00B27CE8">
        <w:t>%)</w:t>
      </w:r>
      <w:r>
        <w:t xml:space="preserve">, Victoria (-4.5%) and SA/NT (-1.9%). </w:t>
      </w:r>
    </w:p>
    <w:p w14:paraId="2D855AC2" w14:textId="77777777" w:rsidR="00341597" w:rsidRDefault="00341597" w:rsidP="00B67C70">
      <w:pPr>
        <w:pStyle w:val="ListParagraph"/>
      </w:pPr>
      <w:r w:rsidRPr="00B27CE8">
        <w:t>More than four-fifths of applications (</w:t>
      </w:r>
      <w:r>
        <w:t>80.8</w:t>
      </w:r>
      <w:r w:rsidRPr="00B27CE8">
        <w:t>%) attracted an offer in 201</w:t>
      </w:r>
      <w:r>
        <w:t>7, a de</w:t>
      </w:r>
      <w:r w:rsidRPr="00B27CE8">
        <w:t xml:space="preserve">crease of </w:t>
      </w:r>
      <w:r>
        <w:t xml:space="preserve">0.4 </w:t>
      </w:r>
      <w:r w:rsidRPr="00B27CE8">
        <w:t>percentage points</w:t>
      </w:r>
      <w:r>
        <w:t xml:space="preserve"> over 2016</w:t>
      </w:r>
      <w:r w:rsidRPr="00B27CE8">
        <w:t>. This follows</w:t>
      </w:r>
      <w:r>
        <w:t xml:space="preserve"> a de</w:t>
      </w:r>
      <w:r w:rsidRPr="00B27CE8">
        <w:t xml:space="preserve">crease of </w:t>
      </w:r>
      <w:r>
        <w:t>0.3</w:t>
      </w:r>
      <w:r w:rsidRPr="00B27CE8">
        <w:t xml:space="preserve"> </w:t>
      </w:r>
      <w:r>
        <w:t>percentage points</w:t>
      </w:r>
      <w:r w:rsidRPr="00B27CE8">
        <w:t xml:space="preserve"> </w:t>
      </w:r>
      <w:r>
        <w:t xml:space="preserve">between 2015 and </w:t>
      </w:r>
      <w:r w:rsidRPr="00B27CE8">
        <w:t>201</w:t>
      </w:r>
      <w:r>
        <w:t>6</w:t>
      </w:r>
      <w:r w:rsidRPr="00B27CE8">
        <w:t>.</w:t>
      </w:r>
    </w:p>
    <w:p w14:paraId="789F497E" w14:textId="195002BA" w:rsidR="00341597" w:rsidRDefault="00341597" w:rsidP="00A02290">
      <w:pPr>
        <w:pStyle w:val="Heading2"/>
      </w:pPr>
      <w:bookmarkStart w:id="132" w:name="_Toc492454277"/>
      <w:r w:rsidRPr="00532FFC">
        <w:t>Prior Education</w:t>
      </w:r>
      <w:r>
        <w:t xml:space="preserve"> – TAC offers</w:t>
      </w:r>
      <w:bookmarkEnd w:id="132"/>
    </w:p>
    <w:p w14:paraId="11D362A2" w14:textId="77777777" w:rsidR="00341597" w:rsidRPr="00AC1937" w:rsidRDefault="00341597" w:rsidP="00B67C70">
      <w:pPr>
        <w:pStyle w:val="ListParagraph"/>
      </w:pPr>
      <w:r w:rsidRPr="00B16AFB">
        <w:t>Nationally</w:t>
      </w:r>
      <w:r>
        <w:t>, offers to Year 12 applicants de</w:t>
      </w:r>
      <w:r w:rsidRPr="00B16AFB">
        <w:t xml:space="preserve">creased by </w:t>
      </w:r>
      <w:r>
        <w:t>1.1</w:t>
      </w:r>
      <w:r w:rsidRPr="00B16AFB">
        <w:t>% in 201</w:t>
      </w:r>
      <w:r>
        <w:t>7. This follows an increase of 3.0% in 2016.</w:t>
      </w:r>
    </w:p>
    <w:p w14:paraId="757B9E11" w14:textId="77777777" w:rsidR="00341597" w:rsidRDefault="00341597" w:rsidP="00B67C70">
      <w:pPr>
        <w:pStyle w:val="ListParagraph"/>
      </w:pPr>
      <w:r>
        <w:t>Offers</w:t>
      </w:r>
      <w:r w:rsidRPr="00B16AFB">
        <w:t xml:space="preserve"> to Year 12 applicants</w:t>
      </w:r>
      <w:r>
        <w:t xml:space="preserve"> increased in SA/NT (2.0%), followed by Queensland (1.7%) and Victoria (1.6%). All other states and territories recorded negative growth in offers: NSW/ACT and Tasmania (both -4.6%), followed by WA (-4.3%). </w:t>
      </w:r>
    </w:p>
    <w:p w14:paraId="226BDB61" w14:textId="77777777" w:rsidR="00341597" w:rsidRDefault="00341597" w:rsidP="00B67C70">
      <w:pPr>
        <w:pStyle w:val="ListParagraph"/>
      </w:pPr>
      <w:r w:rsidRPr="00B16AFB">
        <w:t>Offer</w:t>
      </w:r>
      <w:r>
        <w:t>s to non-Year 12 applicants fell</w:t>
      </w:r>
      <w:r w:rsidRPr="00B16AFB">
        <w:t xml:space="preserve"> by </w:t>
      </w:r>
      <w:r>
        <w:t>5.8</w:t>
      </w:r>
      <w:r w:rsidRPr="00B16AFB">
        <w:t>% nationally.</w:t>
      </w:r>
      <w:r>
        <w:t xml:space="preserve"> This follows a fall of 6.8% in 2016.</w:t>
      </w:r>
    </w:p>
    <w:p w14:paraId="1ECBCC9E" w14:textId="77777777" w:rsidR="00341597" w:rsidRPr="00521E70" w:rsidRDefault="00341597" w:rsidP="00B67C70">
      <w:pPr>
        <w:pStyle w:val="ListParagraph"/>
      </w:pPr>
      <w:r>
        <w:lastRenderedPageBreak/>
        <w:t>Tasmania (4.1%) and Queensland (1.2%) recorded positive growth in non-Year 12 offers. All other states and territories recorded negative growth in non-Year 12 offers, ranging from -17.5% (Victoria) to -5.9% (NSW/ACT).</w:t>
      </w:r>
    </w:p>
    <w:p w14:paraId="75F24296" w14:textId="23FE9ECD" w:rsidR="00D21F72" w:rsidRDefault="00D21F72" w:rsidP="00D21F72">
      <w:pPr>
        <w:pStyle w:val="Caption"/>
        <w:keepNext/>
      </w:pPr>
      <w:bookmarkStart w:id="133" w:name="_Toc492453650"/>
      <w:bookmarkStart w:id="134" w:name="_Toc492453875"/>
      <w:r>
        <w:t xml:space="preserve">Table </w:t>
      </w:r>
      <w:fldSimple w:instr=" SEQ Table \* ARABIC ">
        <w:r w:rsidR="00E05F5D">
          <w:rPr>
            <w:noProof/>
          </w:rPr>
          <w:t>19</w:t>
        </w:r>
      </w:fldSimple>
      <w:r w:rsidRPr="00D04F56">
        <w:t>: Offers by Year 12 status, by state and territory, February 2016 and February 2017</w:t>
      </w:r>
      <w:bookmarkEnd w:id="133"/>
      <w:bookmarkEnd w:id="134"/>
    </w:p>
    <w:tbl>
      <w:tblPr>
        <w:tblStyle w:val="DEEWRTable"/>
        <w:tblW w:w="5000" w:type="pct"/>
        <w:tblLook w:val="04A0" w:firstRow="1" w:lastRow="0" w:firstColumn="1" w:lastColumn="0" w:noHBand="0" w:noVBand="1"/>
      </w:tblPr>
      <w:tblGrid>
        <w:gridCol w:w="1868"/>
        <w:gridCol w:w="1264"/>
        <w:gridCol w:w="1192"/>
        <w:gridCol w:w="1194"/>
        <w:gridCol w:w="1342"/>
        <w:gridCol w:w="1192"/>
        <w:gridCol w:w="1190"/>
      </w:tblGrid>
      <w:tr w:rsidR="00341597" w:rsidRPr="00B875BD" w14:paraId="5BCF144C" w14:textId="77777777" w:rsidTr="007F72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0" w:type="pct"/>
            <w:vMerge w:val="restart"/>
            <w:noWrap/>
            <w:hideMark/>
          </w:tcPr>
          <w:p w14:paraId="3513913F" w14:textId="77777777" w:rsidR="00341597" w:rsidRPr="00A02290" w:rsidRDefault="00341597" w:rsidP="00341597">
            <w:r w:rsidRPr="00A02290">
              <w:t>State/Territory</w:t>
            </w:r>
          </w:p>
        </w:tc>
        <w:tc>
          <w:tcPr>
            <w:tcW w:w="1975" w:type="pct"/>
            <w:gridSpan w:val="3"/>
            <w:noWrap/>
            <w:hideMark/>
          </w:tcPr>
          <w:p w14:paraId="4AB7F09B" w14:textId="77777777" w:rsidR="00341597" w:rsidRPr="005876E9" w:rsidRDefault="00341597" w:rsidP="00F44C09">
            <w:pPr>
              <w:jc w:val="center"/>
              <w:cnfStyle w:val="100000000000" w:firstRow="1" w:lastRow="0" w:firstColumn="0" w:lastColumn="0" w:oddVBand="0" w:evenVBand="0" w:oddHBand="0" w:evenHBand="0" w:firstRowFirstColumn="0" w:firstRowLastColumn="0" w:lastRowFirstColumn="0" w:lastRowLastColumn="0"/>
            </w:pPr>
            <w:r w:rsidRPr="005876E9">
              <w:t>Year 12</w:t>
            </w:r>
          </w:p>
        </w:tc>
        <w:tc>
          <w:tcPr>
            <w:tcW w:w="2016" w:type="pct"/>
            <w:gridSpan w:val="3"/>
            <w:tcBorders>
              <w:bottom w:val="nil"/>
            </w:tcBorders>
            <w:noWrap/>
            <w:hideMark/>
          </w:tcPr>
          <w:p w14:paraId="0D965888" w14:textId="77777777" w:rsidR="00341597" w:rsidRPr="005876E9" w:rsidRDefault="00341597" w:rsidP="00F44C09">
            <w:pPr>
              <w:jc w:val="center"/>
              <w:cnfStyle w:val="100000000000" w:firstRow="1" w:lastRow="0" w:firstColumn="0" w:lastColumn="0" w:oddVBand="0" w:evenVBand="0" w:oddHBand="0" w:evenHBand="0" w:firstRowFirstColumn="0" w:firstRowLastColumn="0" w:lastRowFirstColumn="0" w:lastRowLastColumn="0"/>
            </w:pPr>
            <w:r w:rsidRPr="005876E9">
              <w:t>Non-Year 12</w:t>
            </w:r>
          </w:p>
        </w:tc>
      </w:tr>
      <w:tr w:rsidR="00341597" w:rsidRPr="00B875BD" w14:paraId="294043EA" w14:textId="77777777" w:rsidTr="007F7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0" w:type="pct"/>
            <w:vMerge/>
            <w:hideMark/>
          </w:tcPr>
          <w:p w14:paraId="324A9EF9" w14:textId="77777777" w:rsidR="00341597" w:rsidRPr="005876E9" w:rsidRDefault="00341597" w:rsidP="00341597">
            <w:pPr>
              <w:rPr>
                <w:b w:val="0"/>
              </w:rPr>
            </w:pPr>
          </w:p>
        </w:tc>
        <w:tc>
          <w:tcPr>
            <w:tcW w:w="684" w:type="pct"/>
            <w:noWrap/>
            <w:hideMark/>
          </w:tcPr>
          <w:p w14:paraId="73C1777E" w14:textId="77777777" w:rsidR="00341597" w:rsidRPr="003762A0" w:rsidRDefault="00341597" w:rsidP="00F44C09">
            <w:pPr>
              <w:jc w:val="right"/>
              <w:cnfStyle w:val="000000100000" w:firstRow="0" w:lastRow="0" w:firstColumn="0" w:lastColumn="0" w:oddVBand="0" w:evenVBand="0" w:oddHBand="1" w:evenHBand="0" w:firstRowFirstColumn="0" w:firstRowLastColumn="0" w:lastRowFirstColumn="0" w:lastRowLastColumn="0"/>
              <w:rPr>
                <w:b/>
              </w:rPr>
            </w:pPr>
            <w:r w:rsidRPr="003762A0">
              <w:rPr>
                <w:b/>
              </w:rPr>
              <w:t>2016</w:t>
            </w:r>
          </w:p>
        </w:tc>
        <w:tc>
          <w:tcPr>
            <w:tcW w:w="645" w:type="pct"/>
            <w:noWrap/>
            <w:hideMark/>
          </w:tcPr>
          <w:p w14:paraId="60121016" w14:textId="77777777" w:rsidR="00341597" w:rsidRPr="003762A0" w:rsidRDefault="00341597" w:rsidP="00F44C09">
            <w:pPr>
              <w:jc w:val="right"/>
              <w:cnfStyle w:val="000000100000" w:firstRow="0" w:lastRow="0" w:firstColumn="0" w:lastColumn="0" w:oddVBand="0" w:evenVBand="0" w:oddHBand="1" w:evenHBand="0" w:firstRowFirstColumn="0" w:firstRowLastColumn="0" w:lastRowFirstColumn="0" w:lastRowLastColumn="0"/>
              <w:rPr>
                <w:b/>
              </w:rPr>
            </w:pPr>
            <w:r w:rsidRPr="003762A0">
              <w:rPr>
                <w:b/>
              </w:rPr>
              <w:t>2017</w:t>
            </w:r>
          </w:p>
        </w:tc>
        <w:tc>
          <w:tcPr>
            <w:tcW w:w="645" w:type="pct"/>
            <w:tcBorders>
              <w:right w:val="single" w:sz="4" w:space="0" w:color="auto"/>
            </w:tcBorders>
            <w:noWrap/>
            <w:hideMark/>
          </w:tcPr>
          <w:p w14:paraId="30000AD0" w14:textId="77777777" w:rsidR="00341597" w:rsidRPr="003762A0" w:rsidRDefault="00341597" w:rsidP="00F44C09">
            <w:pPr>
              <w:jc w:val="right"/>
              <w:cnfStyle w:val="000000100000" w:firstRow="0" w:lastRow="0" w:firstColumn="0" w:lastColumn="0" w:oddVBand="0" w:evenVBand="0" w:oddHBand="1" w:evenHBand="0" w:firstRowFirstColumn="0" w:firstRowLastColumn="0" w:lastRowFirstColumn="0" w:lastRowLastColumn="0"/>
              <w:rPr>
                <w:b/>
              </w:rPr>
            </w:pPr>
            <w:r w:rsidRPr="003762A0">
              <w:rPr>
                <w:b/>
              </w:rPr>
              <w:t>Change</w:t>
            </w:r>
          </w:p>
        </w:tc>
        <w:tc>
          <w:tcPr>
            <w:tcW w:w="726" w:type="pct"/>
            <w:tcBorders>
              <w:left w:val="single" w:sz="4" w:space="0" w:color="auto"/>
              <w:bottom w:val="nil"/>
            </w:tcBorders>
            <w:noWrap/>
            <w:hideMark/>
          </w:tcPr>
          <w:p w14:paraId="0CAB99D8" w14:textId="77777777" w:rsidR="00341597" w:rsidRPr="003762A0" w:rsidRDefault="00341597" w:rsidP="00F44C09">
            <w:pPr>
              <w:jc w:val="right"/>
              <w:cnfStyle w:val="000000100000" w:firstRow="0" w:lastRow="0" w:firstColumn="0" w:lastColumn="0" w:oddVBand="0" w:evenVBand="0" w:oddHBand="1" w:evenHBand="0" w:firstRowFirstColumn="0" w:firstRowLastColumn="0" w:lastRowFirstColumn="0" w:lastRowLastColumn="0"/>
              <w:rPr>
                <w:b/>
              </w:rPr>
            </w:pPr>
            <w:r w:rsidRPr="003762A0">
              <w:rPr>
                <w:b/>
              </w:rPr>
              <w:t>2016</w:t>
            </w:r>
          </w:p>
        </w:tc>
        <w:tc>
          <w:tcPr>
            <w:tcW w:w="645" w:type="pct"/>
            <w:tcBorders>
              <w:bottom w:val="nil"/>
            </w:tcBorders>
            <w:noWrap/>
            <w:hideMark/>
          </w:tcPr>
          <w:p w14:paraId="2E39A380" w14:textId="77777777" w:rsidR="00341597" w:rsidRPr="003762A0" w:rsidRDefault="00341597" w:rsidP="00F44C09">
            <w:pPr>
              <w:jc w:val="right"/>
              <w:cnfStyle w:val="000000100000" w:firstRow="0" w:lastRow="0" w:firstColumn="0" w:lastColumn="0" w:oddVBand="0" w:evenVBand="0" w:oddHBand="1" w:evenHBand="0" w:firstRowFirstColumn="0" w:firstRowLastColumn="0" w:lastRowFirstColumn="0" w:lastRowLastColumn="0"/>
              <w:rPr>
                <w:b/>
              </w:rPr>
            </w:pPr>
            <w:r w:rsidRPr="003762A0">
              <w:rPr>
                <w:b/>
              </w:rPr>
              <w:t>2017</w:t>
            </w:r>
          </w:p>
        </w:tc>
        <w:tc>
          <w:tcPr>
            <w:tcW w:w="645" w:type="pct"/>
            <w:tcBorders>
              <w:bottom w:val="nil"/>
            </w:tcBorders>
            <w:noWrap/>
            <w:hideMark/>
          </w:tcPr>
          <w:p w14:paraId="74422988" w14:textId="77777777" w:rsidR="00341597" w:rsidRPr="003762A0" w:rsidRDefault="00341597" w:rsidP="00F44C09">
            <w:pPr>
              <w:jc w:val="right"/>
              <w:cnfStyle w:val="000000100000" w:firstRow="0" w:lastRow="0" w:firstColumn="0" w:lastColumn="0" w:oddVBand="0" w:evenVBand="0" w:oddHBand="1" w:evenHBand="0" w:firstRowFirstColumn="0" w:firstRowLastColumn="0" w:lastRowFirstColumn="0" w:lastRowLastColumn="0"/>
              <w:rPr>
                <w:b/>
              </w:rPr>
            </w:pPr>
            <w:r w:rsidRPr="003762A0">
              <w:rPr>
                <w:b/>
              </w:rPr>
              <w:t>Change</w:t>
            </w:r>
          </w:p>
        </w:tc>
      </w:tr>
      <w:tr w:rsidR="00341597" w:rsidRPr="00B875BD" w14:paraId="6B6E0FE7" w14:textId="77777777" w:rsidTr="007F72E7">
        <w:tc>
          <w:tcPr>
            <w:cnfStyle w:val="001000000000" w:firstRow="0" w:lastRow="0" w:firstColumn="1" w:lastColumn="0" w:oddVBand="0" w:evenVBand="0" w:oddHBand="0" w:evenHBand="0" w:firstRowFirstColumn="0" w:firstRowLastColumn="0" w:lastRowFirstColumn="0" w:lastRowLastColumn="0"/>
            <w:tcW w:w="1010" w:type="pct"/>
            <w:hideMark/>
          </w:tcPr>
          <w:p w14:paraId="217A2514" w14:textId="77777777" w:rsidR="00341597" w:rsidRPr="009F3D80" w:rsidRDefault="00341597" w:rsidP="00341597">
            <w:r w:rsidRPr="009F3D80">
              <w:t>NSW/ACT</w:t>
            </w:r>
          </w:p>
        </w:tc>
        <w:tc>
          <w:tcPr>
            <w:tcW w:w="684" w:type="pct"/>
            <w:noWrap/>
          </w:tcPr>
          <w:p w14:paraId="65ED252A" w14:textId="77777777" w:rsidR="00341597" w:rsidRPr="003F680D"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3F680D">
              <w:t>45,781</w:t>
            </w:r>
          </w:p>
        </w:tc>
        <w:tc>
          <w:tcPr>
            <w:tcW w:w="645" w:type="pct"/>
            <w:noWrap/>
          </w:tcPr>
          <w:p w14:paraId="55B79F3D" w14:textId="77777777" w:rsidR="00341597" w:rsidRPr="003F680D"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3F680D">
              <w:t>43,682</w:t>
            </w:r>
          </w:p>
        </w:tc>
        <w:tc>
          <w:tcPr>
            <w:tcW w:w="645" w:type="pct"/>
            <w:tcBorders>
              <w:right w:val="single" w:sz="4" w:space="0" w:color="auto"/>
            </w:tcBorders>
            <w:noWrap/>
          </w:tcPr>
          <w:p w14:paraId="0064BEFB" w14:textId="77777777" w:rsidR="00341597" w:rsidRPr="003F680D"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3F680D">
              <w:t>-4.6%</w:t>
            </w:r>
          </w:p>
        </w:tc>
        <w:tc>
          <w:tcPr>
            <w:tcW w:w="726" w:type="pct"/>
            <w:tcBorders>
              <w:left w:val="single" w:sz="4" w:space="0" w:color="auto"/>
              <w:bottom w:val="nil"/>
            </w:tcBorders>
            <w:noWrap/>
          </w:tcPr>
          <w:p w14:paraId="33FF522A" w14:textId="77777777" w:rsidR="00341597" w:rsidRPr="008D7FFE"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8D7FFE">
              <w:t>24,925</w:t>
            </w:r>
          </w:p>
        </w:tc>
        <w:tc>
          <w:tcPr>
            <w:tcW w:w="645" w:type="pct"/>
            <w:tcBorders>
              <w:bottom w:val="nil"/>
            </w:tcBorders>
            <w:noWrap/>
          </w:tcPr>
          <w:p w14:paraId="64FFEAD3" w14:textId="77777777" w:rsidR="00341597" w:rsidRPr="008D7FFE"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8D7FFE">
              <w:t>23,446</w:t>
            </w:r>
          </w:p>
        </w:tc>
        <w:tc>
          <w:tcPr>
            <w:tcW w:w="645" w:type="pct"/>
            <w:tcBorders>
              <w:bottom w:val="nil"/>
            </w:tcBorders>
            <w:noWrap/>
          </w:tcPr>
          <w:p w14:paraId="48E09983" w14:textId="77777777" w:rsidR="00341597" w:rsidRPr="008D7FFE"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8D7FFE">
              <w:t>-5.9%</w:t>
            </w:r>
          </w:p>
        </w:tc>
      </w:tr>
      <w:tr w:rsidR="00341597" w:rsidRPr="00B875BD" w14:paraId="6B950DF8" w14:textId="77777777" w:rsidTr="007F7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0" w:type="pct"/>
            <w:hideMark/>
          </w:tcPr>
          <w:p w14:paraId="7864FE89" w14:textId="77777777" w:rsidR="00341597" w:rsidRPr="009F3D80" w:rsidRDefault="00341597" w:rsidP="00341597">
            <w:r w:rsidRPr="009F3D80">
              <w:t>Vic.</w:t>
            </w:r>
          </w:p>
        </w:tc>
        <w:tc>
          <w:tcPr>
            <w:tcW w:w="684" w:type="pct"/>
            <w:noWrap/>
          </w:tcPr>
          <w:p w14:paraId="5585C415" w14:textId="77777777" w:rsidR="00341597" w:rsidRPr="003F680D"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3F680D">
              <w:t>37,852</w:t>
            </w:r>
          </w:p>
        </w:tc>
        <w:tc>
          <w:tcPr>
            <w:tcW w:w="645" w:type="pct"/>
            <w:noWrap/>
          </w:tcPr>
          <w:p w14:paraId="07C02C47" w14:textId="77777777" w:rsidR="00341597" w:rsidRPr="003F680D"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3F680D">
              <w:t>38,441</w:t>
            </w:r>
          </w:p>
        </w:tc>
        <w:tc>
          <w:tcPr>
            <w:tcW w:w="645" w:type="pct"/>
            <w:tcBorders>
              <w:right w:val="single" w:sz="4" w:space="0" w:color="auto"/>
            </w:tcBorders>
            <w:noWrap/>
          </w:tcPr>
          <w:p w14:paraId="726F60AE" w14:textId="77777777" w:rsidR="00341597" w:rsidRPr="003F680D"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3F680D">
              <w:t>1.6%</w:t>
            </w:r>
          </w:p>
        </w:tc>
        <w:tc>
          <w:tcPr>
            <w:tcW w:w="726" w:type="pct"/>
            <w:tcBorders>
              <w:left w:val="single" w:sz="4" w:space="0" w:color="auto"/>
              <w:bottom w:val="nil"/>
            </w:tcBorders>
            <w:noWrap/>
          </w:tcPr>
          <w:p w14:paraId="35DCD897" w14:textId="77777777" w:rsidR="00341597" w:rsidRPr="008D7FFE"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8D7FFE">
              <w:t>17,471</w:t>
            </w:r>
          </w:p>
        </w:tc>
        <w:tc>
          <w:tcPr>
            <w:tcW w:w="645" w:type="pct"/>
            <w:tcBorders>
              <w:bottom w:val="nil"/>
            </w:tcBorders>
            <w:noWrap/>
          </w:tcPr>
          <w:p w14:paraId="746DE98D" w14:textId="77777777" w:rsidR="00341597" w:rsidRPr="008D7FFE"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8D7FFE">
              <w:t>14,410</w:t>
            </w:r>
          </w:p>
        </w:tc>
        <w:tc>
          <w:tcPr>
            <w:tcW w:w="645" w:type="pct"/>
            <w:tcBorders>
              <w:bottom w:val="nil"/>
            </w:tcBorders>
            <w:noWrap/>
          </w:tcPr>
          <w:p w14:paraId="37A5B81D" w14:textId="77777777" w:rsidR="00341597" w:rsidRPr="008D7FFE"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8D7FFE">
              <w:t>-17.5%</w:t>
            </w:r>
          </w:p>
        </w:tc>
      </w:tr>
      <w:tr w:rsidR="00341597" w:rsidRPr="00B875BD" w14:paraId="24526119" w14:textId="77777777" w:rsidTr="007F72E7">
        <w:tc>
          <w:tcPr>
            <w:cnfStyle w:val="001000000000" w:firstRow="0" w:lastRow="0" w:firstColumn="1" w:lastColumn="0" w:oddVBand="0" w:evenVBand="0" w:oddHBand="0" w:evenHBand="0" w:firstRowFirstColumn="0" w:firstRowLastColumn="0" w:lastRowFirstColumn="0" w:lastRowLastColumn="0"/>
            <w:tcW w:w="1010" w:type="pct"/>
            <w:hideMark/>
          </w:tcPr>
          <w:p w14:paraId="5045D057" w14:textId="77777777" w:rsidR="00341597" w:rsidRPr="009F3D80" w:rsidRDefault="00341597" w:rsidP="00341597">
            <w:r w:rsidRPr="009F3D80">
              <w:t>Qld</w:t>
            </w:r>
            <w:r>
              <w:t>.</w:t>
            </w:r>
          </w:p>
        </w:tc>
        <w:tc>
          <w:tcPr>
            <w:tcW w:w="684" w:type="pct"/>
            <w:noWrap/>
          </w:tcPr>
          <w:p w14:paraId="21566D01" w14:textId="77777777" w:rsidR="00341597" w:rsidRPr="003F680D"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3F680D">
              <w:t>25,576</w:t>
            </w:r>
          </w:p>
        </w:tc>
        <w:tc>
          <w:tcPr>
            <w:tcW w:w="645" w:type="pct"/>
            <w:noWrap/>
          </w:tcPr>
          <w:p w14:paraId="0BA07936" w14:textId="77777777" w:rsidR="00341597" w:rsidRPr="003F680D"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3F680D">
              <w:t>26,015</w:t>
            </w:r>
          </w:p>
        </w:tc>
        <w:tc>
          <w:tcPr>
            <w:tcW w:w="645" w:type="pct"/>
            <w:tcBorders>
              <w:right w:val="single" w:sz="4" w:space="0" w:color="auto"/>
            </w:tcBorders>
            <w:noWrap/>
          </w:tcPr>
          <w:p w14:paraId="2656C8C9" w14:textId="77777777" w:rsidR="00341597" w:rsidRPr="003F680D"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3F680D">
              <w:t>1.7%</w:t>
            </w:r>
          </w:p>
        </w:tc>
        <w:tc>
          <w:tcPr>
            <w:tcW w:w="726" w:type="pct"/>
            <w:tcBorders>
              <w:left w:val="single" w:sz="4" w:space="0" w:color="auto"/>
              <w:bottom w:val="nil"/>
            </w:tcBorders>
            <w:noWrap/>
          </w:tcPr>
          <w:p w14:paraId="6A619B63" w14:textId="77777777" w:rsidR="00341597" w:rsidRPr="008D7FFE"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8D7FFE">
              <w:t>21,522</w:t>
            </w:r>
          </w:p>
        </w:tc>
        <w:tc>
          <w:tcPr>
            <w:tcW w:w="645" w:type="pct"/>
            <w:tcBorders>
              <w:bottom w:val="nil"/>
            </w:tcBorders>
            <w:noWrap/>
          </w:tcPr>
          <w:p w14:paraId="3D931309" w14:textId="77777777" w:rsidR="00341597" w:rsidRPr="008D7FFE"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8D7FFE">
              <w:t>21,770</w:t>
            </w:r>
          </w:p>
        </w:tc>
        <w:tc>
          <w:tcPr>
            <w:tcW w:w="645" w:type="pct"/>
            <w:tcBorders>
              <w:bottom w:val="nil"/>
            </w:tcBorders>
            <w:noWrap/>
          </w:tcPr>
          <w:p w14:paraId="4E4E1397" w14:textId="77777777" w:rsidR="00341597" w:rsidRPr="008D7FFE"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8D7FFE">
              <w:t>1.2%</w:t>
            </w:r>
          </w:p>
        </w:tc>
      </w:tr>
      <w:tr w:rsidR="00341597" w:rsidRPr="00B875BD" w14:paraId="0A4336FE" w14:textId="77777777" w:rsidTr="007F7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0" w:type="pct"/>
            <w:hideMark/>
          </w:tcPr>
          <w:p w14:paraId="0763BC60" w14:textId="77777777" w:rsidR="00341597" w:rsidRPr="009F3D80" w:rsidRDefault="00341597" w:rsidP="00341597">
            <w:r w:rsidRPr="009F3D80">
              <w:t xml:space="preserve">WA </w:t>
            </w:r>
          </w:p>
        </w:tc>
        <w:tc>
          <w:tcPr>
            <w:tcW w:w="684" w:type="pct"/>
            <w:noWrap/>
          </w:tcPr>
          <w:p w14:paraId="183E5C82" w14:textId="77777777" w:rsidR="00341597" w:rsidRPr="003F680D"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3F680D">
              <w:t>10,515</w:t>
            </w:r>
          </w:p>
        </w:tc>
        <w:tc>
          <w:tcPr>
            <w:tcW w:w="645" w:type="pct"/>
            <w:noWrap/>
          </w:tcPr>
          <w:p w14:paraId="2B6FB275" w14:textId="77777777" w:rsidR="00341597" w:rsidRPr="003F680D"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3F680D">
              <w:t>10,063</w:t>
            </w:r>
          </w:p>
        </w:tc>
        <w:tc>
          <w:tcPr>
            <w:tcW w:w="645" w:type="pct"/>
            <w:tcBorders>
              <w:right w:val="single" w:sz="4" w:space="0" w:color="auto"/>
            </w:tcBorders>
            <w:noWrap/>
          </w:tcPr>
          <w:p w14:paraId="771DF410" w14:textId="77777777" w:rsidR="00341597" w:rsidRPr="003F680D"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3F680D">
              <w:t>-4.3%</w:t>
            </w:r>
          </w:p>
        </w:tc>
        <w:tc>
          <w:tcPr>
            <w:tcW w:w="726" w:type="pct"/>
            <w:tcBorders>
              <w:left w:val="single" w:sz="4" w:space="0" w:color="auto"/>
              <w:bottom w:val="nil"/>
            </w:tcBorders>
            <w:noWrap/>
          </w:tcPr>
          <w:p w14:paraId="5329078B" w14:textId="77777777" w:rsidR="00341597" w:rsidRPr="008D7FFE"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8D7FFE">
              <w:t>3,636</w:t>
            </w:r>
          </w:p>
        </w:tc>
        <w:tc>
          <w:tcPr>
            <w:tcW w:w="645" w:type="pct"/>
            <w:tcBorders>
              <w:bottom w:val="nil"/>
            </w:tcBorders>
            <w:noWrap/>
          </w:tcPr>
          <w:p w14:paraId="68133164" w14:textId="77777777" w:rsidR="00341597" w:rsidRPr="008D7FFE"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8D7FFE">
              <w:t>3,010</w:t>
            </w:r>
          </w:p>
        </w:tc>
        <w:tc>
          <w:tcPr>
            <w:tcW w:w="645" w:type="pct"/>
            <w:tcBorders>
              <w:bottom w:val="nil"/>
            </w:tcBorders>
            <w:noWrap/>
          </w:tcPr>
          <w:p w14:paraId="435AB79F" w14:textId="77777777" w:rsidR="00341597" w:rsidRPr="008D7FFE"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8D7FFE">
              <w:t>-17.2%</w:t>
            </w:r>
          </w:p>
        </w:tc>
      </w:tr>
      <w:tr w:rsidR="00341597" w:rsidRPr="00B875BD" w14:paraId="15BF9676" w14:textId="77777777" w:rsidTr="007F72E7">
        <w:tc>
          <w:tcPr>
            <w:cnfStyle w:val="001000000000" w:firstRow="0" w:lastRow="0" w:firstColumn="1" w:lastColumn="0" w:oddVBand="0" w:evenVBand="0" w:oddHBand="0" w:evenHBand="0" w:firstRowFirstColumn="0" w:firstRowLastColumn="0" w:lastRowFirstColumn="0" w:lastRowLastColumn="0"/>
            <w:tcW w:w="1010" w:type="pct"/>
            <w:hideMark/>
          </w:tcPr>
          <w:p w14:paraId="4FA154C9" w14:textId="77777777" w:rsidR="00341597" w:rsidRPr="009F3D80" w:rsidRDefault="00341597" w:rsidP="00341597">
            <w:r w:rsidRPr="009F3D80">
              <w:t>SA/NT</w:t>
            </w:r>
          </w:p>
        </w:tc>
        <w:tc>
          <w:tcPr>
            <w:tcW w:w="684" w:type="pct"/>
            <w:noWrap/>
          </w:tcPr>
          <w:p w14:paraId="7B3E8ACB" w14:textId="77777777" w:rsidR="00341597" w:rsidRPr="003F680D"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3F680D">
              <w:t>10,504</w:t>
            </w:r>
          </w:p>
        </w:tc>
        <w:tc>
          <w:tcPr>
            <w:tcW w:w="645" w:type="pct"/>
            <w:noWrap/>
          </w:tcPr>
          <w:p w14:paraId="295F7D8A" w14:textId="77777777" w:rsidR="00341597" w:rsidRPr="003F680D"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3F680D">
              <w:t>10,719</w:t>
            </w:r>
          </w:p>
        </w:tc>
        <w:tc>
          <w:tcPr>
            <w:tcW w:w="645" w:type="pct"/>
            <w:tcBorders>
              <w:right w:val="single" w:sz="4" w:space="0" w:color="auto"/>
            </w:tcBorders>
            <w:noWrap/>
          </w:tcPr>
          <w:p w14:paraId="4F5FF145" w14:textId="77777777" w:rsidR="00341597" w:rsidRPr="003F680D"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3F680D">
              <w:t>2.0%</w:t>
            </w:r>
          </w:p>
        </w:tc>
        <w:tc>
          <w:tcPr>
            <w:tcW w:w="726" w:type="pct"/>
            <w:tcBorders>
              <w:left w:val="single" w:sz="4" w:space="0" w:color="auto"/>
              <w:bottom w:val="nil"/>
            </w:tcBorders>
            <w:noWrap/>
          </w:tcPr>
          <w:p w14:paraId="2EB7D19D" w14:textId="77777777" w:rsidR="00341597" w:rsidRPr="008D7FFE"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8D7FFE">
              <w:t>9,761</w:t>
            </w:r>
          </w:p>
        </w:tc>
        <w:tc>
          <w:tcPr>
            <w:tcW w:w="645" w:type="pct"/>
            <w:tcBorders>
              <w:bottom w:val="nil"/>
            </w:tcBorders>
            <w:noWrap/>
          </w:tcPr>
          <w:p w14:paraId="5CF13CF0" w14:textId="77777777" w:rsidR="00341597" w:rsidRPr="008D7FFE"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8D7FFE">
              <w:t>9,155</w:t>
            </w:r>
          </w:p>
        </w:tc>
        <w:tc>
          <w:tcPr>
            <w:tcW w:w="645" w:type="pct"/>
            <w:tcBorders>
              <w:bottom w:val="nil"/>
            </w:tcBorders>
            <w:noWrap/>
          </w:tcPr>
          <w:p w14:paraId="2DBBB947" w14:textId="77777777" w:rsidR="00341597" w:rsidRPr="008D7FFE"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8D7FFE">
              <w:t>-6.2%</w:t>
            </w:r>
          </w:p>
        </w:tc>
      </w:tr>
      <w:tr w:rsidR="00341597" w:rsidRPr="00B875BD" w14:paraId="510D6789" w14:textId="77777777" w:rsidTr="007F7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0" w:type="pct"/>
            <w:hideMark/>
          </w:tcPr>
          <w:p w14:paraId="71FBF326" w14:textId="77777777" w:rsidR="00341597" w:rsidRPr="009F3D80" w:rsidRDefault="00341597" w:rsidP="00341597">
            <w:r w:rsidRPr="009F3D80">
              <w:t>Tas.</w:t>
            </w:r>
          </w:p>
        </w:tc>
        <w:tc>
          <w:tcPr>
            <w:tcW w:w="684" w:type="pct"/>
            <w:noWrap/>
          </w:tcPr>
          <w:p w14:paraId="69ABE12D" w14:textId="77777777" w:rsidR="00341597" w:rsidRPr="003F680D"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3F680D">
              <w:t>2,633</w:t>
            </w:r>
          </w:p>
        </w:tc>
        <w:tc>
          <w:tcPr>
            <w:tcW w:w="645" w:type="pct"/>
            <w:noWrap/>
          </w:tcPr>
          <w:p w14:paraId="01EA7C9A" w14:textId="77777777" w:rsidR="00341597" w:rsidRPr="003F680D"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3F680D">
              <w:t>2,511</w:t>
            </w:r>
          </w:p>
        </w:tc>
        <w:tc>
          <w:tcPr>
            <w:tcW w:w="645" w:type="pct"/>
            <w:tcBorders>
              <w:right w:val="single" w:sz="4" w:space="0" w:color="auto"/>
            </w:tcBorders>
            <w:noWrap/>
          </w:tcPr>
          <w:p w14:paraId="1BBAE016" w14:textId="77777777" w:rsidR="00341597" w:rsidRPr="003F680D"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3F680D">
              <w:t>-4.6%</w:t>
            </w:r>
          </w:p>
        </w:tc>
        <w:tc>
          <w:tcPr>
            <w:tcW w:w="726" w:type="pct"/>
            <w:tcBorders>
              <w:left w:val="single" w:sz="4" w:space="0" w:color="auto"/>
              <w:bottom w:val="nil"/>
            </w:tcBorders>
            <w:noWrap/>
          </w:tcPr>
          <w:p w14:paraId="6B33720D" w14:textId="77777777" w:rsidR="00341597" w:rsidRPr="008D7FFE"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8D7FFE">
              <w:t>10,884</w:t>
            </w:r>
          </w:p>
        </w:tc>
        <w:tc>
          <w:tcPr>
            <w:tcW w:w="645" w:type="pct"/>
            <w:tcBorders>
              <w:bottom w:val="nil"/>
            </w:tcBorders>
            <w:noWrap/>
          </w:tcPr>
          <w:p w14:paraId="2FAB4732" w14:textId="77777777" w:rsidR="00341597" w:rsidRPr="008D7FFE"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8D7FFE">
              <w:t>11,331</w:t>
            </w:r>
          </w:p>
        </w:tc>
        <w:tc>
          <w:tcPr>
            <w:tcW w:w="645" w:type="pct"/>
            <w:tcBorders>
              <w:bottom w:val="nil"/>
            </w:tcBorders>
            <w:noWrap/>
          </w:tcPr>
          <w:p w14:paraId="58D72759" w14:textId="77777777" w:rsidR="00341597" w:rsidRPr="008D7FFE"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8D7FFE">
              <w:t>4.1%</w:t>
            </w:r>
          </w:p>
        </w:tc>
      </w:tr>
      <w:tr w:rsidR="00341597" w:rsidRPr="00B875BD" w14:paraId="668A57BC" w14:textId="77777777" w:rsidTr="007F72E7">
        <w:tc>
          <w:tcPr>
            <w:cnfStyle w:val="001000000000" w:firstRow="0" w:lastRow="0" w:firstColumn="1" w:lastColumn="0" w:oddVBand="0" w:evenVBand="0" w:oddHBand="0" w:evenHBand="0" w:firstRowFirstColumn="0" w:firstRowLastColumn="0" w:lastRowFirstColumn="0" w:lastRowLastColumn="0"/>
            <w:tcW w:w="1010" w:type="pct"/>
          </w:tcPr>
          <w:p w14:paraId="0A49C352" w14:textId="77777777" w:rsidR="00341597" w:rsidRPr="00A02290" w:rsidRDefault="00341597" w:rsidP="00341597">
            <w:r w:rsidRPr="00A02290">
              <w:t>Australia</w:t>
            </w:r>
          </w:p>
        </w:tc>
        <w:tc>
          <w:tcPr>
            <w:tcW w:w="684" w:type="pct"/>
            <w:noWrap/>
          </w:tcPr>
          <w:p w14:paraId="4AD6DE61" w14:textId="77777777" w:rsidR="00341597" w:rsidRPr="00521E70"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521E70">
              <w:t>132,861</w:t>
            </w:r>
          </w:p>
        </w:tc>
        <w:tc>
          <w:tcPr>
            <w:tcW w:w="645" w:type="pct"/>
            <w:noWrap/>
          </w:tcPr>
          <w:p w14:paraId="301E14EB" w14:textId="77777777" w:rsidR="00341597" w:rsidRPr="00521E70"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521E70">
              <w:t>131,431</w:t>
            </w:r>
          </w:p>
        </w:tc>
        <w:tc>
          <w:tcPr>
            <w:tcW w:w="645" w:type="pct"/>
            <w:tcBorders>
              <w:right w:val="single" w:sz="4" w:space="0" w:color="auto"/>
            </w:tcBorders>
            <w:noWrap/>
          </w:tcPr>
          <w:p w14:paraId="0D154182" w14:textId="77777777" w:rsidR="00341597" w:rsidRPr="00521E70"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521E70">
              <w:t>-1.1%</w:t>
            </w:r>
          </w:p>
        </w:tc>
        <w:tc>
          <w:tcPr>
            <w:tcW w:w="726" w:type="pct"/>
            <w:tcBorders>
              <w:left w:val="single" w:sz="4" w:space="0" w:color="auto"/>
              <w:bottom w:val="single" w:sz="4" w:space="0" w:color="auto"/>
            </w:tcBorders>
            <w:noWrap/>
          </w:tcPr>
          <w:p w14:paraId="037ECC4E" w14:textId="77777777" w:rsidR="00341597" w:rsidRPr="00521E70"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521E70">
              <w:t>88,199</w:t>
            </w:r>
          </w:p>
        </w:tc>
        <w:tc>
          <w:tcPr>
            <w:tcW w:w="645" w:type="pct"/>
            <w:tcBorders>
              <w:bottom w:val="single" w:sz="4" w:space="0" w:color="auto"/>
            </w:tcBorders>
            <w:noWrap/>
          </w:tcPr>
          <w:p w14:paraId="32708907" w14:textId="77777777" w:rsidR="00341597" w:rsidRPr="00521E70"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521E70">
              <w:t>83,122</w:t>
            </w:r>
          </w:p>
        </w:tc>
        <w:tc>
          <w:tcPr>
            <w:tcW w:w="645" w:type="pct"/>
            <w:tcBorders>
              <w:bottom w:val="single" w:sz="4" w:space="0" w:color="auto"/>
            </w:tcBorders>
            <w:noWrap/>
          </w:tcPr>
          <w:p w14:paraId="2245B054" w14:textId="77777777" w:rsidR="00341597" w:rsidRPr="00521E70"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521E70">
              <w:t>-5.8%</w:t>
            </w:r>
          </w:p>
        </w:tc>
      </w:tr>
    </w:tbl>
    <w:p w14:paraId="6FF79F5D" w14:textId="77777777" w:rsidR="00341597" w:rsidRDefault="00341597" w:rsidP="00B67C70"/>
    <w:p w14:paraId="25E12E10" w14:textId="77777777" w:rsidR="00341597" w:rsidRPr="00B67C70" w:rsidRDefault="00341597" w:rsidP="00B67C70">
      <w:pPr>
        <w:pStyle w:val="Heading1"/>
      </w:pPr>
      <w:bookmarkStart w:id="135" w:name="_Toc480816339"/>
      <w:bookmarkStart w:id="136" w:name="_Toc492454278"/>
      <w:bookmarkStart w:id="137" w:name="_Toc416445767"/>
      <w:bookmarkStart w:id="138" w:name="_Toc447188870"/>
      <w:r w:rsidRPr="00B67C70">
        <w:lastRenderedPageBreak/>
        <w:t>Direct applications and offers</w:t>
      </w:r>
      <w:bookmarkEnd w:id="135"/>
      <w:bookmarkEnd w:id="136"/>
      <w:r w:rsidRPr="00B67C70">
        <w:t xml:space="preserve"> </w:t>
      </w:r>
      <w:bookmarkEnd w:id="137"/>
      <w:bookmarkEnd w:id="138"/>
    </w:p>
    <w:p w14:paraId="4AB0D68E" w14:textId="77777777" w:rsidR="00341597" w:rsidRPr="00CA743F" w:rsidRDefault="00341597" w:rsidP="00CA743F">
      <w:pPr>
        <w:pStyle w:val="Heading2"/>
      </w:pPr>
      <w:bookmarkStart w:id="139" w:name="_Toc492454279"/>
      <w:r w:rsidRPr="00CA743F">
        <w:t>Applications</w:t>
      </w:r>
      <w:bookmarkEnd w:id="139"/>
    </w:p>
    <w:p w14:paraId="7D23EF02" w14:textId="77777777" w:rsidR="00341597" w:rsidRPr="007D4645" w:rsidRDefault="00341597" w:rsidP="00B67C70">
      <w:pPr>
        <w:pStyle w:val="ListParagraph"/>
      </w:pPr>
      <w:r w:rsidRPr="007D4645">
        <w:t>As</w:t>
      </w:r>
      <w:r>
        <w:t xml:space="preserve"> of 27</w:t>
      </w:r>
      <w:r w:rsidRPr="007D4645">
        <w:t xml:space="preserve"> February</w:t>
      </w:r>
      <w:r>
        <w:t xml:space="preserve"> 2017</w:t>
      </w:r>
      <w:r w:rsidRPr="007D4645">
        <w:t xml:space="preserve">, there were </w:t>
      </w:r>
      <w:r>
        <w:t>126,270</w:t>
      </w:r>
      <w:r w:rsidRPr="007D4645">
        <w:t xml:space="preserve"> direct applications made to universities, an increase of </w:t>
      </w:r>
      <w:r>
        <w:t>18</w:t>
      </w:r>
      <w:r w:rsidRPr="007D4645">
        <w:t>.3% on the numbe</w:t>
      </w:r>
      <w:r>
        <w:t>r of direct applications in 2016</w:t>
      </w:r>
      <w:r w:rsidRPr="007D4645">
        <w:t>.</w:t>
      </w:r>
    </w:p>
    <w:p w14:paraId="66950F5E" w14:textId="77777777" w:rsidR="00341597" w:rsidRDefault="00341597" w:rsidP="00B67C70">
      <w:pPr>
        <w:pStyle w:val="ListParagraph"/>
      </w:pPr>
      <w:r>
        <w:t>Non-Year 12 applicants represent the majority of direct applications. Applications from these applicants accounted for 94.1% of applications as of 27 February 2017, in comparison with</w:t>
      </w:r>
      <w:r w:rsidRPr="002726C9">
        <w:t xml:space="preserve"> </w:t>
      </w:r>
      <w:r>
        <w:t>96.3%</w:t>
      </w:r>
      <w:r w:rsidRPr="002726C9">
        <w:t xml:space="preserve"> in</w:t>
      </w:r>
      <w:r>
        <w:t xml:space="preserve"> 2016.</w:t>
      </w:r>
    </w:p>
    <w:p w14:paraId="7F7B7BB6" w14:textId="77777777" w:rsidR="00341597" w:rsidRDefault="00341597" w:rsidP="00B67C70">
      <w:pPr>
        <w:pStyle w:val="ListParagraph"/>
      </w:pPr>
      <w:r>
        <w:t xml:space="preserve">The largest increases in direct applications were in Engineering and Related Technologies, up 46.1%, Architecture and Building, up 42.8% and Information Technology, up 38.8%. </w:t>
      </w:r>
    </w:p>
    <w:p w14:paraId="4A6A71F1" w14:textId="77777777" w:rsidR="00341597" w:rsidRPr="00B67C70" w:rsidRDefault="00341597" w:rsidP="00B67C70">
      <w:pPr>
        <w:pStyle w:val="ListParagraph"/>
      </w:pPr>
      <w:r w:rsidRPr="00B67C70">
        <w:t>Note</w:t>
      </w:r>
      <w:proofErr w:type="gramStart"/>
      <w:r w:rsidRPr="00B67C70">
        <w:t>,</w:t>
      </w:r>
      <w:proofErr w:type="gramEnd"/>
      <w:r w:rsidRPr="00B67C70">
        <w:t xml:space="preserve"> caution should be exercised in interpretation of direct applications data at disaggregated level, for example, by field of education, since universities’ direct admissions processes can vary from year to year. </w:t>
      </w:r>
    </w:p>
    <w:p w14:paraId="6F542482" w14:textId="36080B33" w:rsidR="00D21F72" w:rsidRDefault="00D21F72" w:rsidP="00D21F72">
      <w:pPr>
        <w:pStyle w:val="Caption"/>
        <w:keepNext/>
      </w:pPr>
      <w:bookmarkStart w:id="140" w:name="_Toc492453651"/>
      <w:bookmarkStart w:id="141" w:name="_Toc492453876"/>
      <w:r>
        <w:t xml:space="preserve">Table </w:t>
      </w:r>
      <w:fldSimple w:instr=" SEQ Table \* ARABIC ">
        <w:r w:rsidR="00E05F5D">
          <w:rPr>
            <w:noProof/>
          </w:rPr>
          <w:t>20</w:t>
        </w:r>
      </w:fldSimple>
      <w:r w:rsidRPr="006B6891">
        <w:t>: Direct applications by broad field of education, February 2016 and February 2017</w:t>
      </w:r>
      <w:bookmarkEnd w:id="140"/>
      <w:bookmarkEnd w:id="141"/>
    </w:p>
    <w:tbl>
      <w:tblPr>
        <w:tblStyle w:val="DEEWRTable"/>
        <w:tblW w:w="5000" w:type="pct"/>
        <w:tblLook w:val="04A0" w:firstRow="1" w:lastRow="0" w:firstColumn="1" w:lastColumn="0" w:noHBand="0" w:noVBand="1"/>
      </w:tblPr>
      <w:tblGrid>
        <w:gridCol w:w="5690"/>
        <w:gridCol w:w="1205"/>
        <w:gridCol w:w="1205"/>
        <w:gridCol w:w="1142"/>
      </w:tblGrid>
      <w:tr w:rsidR="00341597" w:rsidRPr="000B7C88" w14:paraId="1C7170EB" w14:textId="77777777" w:rsidTr="00A022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pct"/>
            <w:hideMark/>
          </w:tcPr>
          <w:p w14:paraId="7A598A04" w14:textId="77777777" w:rsidR="00341597" w:rsidRPr="00EE6A87" w:rsidRDefault="00341597" w:rsidP="00A02290">
            <w:pPr>
              <w:rPr>
                <w:rFonts w:cs="Calibri"/>
                <w:bCs/>
              </w:rPr>
            </w:pPr>
            <w:r w:rsidRPr="00EE6A87">
              <w:t>Field of education</w:t>
            </w:r>
          </w:p>
        </w:tc>
        <w:tc>
          <w:tcPr>
            <w:tcW w:w="652" w:type="pct"/>
          </w:tcPr>
          <w:p w14:paraId="5810A46D" w14:textId="77777777" w:rsidR="00341597" w:rsidRPr="00EE6A87" w:rsidRDefault="00341597" w:rsidP="00F44C09">
            <w:pPr>
              <w:jc w:val="right"/>
              <w:cnfStyle w:val="100000000000" w:firstRow="1" w:lastRow="0" w:firstColumn="0" w:lastColumn="0" w:oddVBand="0" w:evenVBand="0" w:oddHBand="0" w:evenHBand="0" w:firstRowFirstColumn="0" w:firstRowLastColumn="0" w:lastRowFirstColumn="0" w:lastRowLastColumn="0"/>
            </w:pPr>
            <w:r w:rsidRPr="00EE6A87">
              <w:t>201</w:t>
            </w:r>
            <w:r>
              <w:t>6</w:t>
            </w:r>
          </w:p>
        </w:tc>
        <w:tc>
          <w:tcPr>
            <w:tcW w:w="652" w:type="pct"/>
          </w:tcPr>
          <w:p w14:paraId="1180D5DF" w14:textId="77777777" w:rsidR="00341597" w:rsidRPr="00EE6A87" w:rsidRDefault="00341597" w:rsidP="00F44C09">
            <w:pPr>
              <w:jc w:val="right"/>
              <w:cnfStyle w:val="100000000000" w:firstRow="1" w:lastRow="0" w:firstColumn="0" w:lastColumn="0" w:oddVBand="0" w:evenVBand="0" w:oddHBand="0" w:evenHBand="0" w:firstRowFirstColumn="0" w:firstRowLastColumn="0" w:lastRowFirstColumn="0" w:lastRowLastColumn="0"/>
            </w:pPr>
            <w:r w:rsidRPr="00EE6A87">
              <w:t>201</w:t>
            </w:r>
            <w:r>
              <w:t>7</w:t>
            </w:r>
          </w:p>
        </w:tc>
        <w:tc>
          <w:tcPr>
            <w:tcW w:w="618" w:type="pct"/>
          </w:tcPr>
          <w:p w14:paraId="1699918C" w14:textId="77777777" w:rsidR="00341597" w:rsidRPr="00EE6A87" w:rsidRDefault="00341597" w:rsidP="00F44C09">
            <w:pPr>
              <w:jc w:val="right"/>
              <w:cnfStyle w:val="100000000000" w:firstRow="1" w:lastRow="0" w:firstColumn="0" w:lastColumn="0" w:oddVBand="0" w:evenVBand="0" w:oddHBand="0" w:evenHBand="0" w:firstRowFirstColumn="0" w:firstRowLastColumn="0" w:lastRowFirstColumn="0" w:lastRowLastColumn="0"/>
            </w:pPr>
            <w:r w:rsidRPr="00EE6A87">
              <w:t>Change</w:t>
            </w:r>
          </w:p>
        </w:tc>
      </w:tr>
      <w:tr w:rsidR="00341597" w:rsidRPr="000B7C88" w14:paraId="4EDFF0C0" w14:textId="77777777" w:rsidTr="00A022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pct"/>
            <w:noWrap/>
            <w:hideMark/>
          </w:tcPr>
          <w:p w14:paraId="47059EAB" w14:textId="77777777" w:rsidR="00341597" w:rsidRPr="000B7C88" w:rsidRDefault="00341597" w:rsidP="00341597">
            <w:r w:rsidRPr="000B7C88">
              <w:t>Natural and Physical Sciences</w:t>
            </w:r>
          </w:p>
        </w:tc>
        <w:tc>
          <w:tcPr>
            <w:tcW w:w="652" w:type="pct"/>
            <w:noWrap/>
          </w:tcPr>
          <w:p w14:paraId="3DA4E1E9" w14:textId="03A3CB99" w:rsidR="00341597" w:rsidRPr="00902231"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02231">
              <w:t>9,437</w:t>
            </w:r>
          </w:p>
        </w:tc>
        <w:tc>
          <w:tcPr>
            <w:tcW w:w="652" w:type="pct"/>
            <w:noWrap/>
          </w:tcPr>
          <w:p w14:paraId="797B6EAC" w14:textId="77777777" w:rsidR="00341597" w:rsidRPr="00BB2576"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BB2576">
              <w:t>13,028</w:t>
            </w:r>
          </w:p>
        </w:tc>
        <w:tc>
          <w:tcPr>
            <w:tcW w:w="618" w:type="pct"/>
            <w:noWrap/>
          </w:tcPr>
          <w:p w14:paraId="0F51C42F" w14:textId="77777777" w:rsidR="00341597" w:rsidRPr="00C107B1"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C107B1">
              <w:t>38.1%</w:t>
            </w:r>
          </w:p>
        </w:tc>
      </w:tr>
      <w:tr w:rsidR="00341597" w:rsidRPr="000B7C88" w14:paraId="3A36AEF5" w14:textId="77777777" w:rsidTr="00A02290">
        <w:tc>
          <w:tcPr>
            <w:cnfStyle w:val="001000000000" w:firstRow="0" w:lastRow="0" w:firstColumn="1" w:lastColumn="0" w:oddVBand="0" w:evenVBand="0" w:oddHBand="0" w:evenHBand="0" w:firstRowFirstColumn="0" w:firstRowLastColumn="0" w:lastRowFirstColumn="0" w:lastRowLastColumn="0"/>
            <w:tcW w:w="3078" w:type="pct"/>
            <w:noWrap/>
            <w:hideMark/>
          </w:tcPr>
          <w:p w14:paraId="0023E001" w14:textId="77777777" w:rsidR="00341597" w:rsidRPr="000B7C88" w:rsidRDefault="00341597" w:rsidP="00341597">
            <w:r w:rsidRPr="000B7C88">
              <w:t>Information Technology</w:t>
            </w:r>
          </w:p>
        </w:tc>
        <w:tc>
          <w:tcPr>
            <w:tcW w:w="652" w:type="pct"/>
            <w:noWrap/>
          </w:tcPr>
          <w:p w14:paraId="7B552934" w14:textId="77777777" w:rsidR="00341597" w:rsidRPr="00902231"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02231">
              <w:t>2,951</w:t>
            </w:r>
          </w:p>
        </w:tc>
        <w:tc>
          <w:tcPr>
            <w:tcW w:w="652" w:type="pct"/>
            <w:noWrap/>
          </w:tcPr>
          <w:p w14:paraId="0D1A9B7E" w14:textId="77777777" w:rsidR="00341597" w:rsidRPr="00BB2576"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BB2576">
              <w:t>4,096</w:t>
            </w:r>
          </w:p>
        </w:tc>
        <w:tc>
          <w:tcPr>
            <w:tcW w:w="618" w:type="pct"/>
            <w:noWrap/>
          </w:tcPr>
          <w:p w14:paraId="50CBEC57" w14:textId="77777777" w:rsidR="00341597" w:rsidRPr="00C107B1"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C107B1">
              <w:t>38.8%</w:t>
            </w:r>
          </w:p>
        </w:tc>
      </w:tr>
      <w:tr w:rsidR="00341597" w:rsidRPr="000B7C88" w14:paraId="3B31632D" w14:textId="77777777" w:rsidTr="00A022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pct"/>
            <w:noWrap/>
            <w:hideMark/>
          </w:tcPr>
          <w:p w14:paraId="5EE2AF50" w14:textId="77777777" w:rsidR="00341597" w:rsidRPr="00383819" w:rsidRDefault="00341597" w:rsidP="00341597">
            <w:r w:rsidRPr="00383819">
              <w:t>Engineering and Related Technologies</w:t>
            </w:r>
          </w:p>
        </w:tc>
        <w:tc>
          <w:tcPr>
            <w:tcW w:w="652" w:type="pct"/>
            <w:noWrap/>
          </w:tcPr>
          <w:p w14:paraId="396C86C0" w14:textId="77777777" w:rsidR="00341597" w:rsidRPr="00902231"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02231">
              <w:t>4,132</w:t>
            </w:r>
          </w:p>
        </w:tc>
        <w:tc>
          <w:tcPr>
            <w:tcW w:w="652" w:type="pct"/>
            <w:noWrap/>
          </w:tcPr>
          <w:p w14:paraId="137A42CD" w14:textId="77777777" w:rsidR="00341597" w:rsidRPr="00BB2576"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BB2576">
              <w:t>6,037</w:t>
            </w:r>
          </w:p>
        </w:tc>
        <w:tc>
          <w:tcPr>
            <w:tcW w:w="618" w:type="pct"/>
            <w:noWrap/>
          </w:tcPr>
          <w:p w14:paraId="54617E26" w14:textId="77777777" w:rsidR="00341597" w:rsidRPr="00C107B1"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C107B1">
              <w:t>46.1%</w:t>
            </w:r>
          </w:p>
        </w:tc>
      </w:tr>
      <w:tr w:rsidR="00341597" w:rsidRPr="000B7C88" w14:paraId="60DF48C1" w14:textId="77777777" w:rsidTr="00A02290">
        <w:tc>
          <w:tcPr>
            <w:cnfStyle w:val="001000000000" w:firstRow="0" w:lastRow="0" w:firstColumn="1" w:lastColumn="0" w:oddVBand="0" w:evenVBand="0" w:oddHBand="0" w:evenHBand="0" w:firstRowFirstColumn="0" w:firstRowLastColumn="0" w:lastRowFirstColumn="0" w:lastRowLastColumn="0"/>
            <w:tcW w:w="3078" w:type="pct"/>
            <w:noWrap/>
            <w:hideMark/>
          </w:tcPr>
          <w:p w14:paraId="70B69A59" w14:textId="77777777" w:rsidR="00341597" w:rsidRDefault="00341597" w:rsidP="00341597">
            <w:r w:rsidRPr="00383819">
              <w:t>Architecture and Building</w:t>
            </w:r>
          </w:p>
        </w:tc>
        <w:tc>
          <w:tcPr>
            <w:tcW w:w="652" w:type="pct"/>
            <w:noWrap/>
          </w:tcPr>
          <w:p w14:paraId="284C42D7" w14:textId="77777777" w:rsidR="00341597" w:rsidRPr="00902231"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02231">
              <w:t>1,473</w:t>
            </w:r>
          </w:p>
        </w:tc>
        <w:tc>
          <w:tcPr>
            <w:tcW w:w="652" w:type="pct"/>
            <w:noWrap/>
          </w:tcPr>
          <w:p w14:paraId="10AD0B59" w14:textId="77777777" w:rsidR="00341597" w:rsidRPr="00BB2576"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BB2576">
              <w:t>2,103</w:t>
            </w:r>
          </w:p>
        </w:tc>
        <w:tc>
          <w:tcPr>
            <w:tcW w:w="618" w:type="pct"/>
            <w:noWrap/>
          </w:tcPr>
          <w:p w14:paraId="5999159F" w14:textId="77777777" w:rsidR="00341597" w:rsidRPr="00C107B1"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C107B1">
              <w:t>42.8%</w:t>
            </w:r>
          </w:p>
        </w:tc>
      </w:tr>
      <w:tr w:rsidR="00341597" w:rsidRPr="000B7C88" w14:paraId="6F9AD8C3" w14:textId="77777777" w:rsidTr="00A022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pct"/>
            <w:noWrap/>
            <w:hideMark/>
          </w:tcPr>
          <w:p w14:paraId="70F705B4" w14:textId="77777777" w:rsidR="00341597" w:rsidRPr="000B7C88" w:rsidRDefault="00341597" w:rsidP="00341597">
            <w:r w:rsidRPr="00531BD1">
              <w:t>Agriculture, Environmental and Related Studies</w:t>
            </w:r>
          </w:p>
        </w:tc>
        <w:tc>
          <w:tcPr>
            <w:tcW w:w="652" w:type="pct"/>
            <w:noWrap/>
          </w:tcPr>
          <w:p w14:paraId="4FA2B251" w14:textId="77777777" w:rsidR="00341597" w:rsidRPr="00902231"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02231">
              <w:t>1,711</w:t>
            </w:r>
          </w:p>
        </w:tc>
        <w:tc>
          <w:tcPr>
            <w:tcW w:w="652" w:type="pct"/>
            <w:noWrap/>
          </w:tcPr>
          <w:p w14:paraId="2F9FA4DE" w14:textId="77777777" w:rsidR="00341597" w:rsidRPr="00BB2576"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BB2576">
              <w:t>1,819</w:t>
            </w:r>
          </w:p>
        </w:tc>
        <w:tc>
          <w:tcPr>
            <w:tcW w:w="618" w:type="pct"/>
            <w:noWrap/>
          </w:tcPr>
          <w:p w14:paraId="1A84B184" w14:textId="77777777" w:rsidR="00341597" w:rsidRPr="00C107B1"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C107B1">
              <w:t>6.3%</w:t>
            </w:r>
          </w:p>
        </w:tc>
      </w:tr>
      <w:tr w:rsidR="00341597" w:rsidRPr="000B7C88" w14:paraId="2AB14472" w14:textId="77777777" w:rsidTr="00A02290">
        <w:tc>
          <w:tcPr>
            <w:cnfStyle w:val="001000000000" w:firstRow="0" w:lastRow="0" w:firstColumn="1" w:lastColumn="0" w:oddVBand="0" w:evenVBand="0" w:oddHBand="0" w:evenHBand="0" w:firstRowFirstColumn="0" w:firstRowLastColumn="0" w:lastRowFirstColumn="0" w:lastRowLastColumn="0"/>
            <w:tcW w:w="3078" w:type="pct"/>
            <w:noWrap/>
            <w:hideMark/>
          </w:tcPr>
          <w:p w14:paraId="227A9971" w14:textId="77777777" w:rsidR="00341597" w:rsidRPr="000B7C88" w:rsidRDefault="00341597" w:rsidP="00341597">
            <w:r w:rsidRPr="000B7C88">
              <w:t>Health</w:t>
            </w:r>
          </w:p>
        </w:tc>
        <w:tc>
          <w:tcPr>
            <w:tcW w:w="652" w:type="pct"/>
            <w:noWrap/>
          </w:tcPr>
          <w:p w14:paraId="545D4D68" w14:textId="77777777" w:rsidR="00341597" w:rsidRPr="00902231"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02231">
              <w:t>20,537</w:t>
            </w:r>
          </w:p>
        </w:tc>
        <w:tc>
          <w:tcPr>
            <w:tcW w:w="652" w:type="pct"/>
            <w:noWrap/>
          </w:tcPr>
          <w:p w14:paraId="1A6F61F4" w14:textId="77777777" w:rsidR="00341597" w:rsidRPr="00BB2576"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BB2576">
              <w:t>24,735</w:t>
            </w:r>
          </w:p>
        </w:tc>
        <w:tc>
          <w:tcPr>
            <w:tcW w:w="618" w:type="pct"/>
            <w:noWrap/>
          </w:tcPr>
          <w:p w14:paraId="3E0D98F2" w14:textId="77777777" w:rsidR="00341597" w:rsidRPr="00C107B1"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C107B1">
              <w:t>20.4%</w:t>
            </w:r>
          </w:p>
        </w:tc>
      </w:tr>
      <w:tr w:rsidR="00341597" w:rsidRPr="000B7C88" w14:paraId="1469B54C" w14:textId="77777777" w:rsidTr="00A022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pct"/>
            <w:noWrap/>
            <w:hideMark/>
          </w:tcPr>
          <w:p w14:paraId="6D9B9CA8" w14:textId="77777777" w:rsidR="00341597" w:rsidRPr="000B7C88" w:rsidRDefault="00341597" w:rsidP="00341597">
            <w:r w:rsidRPr="000B7C88">
              <w:t>Education</w:t>
            </w:r>
          </w:p>
        </w:tc>
        <w:tc>
          <w:tcPr>
            <w:tcW w:w="652" w:type="pct"/>
            <w:noWrap/>
          </w:tcPr>
          <w:p w14:paraId="05D5D1AB" w14:textId="77777777" w:rsidR="00341597" w:rsidRPr="00902231"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02231">
              <w:t>12,373</w:t>
            </w:r>
          </w:p>
        </w:tc>
        <w:tc>
          <w:tcPr>
            <w:tcW w:w="652" w:type="pct"/>
            <w:noWrap/>
          </w:tcPr>
          <w:p w14:paraId="76D95187" w14:textId="77777777" w:rsidR="00341597" w:rsidRPr="00BB2576"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BB2576">
              <w:t>14,230</w:t>
            </w:r>
          </w:p>
        </w:tc>
        <w:tc>
          <w:tcPr>
            <w:tcW w:w="618" w:type="pct"/>
            <w:noWrap/>
          </w:tcPr>
          <w:p w14:paraId="0A19A208" w14:textId="77777777" w:rsidR="00341597" w:rsidRPr="00C107B1"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C107B1">
              <w:t>15.0%</w:t>
            </w:r>
          </w:p>
        </w:tc>
      </w:tr>
      <w:tr w:rsidR="00341597" w:rsidRPr="000B7C88" w14:paraId="36085994" w14:textId="77777777" w:rsidTr="00A02290">
        <w:tc>
          <w:tcPr>
            <w:cnfStyle w:val="001000000000" w:firstRow="0" w:lastRow="0" w:firstColumn="1" w:lastColumn="0" w:oddVBand="0" w:evenVBand="0" w:oddHBand="0" w:evenHBand="0" w:firstRowFirstColumn="0" w:firstRowLastColumn="0" w:lastRowFirstColumn="0" w:lastRowLastColumn="0"/>
            <w:tcW w:w="3078" w:type="pct"/>
            <w:noWrap/>
            <w:hideMark/>
          </w:tcPr>
          <w:p w14:paraId="365CD46A" w14:textId="77777777" w:rsidR="00341597" w:rsidRPr="000B7C88" w:rsidRDefault="00341597" w:rsidP="00341597">
            <w:r w:rsidRPr="000B7C88">
              <w:t>Management and Commerce</w:t>
            </w:r>
          </w:p>
        </w:tc>
        <w:tc>
          <w:tcPr>
            <w:tcW w:w="652" w:type="pct"/>
            <w:noWrap/>
          </w:tcPr>
          <w:p w14:paraId="224DBC01" w14:textId="77777777" w:rsidR="00341597" w:rsidRPr="00902231"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02231">
              <w:t>12,949</w:t>
            </w:r>
          </w:p>
        </w:tc>
        <w:tc>
          <w:tcPr>
            <w:tcW w:w="652" w:type="pct"/>
            <w:noWrap/>
          </w:tcPr>
          <w:p w14:paraId="1B322F82" w14:textId="77777777" w:rsidR="00341597" w:rsidRPr="00BB2576"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BB2576">
              <w:t>14,847</w:t>
            </w:r>
          </w:p>
        </w:tc>
        <w:tc>
          <w:tcPr>
            <w:tcW w:w="618" w:type="pct"/>
            <w:noWrap/>
          </w:tcPr>
          <w:p w14:paraId="6F554A17" w14:textId="77777777" w:rsidR="00341597" w:rsidRPr="00C107B1"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C107B1">
              <w:t>14.7%</w:t>
            </w:r>
          </w:p>
        </w:tc>
      </w:tr>
      <w:tr w:rsidR="00341597" w:rsidRPr="000B7C88" w14:paraId="3C20C420" w14:textId="77777777" w:rsidTr="00A022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pct"/>
            <w:noWrap/>
            <w:hideMark/>
          </w:tcPr>
          <w:p w14:paraId="79615AF4" w14:textId="77777777" w:rsidR="00341597" w:rsidRPr="000B7C88" w:rsidRDefault="00341597" w:rsidP="00341597">
            <w:r w:rsidRPr="000B7C88">
              <w:t>Society and Culture</w:t>
            </w:r>
          </w:p>
        </w:tc>
        <w:tc>
          <w:tcPr>
            <w:tcW w:w="652" w:type="pct"/>
            <w:noWrap/>
          </w:tcPr>
          <w:p w14:paraId="26EB3AD4" w14:textId="77777777" w:rsidR="00341597" w:rsidRPr="00902231"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902231">
              <w:t>32,340</w:t>
            </w:r>
          </w:p>
        </w:tc>
        <w:tc>
          <w:tcPr>
            <w:tcW w:w="652" w:type="pct"/>
            <w:noWrap/>
          </w:tcPr>
          <w:p w14:paraId="293C97FB" w14:textId="77777777" w:rsidR="00341597" w:rsidRPr="00BB2576"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BB2576">
              <w:t>36,168</w:t>
            </w:r>
          </w:p>
        </w:tc>
        <w:tc>
          <w:tcPr>
            <w:tcW w:w="618" w:type="pct"/>
            <w:noWrap/>
          </w:tcPr>
          <w:p w14:paraId="149F3E2B" w14:textId="77777777" w:rsidR="00341597" w:rsidRPr="00C107B1"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C107B1">
              <w:t>11.8%</w:t>
            </w:r>
          </w:p>
        </w:tc>
      </w:tr>
      <w:tr w:rsidR="00341597" w:rsidRPr="000B7C88" w14:paraId="1EAA01E7" w14:textId="77777777" w:rsidTr="00A02290">
        <w:tc>
          <w:tcPr>
            <w:cnfStyle w:val="001000000000" w:firstRow="0" w:lastRow="0" w:firstColumn="1" w:lastColumn="0" w:oddVBand="0" w:evenVBand="0" w:oddHBand="0" w:evenHBand="0" w:firstRowFirstColumn="0" w:firstRowLastColumn="0" w:lastRowFirstColumn="0" w:lastRowLastColumn="0"/>
            <w:tcW w:w="3078" w:type="pct"/>
            <w:noWrap/>
            <w:hideMark/>
          </w:tcPr>
          <w:p w14:paraId="5010C48F" w14:textId="77777777" w:rsidR="00341597" w:rsidRPr="000B7C88" w:rsidRDefault="00341597" w:rsidP="00341597">
            <w:r w:rsidRPr="000B7C88">
              <w:t>Creative Arts</w:t>
            </w:r>
          </w:p>
        </w:tc>
        <w:tc>
          <w:tcPr>
            <w:tcW w:w="652" w:type="pct"/>
            <w:noWrap/>
          </w:tcPr>
          <w:p w14:paraId="2E517FFC" w14:textId="77777777" w:rsidR="00341597" w:rsidRPr="00902231"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902231">
              <w:t>8,462</w:t>
            </w:r>
          </w:p>
        </w:tc>
        <w:tc>
          <w:tcPr>
            <w:tcW w:w="652" w:type="pct"/>
            <w:noWrap/>
          </w:tcPr>
          <w:p w14:paraId="07A7BED1" w14:textId="77777777" w:rsidR="00341597" w:rsidRPr="00BB2576"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BB2576">
              <w:t>8,956</w:t>
            </w:r>
          </w:p>
        </w:tc>
        <w:tc>
          <w:tcPr>
            <w:tcW w:w="618" w:type="pct"/>
            <w:noWrap/>
          </w:tcPr>
          <w:p w14:paraId="49500A5A" w14:textId="77777777" w:rsidR="00341597" w:rsidRPr="00C107B1"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C107B1">
              <w:t>5.8%</w:t>
            </w:r>
          </w:p>
        </w:tc>
      </w:tr>
      <w:tr w:rsidR="00341597" w:rsidRPr="000B7C88" w14:paraId="23485325" w14:textId="77777777" w:rsidTr="00A022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pct"/>
            <w:hideMark/>
          </w:tcPr>
          <w:p w14:paraId="7B17C146" w14:textId="77777777" w:rsidR="00341597" w:rsidRPr="00A02290" w:rsidRDefault="00341597" w:rsidP="00341597">
            <w:r w:rsidRPr="00A02290">
              <w:t>Australia</w:t>
            </w:r>
          </w:p>
        </w:tc>
        <w:tc>
          <w:tcPr>
            <w:tcW w:w="652" w:type="pct"/>
            <w:noWrap/>
          </w:tcPr>
          <w:p w14:paraId="595E89C6" w14:textId="77777777" w:rsidR="00341597" w:rsidRPr="00C65C25"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C65C25">
              <w:t>106,693</w:t>
            </w:r>
          </w:p>
        </w:tc>
        <w:tc>
          <w:tcPr>
            <w:tcW w:w="652" w:type="pct"/>
            <w:noWrap/>
          </w:tcPr>
          <w:p w14:paraId="1AD847A0" w14:textId="77777777" w:rsidR="00341597" w:rsidRPr="00C65C25"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C65C25">
              <w:t>126,270</w:t>
            </w:r>
          </w:p>
        </w:tc>
        <w:tc>
          <w:tcPr>
            <w:tcW w:w="618" w:type="pct"/>
            <w:noWrap/>
          </w:tcPr>
          <w:p w14:paraId="76407EAB" w14:textId="77777777" w:rsidR="00341597" w:rsidRPr="00C65C25"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C65C25">
              <w:t>18.3%</w:t>
            </w:r>
          </w:p>
        </w:tc>
      </w:tr>
    </w:tbl>
    <w:p w14:paraId="28AA7102" w14:textId="77777777" w:rsidR="00341597" w:rsidRDefault="00341597" w:rsidP="00341597">
      <w:r w:rsidRPr="00B875BD">
        <w:t xml:space="preserve">Note: Hospitality and Mixed Field </w:t>
      </w:r>
      <w:r>
        <w:t>P</w:t>
      </w:r>
      <w:r w:rsidRPr="00B875BD">
        <w:t xml:space="preserve">rograms are not shown </w:t>
      </w:r>
      <w:r>
        <w:t>due to the small number of applications/offers. H</w:t>
      </w:r>
      <w:r w:rsidRPr="00B875BD">
        <w:t>ence</w:t>
      </w:r>
      <w:r>
        <w:t>,</w:t>
      </w:r>
      <w:r w:rsidRPr="00B875BD">
        <w:t xml:space="preserve"> the total number of applications/offers does not equal the sum of applications/offers by broad field of education in the above table.</w:t>
      </w:r>
    </w:p>
    <w:p w14:paraId="2DBE26E7" w14:textId="77777777" w:rsidR="00341597" w:rsidRPr="00CA743F" w:rsidRDefault="00341597" w:rsidP="00CA743F">
      <w:pPr>
        <w:pStyle w:val="Heading2"/>
      </w:pPr>
      <w:bookmarkStart w:id="142" w:name="_Toc416445766"/>
      <w:bookmarkStart w:id="143" w:name="_Toc492454280"/>
      <w:r w:rsidRPr="00CA743F">
        <w:t>Offers</w:t>
      </w:r>
      <w:bookmarkEnd w:id="142"/>
      <w:bookmarkEnd w:id="143"/>
    </w:p>
    <w:p w14:paraId="72E74933" w14:textId="77777777" w:rsidR="00341597" w:rsidRDefault="00341597" w:rsidP="00B67C70">
      <w:pPr>
        <w:pStyle w:val="ListParagraph"/>
      </w:pPr>
      <w:r>
        <w:t>As of 27 February 2017, there were 95,306 direct offers made by universities, an increase of 12.4% on the number of direct offers made in 2016.</w:t>
      </w:r>
    </w:p>
    <w:p w14:paraId="2DF02F33" w14:textId="77777777" w:rsidR="00341597" w:rsidRDefault="00341597" w:rsidP="00341597">
      <w:r>
        <w:t xml:space="preserve">The largest increases in direct offers between February 2016 and February 2017 were in Natural and Physical Sciences, up 39.4%, followed by Engineering and Related Technologies, up 37.9% and Information Technology, up 32.4%. </w:t>
      </w:r>
    </w:p>
    <w:p w14:paraId="15BACA77" w14:textId="72FF26CC" w:rsidR="00D21F72" w:rsidRDefault="00D21F72" w:rsidP="00D21F72">
      <w:pPr>
        <w:pStyle w:val="Caption"/>
        <w:keepNext/>
      </w:pPr>
      <w:bookmarkStart w:id="144" w:name="_Toc492453652"/>
      <w:bookmarkStart w:id="145" w:name="_Toc492453877"/>
      <w:r>
        <w:lastRenderedPageBreak/>
        <w:t xml:space="preserve">Table </w:t>
      </w:r>
      <w:fldSimple w:instr=" SEQ Table \* ARABIC ">
        <w:r w:rsidR="00E05F5D">
          <w:rPr>
            <w:noProof/>
          </w:rPr>
          <w:t>21</w:t>
        </w:r>
      </w:fldSimple>
      <w:r w:rsidRPr="00B95476">
        <w:t>: Direct offers by broad field of education, February 2016 and February 2017</w:t>
      </w:r>
      <w:bookmarkEnd w:id="144"/>
      <w:bookmarkEnd w:id="145"/>
    </w:p>
    <w:tbl>
      <w:tblPr>
        <w:tblStyle w:val="DEEWRTable"/>
        <w:tblW w:w="5000" w:type="pct"/>
        <w:tblLook w:val="04A0" w:firstRow="1" w:lastRow="0" w:firstColumn="1" w:lastColumn="0" w:noHBand="0" w:noVBand="1"/>
      </w:tblPr>
      <w:tblGrid>
        <w:gridCol w:w="5871"/>
        <w:gridCol w:w="1096"/>
        <w:gridCol w:w="1096"/>
        <w:gridCol w:w="1179"/>
      </w:tblGrid>
      <w:tr w:rsidR="00341597" w:rsidRPr="000B7C88" w14:paraId="038A208C" w14:textId="77777777" w:rsidTr="00A022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6" w:type="pct"/>
            <w:hideMark/>
          </w:tcPr>
          <w:p w14:paraId="71CD91B7" w14:textId="77777777" w:rsidR="00341597" w:rsidRPr="007D7C34" w:rsidRDefault="00341597" w:rsidP="00A02290">
            <w:pPr>
              <w:rPr>
                <w:rFonts w:cs="Calibri"/>
                <w:bCs/>
              </w:rPr>
            </w:pPr>
            <w:r w:rsidRPr="007D7C34">
              <w:t>Field of education</w:t>
            </w:r>
          </w:p>
        </w:tc>
        <w:tc>
          <w:tcPr>
            <w:tcW w:w="593" w:type="pct"/>
          </w:tcPr>
          <w:p w14:paraId="765C030D" w14:textId="77777777" w:rsidR="00341597" w:rsidRPr="007D7C34" w:rsidRDefault="00341597" w:rsidP="00F44C09">
            <w:pPr>
              <w:jc w:val="right"/>
              <w:cnfStyle w:val="100000000000" w:firstRow="1" w:lastRow="0" w:firstColumn="0" w:lastColumn="0" w:oddVBand="0" w:evenVBand="0" w:oddHBand="0" w:evenHBand="0" w:firstRowFirstColumn="0" w:firstRowLastColumn="0" w:lastRowFirstColumn="0" w:lastRowLastColumn="0"/>
            </w:pPr>
            <w:r w:rsidRPr="007D7C34">
              <w:t>201</w:t>
            </w:r>
            <w:r>
              <w:t>6</w:t>
            </w:r>
          </w:p>
        </w:tc>
        <w:tc>
          <w:tcPr>
            <w:tcW w:w="593" w:type="pct"/>
          </w:tcPr>
          <w:p w14:paraId="42EE0761" w14:textId="77777777" w:rsidR="00341597" w:rsidRPr="007D7C34" w:rsidRDefault="00341597" w:rsidP="00F44C09">
            <w:pPr>
              <w:jc w:val="right"/>
              <w:cnfStyle w:val="100000000000" w:firstRow="1" w:lastRow="0" w:firstColumn="0" w:lastColumn="0" w:oddVBand="0" w:evenVBand="0" w:oddHBand="0" w:evenHBand="0" w:firstRowFirstColumn="0" w:firstRowLastColumn="0" w:lastRowFirstColumn="0" w:lastRowLastColumn="0"/>
            </w:pPr>
            <w:r w:rsidRPr="007D7C34">
              <w:t>201</w:t>
            </w:r>
            <w:r>
              <w:t>7</w:t>
            </w:r>
          </w:p>
        </w:tc>
        <w:tc>
          <w:tcPr>
            <w:tcW w:w="638" w:type="pct"/>
          </w:tcPr>
          <w:p w14:paraId="409DDF3E" w14:textId="77777777" w:rsidR="00341597" w:rsidRPr="007D7C34" w:rsidRDefault="00341597" w:rsidP="00F44C09">
            <w:pPr>
              <w:jc w:val="right"/>
              <w:cnfStyle w:val="100000000000" w:firstRow="1" w:lastRow="0" w:firstColumn="0" w:lastColumn="0" w:oddVBand="0" w:evenVBand="0" w:oddHBand="0" w:evenHBand="0" w:firstRowFirstColumn="0" w:firstRowLastColumn="0" w:lastRowFirstColumn="0" w:lastRowLastColumn="0"/>
            </w:pPr>
            <w:r w:rsidRPr="007D7C34">
              <w:t>Change</w:t>
            </w:r>
          </w:p>
        </w:tc>
      </w:tr>
      <w:tr w:rsidR="00341597" w:rsidRPr="000B7C88" w14:paraId="3B06E99E" w14:textId="77777777" w:rsidTr="00A022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6" w:type="pct"/>
            <w:noWrap/>
            <w:hideMark/>
          </w:tcPr>
          <w:p w14:paraId="650F5839" w14:textId="77777777" w:rsidR="00341597" w:rsidRPr="000B7C88" w:rsidRDefault="00341597" w:rsidP="00341597">
            <w:r w:rsidRPr="000B7C88">
              <w:t>Natural and Physical Sciences</w:t>
            </w:r>
          </w:p>
        </w:tc>
        <w:tc>
          <w:tcPr>
            <w:tcW w:w="593" w:type="pct"/>
            <w:noWrap/>
          </w:tcPr>
          <w:p w14:paraId="18B879D9" w14:textId="77777777" w:rsidR="00341597" w:rsidRPr="00B07727"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B07727">
              <w:t>7,350</w:t>
            </w:r>
          </w:p>
        </w:tc>
        <w:tc>
          <w:tcPr>
            <w:tcW w:w="593" w:type="pct"/>
            <w:noWrap/>
          </w:tcPr>
          <w:p w14:paraId="782725F6" w14:textId="77777777" w:rsidR="00341597" w:rsidRPr="002446F2"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2446F2">
              <w:t>10,244</w:t>
            </w:r>
          </w:p>
        </w:tc>
        <w:tc>
          <w:tcPr>
            <w:tcW w:w="638" w:type="pct"/>
            <w:noWrap/>
          </w:tcPr>
          <w:p w14:paraId="10E84E0C" w14:textId="77777777" w:rsidR="00341597" w:rsidRPr="001450B7"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1450B7">
              <w:t>39.4%</w:t>
            </w:r>
          </w:p>
        </w:tc>
      </w:tr>
      <w:tr w:rsidR="00341597" w:rsidRPr="000B7C88" w14:paraId="5EA2136C" w14:textId="77777777" w:rsidTr="00A02290">
        <w:tc>
          <w:tcPr>
            <w:cnfStyle w:val="001000000000" w:firstRow="0" w:lastRow="0" w:firstColumn="1" w:lastColumn="0" w:oddVBand="0" w:evenVBand="0" w:oddHBand="0" w:evenHBand="0" w:firstRowFirstColumn="0" w:firstRowLastColumn="0" w:lastRowFirstColumn="0" w:lastRowLastColumn="0"/>
            <w:tcW w:w="3176" w:type="pct"/>
            <w:noWrap/>
            <w:hideMark/>
          </w:tcPr>
          <w:p w14:paraId="133D2246" w14:textId="77777777" w:rsidR="00341597" w:rsidRPr="000B7C88" w:rsidRDefault="00341597" w:rsidP="00341597">
            <w:r w:rsidRPr="000B7C88">
              <w:t>Information Technology</w:t>
            </w:r>
          </w:p>
        </w:tc>
        <w:tc>
          <w:tcPr>
            <w:tcW w:w="593" w:type="pct"/>
            <w:noWrap/>
          </w:tcPr>
          <w:p w14:paraId="2B58A309" w14:textId="77777777" w:rsidR="00341597" w:rsidRPr="00B07727"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B07727">
              <w:t>2,454</w:t>
            </w:r>
          </w:p>
        </w:tc>
        <w:tc>
          <w:tcPr>
            <w:tcW w:w="593" w:type="pct"/>
            <w:noWrap/>
          </w:tcPr>
          <w:p w14:paraId="02734E50" w14:textId="77777777" w:rsidR="00341597" w:rsidRPr="002446F2"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2446F2">
              <w:t>3,249</w:t>
            </w:r>
          </w:p>
        </w:tc>
        <w:tc>
          <w:tcPr>
            <w:tcW w:w="638" w:type="pct"/>
            <w:noWrap/>
          </w:tcPr>
          <w:p w14:paraId="1C9015D3" w14:textId="77777777" w:rsidR="00341597" w:rsidRPr="001450B7"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1450B7">
              <w:t>32.4%</w:t>
            </w:r>
          </w:p>
        </w:tc>
      </w:tr>
      <w:tr w:rsidR="00341597" w:rsidRPr="000B7C88" w14:paraId="60513196" w14:textId="77777777" w:rsidTr="00A022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6" w:type="pct"/>
            <w:noWrap/>
            <w:hideMark/>
          </w:tcPr>
          <w:p w14:paraId="0AD009ED" w14:textId="77777777" w:rsidR="00341597" w:rsidRPr="00AD2916" w:rsidRDefault="00341597" w:rsidP="00341597">
            <w:r w:rsidRPr="00AD2916">
              <w:t>Engineering and Related Technologies</w:t>
            </w:r>
          </w:p>
        </w:tc>
        <w:tc>
          <w:tcPr>
            <w:tcW w:w="593" w:type="pct"/>
            <w:noWrap/>
          </w:tcPr>
          <w:p w14:paraId="6A198DF4" w14:textId="77777777" w:rsidR="00341597" w:rsidRPr="00B07727"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B07727">
              <w:t>3,536</w:t>
            </w:r>
          </w:p>
        </w:tc>
        <w:tc>
          <w:tcPr>
            <w:tcW w:w="593" w:type="pct"/>
            <w:noWrap/>
          </w:tcPr>
          <w:p w14:paraId="7167C711" w14:textId="77777777" w:rsidR="00341597" w:rsidRPr="002446F2"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2446F2">
              <w:t>4,877</w:t>
            </w:r>
          </w:p>
        </w:tc>
        <w:tc>
          <w:tcPr>
            <w:tcW w:w="638" w:type="pct"/>
            <w:noWrap/>
          </w:tcPr>
          <w:p w14:paraId="354CD9ED" w14:textId="77777777" w:rsidR="00341597" w:rsidRPr="001450B7"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1450B7">
              <w:t>37.9%</w:t>
            </w:r>
          </w:p>
        </w:tc>
      </w:tr>
      <w:tr w:rsidR="00341597" w:rsidRPr="000B7C88" w14:paraId="21DFA8E1" w14:textId="77777777" w:rsidTr="00A02290">
        <w:tc>
          <w:tcPr>
            <w:cnfStyle w:val="001000000000" w:firstRow="0" w:lastRow="0" w:firstColumn="1" w:lastColumn="0" w:oddVBand="0" w:evenVBand="0" w:oddHBand="0" w:evenHBand="0" w:firstRowFirstColumn="0" w:firstRowLastColumn="0" w:lastRowFirstColumn="0" w:lastRowLastColumn="0"/>
            <w:tcW w:w="3176" w:type="pct"/>
            <w:noWrap/>
            <w:hideMark/>
          </w:tcPr>
          <w:p w14:paraId="25E83530" w14:textId="77777777" w:rsidR="00341597" w:rsidRDefault="00341597" w:rsidP="00341597">
            <w:r w:rsidRPr="00AD2916">
              <w:t>Architecture and Building</w:t>
            </w:r>
          </w:p>
        </w:tc>
        <w:tc>
          <w:tcPr>
            <w:tcW w:w="593" w:type="pct"/>
            <w:noWrap/>
          </w:tcPr>
          <w:p w14:paraId="584D4947" w14:textId="77777777" w:rsidR="00341597" w:rsidRPr="00B07727"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B07727">
              <w:t>1,302</w:t>
            </w:r>
          </w:p>
        </w:tc>
        <w:tc>
          <w:tcPr>
            <w:tcW w:w="593" w:type="pct"/>
            <w:noWrap/>
          </w:tcPr>
          <w:p w14:paraId="280116A4" w14:textId="77777777" w:rsidR="00341597" w:rsidRPr="002446F2"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2446F2">
              <w:t>1,611</w:t>
            </w:r>
          </w:p>
        </w:tc>
        <w:tc>
          <w:tcPr>
            <w:tcW w:w="638" w:type="pct"/>
            <w:noWrap/>
          </w:tcPr>
          <w:p w14:paraId="4CCE4FFE" w14:textId="77777777" w:rsidR="00341597" w:rsidRPr="001450B7"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1450B7">
              <w:t>23.7%</w:t>
            </w:r>
          </w:p>
        </w:tc>
      </w:tr>
      <w:tr w:rsidR="00341597" w:rsidRPr="000B7C88" w14:paraId="7E319D08" w14:textId="77777777" w:rsidTr="00A022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6" w:type="pct"/>
            <w:noWrap/>
            <w:hideMark/>
          </w:tcPr>
          <w:p w14:paraId="1C5E7EE8" w14:textId="77777777" w:rsidR="00341597" w:rsidRPr="000B7C88" w:rsidRDefault="00341597" w:rsidP="00341597">
            <w:r w:rsidRPr="00531BD1">
              <w:t>Agriculture, Environmental and Related Studies</w:t>
            </w:r>
          </w:p>
        </w:tc>
        <w:tc>
          <w:tcPr>
            <w:tcW w:w="593" w:type="pct"/>
            <w:noWrap/>
          </w:tcPr>
          <w:p w14:paraId="7037427A" w14:textId="77777777" w:rsidR="00341597" w:rsidRPr="00B07727"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B07727">
              <w:t>1,496</w:t>
            </w:r>
          </w:p>
        </w:tc>
        <w:tc>
          <w:tcPr>
            <w:tcW w:w="593" w:type="pct"/>
            <w:noWrap/>
          </w:tcPr>
          <w:p w14:paraId="12FE2501" w14:textId="77777777" w:rsidR="00341597" w:rsidRPr="002446F2"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2446F2">
              <w:t>1,572</w:t>
            </w:r>
          </w:p>
        </w:tc>
        <w:tc>
          <w:tcPr>
            <w:tcW w:w="638" w:type="pct"/>
            <w:noWrap/>
          </w:tcPr>
          <w:p w14:paraId="3ADE5362" w14:textId="77777777" w:rsidR="00341597" w:rsidRPr="001450B7"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1450B7">
              <w:t>5.1%</w:t>
            </w:r>
          </w:p>
        </w:tc>
      </w:tr>
      <w:tr w:rsidR="00341597" w:rsidRPr="000B7C88" w14:paraId="1093E90F" w14:textId="77777777" w:rsidTr="00A02290">
        <w:tc>
          <w:tcPr>
            <w:cnfStyle w:val="001000000000" w:firstRow="0" w:lastRow="0" w:firstColumn="1" w:lastColumn="0" w:oddVBand="0" w:evenVBand="0" w:oddHBand="0" w:evenHBand="0" w:firstRowFirstColumn="0" w:firstRowLastColumn="0" w:lastRowFirstColumn="0" w:lastRowLastColumn="0"/>
            <w:tcW w:w="3176" w:type="pct"/>
            <w:noWrap/>
            <w:hideMark/>
          </w:tcPr>
          <w:p w14:paraId="50623238" w14:textId="77777777" w:rsidR="00341597" w:rsidRPr="000B7C88" w:rsidRDefault="00341597" w:rsidP="00341597">
            <w:r w:rsidRPr="000B7C88">
              <w:t>Health</w:t>
            </w:r>
          </w:p>
        </w:tc>
        <w:tc>
          <w:tcPr>
            <w:tcW w:w="593" w:type="pct"/>
            <w:noWrap/>
          </w:tcPr>
          <w:p w14:paraId="622D60FD" w14:textId="77777777" w:rsidR="00341597" w:rsidRPr="00B07727"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B07727">
              <w:t>15,352</w:t>
            </w:r>
          </w:p>
        </w:tc>
        <w:tc>
          <w:tcPr>
            <w:tcW w:w="593" w:type="pct"/>
            <w:noWrap/>
          </w:tcPr>
          <w:p w14:paraId="01EEB12A" w14:textId="77777777" w:rsidR="00341597" w:rsidRPr="002446F2"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2446F2">
              <w:t>17,026</w:t>
            </w:r>
          </w:p>
        </w:tc>
        <w:tc>
          <w:tcPr>
            <w:tcW w:w="638" w:type="pct"/>
            <w:noWrap/>
          </w:tcPr>
          <w:p w14:paraId="3D0F5746" w14:textId="77777777" w:rsidR="00341597" w:rsidRPr="001450B7"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1450B7">
              <w:t>10.9%</w:t>
            </w:r>
          </w:p>
        </w:tc>
      </w:tr>
      <w:tr w:rsidR="00341597" w:rsidRPr="000B7C88" w14:paraId="35E40BAD" w14:textId="77777777" w:rsidTr="00A022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6" w:type="pct"/>
            <w:noWrap/>
            <w:hideMark/>
          </w:tcPr>
          <w:p w14:paraId="156099A7" w14:textId="77777777" w:rsidR="00341597" w:rsidRPr="000B7C88" w:rsidRDefault="00341597" w:rsidP="00341597">
            <w:r w:rsidRPr="000B7C88">
              <w:t>Education</w:t>
            </w:r>
          </w:p>
        </w:tc>
        <w:tc>
          <w:tcPr>
            <w:tcW w:w="593" w:type="pct"/>
            <w:noWrap/>
          </w:tcPr>
          <w:p w14:paraId="35F34DCC" w14:textId="77777777" w:rsidR="00341597" w:rsidRPr="00B07727"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B07727">
              <w:t>10,481</w:t>
            </w:r>
          </w:p>
        </w:tc>
        <w:tc>
          <w:tcPr>
            <w:tcW w:w="593" w:type="pct"/>
            <w:noWrap/>
          </w:tcPr>
          <w:p w14:paraId="51FC5271" w14:textId="77777777" w:rsidR="00341597" w:rsidRPr="002446F2"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2446F2">
              <w:t>11,524</w:t>
            </w:r>
          </w:p>
        </w:tc>
        <w:tc>
          <w:tcPr>
            <w:tcW w:w="638" w:type="pct"/>
            <w:noWrap/>
          </w:tcPr>
          <w:p w14:paraId="57F38FE4" w14:textId="77777777" w:rsidR="00341597" w:rsidRPr="001450B7"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1450B7">
              <w:t>10.0%</w:t>
            </w:r>
          </w:p>
        </w:tc>
      </w:tr>
      <w:tr w:rsidR="00341597" w:rsidRPr="000B7C88" w14:paraId="6F2B9A55" w14:textId="77777777" w:rsidTr="00A02290">
        <w:tc>
          <w:tcPr>
            <w:cnfStyle w:val="001000000000" w:firstRow="0" w:lastRow="0" w:firstColumn="1" w:lastColumn="0" w:oddVBand="0" w:evenVBand="0" w:oddHBand="0" w:evenHBand="0" w:firstRowFirstColumn="0" w:firstRowLastColumn="0" w:lastRowFirstColumn="0" w:lastRowLastColumn="0"/>
            <w:tcW w:w="3176" w:type="pct"/>
            <w:noWrap/>
            <w:hideMark/>
          </w:tcPr>
          <w:p w14:paraId="08A0AA44" w14:textId="77777777" w:rsidR="00341597" w:rsidRPr="000B7C88" w:rsidRDefault="00341597" w:rsidP="00341597">
            <w:r w:rsidRPr="000B7C88">
              <w:t>Management and Commerce</w:t>
            </w:r>
          </w:p>
        </w:tc>
        <w:tc>
          <w:tcPr>
            <w:tcW w:w="593" w:type="pct"/>
            <w:noWrap/>
          </w:tcPr>
          <w:p w14:paraId="16B0B1F2" w14:textId="77777777" w:rsidR="00341597" w:rsidRPr="00B07727"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B07727">
              <w:t>11,277</w:t>
            </w:r>
          </w:p>
        </w:tc>
        <w:tc>
          <w:tcPr>
            <w:tcW w:w="593" w:type="pct"/>
            <w:noWrap/>
          </w:tcPr>
          <w:p w14:paraId="13A75015" w14:textId="77777777" w:rsidR="00341597" w:rsidRPr="002446F2"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2446F2">
              <w:t>12,337</w:t>
            </w:r>
          </w:p>
        </w:tc>
        <w:tc>
          <w:tcPr>
            <w:tcW w:w="638" w:type="pct"/>
            <w:noWrap/>
          </w:tcPr>
          <w:p w14:paraId="14B7EDD4" w14:textId="77777777" w:rsidR="00341597" w:rsidRPr="001450B7"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1450B7">
              <w:t>9.4%</w:t>
            </w:r>
          </w:p>
        </w:tc>
      </w:tr>
      <w:tr w:rsidR="00341597" w:rsidRPr="000B7C88" w14:paraId="76976F80" w14:textId="77777777" w:rsidTr="00A022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6" w:type="pct"/>
            <w:noWrap/>
            <w:hideMark/>
          </w:tcPr>
          <w:p w14:paraId="76CC912F" w14:textId="77777777" w:rsidR="00341597" w:rsidRPr="000B7C88" w:rsidRDefault="00341597" w:rsidP="00341597">
            <w:r w:rsidRPr="000B7C88">
              <w:t>Society and Culture</w:t>
            </w:r>
          </w:p>
        </w:tc>
        <w:tc>
          <w:tcPr>
            <w:tcW w:w="593" w:type="pct"/>
            <w:noWrap/>
          </w:tcPr>
          <w:p w14:paraId="20EA9DE7" w14:textId="77777777" w:rsidR="00341597" w:rsidRPr="00B07727"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B07727">
              <w:t>24,305</w:t>
            </w:r>
          </w:p>
        </w:tc>
        <w:tc>
          <w:tcPr>
            <w:tcW w:w="593" w:type="pct"/>
            <w:noWrap/>
          </w:tcPr>
          <w:p w14:paraId="63B87B10" w14:textId="77777777" w:rsidR="00341597" w:rsidRPr="002446F2"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2446F2">
              <w:t>25,934</w:t>
            </w:r>
          </w:p>
        </w:tc>
        <w:tc>
          <w:tcPr>
            <w:tcW w:w="638" w:type="pct"/>
            <w:noWrap/>
          </w:tcPr>
          <w:p w14:paraId="3755EDFA" w14:textId="77777777" w:rsidR="00341597" w:rsidRPr="001450B7"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1450B7">
              <w:t>6.7%</w:t>
            </w:r>
          </w:p>
        </w:tc>
      </w:tr>
      <w:tr w:rsidR="00341597" w:rsidRPr="000B7C88" w14:paraId="2227453E" w14:textId="77777777" w:rsidTr="00A02290">
        <w:tc>
          <w:tcPr>
            <w:cnfStyle w:val="001000000000" w:firstRow="0" w:lastRow="0" w:firstColumn="1" w:lastColumn="0" w:oddVBand="0" w:evenVBand="0" w:oddHBand="0" w:evenHBand="0" w:firstRowFirstColumn="0" w:firstRowLastColumn="0" w:lastRowFirstColumn="0" w:lastRowLastColumn="0"/>
            <w:tcW w:w="3176" w:type="pct"/>
            <w:noWrap/>
            <w:hideMark/>
          </w:tcPr>
          <w:p w14:paraId="2A9D7FFB" w14:textId="77777777" w:rsidR="00341597" w:rsidRPr="000B7C88" w:rsidRDefault="00341597" w:rsidP="00341597">
            <w:r w:rsidRPr="000B7C88">
              <w:t>Creative Arts</w:t>
            </w:r>
          </w:p>
        </w:tc>
        <w:tc>
          <w:tcPr>
            <w:tcW w:w="593" w:type="pct"/>
            <w:noWrap/>
          </w:tcPr>
          <w:p w14:paraId="77438B09" w14:textId="77777777" w:rsidR="00341597" w:rsidRPr="00B07727"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B07727">
              <w:t>7,137</w:t>
            </w:r>
          </w:p>
        </w:tc>
        <w:tc>
          <w:tcPr>
            <w:tcW w:w="593" w:type="pct"/>
            <w:noWrap/>
          </w:tcPr>
          <w:p w14:paraId="7539C3B7" w14:textId="77777777" w:rsidR="00341597" w:rsidRPr="002446F2"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2446F2">
              <w:t>6,905</w:t>
            </w:r>
          </w:p>
        </w:tc>
        <w:tc>
          <w:tcPr>
            <w:tcW w:w="638" w:type="pct"/>
            <w:noWrap/>
          </w:tcPr>
          <w:p w14:paraId="44162F74" w14:textId="77777777" w:rsidR="00341597" w:rsidRDefault="00341597" w:rsidP="00F44C09">
            <w:pPr>
              <w:jc w:val="right"/>
              <w:cnfStyle w:val="000000000000" w:firstRow="0" w:lastRow="0" w:firstColumn="0" w:lastColumn="0" w:oddVBand="0" w:evenVBand="0" w:oddHBand="0" w:evenHBand="0" w:firstRowFirstColumn="0" w:firstRowLastColumn="0" w:lastRowFirstColumn="0" w:lastRowLastColumn="0"/>
            </w:pPr>
            <w:r w:rsidRPr="001450B7">
              <w:t>-3.3%</w:t>
            </w:r>
          </w:p>
        </w:tc>
      </w:tr>
      <w:tr w:rsidR="00341597" w:rsidRPr="000B7C88" w14:paraId="7F6C7900" w14:textId="77777777" w:rsidTr="00A022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6" w:type="pct"/>
            <w:hideMark/>
          </w:tcPr>
          <w:p w14:paraId="579815AB" w14:textId="77777777" w:rsidR="00341597" w:rsidRPr="00A02290" w:rsidRDefault="00341597" w:rsidP="00341597">
            <w:r w:rsidRPr="00A02290">
              <w:t>Australia</w:t>
            </w:r>
          </w:p>
        </w:tc>
        <w:tc>
          <w:tcPr>
            <w:tcW w:w="593" w:type="pct"/>
            <w:noWrap/>
          </w:tcPr>
          <w:p w14:paraId="0084192B" w14:textId="77777777" w:rsidR="00341597" w:rsidRPr="00654515"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654515">
              <w:t>84,768</w:t>
            </w:r>
          </w:p>
        </w:tc>
        <w:tc>
          <w:tcPr>
            <w:tcW w:w="593" w:type="pct"/>
            <w:noWrap/>
          </w:tcPr>
          <w:p w14:paraId="66C62424" w14:textId="77777777" w:rsidR="00341597" w:rsidRPr="00654515" w:rsidRDefault="00341597" w:rsidP="00F44C09">
            <w:pPr>
              <w:jc w:val="right"/>
              <w:cnfStyle w:val="000000100000" w:firstRow="0" w:lastRow="0" w:firstColumn="0" w:lastColumn="0" w:oddVBand="0" w:evenVBand="0" w:oddHBand="1" w:evenHBand="0" w:firstRowFirstColumn="0" w:firstRowLastColumn="0" w:lastRowFirstColumn="0" w:lastRowLastColumn="0"/>
            </w:pPr>
            <w:r w:rsidRPr="00654515">
              <w:t>95,</w:t>
            </w:r>
            <w:r>
              <w:t>306</w:t>
            </w:r>
          </w:p>
        </w:tc>
        <w:tc>
          <w:tcPr>
            <w:tcW w:w="638" w:type="pct"/>
            <w:noWrap/>
          </w:tcPr>
          <w:p w14:paraId="5A6568A5" w14:textId="77777777" w:rsidR="00341597" w:rsidRPr="00654515" w:rsidRDefault="00341597" w:rsidP="00F44C09">
            <w:pPr>
              <w:jc w:val="right"/>
              <w:cnfStyle w:val="000000100000" w:firstRow="0" w:lastRow="0" w:firstColumn="0" w:lastColumn="0" w:oddVBand="0" w:evenVBand="0" w:oddHBand="1" w:evenHBand="0" w:firstRowFirstColumn="0" w:firstRowLastColumn="0" w:lastRowFirstColumn="0" w:lastRowLastColumn="0"/>
            </w:pPr>
            <w:r>
              <w:t>12.4%</w:t>
            </w:r>
          </w:p>
        </w:tc>
      </w:tr>
    </w:tbl>
    <w:p w14:paraId="119AECFF" w14:textId="02FBD66E" w:rsidR="00341597" w:rsidRDefault="00341597" w:rsidP="00341597">
      <w:r>
        <w:t>Note:</w:t>
      </w:r>
      <w:r w:rsidRPr="003A45C2">
        <w:t xml:space="preserve"> </w:t>
      </w:r>
      <w:r w:rsidRPr="00B875BD">
        <w:t xml:space="preserve">Hospitality and Mixed Field </w:t>
      </w:r>
      <w:r>
        <w:t>P</w:t>
      </w:r>
      <w:r w:rsidRPr="00B875BD">
        <w:t xml:space="preserve">rograms are not shown </w:t>
      </w:r>
      <w:r>
        <w:t>due to the small number of applications/offers. H</w:t>
      </w:r>
      <w:r w:rsidRPr="00B875BD">
        <w:t>ence</w:t>
      </w:r>
      <w:r>
        <w:t>,</w:t>
      </w:r>
      <w:r w:rsidRPr="00B875BD">
        <w:t xml:space="preserve"> the total number of applications/offers does not equal the sum of applications/offers by broad field of education in the above table.</w:t>
      </w:r>
    </w:p>
    <w:p w14:paraId="071975AA" w14:textId="70A1FE05" w:rsidR="00341597" w:rsidRPr="00B67C70" w:rsidRDefault="00341597" w:rsidP="00B67C70">
      <w:pPr>
        <w:pStyle w:val="Heading1"/>
      </w:pPr>
      <w:bookmarkStart w:id="146" w:name="_Toc416445768"/>
      <w:bookmarkStart w:id="147" w:name="_Toc447188871"/>
      <w:bookmarkStart w:id="148" w:name="_Toc480816340"/>
      <w:bookmarkStart w:id="149" w:name="_Toc492454281"/>
      <w:r w:rsidRPr="00B67C70">
        <w:lastRenderedPageBreak/>
        <w:t>Data Qualifications</w:t>
      </w:r>
      <w:bookmarkEnd w:id="107"/>
      <w:bookmarkEnd w:id="108"/>
      <w:bookmarkEnd w:id="109"/>
      <w:bookmarkEnd w:id="146"/>
      <w:bookmarkEnd w:id="147"/>
      <w:bookmarkEnd w:id="148"/>
      <w:bookmarkEnd w:id="149"/>
    </w:p>
    <w:p w14:paraId="76C3AEC1" w14:textId="77777777" w:rsidR="00341597" w:rsidRPr="001611D6" w:rsidRDefault="00341597" w:rsidP="00341597">
      <w:r w:rsidRPr="00B875BD">
        <w:t xml:space="preserve">The data referred to in this report </w:t>
      </w:r>
      <w:r>
        <w:t>contains</w:t>
      </w:r>
      <w:r w:rsidRPr="00B875BD">
        <w:t xml:space="preserve"> applications and offers for domestic undergraduate university places through </w:t>
      </w:r>
      <w:proofErr w:type="spellStart"/>
      <w:r w:rsidRPr="00B875BD">
        <w:t>TACs</w:t>
      </w:r>
      <w:proofErr w:type="spellEnd"/>
      <w:r w:rsidRPr="00B875BD">
        <w:t xml:space="preserve"> </w:t>
      </w:r>
      <w:r>
        <w:t xml:space="preserve">and universities </w:t>
      </w:r>
      <w:r w:rsidRPr="00B875BD">
        <w:t>a</w:t>
      </w:r>
      <w:r>
        <w:t>s of 27</w:t>
      </w:r>
      <w:r w:rsidRPr="00B875BD">
        <w:t xml:space="preserve"> February 201</w:t>
      </w:r>
      <w:r>
        <w:t>7</w:t>
      </w:r>
      <w:r w:rsidRPr="00B875BD">
        <w:t xml:space="preserve">. </w:t>
      </w:r>
      <w:r w:rsidRPr="001611D6">
        <w:t xml:space="preserve">This data represents approximately </w:t>
      </w:r>
      <w:r w:rsidRPr="00313A00">
        <w:t>98.</w:t>
      </w:r>
      <w:r>
        <w:t>1</w:t>
      </w:r>
      <w:r w:rsidRPr="001611D6">
        <w:t xml:space="preserve">% cent of applications data </w:t>
      </w:r>
      <w:r w:rsidRPr="002E614E">
        <w:t>and 98.5</w:t>
      </w:r>
      <w:r w:rsidRPr="001611D6">
        <w:t xml:space="preserve">% of final offers data </w:t>
      </w:r>
      <w:r>
        <w:t>in 2016</w:t>
      </w:r>
      <w:r w:rsidRPr="001611D6">
        <w:t xml:space="preserve"> </w:t>
      </w:r>
      <w:r>
        <w:t xml:space="preserve">received from </w:t>
      </w:r>
      <w:proofErr w:type="spellStart"/>
      <w:r>
        <w:t>TACs</w:t>
      </w:r>
      <w:proofErr w:type="spellEnd"/>
      <w:r>
        <w:t xml:space="preserve"> and universities</w:t>
      </w:r>
      <w:r w:rsidRPr="001611D6">
        <w:t xml:space="preserve">.  </w:t>
      </w:r>
    </w:p>
    <w:p w14:paraId="4C142490" w14:textId="77777777" w:rsidR="00341597" w:rsidRPr="00B875BD" w:rsidRDefault="00341597" w:rsidP="00341597">
      <w:r w:rsidRPr="00B875BD">
        <w:t>It should be noted that:</w:t>
      </w:r>
    </w:p>
    <w:p w14:paraId="3BCB8B4B" w14:textId="77777777" w:rsidR="00341597" w:rsidRPr="00006F24" w:rsidRDefault="00341597" w:rsidP="00B67C70">
      <w:pPr>
        <w:pStyle w:val="ListParagraph"/>
      </w:pPr>
      <w:r>
        <w:t xml:space="preserve">Applications and offers data in this report refer to TAC data and applications made directly to universities. More comprehensive comparisons, including detailed direct applications and offers, will be incorporated in the final report. </w:t>
      </w:r>
    </w:p>
    <w:p w14:paraId="0AAB9411" w14:textId="77777777" w:rsidR="00341597" w:rsidRPr="00754781" w:rsidRDefault="00341597" w:rsidP="00B67C70">
      <w:pPr>
        <w:pStyle w:val="ListParagraph"/>
      </w:pPr>
      <w:r w:rsidRPr="003F5CE0">
        <w:t xml:space="preserve">Only applications made to </w:t>
      </w:r>
      <w:hyperlink r:id="rId26" w:history="1">
        <w:r w:rsidRPr="009A3F30">
          <w:t xml:space="preserve">Table </w:t>
        </w:r>
        <w:proofErr w:type="gramStart"/>
        <w:r w:rsidRPr="009A3F30">
          <w:t>A</w:t>
        </w:r>
        <w:proofErr w:type="gramEnd"/>
        <w:r w:rsidRPr="009A3F30">
          <w:t xml:space="preserve"> institutions</w:t>
        </w:r>
      </w:hyperlink>
      <w:r w:rsidRPr="009A3F30">
        <w:t xml:space="preserve"> </w:t>
      </w:r>
      <w:r>
        <w:t xml:space="preserve">and University of Notre Dame (Table B) </w:t>
      </w:r>
      <w:r w:rsidRPr="009A3F30">
        <w:t>are included in the analysis.</w:t>
      </w:r>
    </w:p>
    <w:p w14:paraId="735BFF27" w14:textId="77777777" w:rsidR="00341597" w:rsidRPr="00B875BD" w:rsidRDefault="00341597" w:rsidP="00B67C70">
      <w:pPr>
        <w:pStyle w:val="ListParagraph"/>
      </w:pPr>
      <w:r w:rsidRPr="00B875BD">
        <w:t>The data does not include applications from overseas students.</w:t>
      </w:r>
    </w:p>
    <w:p w14:paraId="2B58771A" w14:textId="77777777" w:rsidR="00341597" w:rsidRPr="009529EF" w:rsidRDefault="00341597" w:rsidP="00B67C70">
      <w:pPr>
        <w:pStyle w:val="ListParagraph"/>
      </w:pPr>
      <w:r w:rsidRPr="00B875BD">
        <w:t xml:space="preserve">All references to “applications” </w:t>
      </w:r>
      <w:r>
        <w:t xml:space="preserve">(in TAC data) </w:t>
      </w:r>
      <w:r w:rsidRPr="00B875BD">
        <w:t>in this report relate to highest preference applications.</w:t>
      </w:r>
    </w:p>
    <w:p w14:paraId="7BDDE48D" w14:textId="77777777" w:rsidR="00341597" w:rsidRPr="00B875BD" w:rsidRDefault="00341597" w:rsidP="00B67C70">
      <w:pPr>
        <w:pStyle w:val="ListParagraph"/>
      </w:pPr>
      <w:r w:rsidRPr="00B875BD">
        <w:t xml:space="preserve">A small proportion of applicants make applications to more than one TAC resulting in some double counting of applicants. </w:t>
      </w:r>
    </w:p>
    <w:p w14:paraId="0A95F9B3" w14:textId="77777777" w:rsidR="00341597" w:rsidRDefault="00341597" w:rsidP="00B67C70">
      <w:pPr>
        <w:pStyle w:val="ListParagraph"/>
      </w:pPr>
      <w:r w:rsidRPr="00B875BD">
        <w:t>All references to “201</w:t>
      </w:r>
      <w:r>
        <w:t>7</w:t>
      </w:r>
      <w:r w:rsidRPr="00B875BD">
        <w:t xml:space="preserve">” in this report relate to the </w:t>
      </w:r>
      <w:r>
        <w:t xml:space="preserve">2017 third round submission through </w:t>
      </w:r>
      <w:proofErr w:type="spellStart"/>
      <w:r>
        <w:t>TACs</w:t>
      </w:r>
      <w:proofErr w:type="spellEnd"/>
      <w:r>
        <w:t xml:space="preserve"> </w:t>
      </w:r>
      <w:r w:rsidRPr="00F75DAA">
        <w:t>and the first round data submission on application</w:t>
      </w:r>
      <w:r>
        <w:t>s</w:t>
      </w:r>
      <w:r w:rsidRPr="00F75DAA">
        <w:t xml:space="preserve"> made directly to universities </w:t>
      </w:r>
      <w:r>
        <w:t xml:space="preserve">as of 27 February </w:t>
      </w:r>
      <w:r w:rsidRPr="00F75DAA">
        <w:t>fo</w:t>
      </w:r>
      <w:r>
        <w:t>r the first semester of the 2017</w:t>
      </w:r>
      <w:r w:rsidRPr="00F75DAA">
        <w:t xml:space="preserve"> academic year</w:t>
      </w:r>
      <w:r w:rsidRPr="00B875BD">
        <w:t>.</w:t>
      </w:r>
    </w:p>
    <w:p w14:paraId="369900E6" w14:textId="77777777" w:rsidR="00341597" w:rsidRPr="00D9183B" w:rsidRDefault="00341597" w:rsidP="00B67C70">
      <w:pPr>
        <w:pStyle w:val="ListParagraph"/>
      </w:pPr>
      <w:r w:rsidRPr="00EE3778">
        <w:t xml:space="preserve">All references to “Year 12” </w:t>
      </w:r>
      <w:r>
        <w:t xml:space="preserve">applicants </w:t>
      </w:r>
      <w:r w:rsidRPr="00EE3778">
        <w:t>in this report relate to applicant</w:t>
      </w:r>
      <w:r>
        <w:t>s</w:t>
      </w:r>
      <w:r w:rsidRPr="00EE3778">
        <w:t xml:space="preserve"> who attempted an </w:t>
      </w:r>
      <w:proofErr w:type="spellStart"/>
      <w:r w:rsidRPr="00EE3778">
        <w:t>ACACA</w:t>
      </w:r>
      <w:proofErr w:type="spellEnd"/>
      <w:r w:rsidRPr="00EE3778">
        <w:t xml:space="preserve"> Year 12 program or the International Baccalaureate in the year of application</w:t>
      </w:r>
      <w:r>
        <w:t>.</w:t>
      </w:r>
    </w:p>
    <w:p w14:paraId="28C73E21" w14:textId="77777777" w:rsidR="00341597" w:rsidRDefault="00341597" w:rsidP="00B67C70">
      <w:pPr>
        <w:pStyle w:val="ListParagraph"/>
      </w:pPr>
      <w:r w:rsidRPr="00B875BD">
        <w:t xml:space="preserve">While completing Year 12 and gaining a tertiary entrance score is the most common way to gain entry to university, </w:t>
      </w:r>
      <w:proofErr w:type="spellStart"/>
      <w:r w:rsidRPr="00B875BD">
        <w:t>TACs</w:t>
      </w:r>
      <w:proofErr w:type="spellEnd"/>
      <w:r w:rsidRPr="00B875BD">
        <w:t xml:space="preserve"> and universities take a number of other qualifications into consideration, particularly for adults applying who have </w:t>
      </w:r>
      <w:r>
        <w:t xml:space="preserve">not recently completed Year 12. </w:t>
      </w:r>
      <w:r w:rsidRPr="00B875BD">
        <w:t>Some pathways to gaining entry to a university degree include sitting the Special Tertiary Admissions Test (STAT), articulating from certificate and/or diploma level studies in vocational education and training (VET), university bridging or foundation programs and previous higher education (completed or commenced).</w:t>
      </w:r>
    </w:p>
    <w:p w14:paraId="66471C94" w14:textId="6FE7C040" w:rsidR="00341597" w:rsidRPr="00B67C70" w:rsidRDefault="00341597" w:rsidP="00B67C70">
      <w:pPr>
        <w:pStyle w:val="Heading1"/>
      </w:pPr>
      <w:bookmarkStart w:id="150" w:name="_Toc321143680"/>
      <w:bookmarkStart w:id="151" w:name="_Toc321143681"/>
      <w:bookmarkStart w:id="152" w:name="_Toc321143682"/>
      <w:bookmarkStart w:id="153" w:name="_Toc321143683"/>
      <w:bookmarkStart w:id="154" w:name="_Toc321143684"/>
      <w:bookmarkStart w:id="155" w:name="_Toc321143685"/>
      <w:bookmarkStart w:id="156" w:name="_Toc321143686"/>
      <w:bookmarkStart w:id="157" w:name="_Toc321143687"/>
      <w:bookmarkStart w:id="158" w:name="_Toc321143688"/>
      <w:bookmarkStart w:id="159" w:name="_Toc321143689"/>
      <w:bookmarkStart w:id="160" w:name="_Toc416445769"/>
      <w:bookmarkStart w:id="161" w:name="_Toc447188872"/>
      <w:bookmarkStart w:id="162" w:name="_Toc480816341"/>
      <w:bookmarkStart w:id="163" w:name="_Toc492454282"/>
      <w:bookmarkEnd w:id="150"/>
      <w:bookmarkEnd w:id="151"/>
      <w:bookmarkEnd w:id="152"/>
      <w:bookmarkEnd w:id="153"/>
      <w:bookmarkEnd w:id="154"/>
      <w:bookmarkEnd w:id="155"/>
      <w:bookmarkEnd w:id="156"/>
      <w:bookmarkEnd w:id="157"/>
      <w:bookmarkEnd w:id="158"/>
      <w:bookmarkEnd w:id="159"/>
      <w:r w:rsidRPr="00B67C70">
        <w:lastRenderedPageBreak/>
        <w:t>Glossary</w:t>
      </w:r>
      <w:bookmarkEnd w:id="160"/>
      <w:bookmarkEnd w:id="161"/>
      <w:bookmarkEnd w:id="162"/>
      <w:bookmarkEnd w:id="163"/>
    </w:p>
    <w:p w14:paraId="512058B2" w14:textId="77777777" w:rsidR="00341597" w:rsidRDefault="00341597" w:rsidP="00341597">
      <w:r w:rsidRPr="003F2447">
        <w:t>Australasian Curriculum Assessment Certification Authorities (</w:t>
      </w:r>
      <w:proofErr w:type="spellStart"/>
      <w:r w:rsidRPr="003F2447">
        <w:t>ACACA</w:t>
      </w:r>
      <w:proofErr w:type="spellEnd"/>
      <w:r w:rsidRPr="003F2447">
        <w:t xml:space="preserve">) Year 12 programs: Each State has its own approved Year 12 program. </w:t>
      </w:r>
      <w:proofErr w:type="spellStart"/>
      <w:r w:rsidRPr="003F2447">
        <w:t>ACACA</w:t>
      </w:r>
      <w:proofErr w:type="spellEnd"/>
      <w:r w:rsidRPr="003F2447">
        <w:t xml:space="preserve"> is the national body responsible for monitoring senior secondary curricula and certification in Australia and New Zealand. </w:t>
      </w:r>
      <w:r>
        <w:t xml:space="preserve"> </w:t>
      </w:r>
      <w:r w:rsidRPr="003F2447">
        <w:t xml:space="preserve">The current programs by State are: NSW Higher School Certificate, ACT Year 12 Certificate, Queensland Certificate of Education, Queensland Senior Certificate, South Australian Certificate of Education, Northern Territory Certificate of Education, Tasmanian Certificate of Education, Victorian Certificate of Education, </w:t>
      </w:r>
      <w:proofErr w:type="gramStart"/>
      <w:r w:rsidRPr="003F2447">
        <w:t>Western</w:t>
      </w:r>
      <w:proofErr w:type="gramEnd"/>
      <w:r w:rsidRPr="003F2447">
        <w:t xml:space="preserve"> Australian Certificate of Education. </w:t>
      </w:r>
      <w:proofErr w:type="spellStart"/>
      <w:r w:rsidRPr="003F2447">
        <w:t>ACACA</w:t>
      </w:r>
      <w:proofErr w:type="spellEnd"/>
      <w:r w:rsidRPr="003F2447">
        <w:t xml:space="preserve"> Year 12 programs may be undertaken in schools, VET institutions or </w:t>
      </w:r>
      <w:r>
        <w:t>higher education provider</w:t>
      </w:r>
      <w:r w:rsidRPr="003F2447">
        <w:t>s.</w:t>
      </w:r>
    </w:p>
    <w:p w14:paraId="60F772F6" w14:textId="77777777" w:rsidR="00341597" w:rsidRDefault="00341597" w:rsidP="00341597">
      <w:r w:rsidRPr="003F2447">
        <w:t xml:space="preserve">Current Year 12 applicant: An applicant who attempted </w:t>
      </w:r>
      <w:r>
        <w:t xml:space="preserve">an </w:t>
      </w:r>
      <w:proofErr w:type="spellStart"/>
      <w:r>
        <w:t>ACACA</w:t>
      </w:r>
      <w:proofErr w:type="spellEnd"/>
      <w:r>
        <w:t xml:space="preserve"> Year 12 program or the </w:t>
      </w:r>
      <w:r w:rsidRPr="003F2447">
        <w:t>Interna</w:t>
      </w:r>
      <w:r>
        <w:t>tional Baccalaureate</w:t>
      </w:r>
      <w:r w:rsidRPr="003F2447">
        <w:t xml:space="preserve"> </w:t>
      </w:r>
      <w:r>
        <w:t>in the year of application.</w:t>
      </w:r>
    </w:p>
    <w:p w14:paraId="10024074" w14:textId="77777777" w:rsidR="00341597" w:rsidRDefault="00341597" w:rsidP="00341597">
      <w:r w:rsidRPr="00A02290">
        <w:t xml:space="preserve">Offer rate: </w:t>
      </w:r>
      <w:r w:rsidRPr="00876311">
        <w:t xml:space="preserve">The offer rate is a percentage calculated as the number of valid offers made to </w:t>
      </w:r>
      <w:r>
        <w:t xml:space="preserve">  </w:t>
      </w:r>
      <w:r w:rsidRPr="00876311">
        <w:t xml:space="preserve">applicants with at least one valid preference divided by the number of applicants with at least one valid preference. </w:t>
      </w:r>
    </w:p>
    <w:p w14:paraId="416F69FF" w14:textId="77777777" w:rsidR="00341597" w:rsidRPr="00CA743F" w:rsidRDefault="00341597" w:rsidP="00CA743F">
      <w:pPr>
        <w:pStyle w:val="Heading2"/>
      </w:pPr>
      <w:bookmarkStart w:id="164" w:name="_Toc416445770"/>
      <w:bookmarkStart w:id="165" w:name="_Toc492454283"/>
      <w:r w:rsidRPr="00CA743F">
        <w:t>University Group</w:t>
      </w:r>
      <w:bookmarkEnd w:id="164"/>
      <w:bookmarkEnd w:id="165"/>
    </w:p>
    <w:p w14:paraId="6A423CE4" w14:textId="77777777" w:rsidR="00341597" w:rsidRPr="003F2447" w:rsidRDefault="00341597" w:rsidP="00341597">
      <w:pPr>
        <w:pStyle w:val="Heading3"/>
      </w:pPr>
      <w:bookmarkStart w:id="166" w:name="_Toc416445771"/>
      <w:bookmarkStart w:id="167" w:name="_Toc492454284"/>
      <w:r>
        <w:t>Australian Technology Network</w:t>
      </w:r>
      <w:bookmarkEnd w:id="166"/>
      <w:bookmarkEnd w:id="167"/>
    </w:p>
    <w:p w14:paraId="0A26EE31" w14:textId="6F6A577E" w:rsidR="00341597" w:rsidRPr="00B67C70" w:rsidRDefault="00341597" w:rsidP="003762A0">
      <w:pPr>
        <w:pStyle w:val="ListParagraph"/>
        <w:numPr>
          <w:ilvl w:val="0"/>
          <w:numId w:val="38"/>
        </w:numPr>
        <w:tabs>
          <w:tab w:val="left" w:pos="142"/>
        </w:tabs>
        <w:ind w:left="0" w:firstLine="0"/>
      </w:pPr>
      <w:r w:rsidRPr="00B67C70">
        <w:t>Curtin University of Technology</w:t>
      </w:r>
    </w:p>
    <w:p w14:paraId="128C8ED7" w14:textId="5DAB7B7A" w:rsidR="00341597" w:rsidRPr="00B67C70" w:rsidRDefault="00341597" w:rsidP="003762A0">
      <w:pPr>
        <w:pStyle w:val="ListParagraph"/>
        <w:numPr>
          <w:ilvl w:val="0"/>
          <w:numId w:val="38"/>
        </w:numPr>
        <w:tabs>
          <w:tab w:val="left" w:pos="142"/>
        </w:tabs>
        <w:ind w:left="0" w:firstLine="0"/>
      </w:pPr>
      <w:r w:rsidRPr="00B67C70">
        <w:t>Queensland University of Technology</w:t>
      </w:r>
    </w:p>
    <w:p w14:paraId="35509B0F" w14:textId="16ACD728" w:rsidR="00341597" w:rsidRPr="00B67C70" w:rsidRDefault="00341597" w:rsidP="003762A0">
      <w:pPr>
        <w:pStyle w:val="ListParagraph"/>
        <w:numPr>
          <w:ilvl w:val="0"/>
          <w:numId w:val="38"/>
        </w:numPr>
        <w:tabs>
          <w:tab w:val="left" w:pos="142"/>
        </w:tabs>
        <w:ind w:left="0" w:firstLine="0"/>
      </w:pPr>
      <w:proofErr w:type="spellStart"/>
      <w:r w:rsidRPr="00B67C70">
        <w:t>RMIT</w:t>
      </w:r>
      <w:proofErr w:type="spellEnd"/>
      <w:r w:rsidRPr="00B67C70">
        <w:t xml:space="preserve"> University</w:t>
      </w:r>
    </w:p>
    <w:p w14:paraId="705956D4" w14:textId="7FC6D937" w:rsidR="00341597" w:rsidRPr="00B67C70" w:rsidRDefault="00341597" w:rsidP="003762A0">
      <w:pPr>
        <w:pStyle w:val="ListParagraph"/>
        <w:numPr>
          <w:ilvl w:val="0"/>
          <w:numId w:val="38"/>
        </w:numPr>
        <w:tabs>
          <w:tab w:val="left" w:pos="142"/>
        </w:tabs>
        <w:ind w:left="0" w:firstLine="0"/>
      </w:pPr>
      <w:r w:rsidRPr="00B67C70">
        <w:t>University of South Australia</w:t>
      </w:r>
    </w:p>
    <w:p w14:paraId="2E64EEB0" w14:textId="0A882252" w:rsidR="00341597" w:rsidRPr="00B67C70" w:rsidRDefault="00341597" w:rsidP="003762A0">
      <w:pPr>
        <w:pStyle w:val="ListParagraph"/>
        <w:numPr>
          <w:ilvl w:val="0"/>
          <w:numId w:val="38"/>
        </w:numPr>
        <w:tabs>
          <w:tab w:val="left" w:pos="142"/>
        </w:tabs>
        <w:ind w:left="0" w:firstLine="0"/>
      </w:pPr>
      <w:r w:rsidRPr="00B67C70">
        <w:t>University of Technology, Sydney</w:t>
      </w:r>
      <w:r w:rsidRPr="00B67C70" w:rsidDel="00B20804">
        <w:t xml:space="preserve"> </w:t>
      </w:r>
    </w:p>
    <w:p w14:paraId="7125B086" w14:textId="77777777" w:rsidR="00341597" w:rsidRPr="00522CD1" w:rsidRDefault="00341597" w:rsidP="00341597">
      <w:pPr>
        <w:pStyle w:val="Heading3"/>
      </w:pPr>
      <w:bookmarkStart w:id="168" w:name="_Toc416445772"/>
      <w:bookmarkStart w:id="169" w:name="_Toc492454285"/>
      <w:r w:rsidRPr="00522CD1">
        <w:t>Group of Eight</w:t>
      </w:r>
      <w:bookmarkEnd w:id="168"/>
      <w:bookmarkEnd w:id="169"/>
    </w:p>
    <w:p w14:paraId="4DF1F5AC" w14:textId="239969B3" w:rsidR="00341597" w:rsidRPr="003F2447" w:rsidRDefault="00341597" w:rsidP="003762A0">
      <w:pPr>
        <w:pStyle w:val="ListParagraph"/>
        <w:numPr>
          <w:ilvl w:val="0"/>
          <w:numId w:val="39"/>
        </w:numPr>
        <w:tabs>
          <w:tab w:val="left" w:pos="142"/>
        </w:tabs>
        <w:ind w:left="0" w:hanging="11"/>
      </w:pPr>
      <w:r w:rsidRPr="003F2447">
        <w:t>Monash University</w:t>
      </w:r>
    </w:p>
    <w:p w14:paraId="566A9E07" w14:textId="4F78BD8F" w:rsidR="00341597" w:rsidRPr="003F2447" w:rsidRDefault="00341597" w:rsidP="003762A0">
      <w:pPr>
        <w:pStyle w:val="ListParagraph"/>
        <w:numPr>
          <w:ilvl w:val="0"/>
          <w:numId w:val="39"/>
        </w:numPr>
        <w:tabs>
          <w:tab w:val="left" w:pos="142"/>
        </w:tabs>
        <w:ind w:left="0" w:hanging="11"/>
      </w:pPr>
      <w:r w:rsidRPr="003F2447">
        <w:t>The Australian National University</w:t>
      </w:r>
    </w:p>
    <w:p w14:paraId="533D4484" w14:textId="2BAFDDFD" w:rsidR="00341597" w:rsidRPr="003F2447" w:rsidRDefault="00341597" w:rsidP="003762A0">
      <w:pPr>
        <w:pStyle w:val="ListParagraph"/>
        <w:numPr>
          <w:ilvl w:val="0"/>
          <w:numId w:val="39"/>
        </w:numPr>
        <w:tabs>
          <w:tab w:val="left" w:pos="142"/>
        </w:tabs>
        <w:ind w:left="0" w:hanging="11"/>
      </w:pPr>
      <w:r w:rsidRPr="003F2447">
        <w:t>The University of Adelaide</w:t>
      </w:r>
    </w:p>
    <w:p w14:paraId="707A4ADA" w14:textId="14E3F9F2" w:rsidR="00341597" w:rsidRPr="003F2447" w:rsidRDefault="00341597" w:rsidP="003762A0">
      <w:pPr>
        <w:pStyle w:val="ListParagraph"/>
        <w:numPr>
          <w:ilvl w:val="0"/>
          <w:numId w:val="39"/>
        </w:numPr>
        <w:tabs>
          <w:tab w:val="left" w:pos="142"/>
        </w:tabs>
        <w:ind w:left="0" w:hanging="11"/>
      </w:pPr>
      <w:r w:rsidRPr="003F2447">
        <w:t>The University of Melbourne</w:t>
      </w:r>
    </w:p>
    <w:p w14:paraId="1E96714D" w14:textId="08F873E3" w:rsidR="00341597" w:rsidRPr="003F2447" w:rsidRDefault="00341597" w:rsidP="003762A0">
      <w:pPr>
        <w:pStyle w:val="ListParagraph"/>
        <w:numPr>
          <w:ilvl w:val="0"/>
          <w:numId w:val="39"/>
        </w:numPr>
        <w:tabs>
          <w:tab w:val="left" w:pos="142"/>
        </w:tabs>
        <w:ind w:left="0" w:hanging="11"/>
      </w:pPr>
      <w:r w:rsidRPr="003F2447">
        <w:t>The University of New South Wales</w:t>
      </w:r>
    </w:p>
    <w:p w14:paraId="0C85643A" w14:textId="3E827D11" w:rsidR="00341597" w:rsidRPr="003F2447" w:rsidRDefault="00341597" w:rsidP="003762A0">
      <w:pPr>
        <w:pStyle w:val="ListParagraph"/>
        <w:numPr>
          <w:ilvl w:val="0"/>
          <w:numId w:val="39"/>
        </w:numPr>
        <w:tabs>
          <w:tab w:val="left" w:pos="142"/>
        </w:tabs>
        <w:ind w:left="0" w:hanging="11"/>
      </w:pPr>
      <w:r w:rsidRPr="003F2447">
        <w:t>The University of Queensland</w:t>
      </w:r>
    </w:p>
    <w:p w14:paraId="7462C2F5" w14:textId="2F04D875" w:rsidR="00341597" w:rsidRPr="003F2447" w:rsidRDefault="00341597" w:rsidP="003762A0">
      <w:pPr>
        <w:pStyle w:val="ListParagraph"/>
        <w:numPr>
          <w:ilvl w:val="0"/>
          <w:numId w:val="39"/>
        </w:numPr>
        <w:tabs>
          <w:tab w:val="left" w:pos="142"/>
        </w:tabs>
        <w:ind w:left="0" w:hanging="11"/>
      </w:pPr>
      <w:r w:rsidRPr="003F2447">
        <w:t>The University of Sydney</w:t>
      </w:r>
    </w:p>
    <w:p w14:paraId="0BDE328F" w14:textId="67F0CDD4" w:rsidR="00341597" w:rsidRDefault="00341597" w:rsidP="003762A0">
      <w:pPr>
        <w:pStyle w:val="ListParagraph"/>
        <w:numPr>
          <w:ilvl w:val="0"/>
          <w:numId w:val="39"/>
        </w:numPr>
        <w:tabs>
          <w:tab w:val="left" w:pos="142"/>
        </w:tabs>
        <w:ind w:left="0" w:hanging="11"/>
      </w:pPr>
      <w:r w:rsidRPr="003F2447">
        <w:t>The University of Western Australia</w:t>
      </w:r>
    </w:p>
    <w:p w14:paraId="66464DAC" w14:textId="77777777" w:rsidR="00341597" w:rsidRPr="00522CD1" w:rsidRDefault="00341597" w:rsidP="00341597">
      <w:pPr>
        <w:pStyle w:val="Heading3"/>
      </w:pPr>
      <w:bookmarkStart w:id="170" w:name="_Toc416445773"/>
      <w:bookmarkStart w:id="171" w:name="_Toc492454286"/>
      <w:r w:rsidRPr="00522CD1">
        <w:t>Innovative Research Universities</w:t>
      </w:r>
      <w:bookmarkEnd w:id="170"/>
      <w:bookmarkEnd w:id="171"/>
    </w:p>
    <w:p w14:paraId="321EA264" w14:textId="531E53E2" w:rsidR="00341597" w:rsidRPr="003F2447" w:rsidRDefault="00341597" w:rsidP="003762A0">
      <w:pPr>
        <w:pStyle w:val="ListParagraph"/>
        <w:numPr>
          <w:ilvl w:val="0"/>
          <w:numId w:val="40"/>
        </w:numPr>
        <w:tabs>
          <w:tab w:val="left" w:pos="142"/>
        </w:tabs>
        <w:ind w:left="0" w:hanging="11"/>
      </w:pPr>
      <w:r w:rsidRPr="003F2447">
        <w:t>Charles Darwin University</w:t>
      </w:r>
    </w:p>
    <w:p w14:paraId="5C48A72D" w14:textId="4D84F44B" w:rsidR="00341597" w:rsidRPr="003F2447" w:rsidRDefault="00341597" w:rsidP="003762A0">
      <w:pPr>
        <w:pStyle w:val="ListParagraph"/>
        <w:numPr>
          <w:ilvl w:val="0"/>
          <w:numId w:val="40"/>
        </w:numPr>
        <w:tabs>
          <w:tab w:val="left" w:pos="142"/>
        </w:tabs>
        <w:ind w:left="0" w:hanging="11"/>
      </w:pPr>
      <w:r w:rsidRPr="003F2447">
        <w:t>Flinders University of South Australia</w:t>
      </w:r>
    </w:p>
    <w:p w14:paraId="6A4242CF" w14:textId="009CD05E" w:rsidR="00341597" w:rsidRPr="003F2447" w:rsidRDefault="00341597" w:rsidP="003762A0">
      <w:pPr>
        <w:pStyle w:val="ListParagraph"/>
        <w:numPr>
          <w:ilvl w:val="0"/>
          <w:numId w:val="40"/>
        </w:numPr>
        <w:tabs>
          <w:tab w:val="left" w:pos="142"/>
        </w:tabs>
        <w:ind w:left="0" w:hanging="11"/>
      </w:pPr>
      <w:r w:rsidRPr="003F2447">
        <w:t>Griffith University</w:t>
      </w:r>
    </w:p>
    <w:p w14:paraId="0B09FAC2" w14:textId="1AF267F0" w:rsidR="00341597" w:rsidRPr="003F2447" w:rsidRDefault="00341597" w:rsidP="003762A0">
      <w:pPr>
        <w:pStyle w:val="ListParagraph"/>
        <w:numPr>
          <w:ilvl w:val="0"/>
          <w:numId w:val="40"/>
        </w:numPr>
        <w:tabs>
          <w:tab w:val="left" w:pos="142"/>
        </w:tabs>
        <w:ind w:left="0" w:hanging="11"/>
      </w:pPr>
      <w:r w:rsidRPr="003F2447">
        <w:t>James Cook University</w:t>
      </w:r>
    </w:p>
    <w:p w14:paraId="18E5AC1C" w14:textId="608A2818" w:rsidR="00341597" w:rsidRPr="003F2447" w:rsidRDefault="00341597" w:rsidP="003762A0">
      <w:pPr>
        <w:pStyle w:val="ListParagraph"/>
        <w:numPr>
          <w:ilvl w:val="0"/>
          <w:numId w:val="40"/>
        </w:numPr>
        <w:tabs>
          <w:tab w:val="left" w:pos="142"/>
        </w:tabs>
        <w:ind w:left="0" w:hanging="11"/>
      </w:pPr>
      <w:r w:rsidRPr="003F2447">
        <w:t>La Trobe University</w:t>
      </w:r>
    </w:p>
    <w:p w14:paraId="3E087A86" w14:textId="2F31181E" w:rsidR="00341597" w:rsidRPr="003F2447" w:rsidRDefault="00341597" w:rsidP="003762A0">
      <w:pPr>
        <w:pStyle w:val="ListParagraph"/>
        <w:numPr>
          <w:ilvl w:val="0"/>
          <w:numId w:val="40"/>
        </w:numPr>
        <w:tabs>
          <w:tab w:val="left" w:pos="142"/>
        </w:tabs>
        <w:ind w:left="0" w:hanging="11"/>
      </w:pPr>
      <w:r w:rsidRPr="003F2447">
        <w:lastRenderedPageBreak/>
        <w:t>Murdoch University</w:t>
      </w:r>
    </w:p>
    <w:p w14:paraId="6651440A" w14:textId="77777777" w:rsidR="00341597" w:rsidRPr="00522CD1" w:rsidRDefault="00341597" w:rsidP="00341597">
      <w:pPr>
        <w:pStyle w:val="Heading3"/>
      </w:pPr>
      <w:bookmarkStart w:id="172" w:name="_Toc416445774"/>
      <w:bookmarkStart w:id="173" w:name="_Toc492454287"/>
      <w:r w:rsidRPr="00522CD1">
        <w:t>Regional Universities Network</w:t>
      </w:r>
      <w:bookmarkEnd w:id="172"/>
      <w:bookmarkEnd w:id="173"/>
    </w:p>
    <w:p w14:paraId="56AC19E9" w14:textId="726C2A8F" w:rsidR="00341597" w:rsidRDefault="00341597" w:rsidP="003762A0">
      <w:pPr>
        <w:pStyle w:val="ListParagraph"/>
        <w:numPr>
          <w:ilvl w:val="0"/>
          <w:numId w:val="41"/>
        </w:numPr>
        <w:tabs>
          <w:tab w:val="left" w:pos="142"/>
        </w:tabs>
        <w:ind w:left="0" w:hanging="11"/>
      </w:pPr>
      <w:r w:rsidRPr="003F2447">
        <w:t>Central Queensland University</w:t>
      </w:r>
    </w:p>
    <w:p w14:paraId="236AD72A" w14:textId="3AA9951A" w:rsidR="00341597" w:rsidRDefault="00341597" w:rsidP="003762A0">
      <w:pPr>
        <w:pStyle w:val="ListParagraph"/>
        <w:numPr>
          <w:ilvl w:val="0"/>
          <w:numId w:val="41"/>
        </w:numPr>
        <w:tabs>
          <w:tab w:val="left" w:pos="142"/>
        </w:tabs>
        <w:ind w:left="0" w:hanging="11"/>
      </w:pPr>
      <w:r w:rsidRPr="003F2447">
        <w:t xml:space="preserve">Southern Cross University </w:t>
      </w:r>
    </w:p>
    <w:p w14:paraId="54CD1FBA" w14:textId="16C9E887" w:rsidR="00341597" w:rsidRDefault="00341597" w:rsidP="003762A0">
      <w:pPr>
        <w:pStyle w:val="ListParagraph"/>
        <w:numPr>
          <w:ilvl w:val="0"/>
          <w:numId w:val="41"/>
        </w:numPr>
        <w:tabs>
          <w:tab w:val="left" w:pos="142"/>
        </w:tabs>
        <w:ind w:left="0" w:hanging="11"/>
      </w:pPr>
      <w:r>
        <w:t>Federation University of Australia</w:t>
      </w:r>
      <w:r w:rsidRPr="003F2447">
        <w:t xml:space="preserve"> </w:t>
      </w:r>
    </w:p>
    <w:p w14:paraId="5C47089F" w14:textId="5AEA53F7" w:rsidR="00341597" w:rsidRDefault="00341597" w:rsidP="003762A0">
      <w:pPr>
        <w:pStyle w:val="ListParagraph"/>
        <w:numPr>
          <w:ilvl w:val="0"/>
          <w:numId w:val="41"/>
        </w:numPr>
        <w:tabs>
          <w:tab w:val="left" w:pos="142"/>
        </w:tabs>
        <w:ind w:left="0" w:hanging="11"/>
      </w:pPr>
      <w:r w:rsidRPr="003F2447">
        <w:t>University of New England</w:t>
      </w:r>
    </w:p>
    <w:p w14:paraId="2C22A4BD" w14:textId="6AA40B29" w:rsidR="00341597" w:rsidRDefault="00341597" w:rsidP="003762A0">
      <w:pPr>
        <w:pStyle w:val="ListParagraph"/>
        <w:numPr>
          <w:ilvl w:val="0"/>
          <w:numId w:val="41"/>
        </w:numPr>
        <w:tabs>
          <w:tab w:val="left" w:pos="142"/>
        </w:tabs>
        <w:ind w:left="0" w:hanging="11"/>
      </w:pPr>
      <w:r w:rsidRPr="003F2447">
        <w:t>Unive</w:t>
      </w:r>
      <w:r>
        <w:t>rsity of Southern Queensland</w:t>
      </w:r>
    </w:p>
    <w:p w14:paraId="33DBFFC0" w14:textId="77777777" w:rsidR="00341597" w:rsidRDefault="00341597" w:rsidP="00341597">
      <w:r w:rsidRPr="004165EF">
        <w:t>Note: The following Table A universities are not aligned to a university group: Australian Catholic University; Charles Sturt University; Deakin University; Edith Cowan University; Macquarie University; Swinburne University of Technology; University of Canberra;</w:t>
      </w:r>
      <w:r>
        <w:t xml:space="preserve"> </w:t>
      </w:r>
      <w:r w:rsidRPr="00683DFB">
        <w:t>The University of Newcastle</w:t>
      </w:r>
      <w:r>
        <w:t xml:space="preserve">; </w:t>
      </w:r>
      <w:r w:rsidRPr="004165EF">
        <w:t>University of Tasmania; University of Western Sydney; University of Wollongong; and Victoria University.</w:t>
      </w:r>
    </w:p>
    <w:p w14:paraId="02625F50" w14:textId="0F07A89B" w:rsidR="00341597" w:rsidRPr="00341597" w:rsidRDefault="00341597" w:rsidP="00341597"/>
    <w:sectPr w:rsidR="00341597" w:rsidRPr="00341597" w:rsidSect="003242B9">
      <w:headerReference w:type="default" r:id="rId27"/>
      <w:footerReference w:type="default" r:id="rId28"/>
      <w:type w:val="continuous"/>
      <w:pgSz w:w="11906" w:h="16838"/>
      <w:pgMar w:top="1985" w:right="1440" w:bottom="1440" w:left="1440" w:header="708" w:footer="10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497A9D" w14:textId="77777777" w:rsidR="00956BAB" w:rsidRDefault="00956BAB" w:rsidP="00130923">
      <w:pPr>
        <w:spacing w:after="0" w:line="240" w:lineRule="auto"/>
      </w:pPr>
      <w:r>
        <w:separator/>
      </w:r>
    </w:p>
  </w:endnote>
  <w:endnote w:type="continuationSeparator" w:id="0">
    <w:p w14:paraId="45497A9E" w14:textId="77777777" w:rsidR="00956BAB" w:rsidRDefault="00956BAB"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97AA0" w14:textId="77777777" w:rsidR="00956BAB" w:rsidRDefault="00956BAB" w:rsidP="003242B9">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97AA2" w14:textId="77777777" w:rsidR="00956BAB" w:rsidRDefault="00E05F5D" w:rsidP="00A73406">
    <w:pPr>
      <w:pStyle w:val="Footer"/>
      <w:tabs>
        <w:tab w:val="clear" w:pos="9026"/>
        <w:tab w:val="right" w:pos="8647"/>
      </w:tabs>
      <w:ind w:firstLine="720"/>
      <w:jc w:val="right"/>
    </w:pPr>
    <w:sdt>
      <w:sdtPr>
        <w:id w:val="638927636"/>
        <w:docPartObj>
          <w:docPartGallery w:val="Page Numbers (Bottom of Page)"/>
          <w:docPartUnique/>
        </w:docPartObj>
      </w:sdtPr>
      <w:sdtEndPr>
        <w:rPr>
          <w:noProof/>
        </w:rPr>
      </w:sdtEndPr>
      <w:sdtContent>
        <w:r w:rsidR="00956BAB">
          <w:fldChar w:fldCharType="begin"/>
        </w:r>
        <w:r w:rsidR="00956BAB">
          <w:instrText xml:space="preserve"> PAGE   \* MERGEFORMAT </w:instrText>
        </w:r>
        <w:r w:rsidR="00956BAB">
          <w:fldChar w:fldCharType="separate"/>
        </w:r>
        <w:r>
          <w:rPr>
            <w:noProof/>
          </w:rPr>
          <w:t>31</w:t>
        </w:r>
        <w:r w:rsidR="00956BAB">
          <w:rPr>
            <w:noProof/>
          </w:rPr>
          <w:fldChar w:fldCharType="end"/>
        </w:r>
      </w:sdtContent>
    </w:sdt>
  </w:p>
  <w:p w14:paraId="0E85B56C" w14:textId="77777777" w:rsidR="00956BAB" w:rsidRDefault="00956B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497A9B" w14:textId="77777777" w:rsidR="00956BAB" w:rsidRDefault="00956BAB" w:rsidP="00130923">
      <w:pPr>
        <w:spacing w:after="0" w:line="240" w:lineRule="auto"/>
      </w:pPr>
      <w:r>
        <w:separator/>
      </w:r>
    </w:p>
  </w:footnote>
  <w:footnote w:type="continuationSeparator" w:id="0">
    <w:p w14:paraId="45497A9C" w14:textId="77777777" w:rsidR="00956BAB" w:rsidRDefault="00956BAB" w:rsidP="00130923">
      <w:pPr>
        <w:spacing w:after="0" w:line="240" w:lineRule="auto"/>
      </w:pPr>
      <w:r>
        <w:continuationSeparator/>
      </w:r>
    </w:p>
  </w:footnote>
  <w:footnote w:id="1">
    <w:p w14:paraId="2CF27603" w14:textId="77777777" w:rsidR="00956BAB" w:rsidRDefault="00956BAB" w:rsidP="00341597">
      <w:pPr>
        <w:pStyle w:val="FootnoteText"/>
      </w:pPr>
      <w:r>
        <w:rPr>
          <w:rStyle w:val="FootnoteReference"/>
          <w:rFonts w:eastAsiaTheme="majorEastAsia"/>
        </w:rPr>
        <w:footnoteRef/>
      </w:r>
      <w:r w:rsidRPr="00E777D8">
        <w:t>A strong growth in applications and offers in Architecture and Building was influenced by the introduction of a course at one institution in 2017.</w:t>
      </w:r>
    </w:p>
  </w:footnote>
  <w:footnote w:id="2">
    <w:p w14:paraId="6CA620E3" w14:textId="77777777" w:rsidR="00956BAB" w:rsidRPr="00D379A5" w:rsidRDefault="00956BAB" w:rsidP="00341597">
      <w:pPr>
        <w:pStyle w:val="FootnoteText"/>
        <w:rPr>
          <w:sz w:val="18"/>
          <w:szCs w:val="18"/>
        </w:rPr>
      </w:pPr>
      <w:r w:rsidRPr="00D379A5">
        <w:rPr>
          <w:rStyle w:val="FootnoteReference"/>
          <w:rFonts w:eastAsiaTheme="majorEastAsia"/>
          <w:sz w:val="18"/>
          <w:szCs w:val="18"/>
        </w:rPr>
        <w:footnoteRef/>
      </w:r>
      <w:r w:rsidRPr="00D379A5">
        <w:rPr>
          <w:sz w:val="18"/>
          <w:szCs w:val="18"/>
        </w:rPr>
        <w:t xml:space="preserve"> </w:t>
      </w:r>
      <w:r w:rsidRPr="007B3275">
        <w:rPr>
          <w:rFonts w:asciiTheme="minorHAnsi" w:hAnsiTheme="minorHAnsi"/>
          <w:sz w:val="18"/>
          <w:szCs w:val="18"/>
        </w:rPr>
        <w:t>SES in this report is based on the students' postcode of permanent home residence, with the SES value derived from the 2011 ABS Socio-Economic Index for Areas (</w:t>
      </w:r>
      <w:proofErr w:type="spellStart"/>
      <w:r w:rsidRPr="007B3275">
        <w:rPr>
          <w:rFonts w:asciiTheme="minorHAnsi" w:hAnsiTheme="minorHAnsi"/>
          <w:sz w:val="18"/>
          <w:szCs w:val="18"/>
        </w:rPr>
        <w:t>SEIFA</w:t>
      </w:r>
      <w:proofErr w:type="spellEnd"/>
      <w:r w:rsidRPr="007B3275">
        <w:rPr>
          <w:rFonts w:asciiTheme="minorHAnsi" w:hAnsiTheme="minorHAnsi"/>
          <w:sz w:val="18"/>
          <w:szCs w:val="18"/>
        </w:rPr>
        <w:t>) Index of Education and Occupation (</w:t>
      </w:r>
      <w:proofErr w:type="spellStart"/>
      <w:r w:rsidRPr="007B3275">
        <w:rPr>
          <w:rFonts w:asciiTheme="minorHAnsi" w:hAnsiTheme="minorHAnsi"/>
          <w:sz w:val="18"/>
          <w:szCs w:val="18"/>
        </w:rPr>
        <w:t>IEO</w:t>
      </w:r>
      <w:proofErr w:type="spellEnd"/>
      <w:r w:rsidRPr="007B3275">
        <w:rPr>
          <w:rFonts w:asciiTheme="minorHAnsi" w:hAnsiTheme="minorHAnsi"/>
          <w:sz w:val="18"/>
          <w:szCs w:val="18"/>
        </w:rPr>
        <w:t xml:space="preserve">). The postcode measure of SES provides an indication of the level of disadvantage of an applicant by providing data on the disadvantage associated with the geographical area (postcode) of the applicant’s home address. The postcode measure uses a population reference point of 25% for low SES.  The postcodes that comprise the bottom 25% of the population aged between 15 to 64 years are considered low SES postcodes. Applicants with a home address in a low SES postcode are classified as applicants from a low SES background. Applicants with residential addresses outside Australia, and Australian resident applicants with postcodes that do not have </w:t>
      </w:r>
      <w:proofErr w:type="spellStart"/>
      <w:r w:rsidRPr="007B3275">
        <w:rPr>
          <w:rFonts w:asciiTheme="minorHAnsi" w:hAnsiTheme="minorHAnsi"/>
          <w:sz w:val="18"/>
          <w:szCs w:val="18"/>
        </w:rPr>
        <w:t>SEIFA</w:t>
      </w:r>
      <w:proofErr w:type="spellEnd"/>
      <w:r w:rsidRPr="007B3275">
        <w:rPr>
          <w:rFonts w:asciiTheme="minorHAnsi" w:hAnsiTheme="minorHAnsi"/>
          <w:sz w:val="18"/>
          <w:szCs w:val="18"/>
        </w:rPr>
        <w:t xml:space="preserve"> values are classified as ‘unknown’.</w:t>
      </w:r>
    </w:p>
  </w:footnote>
  <w:footnote w:id="3">
    <w:p w14:paraId="3C488F77" w14:textId="77777777" w:rsidR="00956BAB" w:rsidRPr="00E66675" w:rsidRDefault="00956BAB" w:rsidP="00341597">
      <w:pPr>
        <w:pStyle w:val="FootnoteText"/>
        <w:rPr>
          <w:rFonts w:asciiTheme="minorHAnsi" w:hAnsiTheme="minorHAnsi"/>
          <w:sz w:val="18"/>
          <w:szCs w:val="18"/>
        </w:rPr>
      </w:pPr>
      <w:r w:rsidRPr="00E66675">
        <w:rPr>
          <w:rStyle w:val="FootnoteReference"/>
          <w:rFonts w:asciiTheme="minorHAnsi" w:eastAsiaTheme="majorEastAsia" w:hAnsiTheme="minorHAnsi"/>
          <w:sz w:val="18"/>
          <w:szCs w:val="18"/>
        </w:rPr>
        <w:footnoteRef/>
      </w:r>
      <w:r w:rsidRPr="00E66675">
        <w:rPr>
          <w:rFonts w:asciiTheme="minorHAnsi" w:hAnsiTheme="minorHAnsi"/>
          <w:sz w:val="18"/>
          <w:szCs w:val="18"/>
        </w:rPr>
        <w:t xml:space="preserve"> Applicants’ postcode of permanent home residence has been used to construct indicators of applicants’ geographic region.  To categorise applicants, postcodes are assigned to two groups (metropolitan and non-metropolitan) based on the ABS Australian Statistical Geography Standard (</w:t>
      </w:r>
      <w:proofErr w:type="spellStart"/>
      <w:r w:rsidRPr="00E66675">
        <w:rPr>
          <w:rFonts w:asciiTheme="minorHAnsi" w:hAnsiTheme="minorHAnsi"/>
          <w:sz w:val="18"/>
          <w:szCs w:val="18"/>
        </w:rPr>
        <w:t>ASGS</w:t>
      </w:r>
      <w:proofErr w:type="spellEnd"/>
      <w:r w:rsidRPr="00E66675">
        <w:rPr>
          <w:rFonts w:asciiTheme="minorHAnsi" w:hAnsiTheme="minorHAnsi"/>
          <w:sz w:val="18"/>
          <w:szCs w:val="18"/>
        </w:rPr>
        <w:t>).</w:t>
      </w:r>
    </w:p>
  </w:footnote>
  <w:footnote w:id="4">
    <w:p w14:paraId="46B48A64" w14:textId="324D1B55" w:rsidR="00956BAB" w:rsidRDefault="00956BAB" w:rsidP="00341597">
      <w:pPr>
        <w:pStyle w:val="FootnoteText"/>
        <w:spacing w:after="0"/>
        <w:rPr>
          <w:rFonts w:asciiTheme="minorHAnsi" w:hAnsiTheme="minorHAnsi"/>
          <w:sz w:val="18"/>
          <w:szCs w:val="18"/>
        </w:rPr>
      </w:pPr>
      <w:r>
        <w:rPr>
          <w:rStyle w:val="FootnoteReference"/>
          <w:rFonts w:eastAsiaTheme="majorEastAsia"/>
        </w:rPr>
        <w:footnoteRef/>
      </w:r>
      <w:r>
        <w:t xml:space="preserve"> </w:t>
      </w:r>
      <w:r w:rsidRPr="00D26FF8">
        <w:rPr>
          <w:rFonts w:asciiTheme="minorHAnsi" w:hAnsiTheme="minorHAnsi"/>
          <w:sz w:val="18"/>
          <w:szCs w:val="18"/>
        </w:rPr>
        <w:t>Data on Indigenous status (Aboriginal, Torres Strait Islander, or both) is based on a self-reported question on</w:t>
      </w:r>
      <w:r>
        <w:rPr>
          <w:rFonts w:asciiTheme="minorHAnsi" w:hAnsiTheme="minorHAnsi"/>
          <w:sz w:val="18"/>
          <w:szCs w:val="18"/>
        </w:rPr>
        <w:t xml:space="preserve"> </w:t>
      </w:r>
    </w:p>
    <w:p w14:paraId="172E0715" w14:textId="77777777" w:rsidR="00956BAB" w:rsidRPr="00D26FF8" w:rsidRDefault="00956BAB" w:rsidP="00341597">
      <w:pPr>
        <w:pStyle w:val="FootnoteText"/>
        <w:spacing w:after="0"/>
        <w:rPr>
          <w:rFonts w:asciiTheme="minorHAnsi" w:hAnsiTheme="minorHAnsi"/>
          <w:sz w:val="18"/>
          <w:szCs w:val="18"/>
        </w:rPr>
      </w:pPr>
      <w:r>
        <w:rPr>
          <w:rFonts w:asciiTheme="minorHAnsi" w:hAnsiTheme="minorHAnsi"/>
          <w:sz w:val="18"/>
          <w:szCs w:val="18"/>
        </w:rPr>
        <w:t xml:space="preserve">   </w:t>
      </w:r>
      <w:proofErr w:type="gramStart"/>
      <w:r w:rsidRPr="00D26FF8">
        <w:rPr>
          <w:rFonts w:asciiTheme="minorHAnsi" w:hAnsiTheme="minorHAnsi"/>
          <w:sz w:val="18"/>
          <w:szCs w:val="18"/>
        </w:rPr>
        <w:t>TAC applications forms</w:t>
      </w:r>
      <w:proofErr w:type="gramEnd"/>
      <w:r w:rsidRPr="00D26FF8">
        <w:rPr>
          <w:rFonts w:asciiTheme="minorHAnsi" w:hAnsiTheme="minorHAnsi"/>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97A9F" w14:textId="77777777" w:rsidR="00956BAB" w:rsidRDefault="00956BAB" w:rsidP="00560CA0">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AC97" w14:textId="77777777" w:rsidR="00956BAB" w:rsidRDefault="00956BA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81A39CA"/>
    <w:lvl w:ilvl="0">
      <w:start w:val="1"/>
      <w:numFmt w:val="decimal"/>
      <w:lvlText w:val="%1."/>
      <w:lvlJc w:val="left"/>
      <w:pPr>
        <w:tabs>
          <w:tab w:val="num" w:pos="1492"/>
        </w:tabs>
        <w:ind w:left="1492" w:hanging="360"/>
      </w:pPr>
    </w:lvl>
  </w:abstractNum>
  <w:abstractNum w:abstractNumId="1">
    <w:nsid w:val="FFFFFF7D"/>
    <w:multiLevelType w:val="singleLevel"/>
    <w:tmpl w:val="EF2C0204"/>
    <w:lvl w:ilvl="0">
      <w:start w:val="1"/>
      <w:numFmt w:val="decimal"/>
      <w:lvlText w:val="%1."/>
      <w:lvlJc w:val="left"/>
      <w:pPr>
        <w:tabs>
          <w:tab w:val="num" w:pos="1209"/>
        </w:tabs>
        <w:ind w:left="1209" w:hanging="360"/>
      </w:pPr>
    </w:lvl>
  </w:abstractNum>
  <w:abstractNum w:abstractNumId="2">
    <w:nsid w:val="FFFFFF7E"/>
    <w:multiLevelType w:val="singleLevel"/>
    <w:tmpl w:val="37D08C3A"/>
    <w:lvl w:ilvl="0">
      <w:start w:val="1"/>
      <w:numFmt w:val="decimal"/>
      <w:lvlText w:val="%1."/>
      <w:lvlJc w:val="left"/>
      <w:pPr>
        <w:tabs>
          <w:tab w:val="num" w:pos="926"/>
        </w:tabs>
        <w:ind w:left="926" w:hanging="360"/>
      </w:pPr>
    </w:lvl>
  </w:abstractNum>
  <w:abstractNum w:abstractNumId="3">
    <w:nsid w:val="FFFFFF7F"/>
    <w:multiLevelType w:val="singleLevel"/>
    <w:tmpl w:val="4942CF74"/>
    <w:lvl w:ilvl="0">
      <w:start w:val="1"/>
      <w:numFmt w:val="decimal"/>
      <w:lvlText w:val="%1."/>
      <w:lvlJc w:val="left"/>
      <w:pPr>
        <w:tabs>
          <w:tab w:val="num" w:pos="643"/>
        </w:tabs>
        <w:ind w:left="643" w:hanging="360"/>
      </w:pPr>
    </w:lvl>
  </w:abstractNum>
  <w:abstractNum w:abstractNumId="4">
    <w:nsid w:val="FFFFFF80"/>
    <w:multiLevelType w:val="singleLevel"/>
    <w:tmpl w:val="F1EEEB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001698"/>
    <w:lvl w:ilvl="0">
      <w:start w:val="1"/>
      <w:numFmt w:val="decimal"/>
      <w:lvlText w:val="%1."/>
      <w:lvlJc w:val="left"/>
      <w:pPr>
        <w:tabs>
          <w:tab w:val="num" w:pos="360"/>
        </w:tabs>
        <w:ind w:left="360" w:hanging="360"/>
      </w:pPr>
    </w:lvl>
  </w:abstractNum>
  <w:abstractNum w:abstractNumId="9">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0B1C6302"/>
    <w:multiLevelType w:val="hybridMultilevel"/>
    <w:tmpl w:val="B01E0BE0"/>
    <w:lvl w:ilvl="0" w:tplc="E8686F6A">
      <w:start w:val="1"/>
      <w:numFmt w:val="bullet"/>
      <w:pStyle w:val="Brief-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3">
    <w:nsid w:val="17D460A0"/>
    <w:multiLevelType w:val="hybridMultilevel"/>
    <w:tmpl w:val="482E6D8E"/>
    <w:lvl w:ilvl="0" w:tplc="69D8FD32">
      <w:start w:val="1"/>
      <w:numFmt w:val="decimal"/>
      <w:pStyle w:val="Heading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19D706B7"/>
    <w:multiLevelType w:val="multilevel"/>
    <w:tmpl w:val="85F0D9E2"/>
    <w:styleLink w:val="Listnobullet"/>
    <w:lvl w:ilvl="0">
      <w:start w:val="1"/>
      <w:numFmt w:val="none"/>
      <w:lvlText w:val="%1"/>
      <w:lvlJc w:val="left"/>
      <w:pPr>
        <w:ind w:left="1440" w:hanging="360"/>
      </w:pPr>
      <w:rPr>
        <w:rFonts w:ascii="Times New Roman" w:hAnsi="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nsid w:val="1DDF25D4"/>
    <w:multiLevelType w:val="hybridMultilevel"/>
    <w:tmpl w:val="BAF4BA2E"/>
    <w:lvl w:ilvl="0" w:tplc="112C20CC">
      <w:start w:val="1"/>
      <w:numFmt w:val="decimal"/>
      <w:pStyle w:val="Tableheading"/>
      <w:lvlText w:val="Table %1: "/>
      <w:lvlJc w:val="left"/>
      <w:pPr>
        <w:ind w:left="36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nsid w:val="1DE5153A"/>
    <w:multiLevelType w:val="hybridMultilevel"/>
    <w:tmpl w:val="0B60B9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nsid w:val="21B54D6A"/>
    <w:multiLevelType w:val="multilevel"/>
    <w:tmpl w:val="0B60B92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2D624487"/>
    <w:multiLevelType w:val="hybridMultilevel"/>
    <w:tmpl w:val="6E0E9A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346F4B64"/>
    <w:multiLevelType w:val="hybridMultilevel"/>
    <w:tmpl w:val="F3A0043A"/>
    <w:lvl w:ilvl="0" w:tplc="EC7E240C">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359E30F2"/>
    <w:multiLevelType w:val="hybridMultilevel"/>
    <w:tmpl w:val="07F0C6D2"/>
    <w:lvl w:ilvl="0" w:tplc="ADB21C1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B20792C"/>
    <w:multiLevelType w:val="hybridMultilevel"/>
    <w:tmpl w:val="1DC8F03E"/>
    <w:lvl w:ilvl="0" w:tplc="BFB0551A">
      <w:start w:val="1"/>
      <w:numFmt w:val="decimal"/>
      <w:lvlText w:val="%1."/>
      <w:lvlJc w:val="left"/>
      <w:pPr>
        <w:ind w:left="720" w:hanging="360"/>
      </w:pPr>
      <w:rPr>
        <w:rFonts w:asciiTheme="minorHAnsi" w:hAnsiTheme="minorHAnsi" w:hint="default"/>
        <w:color w:val="0000FF"/>
        <w:sz w:val="22"/>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FAD0D4B"/>
    <w:multiLevelType w:val="hybridMultilevel"/>
    <w:tmpl w:val="34BA1B84"/>
    <w:lvl w:ilvl="0" w:tplc="ADB21C1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14E0611"/>
    <w:multiLevelType w:val="singleLevel"/>
    <w:tmpl w:val="EAAA2BB6"/>
    <w:lvl w:ilvl="0">
      <w:start w:val="2"/>
      <w:numFmt w:val="decimal"/>
      <w:pStyle w:val="numberlist"/>
      <w:lvlText w:val="%1."/>
      <w:lvlJc w:val="left"/>
      <w:pPr>
        <w:tabs>
          <w:tab w:val="num" w:pos="567"/>
        </w:tabs>
        <w:ind w:left="0" w:firstLine="0"/>
      </w:pPr>
      <w:rPr>
        <w:rFonts w:hint="default"/>
      </w:rPr>
    </w:lvl>
  </w:abstractNum>
  <w:abstractNum w:abstractNumId="25">
    <w:nsid w:val="437C2366"/>
    <w:multiLevelType w:val="hybridMultilevel"/>
    <w:tmpl w:val="6072914A"/>
    <w:lvl w:ilvl="0" w:tplc="ADB21C1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60A2C3B"/>
    <w:multiLevelType w:val="hybridMultilevel"/>
    <w:tmpl w:val="E45EB088"/>
    <w:lvl w:ilvl="0" w:tplc="E1285490">
      <w:start w:val="1"/>
      <w:numFmt w:val="decimal"/>
      <w:pStyle w:val="Figureheading"/>
      <w:lvlText w:val="Figure %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nsid w:val="49DE042D"/>
    <w:multiLevelType w:val="hybridMultilevel"/>
    <w:tmpl w:val="E86C10C8"/>
    <w:lvl w:ilvl="0" w:tplc="ADB21C1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F1C33D2"/>
    <w:multiLevelType w:val="hybridMultilevel"/>
    <w:tmpl w:val="85F0D9E2"/>
    <w:lvl w:ilvl="0" w:tplc="3E7227E8">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nsid w:val="517D65BC"/>
    <w:multiLevelType w:val="multilevel"/>
    <w:tmpl w:val="85F0D9E2"/>
    <w:numStyleLink w:val="Listnobullet"/>
  </w:abstractNum>
  <w:abstractNum w:abstractNumId="3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nsid w:val="55CF2795"/>
    <w:multiLevelType w:val="hybridMultilevel"/>
    <w:tmpl w:val="8D0C6F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3">
    <w:nsid w:val="696B068A"/>
    <w:multiLevelType w:val="hybridMultilevel"/>
    <w:tmpl w:val="4EF6C0CE"/>
    <w:lvl w:ilvl="0" w:tplc="89A2AC1C">
      <w:numFmt w:val="bullet"/>
      <w:lvlText w:val="*"/>
      <w:lvlJc w:val="left"/>
      <w:pPr>
        <w:ind w:left="525" w:hanging="360"/>
      </w:pPr>
      <w:rPr>
        <w:rFonts w:ascii="Calibri" w:eastAsia="Times New Roman" w:hAnsi="Calibri" w:cs="Calibri" w:hint="default"/>
      </w:rPr>
    </w:lvl>
    <w:lvl w:ilvl="1" w:tplc="0C090003" w:tentative="1">
      <w:start w:val="1"/>
      <w:numFmt w:val="bullet"/>
      <w:lvlText w:val="o"/>
      <w:lvlJc w:val="left"/>
      <w:pPr>
        <w:ind w:left="1245" w:hanging="360"/>
      </w:pPr>
      <w:rPr>
        <w:rFonts w:ascii="Courier New" w:hAnsi="Courier New" w:cs="Courier New" w:hint="default"/>
      </w:rPr>
    </w:lvl>
    <w:lvl w:ilvl="2" w:tplc="0C090005" w:tentative="1">
      <w:start w:val="1"/>
      <w:numFmt w:val="bullet"/>
      <w:lvlText w:val=""/>
      <w:lvlJc w:val="left"/>
      <w:pPr>
        <w:ind w:left="1965" w:hanging="360"/>
      </w:pPr>
      <w:rPr>
        <w:rFonts w:ascii="Wingdings" w:hAnsi="Wingdings" w:hint="default"/>
      </w:rPr>
    </w:lvl>
    <w:lvl w:ilvl="3" w:tplc="0C090001" w:tentative="1">
      <w:start w:val="1"/>
      <w:numFmt w:val="bullet"/>
      <w:lvlText w:val=""/>
      <w:lvlJc w:val="left"/>
      <w:pPr>
        <w:ind w:left="2685" w:hanging="360"/>
      </w:pPr>
      <w:rPr>
        <w:rFonts w:ascii="Symbol" w:hAnsi="Symbol" w:hint="default"/>
      </w:rPr>
    </w:lvl>
    <w:lvl w:ilvl="4" w:tplc="0C090003" w:tentative="1">
      <w:start w:val="1"/>
      <w:numFmt w:val="bullet"/>
      <w:lvlText w:val="o"/>
      <w:lvlJc w:val="left"/>
      <w:pPr>
        <w:ind w:left="3405" w:hanging="360"/>
      </w:pPr>
      <w:rPr>
        <w:rFonts w:ascii="Courier New" w:hAnsi="Courier New" w:cs="Courier New" w:hint="default"/>
      </w:rPr>
    </w:lvl>
    <w:lvl w:ilvl="5" w:tplc="0C090005" w:tentative="1">
      <w:start w:val="1"/>
      <w:numFmt w:val="bullet"/>
      <w:lvlText w:val=""/>
      <w:lvlJc w:val="left"/>
      <w:pPr>
        <w:ind w:left="4125" w:hanging="360"/>
      </w:pPr>
      <w:rPr>
        <w:rFonts w:ascii="Wingdings" w:hAnsi="Wingdings" w:hint="default"/>
      </w:rPr>
    </w:lvl>
    <w:lvl w:ilvl="6" w:tplc="0C090001" w:tentative="1">
      <w:start w:val="1"/>
      <w:numFmt w:val="bullet"/>
      <w:lvlText w:val=""/>
      <w:lvlJc w:val="left"/>
      <w:pPr>
        <w:ind w:left="4845" w:hanging="360"/>
      </w:pPr>
      <w:rPr>
        <w:rFonts w:ascii="Symbol" w:hAnsi="Symbol" w:hint="default"/>
      </w:rPr>
    </w:lvl>
    <w:lvl w:ilvl="7" w:tplc="0C090003" w:tentative="1">
      <w:start w:val="1"/>
      <w:numFmt w:val="bullet"/>
      <w:lvlText w:val="o"/>
      <w:lvlJc w:val="left"/>
      <w:pPr>
        <w:ind w:left="5565" w:hanging="360"/>
      </w:pPr>
      <w:rPr>
        <w:rFonts w:ascii="Courier New" w:hAnsi="Courier New" w:cs="Courier New" w:hint="default"/>
      </w:rPr>
    </w:lvl>
    <w:lvl w:ilvl="8" w:tplc="0C090005" w:tentative="1">
      <w:start w:val="1"/>
      <w:numFmt w:val="bullet"/>
      <w:lvlText w:val=""/>
      <w:lvlJc w:val="left"/>
      <w:pPr>
        <w:ind w:left="6285" w:hanging="360"/>
      </w:pPr>
      <w:rPr>
        <w:rFonts w:ascii="Wingdings" w:hAnsi="Wingdings" w:hint="default"/>
      </w:rPr>
    </w:lvl>
  </w:abstractNum>
  <w:abstractNum w:abstractNumId="34">
    <w:nsid w:val="6CD90829"/>
    <w:multiLevelType w:val="hybridMultilevel"/>
    <w:tmpl w:val="8822F5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nsid w:val="72794ACE"/>
    <w:multiLevelType w:val="hybridMultilevel"/>
    <w:tmpl w:val="FEFA46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nsid w:val="789365AF"/>
    <w:multiLevelType w:val="hybridMultilevel"/>
    <w:tmpl w:val="55CAB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36"/>
  </w:num>
  <w:num w:numId="15">
    <w:abstractNumId w:val="11"/>
  </w:num>
  <w:num w:numId="16">
    <w:abstractNumId w:val="30"/>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4"/>
  </w:num>
  <w:num w:numId="21">
    <w:abstractNumId w:val="15"/>
  </w:num>
  <w:num w:numId="22">
    <w:abstractNumId w:val="26"/>
  </w:num>
  <w:num w:numId="23">
    <w:abstractNumId w:val="34"/>
  </w:num>
  <w:num w:numId="24">
    <w:abstractNumId w:val="35"/>
  </w:num>
  <w:num w:numId="25">
    <w:abstractNumId w:val="20"/>
  </w:num>
  <w:num w:numId="26">
    <w:abstractNumId w:val="16"/>
  </w:num>
  <w:num w:numId="27">
    <w:abstractNumId w:val="19"/>
  </w:num>
  <w:num w:numId="28">
    <w:abstractNumId w:val="22"/>
  </w:num>
  <w:num w:numId="29">
    <w:abstractNumId w:val="31"/>
  </w:num>
  <w:num w:numId="30">
    <w:abstractNumId w:val="33"/>
  </w:num>
  <w:num w:numId="31">
    <w:abstractNumId w:val="18"/>
  </w:num>
  <w:num w:numId="32">
    <w:abstractNumId w:val="12"/>
  </w:num>
  <w:num w:numId="33">
    <w:abstractNumId w:val="37"/>
  </w:num>
  <w:num w:numId="34">
    <w:abstractNumId w:val="28"/>
  </w:num>
  <w:num w:numId="35">
    <w:abstractNumId w:val="14"/>
  </w:num>
  <w:num w:numId="36">
    <w:abstractNumId w:val="29"/>
  </w:num>
  <w:num w:numId="37">
    <w:abstractNumId w:val="13"/>
  </w:num>
  <w:num w:numId="38">
    <w:abstractNumId w:val="23"/>
  </w:num>
  <w:num w:numId="39">
    <w:abstractNumId w:val="27"/>
  </w:num>
  <w:num w:numId="40">
    <w:abstractNumId w:val="21"/>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7C49AB"/>
    <w:rsid w:val="00002721"/>
    <w:rsid w:val="00007E0C"/>
    <w:rsid w:val="00024E24"/>
    <w:rsid w:val="00034EAA"/>
    <w:rsid w:val="000861A6"/>
    <w:rsid w:val="000D7FD3"/>
    <w:rsid w:val="000E7E7B"/>
    <w:rsid w:val="000F3BA2"/>
    <w:rsid w:val="001175BF"/>
    <w:rsid w:val="001307B5"/>
    <w:rsid w:val="00130923"/>
    <w:rsid w:val="001414F3"/>
    <w:rsid w:val="00143FCD"/>
    <w:rsid w:val="001B6467"/>
    <w:rsid w:val="00223EB1"/>
    <w:rsid w:val="00236917"/>
    <w:rsid w:val="00243D6B"/>
    <w:rsid w:val="002B06E6"/>
    <w:rsid w:val="002C3AA1"/>
    <w:rsid w:val="002D271F"/>
    <w:rsid w:val="002D6386"/>
    <w:rsid w:val="002F1999"/>
    <w:rsid w:val="00305B35"/>
    <w:rsid w:val="003155A7"/>
    <w:rsid w:val="003166C5"/>
    <w:rsid w:val="003242B9"/>
    <w:rsid w:val="00341597"/>
    <w:rsid w:val="003762A0"/>
    <w:rsid w:val="003979FC"/>
    <w:rsid w:val="003D67FC"/>
    <w:rsid w:val="003E273C"/>
    <w:rsid w:val="00406E5A"/>
    <w:rsid w:val="00455B34"/>
    <w:rsid w:val="00481F02"/>
    <w:rsid w:val="0048762C"/>
    <w:rsid w:val="004B256F"/>
    <w:rsid w:val="005113B6"/>
    <w:rsid w:val="00531817"/>
    <w:rsid w:val="00560CA0"/>
    <w:rsid w:val="005624F3"/>
    <w:rsid w:val="005811EF"/>
    <w:rsid w:val="005B0878"/>
    <w:rsid w:val="005C15C0"/>
    <w:rsid w:val="00610654"/>
    <w:rsid w:val="006318B9"/>
    <w:rsid w:val="0067026C"/>
    <w:rsid w:val="006E2D49"/>
    <w:rsid w:val="007468FC"/>
    <w:rsid w:val="00791546"/>
    <w:rsid w:val="00792CA3"/>
    <w:rsid w:val="007B2FDD"/>
    <w:rsid w:val="007C49AB"/>
    <w:rsid w:val="007D58FB"/>
    <w:rsid w:val="007F72E7"/>
    <w:rsid w:val="0083468A"/>
    <w:rsid w:val="00842D43"/>
    <w:rsid w:val="00856D1C"/>
    <w:rsid w:val="00876AC0"/>
    <w:rsid w:val="00903408"/>
    <w:rsid w:val="009116EA"/>
    <w:rsid w:val="00933671"/>
    <w:rsid w:val="00956BAB"/>
    <w:rsid w:val="00972BF7"/>
    <w:rsid w:val="00972DD5"/>
    <w:rsid w:val="00984879"/>
    <w:rsid w:val="00985632"/>
    <w:rsid w:val="00991B63"/>
    <w:rsid w:val="009B2428"/>
    <w:rsid w:val="009B5CB7"/>
    <w:rsid w:val="00A02290"/>
    <w:rsid w:val="00A31242"/>
    <w:rsid w:val="00A475CB"/>
    <w:rsid w:val="00A52530"/>
    <w:rsid w:val="00A551BF"/>
    <w:rsid w:val="00A70524"/>
    <w:rsid w:val="00A73406"/>
    <w:rsid w:val="00AC65DA"/>
    <w:rsid w:val="00AD09E4"/>
    <w:rsid w:val="00AF1737"/>
    <w:rsid w:val="00B2722A"/>
    <w:rsid w:val="00B32DC9"/>
    <w:rsid w:val="00B359D9"/>
    <w:rsid w:val="00B618BA"/>
    <w:rsid w:val="00B67C70"/>
    <w:rsid w:val="00BA282D"/>
    <w:rsid w:val="00BA4D57"/>
    <w:rsid w:val="00BB6260"/>
    <w:rsid w:val="00C05E74"/>
    <w:rsid w:val="00C0720C"/>
    <w:rsid w:val="00C10C19"/>
    <w:rsid w:val="00C143B8"/>
    <w:rsid w:val="00C17D02"/>
    <w:rsid w:val="00C5649C"/>
    <w:rsid w:val="00C75486"/>
    <w:rsid w:val="00C8202C"/>
    <w:rsid w:val="00C84E0C"/>
    <w:rsid w:val="00C92A5B"/>
    <w:rsid w:val="00CA46EC"/>
    <w:rsid w:val="00CA743F"/>
    <w:rsid w:val="00D05B29"/>
    <w:rsid w:val="00D1394D"/>
    <w:rsid w:val="00D21F72"/>
    <w:rsid w:val="00D321A2"/>
    <w:rsid w:val="00D47740"/>
    <w:rsid w:val="00D812B9"/>
    <w:rsid w:val="00D903FD"/>
    <w:rsid w:val="00D94BC5"/>
    <w:rsid w:val="00D96C08"/>
    <w:rsid w:val="00DC3052"/>
    <w:rsid w:val="00DF46C4"/>
    <w:rsid w:val="00DF4CA3"/>
    <w:rsid w:val="00E05F5D"/>
    <w:rsid w:val="00E376D2"/>
    <w:rsid w:val="00E87DB2"/>
    <w:rsid w:val="00EC78E7"/>
    <w:rsid w:val="00ED43D2"/>
    <w:rsid w:val="00EE3B8C"/>
    <w:rsid w:val="00EF4A38"/>
    <w:rsid w:val="00EF5845"/>
    <w:rsid w:val="00F11B8F"/>
    <w:rsid w:val="00F44C09"/>
    <w:rsid w:val="00F47193"/>
    <w:rsid w:val="00F74011"/>
    <w:rsid w:val="00F80CFC"/>
    <w:rsid w:val="00FB10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497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iPriority="0" w:unhideWhenUsed="1"/>
    <w:lsdException w:name="header" w:unhideWhenUsed="1"/>
    <w:lsdException w:name="footer" w:unhideWhenUsed="1"/>
    <w:lsdException w:name="index heading" w:unhideWhenUsed="1"/>
    <w:lsdException w:name="caption" w:uiPriority="0" w:unhideWhenUsed="1" w:qFormat="1"/>
    <w:lsdException w:name="envelope address" w:unhideWhenUsed="1"/>
    <w:lsdException w:name="envelope return" w:unhideWhenUsed="1"/>
    <w:lsdException w:name="footnote reference" w:unhideWhenUsed="1"/>
    <w:lsdException w:name="annotation reference" w:uiPriority="0" w:unhideWhenUsed="1"/>
    <w:lsdException w:name="line number" w:unhideWhenUsed="1"/>
    <w:lsdException w:name="page number" w:uiPriority="0" w:unhideWhenUsed="1"/>
    <w:lsdException w:name="endnote reference" w:uiPriority="0" w:unhideWhenUsed="1"/>
    <w:lsdException w:name="endnote text" w:uiPriority="0"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iPriority="0"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iPriority="0"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List 7" w:unhideWhenUsed="1"/>
    <w:lsdException w:name="Table List 8" w:unhideWhenUsed="1"/>
    <w:lsdException w:name="Table Web 2" w:unhideWhenUsed="1"/>
    <w:lsdException w:name="Table Web 3" w:unhideWhenUsed="1"/>
    <w:lsdException w:name="Balloon Text" w:uiPriority="0" w:unhideWhenUsed="1"/>
    <w:lsdException w:name="Table Grid" w:semiHidden="0" w:uiPriority="5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67C70"/>
  </w:style>
  <w:style w:type="paragraph" w:styleId="Heading1">
    <w:name w:val="heading 1"/>
    <w:basedOn w:val="Normal"/>
    <w:next w:val="Normal"/>
    <w:link w:val="Heading1Char"/>
    <w:qFormat/>
    <w:rsid w:val="00956BAB"/>
    <w:pPr>
      <w:pageBreakBefore/>
      <w:numPr>
        <w:numId w:val="37"/>
      </w:numPr>
      <w:spacing w:after="240" w:line="240" w:lineRule="auto"/>
      <w:ind w:left="357" w:hanging="357"/>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nhideWhenUsed/>
    <w:qFormat/>
    <w:rsid w:val="00341597"/>
    <w:pPr>
      <w:keepNext/>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E376D2"/>
    <w:rPr>
      <w:color w:val="3C54A5" w:themeColor="text2"/>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rsid w:val="00956BAB"/>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rsid w:val="00341597"/>
    <w:rPr>
      <w:rFonts w:ascii="Calibri" w:eastAsiaTheme="majorEastAsia" w:hAnsi="Calibri" w:cstheme="majorBidi"/>
      <w:b/>
      <w:bCs/>
      <w:sz w:val="28"/>
      <w:szCs w:val="26"/>
    </w:rPr>
  </w:style>
  <w:style w:type="character" w:customStyle="1" w:styleId="Heading3Char">
    <w:name w:val="Heading 3 Char"/>
    <w:basedOn w:val="DefaultParagraphFont"/>
    <w:link w:val="Heading3"/>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qFormat/>
    <w:rsid w:val="00BA4D57"/>
    <w:pPr>
      <w:spacing w:after="120" w:line="240" w:lineRule="auto"/>
      <w:contextualSpacing/>
    </w:pPr>
    <w:rPr>
      <w:rFonts w:ascii="Calibri" w:eastAsiaTheme="majorEastAsia" w:hAnsi="Calibri" w:cstheme="majorBidi"/>
      <w:b/>
      <w:color w:val="522761"/>
      <w:spacing w:val="5"/>
      <w:sz w:val="72"/>
      <w:szCs w:val="52"/>
    </w:rPr>
  </w:style>
  <w:style w:type="character" w:customStyle="1" w:styleId="TitleChar">
    <w:name w:val="Title Char"/>
    <w:basedOn w:val="DefaultParagraphFont"/>
    <w:link w:val="Title"/>
    <w:uiPriority w:val="10"/>
    <w:rsid w:val="00BA4D57"/>
    <w:rPr>
      <w:rFonts w:ascii="Calibri" w:eastAsiaTheme="majorEastAsia" w:hAnsi="Calibri" w:cstheme="majorBidi"/>
      <w:b/>
      <w:color w:val="522761"/>
      <w:spacing w:val="5"/>
      <w:sz w:val="72"/>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qFormat/>
    <w:rsid w:val="00B67C70"/>
    <w:pPr>
      <w:numPr>
        <w:numId w:val="34"/>
      </w:numPr>
      <w:ind w:left="641" w:hanging="357"/>
      <w:contextualSpacing/>
    </w:pPr>
  </w:style>
  <w:style w:type="paragraph" w:styleId="IntenseQuote">
    <w:name w:val="Intense Quote"/>
    <w:basedOn w:val="Normal"/>
    <w:next w:val="Normal"/>
    <w:link w:val="IntenseQuoteChar"/>
    <w:uiPriority w:val="30"/>
    <w:semiHidden/>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semiHidden/>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semiHidden/>
    <w:qFormat/>
    <w:rsid w:val="00AC65DA"/>
    <w:rPr>
      <w:smallCaps/>
    </w:rPr>
  </w:style>
  <w:style w:type="character" w:styleId="IntenseReference">
    <w:name w:val="Intense Reference"/>
    <w:uiPriority w:val="32"/>
    <w:semiHidden/>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ind w:left="369" w:hanging="369"/>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7F72E7"/>
    <w:pPr>
      <w:keepNext/>
      <w:keepLines/>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tblStylePr w:type="band1Horz">
      <w:tblPr/>
      <w:tcPr>
        <w:shd w:val="clear" w:color="auto" w:fill="F1E7F5"/>
      </w:tcPr>
    </w:tblStylePr>
  </w:style>
  <w:style w:type="paragraph" w:customStyle="1" w:styleId="Default">
    <w:name w:val="Default"/>
    <w:uiPriority w:val="99"/>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qFormat/>
    <w:rsid w:val="00EF4A38"/>
    <w:pPr>
      <w:spacing w:after="100"/>
    </w:pPr>
  </w:style>
  <w:style w:type="paragraph" w:styleId="TOC2">
    <w:name w:val="toc 2"/>
    <w:basedOn w:val="Normal"/>
    <w:next w:val="Normal"/>
    <w:autoRedefine/>
    <w:uiPriority w:val="39"/>
    <w:unhideWhenUsed/>
    <w:qFormat/>
    <w:rsid w:val="00EF4A38"/>
    <w:pPr>
      <w:spacing w:after="100"/>
      <w:ind w:left="220"/>
    </w:pPr>
  </w:style>
  <w:style w:type="paragraph" w:styleId="TOC3">
    <w:name w:val="toc 3"/>
    <w:basedOn w:val="Normal"/>
    <w:next w:val="Normal"/>
    <w:autoRedefine/>
    <w:uiPriority w:val="39"/>
    <w:unhideWhenUsed/>
    <w:qFormat/>
    <w:rsid w:val="00EF4A38"/>
    <w:pPr>
      <w:spacing w:after="100"/>
      <w:ind w:left="440"/>
    </w:pPr>
  </w:style>
  <w:style w:type="paragraph" w:styleId="Caption">
    <w:name w:val="caption"/>
    <w:basedOn w:val="Heading4"/>
    <w:next w:val="Normal"/>
    <w:unhideWhenUsed/>
    <w:qFormat/>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E376D2"/>
    <w:rPr>
      <w:color w:val="522761" w:themeColor="accent4"/>
    </w:rPr>
  </w:style>
  <w:style w:type="table" w:styleId="ColorfulGrid-Accent1">
    <w:name w:val="Colorful Grid Accent 1"/>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5DBEF" w:themeFill="accent1" w:themeFillTint="33"/>
    </w:tcPr>
    <w:tblStylePr w:type="firstRow">
      <w:rPr>
        <w:b/>
        <w:bCs/>
      </w:rPr>
      <w:tblPr/>
      <w:tcPr>
        <w:shd w:val="clear" w:color="auto" w:fill="ABB7E0" w:themeFill="accent1" w:themeFillTint="66"/>
      </w:tcPr>
    </w:tblStylePr>
    <w:tblStylePr w:type="lastRow">
      <w:rPr>
        <w:b/>
        <w:bCs/>
        <w:color w:val="000000" w:themeColor="text1"/>
      </w:rPr>
      <w:tblPr/>
      <w:tcPr>
        <w:shd w:val="clear" w:color="auto" w:fill="ABB7E0" w:themeFill="accent1" w:themeFillTint="66"/>
      </w:tcPr>
    </w:tblStylePr>
    <w:tblStylePr w:type="firstCol">
      <w:rPr>
        <w:color w:val="FFFFFF" w:themeColor="background1"/>
      </w:rPr>
      <w:tblPr/>
      <w:tcPr>
        <w:shd w:val="clear" w:color="auto" w:fill="2D3E7B" w:themeFill="accent1" w:themeFillShade="BF"/>
      </w:tcPr>
    </w:tblStylePr>
    <w:tblStylePr w:type="lastCol">
      <w:rPr>
        <w:color w:val="FFFFFF" w:themeColor="background1"/>
      </w:rPr>
      <w:tblPr/>
      <w:tcPr>
        <w:shd w:val="clear" w:color="auto" w:fill="2D3E7B" w:themeFill="accent1" w:themeFillShade="BF"/>
      </w:tcPr>
    </w:tblStylePr>
    <w:tblStylePr w:type="band1Vert">
      <w:tblPr/>
      <w:tcPr>
        <w:shd w:val="clear" w:color="auto" w:fill="96A5D9" w:themeFill="accent1" w:themeFillTint="7F"/>
      </w:tcPr>
    </w:tblStylePr>
    <w:tblStylePr w:type="band1Horz">
      <w:tblPr/>
      <w:tcPr>
        <w:shd w:val="clear" w:color="auto" w:fill="96A5D9" w:themeFill="accent1" w:themeFillTint="7F"/>
      </w:tcPr>
    </w:tblStylePr>
  </w:style>
  <w:style w:type="table" w:styleId="ColorfulGrid-Accent2">
    <w:name w:val="Colorful Grid Accent 2"/>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DDE0" w:themeFill="accent2" w:themeFillTint="33"/>
    </w:tcPr>
    <w:tblStylePr w:type="firstRow">
      <w:rPr>
        <w:b/>
        <w:bCs/>
      </w:rPr>
      <w:tblPr/>
      <w:tcPr>
        <w:shd w:val="clear" w:color="auto" w:fill="B8BBC2" w:themeFill="accent2" w:themeFillTint="66"/>
      </w:tcPr>
    </w:tblStylePr>
    <w:tblStylePr w:type="lastRow">
      <w:rPr>
        <w:b/>
        <w:bCs/>
        <w:color w:val="000000" w:themeColor="text1"/>
      </w:rPr>
      <w:tblPr/>
      <w:tcPr>
        <w:shd w:val="clear" w:color="auto" w:fill="B8BBC2" w:themeFill="accent2" w:themeFillTint="66"/>
      </w:tcPr>
    </w:tblStylePr>
    <w:tblStylePr w:type="firstCol">
      <w:rPr>
        <w:color w:val="FFFFFF" w:themeColor="background1"/>
      </w:rPr>
      <w:tblPr/>
      <w:tcPr>
        <w:shd w:val="clear" w:color="auto" w:fill="3F4148" w:themeFill="accent2" w:themeFillShade="BF"/>
      </w:tcPr>
    </w:tblStylePr>
    <w:tblStylePr w:type="lastCol">
      <w:rPr>
        <w:color w:val="FFFFFF" w:themeColor="background1"/>
      </w:rPr>
      <w:tblPr/>
      <w:tcPr>
        <w:shd w:val="clear" w:color="auto" w:fill="3F4148" w:themeFill="accent2" w:themeFillShade="BF"/>
      </w:tcPr>
    </w:tblStylePr>
    <w:tblStylePr w:type="band1Vert">
      <w:tblPr/>
      <w:tcPr>
        <w:shd w:val="clear" w:color="auto" w:fill="A7AAB3" w:themeFill="accent2" w:themeFillTint="7F"/>
      </w:tcPr>
    </w:tblStylePr>
    <w:tblStylePr w:type="band1Horz">
      <w:tblPr/>
      <w:tcPr>
        <w:shd w:val="clear" w:color="auto" w:fill="A7AAB3" w:themeFill="accent2" w:themeFillTint="7F"/>
      </w:tcPr>
    </w:tblStylePr>
  </w:style>
  <w:style w:type="table" w:styleId="ColorfulGrid-Accent3">
    <w:name w:val="Colorful Grid Accent 3"/>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DCF" w:themeFill="accent3" w:themeFillTint="33"/>
    </w:tcPr>
    <w:tblStylePr w:type="firstRow">
      <w:rPr>
        <w:b/>
        <w:bCs/>
      </w:rPr>
      <w:tblPr/>
      <w:tcPr>
        <w:shd w:val="clear" w:color="auto" w:fill="F7DC9F" w:themeFill="accent3" w:themeFillTint="66"/>
      </w:tcPr>
    </w:tblStylePr>
    <w:tblStylePr w:type="lastRow">
      <w:rPr>
        <w:b/>
        <w:bCs/>
        <w:color w:val="000000" w:themeColor="text1"/>
      </w:rPr>
      <w:tblPr/>
      <w:tcPr>
        <w:shd w:val="clear" w:color="auto" w:fill="F7DC9F" w:themeFill="accent3" w:themeFillTint="66"/>
      </w:tcPr>
    </w:tblStylePr>
    <w:tblStylePr w:type="firstCol">
      <w:rPr>
        <w:color w:val="FFFFFF" w:themeColor="background1"/>
      </w:rPr>
      <w:tblPr/>
      <w:tcPr>
        <w:shd w:val="clear" w:color="auto" w:fill="AE7E0E" w:themeFill="accent3" w:themeFillShade="BF"/>
      </w:tcPr>
    </w:tblStylePr>
    <w:tblStylePr w:type="lastCol">
      <w:rPr>
        <w:color w:val="FFFFFF" w:themeColor="background1"/>
      </w:rPr>
      <w:tblPr/>
      <w:tcPr>
        <w:shd w:val="clear" w:color="auto" w:fill="AE7E0E" w:themeFill="accent3" w:themeFillShade="BF"/>
      </w:tcPr>
    </w:tblStylePr>
    <w:tblStylePr w:type="band1Vert">
      <w:tblPr/>
      <w:tcPr>
        <w:shd w:val="clear" w:color="auto" w:fill="F5D488" w:themeFill="accent3" w:themeFillTint="7F"/>
      </w:tcPr>
    </w:tblStylePr>
    <w:tblStylePr w:type="band1Horz">
      <w:tblPr/>
      <w:tcPr>
        <w:shd w:val="clear" w:color="auto" w:fill="F5D488" w:themeFill="accent3" w:themeFillTint="7F"/>
      </w:tcPr>
    </w:tblStylePr>
  </w:style>
  <w:style w:type="table" w:styleId="ColorfulGrid-Accent4">
    <w:name w:val="Colorful Grid Accent 4"/>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1C9E9" w:themeFill="accent4" w:themeFillTint="33"/>
    </w:tcPr>
    <w:tblStylePr w:type="firstRow">
      <w:rPr>
        <w:b/>
        <w:bCs/>
      </w:rPr>
      <w:tblPr/>
      <w:tcPr>
        <w:shd w:val="clear" w:color="auto" w:fill="C394D4" w:themeFill="accent4" w:themeFillTint="66"/>
      </w:tcPr>
    </w:tblStylePr>
    <w:tblStylePr w:type="lastRow">
      <w:rPr>
        <w:b/>
        <w:bCs/>
        <w:color w:val="000000" w:themeColor="text1"/>
      </w:rPr>
      <w:tblPr/>
      <w:tcPr>
        <w:shd w:val="clear" w:color="auto" w:fill="C394D4" w:themeFill="accent4" w:themeFillTint="66"/>
      </w:tcPr>
    </w:tblStylePr>
    <w:tblStylePr w:type="firstCol">
      <w:rPr>
        <w:color w:val="FFFFFF" w:themeColor="background1"/>
      </w:rPr>
      <w:tblPr/>
      <w:tcPr>
        <w:shd w:val="clear" w:color="auto" w:fill="3D1D48" w:themeFill="accent4" w:themeFillShade="BF"/>
      </w:tcPr>
    </w:tblStylePr>
    <w:tblStylePr w:type="lastCol">
      <w:rPr>
        <w:color w:val="FFFFFF" w:themeColor="background1"/>
      </w:rPr>
      <w:tblPr/>
      <w:tcPr>
        <w:shd w:val="clear" w:color="auto" w:fill="3D1D48" w:themeFill="accent4" w:themeFillShade="BF"/>
      </w:tcPr>
    </w:tblStylePr>
    <w:tblStylePr w:type="band1Vert">
      <w:tblPr/>
      <w:tcPr>
        <w:shd w:val="clear" w:color="auto" w:fill="B57AC9" w:themeFill="accent4" w:themeFillTint="7F"/>
      </w:tcPr>
    </w:tblStylePr>
    <w:tblStylePr w:type="band1Horz">
      <w:tblPr/>
      <w:tcPr>
        <w:shd w:val="clear" w:color="auto" w:fill="B57AC9" w:themeFill="accent4" w:themeFillTint="7F"/>
      </w:tcPr>
    </w:tblStylePr>
  </w:style>
  <w:style w:type="table" w:styleId="ColorfulGrid-Accent5">
    <w:name w:val="Colorful Grid Accent 5"/>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5DBEF" w:themeFill="accent5" w:themeFillTint="33"/>
    </w:tcPr>
    <w:tblStylePr w:type="firstRow">
      <w:rPr>
        <w:b/>
        <w:bCs/>
      </w:rPr>
      <w:tblPr/>
      <w:tcPr>
        <w:shd w:val="clear" w:color="auto" w:fill="ABB7E0" w:themeFill="accent5" w:themeFillTint="66"/>
      </w:tcPr>
    </w:tblStylePr>
    <w:tblStylePr w:type="lastRow">
      <w:rPr>
        <w:b/>
        <w:bCs/>
        <w:color w:val="000000" w:themeColor="text1"/>
      </w:rPr>
      <w:tblPr/>
      <w:tcPr>
        <w:shd w:val="clear" w:color="auto" w:fill="ABB7E0" w:themeFill="accent5" w:themeFillTint="66"/>
      </w:tcPr>
    </w:tblStylePr>
    <w:tblStylePr w:type="firstCol">
      <w:rPr>
        <w:color w:val="FFFFFF" w:themeColor="background1"/>
      </w:rPr>
      <w:tblPr/>
      <w:tcPr>
        <w:shd w:val="clear" w:color="auto" w:fill="2D3E7B" w:themeFill="accent5" w:themeFillShade="BF"/>
      </w:tcPr>
    </w:tblStylePr>
    <w:tblStylePr w:type="lastCol">
      <w:rPr>
        <w:color w:val="FFFFFF" w:themeColor="background1"/>
      </w:rPr>
      <w:tblPr/>
      <w:tcPr>
        <w:shd w:val="clear" w:color="auto" w:fill="2D3E7B" w:themeFill="accent5" w:themeFillShade="BF"/>
      </w:tcPr>
    </w:tblStylePr>
    <w:tblStylePr w:type="band1Vert">
      <w:tblPr/>
      <w:tcPr>
        <w:shd w:val="clear" w:color="auto" w:fill="96A5D9" w:themeFill="accent5" w:themeFillTint="7F"/>
      </w:tcPr>
    </w:tblStylePr>
    <w:tblStylePr w:type="band1Horz">
      <w:tblPr/>
      <w:tcPr>
        <w:shd w:val="clear" w:color="auto" w:fill="96A5D9" w:themeFill="accent5" w:themeFillTint="7F"/>
      </w:tcPr>
    </w:tblStylePr>
  </w:style>
  <w:style w:type="table" w:styleId="ColorfulGrid-Accent6">
    <w:name w:val="Colorful Grid Accent 6"/>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DDE0" w:themeFill="accent6" w:themeFillTint="33"/>
    </w:tcPr>
    <w:tblStylePr w:type="firstRow">
      <w:rPr>
        <w:b/>
        <w:bCs/>
      </w:rPr>
      <w:tblPr/>
      <w:tcPr>
        <w:shd w:val="clear" w:color="auto" w:fill="B8BBC2" w:themeFill="accent6" w:themeFillTint="66"/>
      </w:tcPr>
    </w:tblStylePr>
    <w:tblStylePr w:type="lastRow">
      <w:rPr>
        <w:b/>
        <w:bCs/>
        <w:color w:val="000000" w:themeColor="text1"/>
      </w:rPr>
      <w:tblPr/>
      <w:tcPr>
        <w:shd w:val="clear" w:color="auto" w:fill="B8BBC2" w:themeFill="accent6" w:themeFillTint="66"/>
      </w:tcPr>
    </w:tblStylePr>
    <w:tblStylePr w:type="firstCol">
      <w:rPr>
        <w:color w:val="FFFFFF" w:themeColor="background1"/>
      </w:rPr>
      <w:tblPr/>
      <w:tcPr>
        <w:shd w:val="clear" w:color="auto" w:fill="3F4148" w:themeFill="accent6" w:themeFillShade="BF"/>
      </w:tcPr>
    </w:tblStylePr>
    <w:tblStylePr w:type="lastCol">
      <w:rPr>
        <w:color w:val="FFFFFF" w:themeColor="background1"/>
      </w:rPr>
      <w:tblPr/>
      <w:tcPr>
        <w:shd w:val="clear" w:color="auto" w:fill="3F4148" w:themeFill="accent6" w:themeFillShade="BF"/>
      </w:tcPr>
    </w:tblStylePr>
    <w:tblStylePr w:type="band1Vert">
      <w:tblPr/>
      <w:tcPr>
        <w:shd w:val="clear" w:color="auto" w:fill="A7AAB3" w:themeFill="accent6" w:themeFillTint="7F"/>
      </w:tcPr>
    </w:tblStylePr>
    <w:tblStylePr w:type="band1Horz">
      <w:tblPr/>
      <w:tcPr>
        <w:shd w:val="clear" w:color="auto" w:fill="A7AAB3" w:themeFill="accent6" w:themeFillTint="7F"/>
      </w:tcPr>
    </w:tblStylePr>
  </w:style>
  <w:style w:type="table" w:styleId="ColorfulList">
    <w:name w:val="Colorful List"/>
    <w:basedOn w:val="TableNormal"/>
    <w:uiPriority w:val="72"/>
    <w:semiHidden/>
    <w:rsid w:val="003E273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3464D" w:themeFill="accent2" w:themeFillShade="CC"/>
      </w:tcPr>
    </w:tblStylePr>
    <w:tblStylePr w:type="lastRow">
      <w:rPr>
        <w:b/>
        <w:bCs/>
        <w:color w:val="4346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E273C"/>
    <w:pPr>
      <w:spacing w:after="0" w:line="240" w:lineRule="auto"/>
    </w:pPr>
    <w:rPr>
      <w:color w:val="000000" w:themeColor="text1"/>
    </w:rPr>
    <w:tblPr>
      <w:tblStyleRowBandSize w:val="1"/>
      <w:tblStyleColBandSize w:val="1"/>
    </w:tblPr>
    <w:tcPr>
      <w:shd w:val="clear" w:color="auto" w:fill="EAEDF7" w:themeFill="accent1" w:themeFillTint="19"/>
    </w:tcPr>
    <w:tblStylePr w:type="firstRow">
      <w:rPr>
        <w:b/>
        <w:bCs/>
        <w:color w:val="FFFFFF" w:themeColor="background1"/>
      </w:rPr>
      <w:tblPr/>
      <w:tcPr>
        <w:tcBorders>
          <w:bottom w:val="single" w:sz="12" w:space="0" w:color="FFFFFF" w:themeColor="background1"/>
        </w:tcBorders>
        <w:shd w:val="clear" w:color="auto" w:fill="43464D" w:themeFill="accent2" w:themeFillShade="CC"/>
      </w:tcPr>
    </w:tblStylePr>
    <w:tblStylePr w:type="lastRow">
      <w:rPr>
        <w:b/>
        <w:bCs/>
        <w:color w:val="4346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2EC" w:themeFill="accent1" w:themeFillTint="3F"/>
      </w:tcPr>
    </w:tblStylePr>
    <w:tblStylePr w:type="band1Horz">
      <w:tblPr/>
      <w:tcPr>
        <w:shd w:val="clear" w:color="auto" w:fill="D5DBEF" w:themeFill="accent1" w:themeFillTint="33"/>
      </w:tcPr>
    </w:tblStylePr>
  </w:style>
  <w:style w:type="table" w:styleId="ColorfulList-Accent2">
    <w:name w:val="Colorful List Accent 2"/>
    <w:basedOn w:val="TableNormal"/>
    <w:uiPriority w:val="72"/>
    <w:semiHidden/>
    <w:rsid w:val="003E273C"/>
    <w:pPr>
      <w:spacing w:after="0" w:line="240" w:lineRule="auto"/>
    </w:pPr>
    <w:rPr>
      <w:color w:val="000000" w:themeColor="text1"/>
    </w:rPr>
    <w:tblPr>
      <w:tblStyleRowBandSize w:val="1"/>
      <w:tblStyleColBandSize w:val="1"/>
    </w:tblPr>
    <w:tcPr>
      <w:shd w:val="clear" w:color="auto" w:fill="EDEEF0" w:themeFill="accent2" w:themeFillTint="19"/>
    </w:tcPr>
    <w:tblStylePr w:type="firstRow">
      <w:rPr>
        <w:b/>
        <w:bCs/>
        <w:color w:val="FFFFFF" w:themeColor="background1"/>
      </w:rPr>
      <w:tblPr/>
      <w:tcPr>
        <w:tcBorders>
          <w:bottom w:val="single" w:sz="12" w:space="0" w:color="FFFFFF" w:themeColor="background1"/>
        </w:tcBorders>
        <w:shd w:val="clear" w:color="auto" w:fill="43464D" w:themeFill="accent2" w:themeFillShade="CC"/>
      </w:tcPr>
    </w:tblStylePr>
    <w:tblStylePr w:type="lastRow">
      <w:rPr>
        <w:b/>
        <w:bCs/>
        <w:color w:val="4346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9" w:themeFill="accent2" w:themeFillTint="3F"/>
      </w:tcPr>
    </w:tblStylePr>
    <w:tblStylePr w:type="band1Horz">
      <w:tblPr/>
      <w:tcPr>
        <w:shd w:val="clear" w:color="auto" w:fill="DBDDE0" w:themeFill="accent2" w:themeFillTint="33"/>
      </w:tcPr>
    </w:tblStylePr>
  </w:style>
  <w:style w:type="table" w:styleId="ColorfulList-Accent3">
    <w:name w:val="Colorful List Accent 3"/>
    <w:basedOn w:val="TableNormal"/>
    <w:uiPriority w:val="72"/>
    <w:semiHidden/>
    <w:rsid w:val="003E273C"/>
    <w:pPr>
      <w:spacing w:after="0" w:line="240" w:lineRule="auto"/>
    </w:pPr>
    <w:rPr>
      <w:color w:val="000000" w:themeColor="text1"/>
    </w:rPr>
    <w:tblPr>
      <w:tblStyleRowBandSize w:val="1"/>
      <w:tblStyleColBandSize w:val="1"/>
    </w:tblPr>
    <w:tcPr>
      <w:shd w:val="clear" w:color="auto" w:fill="FDF6E7" w:themeFill="accent3" w:themeFillTint="19"/>
    </w:tcPr>
    <w:tblStylePr w:type="firstRow">
      <w:rPr>
        <w:b/>
        <w:bCs/>
        <w:color w:val="FFFFFF" w:themeColor="background1"/>
      </w:rPr>
      <w:tblPr/>
      <w:tcPr>
        <w:tcBorders>
          <w:bottom w:val="single" w:sz="12" w:space="0" w:color="FFFFFF" w:themeColor="background1"/>
        </w:tcBorders>
        <w:shd w:val="clear" w:color="auto" w:fill="411F4D" w:themeFill="accent4" w:themeFillShade="CC"/>
      </w:tcPr>
    </w:tblStylePr>
    <w:tblStylePr w:type="lastRow">
      <w:rPr>
        <w:b/>
        <w:bCs/>
        <w:color w:val="411F4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9C3" w:themeFill="accent3" w:themeFillTint="3F"/>
      </w:tcPr>
    </w:tblStylePr>
    <w:tblStylePr w:type="band1Horz">
      <w:tblPr/>
      <w:tcPr>
        <w:shd w:val="clear" w:color="auto" w:fill="FBEDCF" w:themeFill="accent3" w:themeFillTint="33"/>
      </w:tcPr>
    </w:tblStylePr>
  </w:style>
  <w:style w:type="table" w:styleId="ColorfulList-Accent4">
    <w:name w:val="Colorful List Accent 4"/>
    <w:basedOn w:val="TableNormal"/>
    <w:uiPriority w:val="72"/>
    <w:semiHidden/>
    <w:rsid w:val="003E273C"/>
    <w:pPr>
      <w:spacing w:after="0" w:line="240" w:lineRule="auto"/>
    </w:pPr>
    <w:rPr>
      <w:color w:val="000000" w:themeColor="text1"/>
    </w:rPr>
    <w:tblPr>
      <w:tblStyleRowBandSize w:val="1"/>
      <w:tblStyleColBandSize w:val="1"/>
    </w:tblPr>
    <w:tcPr>
      <w:shd w:val="clear" w:color="auto" w:fill="F0E4F4" w:themeFill="accent4" w:themeFillTint="19"/>
    </w:tcPr>
    <w:tblStylePr w:type="firstRow">
      <w:rPr>
        <w:b/>
        <w:bCs/>
        <w:color w:val="FFFFFF" w:themeColor="background1"/>
      </w:rPr>
      <w:tblPr/>
      <w:tcPr>
        <w:tcBorders>
          <w:bottom w:val="single" w:sz="12" w:space="0" w:color="FFFFFF" w:themeColor="background1"/>
        </w:tcBorders>
        <w:shd w:val="clear" w:color="auto" w:fill="BA860F" w:themeFill="accent3" w:themeFillShade="CC"/>
      </w:tcPr>
    </w:tblStylePr>
    <w:tblStylePr w:type="lastRow">
      <w:rPr>
        <w:b/>
        <w:bCs/>
        <w:color w:val="BA860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BCE4" w:themeFill="accent4" w:themeFillTint="3F"/>
      </w:tcPr>
    </w:tblStylePr>
    <w:tblStylePr w:type="band1Horz">
      <w:tblPr/>
      <w:tcPr>
        <w:shd w:val="clear" w:color="auto" w:fill="E1C9E9" w:themeFill="accent4" w:themeFillTint="33"/>
      </w:tcPr>
    </w:tblStylePr>
  </w:style>
  <w:style w:type="table" w:styleId="ColorfulList-Accent5">
    <w:name w:val="Colorful List Accent 5"/>
    <w:basedOn w:val="TableNormal"/>
    <w:uiPriority w:val="72"/>
    <w:semiHidden/>
    <w:rsid w:val="003E273C"/>
    <w:pPr>
      <w:spacing w:after="0" w:line="240" w:lineRule="auto"/>
    </w:pPr>
    <w:rPr>
      <w:color w:val="000000" w:themeColor="text1"/>
    </w:rPr>
    <w:tblPr>
      <w:tblStyleRowBandSize w:val="1"/>
      <w:tblStyleColBandSize w:val="1"/>
    </w:tblPr>
    <w:tcPr>
      <w:shd w:val="clear" w:color="auto" w:fill="EAEDF7" w:themeFill="accent5" w:themeFillTint="19"/>
    </w:tcPr>
    <w:tblStylePr w:type="firstRow">
      <w:rPr>
        <w:b/>
        <w:bCs/>
        <w:color w:val="FFFFFF" w:themeColor="background1"/>
      </w:rPr>
      <w:tblPr/>
      <w:tcPr>
        <w:tcBorders>
          <w:bottom w:val="single" w:sz="12" w:space="0" w:color="FFFFFF" w:themeColor="background1"/>
        </w:tcBorders>
        <w:shd w:val="clear" w:color="auto" w:fill="43464D" w:themeFill="accent6" w:themeFillShade="CC"/>
      </w:tcPr>
    </w:tblStylePr>
    <w:tblStylePr w:type="lastRow">
      <w:rPr>
        <w:b/>
        <w:bCs/>
        <w:color w:val="43464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2EC" w:themeFill="accent5" w:themeFillTint="3F"/>
      </w:tcPr>
    </w:tblStylePr>
    <w:tblStylePr w:type="band1Horz">
      <w:tblPr/>
      <w:tcPr>
        <w:shd w:val="clear" w:color="auto" w:fill="D5DBEF" w:themeFill="accent5" w:themeFillTint="33"/>
      </w:tcPr>
    </w:tblStylePr>
  </w:style>
  <w:style w:type="table" w:styleId="ColorfulList-Accent6">
    <w:name w:val="Colorful List Accent 6"/>
    <w:basedOn w:val="TableNormal"/>
    <w:uiPriority w:val="72"/>
    <w:semiHidden/>
    <w:rsid w:val="003E273C"/>
    <w:pPr>
      <w:spacing w:after="0" w:line="240" w:lineRule="auto"/>
    </w:pPr>
    <w:rPr>
      <w:color w:val="000000" w:themeColor="text1"/>
    </w:rPr>
    <w:tblPr>
      <w:tblStyleRowBandSize w:val="1"/>
      <w:tblStyleColBandSize w:val="1"/>
    </w:tblPr>
    <w:tcPr>
      <w:shd w:val="clear" w:color="auto" w:fill="EDEEF0" w:themeFill="accent6" w:themeFillTint="19"/>
    </w:tcPr>
    <w:tblStylePr w:type="firstRow">
      <w:rPr>
        <w:b/>
        <w:bCs/>
        <w:color w:val="FFFFFF" w:themeColor="background1"/>
      </w:rPr>
      <w:tblPr/>
      <w:tcPr>
        <w:tcBorders>
          <w:bottom w:val="single" w:sz="12" w:space="0" w:color="FFFFFF" w:themeColor="background1"/>
        </w:tcBorders>
        <w:shd w:val="clear" w:color="auto" w:fill="304384" w:themeFill="accent5" w:themeFillShade="CC"/>
      </w:tcPr>
    </w:tblStylePr>
    <w:tblStylePr w:type="lastRow">
      <w:rPr>
        <w:b/>
        <w:bCs/>
        <w:color w:val="30438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9" w:themeFill="accent6" w:themeFillTint="3F"/>
      </w:tcPr>
    </w:tblStylePr>
    <w:tblStylePr w:type="band1Horz">
      <w:tblPr/>
      <w:tcPr>
        <w:shd w:val="clear" w:color="auto" w:fill="DBDDE0" w:themeFill="accent6" w:themeFillTint="33"/>
      </w:tcPr>
    </w:tblStylePr>
  </w:style>
  <w:style w:type="table" w:styleId="ColorfulShading">
    <w:name w:val="Colorful Shading"/>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4586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458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45861" w:themeColor="accent2"/>
        <w:left w:val="single" w:sz="4" w:space="0" w:color="3C54A5" w:themeColor="accent1"/>
        <w:bottom w:val="single" w:sz="4" w:space="0" w:color="3C54A5" w:themeColor="accent1"/>
        <w:right w:val="single" w:sz="4" w:space="0" w:color="3C54A5" w:themeColor="accent1"/>
        <w:insideH w:val="single" w:sz="4" w:space="0" w:color="FFFFFF" w:themeColor="background1"/>
        <w:insideV w:val="single" w:sz="4" w:space="0" w:color="FFFFFF" w:themeColor="background1"/>
      </w:tblBorders>
    </w:tblPr>
    <w:tcPr>
      <w:shd w:val="clear" w:color="auto" w:fill="EAEDF7" w:themeFill="accent1" w:themeFillTint="19"/>
    </w:tcPr>
    <w:tblStylePr w:type="firstRow">
      <w:rPr>
        <w:b/>
        <w:bCs/>
      </w:rPr>
      <w:tblPr/>
      <w:tcPr>
        <w:tcBorders>
          <w:top w:val="nil"/>
          <w:left w:val="nil"/>
          <w:bottom w:val="single" w:sz="24" w:space="0" w:color="5458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3263" w:themeFill="accent1" w:themeFillShade="99"/>
      </w:tcPr>
    </w:tblStylePr>
    <w:tblStylePr w:type="firstCol">
      <w:rPr>
        <w:color w:val="FFFFFF" w:themeColor="background1"/>
      </w:rPr>
      <w:tblPr/>
      <w:tcPr>
        <w:tcBorders>
          <w:top w:val="nil"/>
          <w:left w:val="nil"/>
          <w:bottom w:val="nil"/>
          <w:right w:val="nil"/>
          <w:insideH w:val="single" w:sz="4" w:space="0" w:color="243263" w:themeColor="accent1" w:themeShade="99"/>
          <w:insideV w:val="nil"/>
        </w:tcBorders>
        <w:shd w:val="clear" w:color="auto" w:fill="24326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43263" w:themeFill="accent1" w:themeFillShade="99"/>
      </w:tcPr>
    </w:tblStylePr>
    <w:tblStylePr w:type="band1Vert">
      <w:tblPr/>
      <w:tcPr>
        <w:shd w:val="clear" w:color="auto" w:fill="ABB7E0" w:themeFill="accent1" w:themeFillTint="66"/>
      </w:tcPr>
    </w:tblStylePr>
    <w:tblStylePr w:type="band1Horz">
      <w:tblPr/>
      <w:tcPr>
        <w:shd w:val="clear" w:color="auto" w:fill="96A5D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45861" w:themeColor="accent2"/>
        <w:left w:val="single" w:sz="4" w:space="0" w:color="545861" w:themeColor="accent2"/>
        <w:bottom w:val="single" w:sz="4" w:space="0" w:color="545861" w:themeColor="accent2"/>
        <w:right w:val="single" w:sz="4" w:space="0" w:color="545861" w:themeColor="accent2"/>
        <w:insideH w:val="single" w:sz="4" w:space="0" w:color="FFFFFF" w:themeColor="background1"/>
        <w:insideV w:val="single" w:sz="4" w:space="0" w:color="FFFFFF" w:themeColor="background1"/>
      </w:tblBorders>
    </w:tblPr>
    <w:tcPr>
      <w:shd w:val="clear" w:color="auto" w:fill="EDEEF0" w:themeFill="accent2" w:themeFillTint="19"/>
    </w:tcPr>
    <w:tblStylePr w:type="firstRow">
      <w:rPr>
        <w:b/>
        <w:bCs/>
      </w:rPr>
      <w:tblPr/>
      <w:tcPr>
        <w:tcBorders>
          <w:top w:val="nil"/>
          <w:left w:val="nil"/>
          <w:bottom w:val="single" w:sz="24" w:space="0" w:color="5458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43A" w:themeFill="accent2" w:themeFillShade="99"/>
      </w:tcPr>
    </w:tblStylePr>
    <w:tblStylePr w:type="firstCol">
      <w:rPr>
        <w:color w:val="FFFFFF" w:themeColor="background1"/>
      </w:rPr>
      <w:tblPr/>
      <w:tcPr>
        <w:tcBorders>
          <w:top w:val="nil"/>
          <w:left w:val="nil"/>
          <w:bottom w:val="nil"/>
          <w:right w:val="nil"/>
          <w:insideH w:val="single" w:sz="4" w:space="0" w:color="32343A" w:themeColor="accent2" w:themeShade="99"/>
          <w:insideV w:val="nil"/>
        </w:tcBorders>
        <w:shd w:val="clear" w:color="auto" w:fill="3234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2343A" w:themeFill="accent2" w:themeFillShade="99"/>
      </w:tcPr>
    </w:tblStylePr>
    <w:tblStylePr w:type="band1Vert">
      <w:tblPr/>
      <w:tcPr>
        <w:shd w:val="clear" w:color="auto" w:fill="B8BBC2" w:themeFill="accent2" w:themeFillTint="66"/>
      </w:tcPr>
    </w:tblStylePr>
    <w:tblStylePr w:type="band1Horz">
      <w:tblPr/>
      <w:tcPr>
        <w:shd w:val="clear" w:color="auto" w:fill="A7AAB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22761" w:themeColor="accent4"/>
        <w:left w:val="single" w:sz="4" w:space="0" w:color="E9A913" w:themeColor="accent3"/>
        <w:bottom w:val="single" w:sz="4" w:space="0" w:color="E9A913" w:themeColor="accent3"/>
        <w:right w:val="single" w:sz="4" w:space="0" w:color="E9A913" w:themeColor="accent3"/>
        <w:insideH w:val="single" w:sz="4" w:space="0" w:color="FFFFFF" w:themeColor="background1"/>
        <w:insideV w:val="single" w:sz="4" w:space="0" w:color="FFFFFF" w:themeColor="background1"/>
      </w:tblBorders>
    </w:tblPr>
    <w:tcPr>
      <w:shd w:val="clear" w:color="auto" w:fill="FDF6E7" w:themeFill="accent3" w:themeFillTint="19"/>
    </w:tcPr>
    <w:tblStylePr w:type="firstRow">
      <w:rPr>
        <w:b/>
        <w:bCs/>
      </w:rPr>
      <w:tblPr/>
      <w:tcPr>
        <w:tcBorders>
          <w:top w:val="nil"/>
          <w:left w:val="nil"/>
          <w:bottom w:val="single" w:sz="24" w:space="0" w:color="52276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640B" w:themeFill="accent3" w:themeFillShade="99"/>
      </w:tcPr>
    </w:tblStylePr>
    <w:tblStylePr w:type="firstCol">
      <w:rPr>
        <w:color w:val="FFFFFF" w:themeColor="background1"/>
      </w:rPr>
      <w:tblPr/>
      <w:tcPr>
        <w:tcBorders>
          <w:top w:val="nil"/>
          <w:left w:val="nil"/>
          <w:bottom w:val="nil"/>
          <w:right w:val="nil"/>
          <w:insideH w:val="single" w:sz="4" w:space="0" w:color="8B640B" w:themeColor="accent3" w:themeShade="99"/>
          <w:insideV w:val="nil"/>
        </w:tcBorders>
        <w:shd w:val="clear" w:color="auto" w:fill="8B64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B640B" w:themeFill="accent3" w:themeFillShade="99"/>
      </w:tcPr>
    </w:tblStylePr>
    <w:tblStylePr w:type="band1Vert">
      <w:tblPr/>
      <w:tcPr>
        <w:shd w:val="clear" w:color="auto" w:fill="F7DC9F" w:themeFill="accent3" w:themeFillTint="66"/>
      </w:tcPr>
    </w:tblStylePr>
    <w:tblStylePr w:type="band1Horz">
      <w:tblPr/>
      <w:tcPr>
        <w:shd w:val="clear" w:color="auto" w:fill="F5D488" w:themeFill="accent3" w:themeFillTint="7F"/>
      </w:tcPr>
    </w:tblStylePr>
  </w:style>
  <w:style w:type="table" w:styleId="ColorfulShading-Accent4">
    <w:name w:val="Colorful Shading Accent 4"/>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E9A913" w:themeColor="accent3"/>
        <w:left w:val="single" w:sz="4" w:space="0" w:color="522761" w:themeColor="accent4"/>
        <w:bottom w:val="single" w:sz="4" w:space="0" w:color="522761" w:themeColor="accent4"/>
        <w:right w:val="single" w:sz="4" w:space="0" w:color="522761" w:themeColor="accent4"/>
        <w:insideH w:val="single" w:sz="4" w:space="0" w:color="FFFFFF" w:themeColor="background1"/>
        <w:insideV w:val="single" w:sz="4" w:space="0" w:color="FFFFFF" w:themeColor="background1"/>
      </w:tblBorders>
    </w:tblPr>
    <w:tcPr>
      <w:shd w:val="clear" w:color="auto" w:fill="F0E4F4" w:themeFill="accent4" w:themeFillTint="19"/>
    </w:tcPr>
    <w:tblStylePr w:type="firstRow">
      <w:rPr>
        <w:b/>
        <w:bCs/>
      </w:rPr>
      <w:tblPr/>
      <w:tcPr>
        <w:tcBorders>
          <w:top w:val="nil"/>
          <w:left w:val="nil"/>
          <w:bottom w:val="single" w:sz="24" w:space="0" w:color="E9A91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1739" w:themeFill="accent4" w:themeFillShade="99"/>
      </w:tcPr>
    </w:tblStylePr>
    <w:tblStylePr w:type="firstCol">
      <w:rPr>
        <w:color w:val="FFFFFF" w:themeColor="background1"/>
      </w:rPr>
      <w:tblPr/>
      <w:tcPr>
        <w:tcBorders>
          <w:top w:val="nil"/>
          <w:left w:val="nil"/>
          <w:bottom w:val="nil"/>
          <w:right w:val="nil"/>
          <w:insideH w:val="single" w:sz="4" w:space="0" w:color="301739" w:themeColor="accent4" w:themeShade="99"/>
          <w:insideV w:val="nil"/>
        </w:tcBorders>
        <w:shd w:val="clear" w:color="auto" w:fill="30173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01739" w:themeFill="accent4" w:themeFillShade="99"/>
      </w:tcPr>
    </w:tblStylePr>
    <w:tblStylePr w:type="band1Vert">
      <w:tblPr/>
      <w:tcPr>
        <w:shd w:val="clear" w:color="auto" w:fill="C394D4" w:themeFill="accent4" w:themeFillTint="66"/>
      </w:tcPr>
    </w:tblStylePr>
    <w:tblStylePr w:type="band1Horz">
      <w:tblPr/>
      <w:tcPr>
        <w:shd w:val="clear" w:color="auto" w:fill="B57AC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45861" w:themeColor="accent6"/>
        <w:left w:val="single" w:sz="4" w:space="0" w:color="3C54A5" w:themeColor="accent5"/>
        <w:bottom w:val="single" w:sz="4" w:space="0" w:color="3C54A5" w:themeColor="accent5"/>
        <w:right w:val="single" w:sz="4" w:space="0" w:color="3C54A5" w:themeColor="accent5"/>
        <w:insideH w:val="single" w:sz="4" w:space="0" w:color="FFFFFF" w:themeColor="background1"/>
        <w:insideV w:val="single" w:sz="4" w:space="0" w:color="FFFFFF" w:themeColor="background1"/>
      </w:tblBorders>
    </w:tblPr>
    <w:tcPr>
      <w:shd w:val="clear" w:color="auto" w:fill="EAEDF7" w:themeFill="accent5" w:themeFillTint="19"/>
    </w:tcPr>
    <w:tblStylePr w:type="firstRow">
      <w:rPr>
        <w:b/>
        <w:bCs/>
      </w:rPr>
      <w:tblPr/>
      <w:tcPr>
        <w:tcBorders>
          <w:top w:val="nil"/>
          <w:left w:val="nil"/>
          <w:bottom w:val="single" w:sz="24" w:space="0" w:color="54586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3263" w:themeFill="accent5" w:themeFillShade="99"/>
      </w:tcPr>
    </w:tblStylePr>
    <w:tblStylePr w:type="firstCol">
      <w:rPr>
        <w:color w:val="FFFFFF" w:themeColor="background1"/>
      </w:rPr>
      <w:tblPr/>
      <w:tcPr>
        <w:tcBorders>
          <w:top w:val="nil"/>
          <w:left w:val="nil"/>
          <w:bottom w:val="nil"/>
          <w:right w:val="nil"/>
          <w:insideH w:val="single" w:sz="4" w:space="0" w:color="243263" w:themeColor="accent5" w:themeShade="99"/>
          <w:insideV w:val="nil"/>
        </w:tcBorders>
        <w:shd w:val="clear" w:color="auto" w:fill="24326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43263" w:themeFill="accent5" w:themeFillShade="99"/>
      </w:tcPr>
    </w:tblStylePr>
    <w:tblStylePr w:type="band1Vert">
      <w:tblPr/>
      <w:tcPr>
        <w:shd w:val="clear" w:color="auto" w:fill="ABB7E0" w:themeFill="accent5" w:themeFillTint="66"/>
      </w:tcPr>
    </w:tblStylePr>
    <w:tblStylePr w:type="band1Horz">
      <w:tblPr/>
      <w:tcPr>
        <w:shd w:val="clear" w:color="auto" w:fill="96A5D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3C54A5" w:themeColor="accent5"/>
        <w:left w:val="single" w:sz="4" w:space="0" w:color="545861" w:themeColor="accent6"/>
        <w:bottom w:val="single" w:sz="4" w:space="0" w:color="545861" w:themeColor="accent6"/>
        <w:right w:val="single" w:sz="4" w:space="0" w:color="545861" w:themeColor="accent6"/>
        <w:insideH w:val="single" w:sz="4" w:space="0" w:color="FFFFFF" w:themeColor="background1"/>
        <w:insideV w:val="single" w:sz="4" w:space="0" w:color="FFFFFF" w:themeColor="background1"/>
      </w:tblBorders>
    </w:tblPr>
    <w:tcPr>
      <w:shd w:val="clear" w:color="auto" w:fill="EDEEF0" w:themeFill="accent6" w:themeFillTint="19"/>
    </w:tcPr>
    <w:tblStylePr w:type="firstRow">
      <w:rPr>
        <w:b/>
        <w:bCs/>
      </w:rPr>
      <w:tblPr/>
      <w:tcPr>
        <w:tcBorders>
          <w:top w:val="nil"/>
          <w:left w:val="nil"/>
          <w:bottom w:val="single" w:sz="24" w:space="0" w:color="3C54A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43A" w:themeFill="accent6" w:themeFillShade="99"/>
      </w:tcPr>
    </w:tblStylePr>
    <w:tblStylePr w:type="firstCol">
      <w:rPr>
        <w:color w:val="FFFFFF" w:themeColor="background1"/>
      </w:rPr>
      <w:tblPr/>
      <w:tcPr>
        <w:tcBorders>
          <w:top w:val="nil"/>
          <w:left w:val="nil"/>
          <w:bottom w:val="nil"/>
          <w:right w:val="nil"/>
          <w:insideH w:val="single" w:sz="4" w:space="0" w:color="32343A" w:themeColor="accent6" w:themeShade="99"/>
          <w:insideV w:val="nil"/>
        </w:tcBorders>
        <w:shd w:val="clear" w:color="auto" w:fill="32343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2343A" w:themeFill="accent6" w:themeFillShade="99"/>
      </w:tcPr>
    </w:tblStylePr>
    <w:tblStylePr w:type="band1Vert">
      <w:tblPr/>
      <w:tcPr>
        <w:shd w:val="clear" w:color="auto" w:fill="B8BBC2" w:themeFill="accent6" w:themeFillTint="66"/>
      </w:tcPr>
    </w:tblStylePr>
    <w:tblStylePr w:type="band1Horz">
      <w:tblPr/>
      <w:tcPr>
        <w:shd w:val="clear" w:color="auto" w:fill="A7AAB3"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3C54A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295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D3E7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D3E7B" w:themeFill="accent1" w:themeFillShade="BF"/>
      </w:tcPr>
    </w:tblStylePr>
    <w:tblStylePr w:type="band1Vert">
      <w:tblPr/>
      <w:tcPr>
        <w:tcBorders>
          <w:top w:val="nil"/>
          <w:left w:val="nil"/>
          <w:bottom w:val="nil"/>
          <w:right w:val="nil"/>
          <w:insideH w:val="nil"/>
          <w:insideV w:val="nil"/>
        </w:tcBorders>
        <w:shd w:val="clear" w:color="auto" w:fill="2D3E7B" w:themeFill="accent1" w:themeFillShade="BF"/>
      </w:tcPr>
    </w:tblStylePr>
    <w:tblStylePr w:type="band1Horz">
      <w:tblPr/>
      <w:tcPr>
        <w:tcBorders>
          <w:top w:val="nil"/>
          <w:left w:val="nil"/>
          <w:bottom w:val="nil"/>
          <w:right w:val="nil"/>
          <w:insideH w:val="nil"/>
          <w:insideV w:val="nil"/>
        </w:tcBorders>
        <w:shd w:val="clear" w:color="auto" w:fill="2D3E7B" w:themeFill="accent1" w:themeFillShade="BF"/>
      </w:tcPr>
    </w:tblStylePr>
  </w:style>
  <w:style w:type="table" w:styleId="DarkList-Accent2">
    <w:name w:val="Dark List Accent 2"/>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54586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B3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F414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F4148" w:themeFill="accent2" w:themeFillShade="BF"/>
      </w:tcPr>
    </w:tblStylePr>
    <w:tblStylePr w:type="band1Vert">
      <w:tblPr/>
      <w:tcPr>
        <w:tcBorders>
          <w:top w:val="nil"/>
          <w:left w:val="nil"/>
          <w:bottom w:val="nil"/>
          <w:right w:val="nil"/>
          <w:insideH w:val="nil"/>
          <w:insideV w:val="nil"/>
        </w:tcBorders>
        <w:shd w:val="clear" w:color="auto" w:fill="3F4148" w:themeFill="accent2" w:themeFillShade="BF"/>
      </w:tcPr>
    </w:tblStylePr>
    <w:tblStylePr w:type="band1Horz">
      <w:tblPr/>
      <w:tcPr>
        <w:tcBorders>
          <w:top w:val="nil"/>
          <w:left w:val="nil"/>
          <w:bottom w:val="nil"/>
          <w:right w:val="nil"/>
          <w:insideH w:val="nil"/>
          <w:insideV w:val="nil"/>
        </w:tcBorders>
        <w:shd w:val="clear" w:color="auto" w:fill="3F4148" w:themeFill="accent2" w:themeFillShade="BF"/>
      </w:tcPr>
    </w:tblStylePr>
  </w:style>
  <w:style w:type="table" w:styleId="DarkList-Accent3">
    <w:name w:val="Dark List Accent 3"/>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E9A91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53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E7E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E7E0E" w:themeFill="accent3" w:themeFillShade="BF"/>
      </w:tcPr>
    </w:tblStylePr>
    <w:tblStylePr w:type="band1Vert">
      <w:tblPr/>
      <w:tcPr>
        <w:tcBorders>
          <w:top w:val="nil"/>
          <w:left w:val="nil"/>
          <w:bottom w:val="nil"/>
          <w:right w:val="nil"/>
          <w:insideH w:val="nil"/>
          <w:insideV w:val="nil"/>
        </w:tcBorders>
        <w:shd w:val="clear" w:color="auto" w:fill="AE7E0E" w:themeFill="accent3" w:themeFillShade="BF"/>
      </w:tcPr>
    </w:tblStylePr>
    <w:tblStylePr w:type="band1Horz">
      <w:tblPr/>
      <w:tcPr>
        <w:tcBorders>
          <w:top w:val="nil"/>
          <w:left w:val="nil"/>
          <w:bottom w:val="nil"/>
          <w:right w:val="nil"/>
          <w:insideH w:val="nil"/>
          <w:insideV w:val="nil"/>
        </w:tcBorders>
        <w:shd w:val="clear" w:color="auto" w:fill="AE7E0E" w:themeFill="accent3" w:themeFillShade="BF"/>
      </w:tcPr>
    </w:tblStylePr>
  </w:style>
  <w:style w:type="table" w:styleId="DarkList-Accent4">
    <w:name w:val="Dark List Accent 4"/>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52276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13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D1D4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D1D48" w:themeFill="accent4" w:themeFillShade="BF"/>
      </w:tcPr>
    </w:tblStylePr>
    <w:tblStylePr w:type="band1Vert">
      <w:tblPr/>
      <w:tcPr>
        <w:tcBorders>
          <w:top w:val="nil"/>
          <w:left w:val="nil"/>
          <w:bottom w:val="nil"/>
          <w:right w:val="nil"/>
          <w:insideH w:val="nil"/>
          <w:insideV w:val="nil"/>
        </w:tcBorders>
        <w:shd w:val="clear" w:color="auto" w:fill="3D1D48" w:themeFill="accent4" w:themeFillShade="BF"/>
      </w:tcPr>
    </w:tblStylePr>
    <w:tblStylePr w:type="band1Horz">
      <w:tblPr/>
      <w:tcPr>
        <w:tcBorders>
          <w:top w:val="nil"/>
          <w:left w:val="nil"/>
          <w:bottom w:val="nil"/>
          <w:right w:val="nil"/>
          <w:insideH w:val="nil"/>
          <w:insideV w:val="nil"/>
        </w:tcBorders>
        <w:shd w:val="clear" w:color="auto" w:fill="3D1D48" w:themeFill="accent4" w:themeFillShade="BF"/>
      </w:tcPr>
    </w:tblStylePr>
  </w:style>
  <w:style w:type="table" w:styleId="DarkList-Accent5">
    <w:name w:val="Dark List Accent 5"/>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3C54A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295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D3E7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D3E7B" w:themeFill="accent5" w:themeFillShade="BF"/>
      </w:tcPr>
    </w:tblStylePr>
    <w:tblStylePr w:type="band1Vert">
      <w:tblPr/>
      <w:tcPr>
        <w:tcBorders>
          <w:top w:val="nil"/>
          <w:left w:val="nil"/>
          <w:bottom w:val="nil"/>
          <w:right w:val="nil"/>
          <w:insideH w:val="nil"/>
          <w:insideV w:val="nil"/>
        </w:tcBorders>
        <w:shd w:val="clear" w:color="auto" w:fill="2D3E7B" w:themeFill="accent5" w:themeFillShade="BF"/>
      </w:tcPr>
    </w:tblStylePr>
    <w:tblStylePr w:type="band1Horz">
      <w:tblPr/>
      <w:tcPr>
        <w:tcBorders>
          <w:top w:val="nil"/>
          <w:left w:val="nil"/>
          <w:bottom w:val="nil"/>
          <w:right w:val="nil"/>
          <w:insideH w:val="nil"/>
          <w:insideV w:val="nil"/>
        </w:tcBorders>
        <w:shd w:val="clear" w:color="auto" w:fill="2D3E7B" w:themeFill="accent5" w:themeFillShade="BF"/>
      </w:tcPr>
    </w:tblStylePr>
  </w:style>
  <w:style w:type="table" w:styleId="DarkList-Accent6">
    <w:name w:val="Dark List Accent 6"/>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54586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B3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F414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F4148" w:themeFill="accent6" w:themeFillShade="BF"/>
      </w:tcPr>
    </w:tblStylePr>
    <w:tblStylePr w:type="band1Vert">
      <w:tblPr/>
      <w:tcPr>
        <w:tcBorders>
          <w:top w:val="nil"/>
          <w:left w:val="nil"/>
          <w:bottom w:val="nil"/>
          <w:right w:val="nil"/>
          <w:insideH w:val="nil"/>
          <w:insideV w:val="nil"/>
        </w:tcBorders>
        <w:shd w:val="clear" w:color="auto" w:fill="3F4148" w:themeFill="accent6" w:themeFillShade="BF"/>
      </w:tcPr>
    </w:tblStylePr>
    <w:tblStylePr w:type="band1Horz">
      <w:tblPr/>
      <w:tcPr>
        <w:tcBorders>
          <w:top w:val="nil"/>
          <w:left w:val="nil"/>
          <w:bottom w:val="nil"/>
          <w:right w:val="nil"/>
          <w:insideH w:val="nil"/>
          <w:insideV w:val="nil"/>
        </w:tcBorders>
        <w:shd w:val="clear" w:color="auto" w:fill="3F4148" w:themeFill="accent6" w:themeFillShade="BF"/>
      </w:tcPr>
    </w:tblStylePr>
  </w:style>
  <w:style w:type="table" w:styleId="LightGrid">
    <w:name w:val="Light Grid"/>
    <w:basedOn w:val="TableNormal"/>
    <w:uiPriority w:val="62"/>
    <w:semiHidden/>
    <w:rsid w:val="003E273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E273C"/>
    <w:pPr>
      <w:spacing w:after="0" w:line="240" w:lineRule="auto"/>
    </w:pPr>
    <w:tblPr>
      <w:tblStyleRowBandSize w:val="1"/>
      <w:tblStyleColBandSize w:val="1"/>
      <w:tblBorders>
        <w:top w:val="single" w:sz="8" w:space="0" w:color="3C54A5" w:themeColor="accent1"/>
        <w:left w:val="single" w:sz="8" w:space="0" w:color="3C54A5" w:themeColor="accent1"/>
        <w:bottom w:val="single" w:sz="8" w:space="0" w:color="3C54A5" w:themeColor="accent1"/>
        <w:right w:val="single" w:sz="8" w:space="0" w:color="3C54A5" w:themeColor="accent1"/>
        <w:insideH w:val="single" w:sz="8" w:space="0" w:color="3C54A5" w:themeColor="accent1"/>
        <w:insideV w:val="single" w:sz="8" w:space="0" w:color="3C54A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54A5" w:themeColor="accent1"/>
          <w:left w:val="single" w:sz="8" w:space="0" w:color="3C54A5" w:themeColor="accent1"/>
          <w:bottom w:val="single" w:sz="18" w:space="0" w:color="3C54A5" w:themeColor="accent1"/>
          <w:right w:val="single" w:sz="8" w:space="0" w:color="3C54A5" w:themeColor="accent1"/>
          <w:insideH w:val="nil"/>
          <w:insideV w:val="single" w:sz="8" w:space="0" w:color="3C54A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54A5" w:themeColor="accent1"/>
          <w:left w:val="single" w:sz="8" w:space="0" w:color="3C54A5" w:themeColor="accent1"/>
          <w:bottom w:val="single" w:sz="8" w:space="0" w:color="3C54A5" w:themeColor="accent1"/>
          <w:right w:val="single" w:sz="8" w:space="0" w:color="3C54A5" w:themeColor="accent1"/>
          <w:insideH w:val="nil"/>
          <w:insideV w:val="single" w:sz="8" w:space="0" w:color="3C54A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54A5" w:themeColor="accent1"/>
          <w:left w:val="single" w:sz="8" w:space="0" w:color="3C54A5" w:themeColor="accent1"/>
          <w:bottom w:val="single" w:sz="8" w:space="0" w:color="3C54A5" w:themeColor="accent1"/>
          <w:right w:val="single" w:sz="8" w:space="0" w:color="3C54A5" w:themeColor="accent1"/>
        </w:tcBorders>
      </w:tcPr>
    </w:tblStylePr>
    <w:tblStylePr w:type="band1Vert">
      <w:tblPr/>
      <w:tcPr>
        <w:tcBorders>
          <w:top w:val="single" w:sz="8" w:space="0" w:color="3C54A5" w:themeColor="accent1"/>
          <w:left w:val="single" w:sz="8" w:space="0" w:color="3C54A5" w:themeColor="accent1"/>
          <w:bottom w:val="single" w:sz="8" w:space="0" w:color="3C54A5" w:themeColor="accent1"/>
          <w:right w:val="single" w:sz="8" w:space="0" w:color="3C54A5" w:themeColor="accent1"/>
        </w:tcBorders>
        <w:shd w:val="clear" w:color="auto" w:fill="CBD2EC" w:themeFill="accent1" w:themeFillTint="3F"/>
      </w:tcPr>
    </w:tblStylePr>
    <w:tblStylePr w:type="band1Horz">
      <w:tblPr/>
      <w:tcPr>
        <w:tcBorders>
          <w:top w:val="single" w:sz="8" w:space="0" w:color="3C54A5" w:themeColor="accent1"/>
          <w:left w:val="single" w:sz="8" w:space="0" w:color="3C54A5" w:themeColor="accent1"/>
          <w:bottom w:val="single" w:sz="8" w:space="0" w:color="3C54A5" w:themeColor="accent1"/>
          <w:right w:val="single" w:sz="8" w:space="0" w:color="3C54A5" w:themeColor="accent1"/>
          <w:insideV w:val="single" w:sz="8" w:space="0" w:color="3C54A5" w:themeColor="accent1"/>
        </w:tcBorders>
        <w:shd w:val="clear" w:color="auto" w:fill="CBD2EC" w:themeFill="accent1" w:themeFillTint="3F"/>
      </w:tcPr>
    </w:tblStylePr>
    <w:tblStylePr w:type="band2Horz">
      <w:tblPr/>
      <w:tcPr>
        <w:tcBorders>
          <w:top w:val="single" w:sz="8" w:space="0" w:color="3C54A5" w:themeColor="accent1"/>
          <w:left w:val="single" w:sz="8" w:space="0" w:color="3C54A5" w:themeColor="accent1"/>
          <w:bottom w:val="single" w:sz="8" w:space="0" w:color="3C54A5" w:themeColor="accent1"/>
          <w:right w:val="single" w:sz="8" w:space="0" w:color="3C54A5" w:themeColor="accent1"/>
          <w:insideV w:val="single" w:sz="8" w:space="0" w:color="3C54A5" w:themeColor="accent1"/>
        </w:tcBorders>
      </w:tcPr>
    </w:tblStylePr>
  </w:style>
  <w:style w:type="table" w:styleId="LightGrid-Accent2">
    <w:name w:val="Light Grid Accent 2"/>
    <w:basedOn w:val="TableNormal"/>
    <w:uiPriority w:val="62"/>
    <w:semiHidden/>
    <w:rsid w:val="003E273C"/>
    <w:pPr>
      <w:spacing w:after="0" w:line="240" w:lineRule="auto"/>
    </w:pPr>
    <w:tblPr>
      <w:tblStyleRowBandSize w:val="1"/>
      <w:tblStyleColBandSize w:val="1"/>
      <w:tblBorders>
        <w:top w:val="single" w:sz="8" w:space="0" w:color="545861" w:themeColor="accent2"/>
        <w:left w:val="single" w:sz="8" w:space="0" w:color="545861" w:themeColor="accent2"/>
        <w:bottom w:val="single" w:sz="8" w:space="0" w:color="545861" w:themeColor="accent2"/>
        <w:right w:val="single" w:sz="8" w:space="0" w:color="545861" w:themeColor="accent2"/>
        <w:insideH w:val="single" w:sz="8" w:space="0" w:color="545861" w:themeColor="accent2"/>
        <w:insideV w:val="single" w:sz="8" w:space="0" w:color="5458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861" w:themeColor="accent2"/>
          <w:left w:val="single" w:sz="8" w:space="0" w:color="545861" w:themeColor="accent2"/>
          <w:bottom w:val="single" w:sz="18" w:space="0" w:color="545861" w:themeColor="accent2"/>
          <w:right w:val="single" w:sz="8" w:space="0" w:color="545861" w:themeColor="accent2"/>
          <w:insideH w:val="nil"/>
          <w:insideV w:val="single" w:sz="8" w:space="0" w:color="5458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861" w:themeColor="accent2"/>
          <w:left w:val="single" w:sz="8" w:space="0" w:color="545861" w:themeColor="accent2"/>
          <w:bottom w:val="single" w:sz="8" w:space="0" w:color="545861" w:themeColor="accent2"/>
          <w:right w:val="single" w:sz="8" w:space="0" w:color="545861" w:themeColor="accent2"/>
          <w:insideH w:val="nil"/>
          <w:insideV w:val="single" w:sz="8" w:space="0" w:color="5458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861" w:themeColor="accent2"/>
          <w:left w:val="single" w:sz="8" w:space="0" w:color="545861" w:themeColor="accent2"/>
          <w:bottom w:val="single" w:sz="8" w:space="0" w:color="545861" w:themeColor="accent2"/>
          <w:right w:val="single" w:sz="8" w:space="0" w:color="545861" w:themeColor="accent2"/>
        </w:tcBorders>
      </w:tcPr>
    </w:tblStylePr>
    <w:tblStylePr w:type="band1Vert">
      <w:tblPr/>
      <w:tcPr>
        <w:tcBorders>
          <w:top w:val="single" w:sz="8" w:space="0" w:color="545861" w:themeColor="accent2"/>
          <w:left w:val="single" w:sz="8" w:space="0" w:color="545861" w:themeColor="accent2"/>
          <w:bottom w:val="single" w:sz="8" w:space="0" w:color="545861" w:themeColor="accent2"/>
          <w:right w:val="single" w:sz="8" w:space="0" w:color="545861" w:themeColor="accent2"/>
        </w:tcBorders>
        <w:shd w:val="clear" w:color="auto" w:fill="D3D5D9" w:themeFill="accent2" w:themeFillTint="3F"/>
      </w:tcPr>
    </w:tblStylePr>
    <w:tblStylePr w:type="band1Horz">
      <w:tblPr/>
      <w:tcPr>
        <w:tcBorders>
          <w:top w:val="single" w:sz="8" w:space="0" w:color="545861" w:themeColor="accent2"/>
          <w:left w:val="single" w:sz="8" w:space="0" w:color="545861" w:themeColor="accent2"/>
          <w:bottom w:val="single" w:sz="8" w:space="0" w:color="545861" w:themeColor="accent2"/>
          <w:right w:val="single" w:sz="8" w:space="0" w:color="545861" w:themeColor="accent2"/>
          <w:insideV w:val="single" w:sz="8" w:space="0" w:color="545861" w:themeColor="accent2"/>
        </w:tcBorders>
        <w:shd w:val="clear" w:color="auto" w:fill="D3D5D9" w:themeFill="accent2" w:themeFillTint="3F"/>
      </w:tcPr>
    </w:tblStylePr>
    <w:tblStylePr w:type="band2Horz">
      <w:tblPr/>
      <w:tcPr>
        <w:tcBorders>
          <w:top w:val="single" w:sz="8" w:space="0" w:color="545861" w:themeColor="accent2"/>
          <w:left w:val="single" w:sz="8" w:space="0" w:color="545861" w:themeColor="accent2"/>
          <w:bottom w:val="single" w:sz="8" w:space="0" w:color="545861" w:themeColor="accent2"/>
          <w:right w:val="single" w:sz="8" w:space="0" w:color="545861" w:themeColor="accent2"/>
          <w:insideV w:val="single" w:sz="8" w:space="0" w:color="545861" w:themeColor="accent2"/>
        </w:tcBorders>
      </w:tcPr>
    </w:tblStylePr>
  </w:style>
  <w:style w:type="table" w:styleId="LightGrid-Accent3">
    <w:name w:val="Light Grid Accent 3"/>
    <w:basedOn w:val="TableNormal"/>
    <w:uiPriority w:val="62"/>
    <w:semiHidden/>
    <w:rsid w:val="003E273C"/>
    <w:pPr>
      <w:spacing w:after="0" w:line="240" w:lineRule="auto"/>
    </w:pPr>
    <w:tblPr>
      <w:tblStyleRowBandSize w:val="1"/>
      <w:tblStyleColBandSize w:val="1"/>
      <w:tblBorders>
        <w:top w:val="single" w:sz="8" w:space="0" w:color="E9A913" w:themeColor="accent3"/>
        <w:left w:val="single" w:sz="8" w:space="0" w:color="E9A913" w:themeColor="accent3"/>
        <w:bottom w:val="single" w:sz="8" w:space="0" w:color="E9A913" w:themeColor="accent3"/>
        <w:right w:val="single" w:sz="8" w:space="0" w:color="E9A913" w:themeColor="accent3"/>
        <w:insideH w:val="single" w:sz="8" w:space="0" w:color="E9A913" w:themeColor="accent3"/>
        <w:insideV w:val="single" w:sz="8" w:space="0" w:color="E9A91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A913" w:themeColor="accent3"/>
          <w:left w:val="single" w:sz="8" w:space="0" w:color="E9A913" w:themeColor="accent3"/>
          <w:bottom w:val="single" w:sz="18" w:space="0" w:color="E9A913" w:themeColor="accent3"/>
          <w:right w:val="single" w:sz="8" w:space="0" w:color="E9A913" w:themeColor="accent3"/>
          <w:insideH w:val="nil"/>
          <w:insideV w:val="single" w:sz="8" w:space="0" w:color="E9A91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A913" w:themeColor="accent3"/>
          <w:left w:val="single" w:sz="8" w:space="0" w:color="E9A913" w:themeColor="accent3"/>
          <w:bottom w:val="single" w:sz="8" w:space="0" w:color="E9A913" w:themeColor="accent3"/>
          <w:right w:val="single" w:sz="8" w:space="0" w:color="E9A913" w:themeColor="accent3"/>
          <w:insideH w:val="nil"/>
          <w:insideV w:val="single" w:sz="8" w:space="0" w:color="E9A91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A913" w:themeColor="accent3"/>
          <w:left w:val="single" w:sz="8" w:space="0" w:color="E9A913" w:themeColor="accent3"/>
          <w:bottom w:val="single" w:sz="8" w:space="0" w:color="E9A913" w:themeColor="accent3"/>
          <w:right w:val="single" w:sz="8" w:space="0" w:color="E9A913" w:themeColor="accent3"/>
        </w:tcBorders>
      </w:tcPr>
    </w:tblStylePr>
    <w:tblStylePr w:type="band1Vert">
      <w:tblPr/>
      <w:tcPr>
        <w:tcBorders>
          <w:top w:val="single" w:sz="8" w:space="0" w:color="E9A913" w:themeColor="accent3"/>
          <w:left w:val="single" w:sz="8" w:space="0" w:color="E9A913" w:themeColor="accent3"/>
          <w:bottom w:val="single" w:sz="8" w:space="0" w:color="E9A913" w:themeColor="accent3"/>
          <w:right w:val="single" w:sz="8" w:space="0" w:color="E9A913" w:themeColor="accent3"/>
        </w:tcBorders>
        <w:shd w:val="clear" w:color="auto" w:fill="FAE9C3" w:themeFill="accent3" w:themeFillTint="3F"/>
      </w:tcPr>
    </w:tblStylePr>
    <w:tblStylePr w:type="band1Horz">
      <w:tblPr/>
      <w:tcPr>
        <w:tcBorders>
          <w:top w:val="single" w:sz="8" w:space="0" w:color="E9A913" w:themeColor="accent3"/>
          <w:left w:val="single" w:sz="8" w:space="0" w:color="E9A913" w:themeColor="accent3"/>
          <w:bottom w:val="single" w:sz="8" w:space="0" w:color="E9A913" w:themeColor="accent3"/>
          <w:right w:val="single" w:sz="8" w:space="0" w:color="E9A913" w:themeColor="accent3"/>
          <w:insideV w:val="single" w:sz="8" w:space="0" w:color="E9A913" w:themeColor="accent3"/>
        </w:tcBorders>
        <w:shd w:val="clear" w:color="auto" w:fill="FAE9C3" w:themeFill="accent3" w:themeFillTint="3F"/>
      </w:tcPr>
    </w:tblStylePr>
    <w:tblStylePr w:type="band2Horz">
      <w:tblPr/>
      <w:tcPr>
        <w:tcBorders>
          <w:top w:val="single" w:sz="8" w:space="0" w:color="E9A913" w:themeColor="accent3"/>
          <w:left w:val="single" w:sz="8" w:space="0" w:color="E9A913" w:themeColor="accent3"/>
          <w:bottom w:val="single" w:sz="8" w:space="0" w:color="E9A913" w:themeColor="accent3"/>
          <w:right w:val="single" w:sz="8" w:space="0" w:color="E9A913" w:themeColor="accent3"/>
          <w:insideV w:val="single" w:sz="8" w:space="0" w:color="E9A913" w:themeColor="accent3"/>
        </w:tcBorders>
      </w:tcPr>
    </w:tblStylePr>
  </w:style>
  <w:style w:type="table" w:styleId="LightGrid-Accent4">
    <w:name w:val="Light Grid Accent 4"/>
    <w:basedOn w:val="TableNormal"/>
    <w:uiPriority w:val="62"/>
    <w:semiHidden/>
    <w:rsid w:val="003E273C"/>
    <w:pPr>
      <w:spacing w:after="0" w:line="240" w:lineRule="auto"/>
    </w:pPr>
    <w:tblPr>
      <w:tblStyleRowBandSize w:val="1"/>
      <w:tblStyleColBandSize w:val="1"/>
      <w:tblBorders>
        <w:top w:val="single" w:sz="8" w:space="0" w:color="522761" w:themeColor="accent4"/>
        <w:left w:val="single" w:sz="8" w:space="0" w:color="522761" w:themeColor="accent4"/>
        <w:bottom w:val="single" w:sz="8" w:space="0" w:color="522761" w:themeColor="accent4"/>
        <w:right w:val="single" w:sz="8" w:space="0" w:color="522761" w:themeColor="accent4"/>
        <w:insideH w:val="single" w:sz="8" w:space="0" w:color="522761" w:themeColor="accent4"/>
        <w:insideV w:val="single" w:sz="8" w:space="0" w:color="52276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22761" w:themeColor="accent4"/>
          <w:left w:val="single" w:sz="8" w:space="0" w:color="522761" w:themeColor="accent4"/>
          <w:bottom w:val="single" w:sz="18" w:space="0" w:color="522761" w:themeColor="accent4"/>
          <w:right w:val="single" w:sz="8" w:space="0" w:color="522761" w:themeColor="accent4"/>
          <w:insideH w:val="nil"/>
          <w:insideV w:val="single" w:sz="8" w:space="0" w:color="52276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22761" w:themeColor="accent4"/>
          <w:left w:val="single" w:sz="8" w:space="0" w:color="522761" w:themeColor="accent4"/>
          <w:bottom w:val="single" w:sz="8" w:space="0" w:color="522761" w:themeColor="accent4"/>
          <w:right w:val="single" w:sz="8" w:space="0" w:color="522761" w:themeColor="accent4"/>
          <w:insideH w:val="nil"/>
          <w:insideV w:val="single" w:sz="8" w:space="0" w:color="52276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22761" w:themeColor="accent4"/>
          <w:left w:val="single" w:sz="8" w:space="0" w:color="522761" w:themeColor="accent4"/>
          <w:bottom w:val="single" w:sz="8" w:space="0" w:color="522761" w:themeColor="accent4"/>
          <w:right w:val="single" w:sz="8" w:space="0" w:color="522761" w:themeColor="accent4"/>
        </w:tcBorders>
      </w:tcPr>
    </w:tblStylePr>
    <w:tblStylePr w:type="band1Vert">
      <w:tblPr/>
      <w:tcPr>
        <w:tcBorders>
          <w:top w:val="single" w:sz="8" w:space="0" w:color="522761" w:themeColor="accent4"/>
          <w:left w:val="single" w:sz="8" w:space="0" w:color="522761" w:themeColor="accent4"/>
          <w:bottom w:val="single" w:sz="8" w:space="0" w:color="522761" w:themeColor="accent4"/>
          <w:right w:val="single" w:sz="8" w:space="0" w:color="522761" w:themeColor="accent4"/>
        </w:tcBorders>
        <w:shd w:val="clear" w:color="auto" w:fill="DABCE4" w:themeFill="accent4" w:themeFillTint="3F"/>
      </w:tcPr>
    </w:tblStylePr>
    <w:tblStylePr w:type="band1Horz">
      <w:tblPr/>
      <w:tcPr>
        <w:tcBorders>
          <w:top w:val="single" w:sz="8" w:space="0" w:color="522761" w:themeColor="accent4"/>
          <w:left w:val="single" w:sz="8" w:space="0" w:color="522761" w:themeColor="accent4"/>
          <w:bottom w:val="single" w:sz="8" w:space="0" w:color="522761" w:themeColor="accent4"/>
          <w:right w:val="single" w:sz="8" w:space="0" w:color="522761" w:themeColor="accent4"/>
          <w:insideV w:val="single" w:sz="8" w:space="0" w:color="522761" w:themeColor="accent4"/>
        </w:tcBorders>
        <w:shd w:val="clear" w:color="auto" w:fill="DABCE4" w:themeFill="accent4" w:themeFillTint="3F"/>
      </w:tcPr>
    </w:tblStylePr>
    <w:tblStylePr w:type="band2Horz">
      <w:tblPr/>
      <w:tcPr>
        <w:tcBorders>
          <w:top w:val="single" w:sz="8" w:space="0" w:color="522761" w:themeColor="accent4"/>
          <w:left w:val="single" w:sz="8" w:space="0" w:color="522761" w:themeColor="accent4"/>
          <w:bottom w:val="single" w:sz="8" w:space="0" w:color="522761" w:themeColor="accent4"/>
          <w:right w:val="single" w:sz="8" w:space="0" w:color="522761" w:themeColor="accent4"/>
          <w:insideV w:val="single" w:sz="8" w:space="0" w:color="522761" w:themeColor="accent4"/>
        </w:tcBorders>
      </w:tcPr>
    </w:tblStylePr>
  </w:style>
  <w:style w:type="table" w:styleId="LightGrid-Accent5">
    <w:name w:val="Light Grid Accent 5"/>
    <w:basedOn w:val="TableNormal"/>
    <w:uiPriority w:val="62"/>
    <w:semiHidden/>
    <w:rsid w:val="003E273C"/>
    <w:pPr>
      <w:spacing w:after="0" w:line="240" w:lineRule="auto"/>
    </w:pPr>
    <w:tblPr>
      <w:tblStyleRowBandSize w:val="1"/>
      <w:tblStyleColBandSize w:val="1"/>
      <w:tblBorders>
        <w:top w:val="single" w:sz="8" w:space="0" w:color="3C54A5" w:themeColor="accent5"/>
        <w:left w:val="single" w:sz="8" w:space="0" w:color="3C54A5" w:themeColor="accent5"/>
        <w:bottom w:val="single" w:sz="8" w:space="0" w:color="3C54A5" w:themeColor="accent5"/>
        <w:right w:val="single" w:sz="8" w:space="0" w:color="3C54A5" w:themeColor="accent5"/>
        <w:insideH w:val="single" w:sz="8" w:space="0" w:color="3C54A5" w:themeColor="accent5"/>
        <w:insideV w:val="single" w:sz="8" w:space="0" w:color="3C54A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54A5" w:themeColor="accent5"/>
          <w:left w:val="single" w:sz="8" w:space="0" w:color="3C54A5" w:themeColor="accent5"/>
          <w:bottom w:val="single" w:sz="18" w:space="0" w:color="3C54A5" w:themeColor="accent5"/>
          <w:right w:val="single" w:sz="8" w:space="0" w:color="3C54A5" w:themeColor="accent5"/>
          <w:insideH w:val="nil"/>
          <w:insideV w:val="single" w:sz="8" w:space="0" w:color="3C54A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54A5" w:themeColor="accent5"/>
          <w:left w:val="single" w:sz="8" w:space="0" w:color="3C54A5" w:themeColor="accent5"/>
          <w:bottom w:val="single" w:sz="8" w:space="0" w:color="3C54A5" w:themeColor="accent5"/>
          <w:right w:val="single" w:sz="8" w:space="0" w:color="3C54A5" w:themeColor="accent5"/>
          <w:insideH w:val="nil"/>
          <w:insideV w:val="single" w:sz="8" w:space="0" w:color="3C54A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54A5" w:themeColor="accent5"/>
          <w:left w:val="single" w:sz="8" w:space="0" w:color="3C54A5" w:themeColor="accent5"/>
          <w:bottom w:val="single" w:sz="8" w:space="0" w:color="3C54A5" w:themeColor="accent5"/>
          <w:right w:val="single" w:sz="8" w:space="0" w:color="3C54A5" w:themeColor="accent5"/>
        </w:tcBorders>
      </w:tcPr>
    </w:tblStylePr>
    <w:tblStylePr w:type="band1Vert">
      <w:tblPr/>
      <w:tcPr>
        <w:tcBorders>
          <w:top w:val="single" w:sz="8" w:space="0" w:color="3C54A5" w:themeColor="accent5"/>
          <w:left w:val="single" w:sz="8" w:space="0" w:color="3C54A5" w:themeColor="accent5"/>
          <w:bottom w:val="single" w:sz="8" w:space="0" w:color="3C54A5" w:themeColor="accent5"/>
          <w:right w:val="single" w:sz="8" w:space="0" w:color="3C54A5" w:themeColor="accent5"/>
        </w:tcBorders>
        <w:shd w:val="clear" w:color="auto" w:fill="CBD2EC" w:themeFill="accent5" w:themeFillTint="3F"/>
      </w:tcPr>
    </w:tblStylePr>
    <w:tblStylePr w:type="band1Horz">
      <w:tblPr/>
      <w:tcPr>
        <w:tcBorders>
          <w:top w:val="single" w:sz="8" w:space="0" w:color="3C54A5" w:themeColor="accent5"/>
          <w:left w:val="single" w:sz="8" w:space="0" w:color="3C54A5" w:themeColor="accent5"/>
          <w:bottom w:val="single" w:sz="8" w:space="0" w:color="3C54A5" w:themeColor="accent5"/>
          <w:right w:val="single" w:sz="8" w:space="0" w:color="3C54A5" w:themeColor="accent5"/>
          <w:insideV w:val="single" w:sz="8" w:space="0" w:color="3C54A5" w:themeColor="accent5"/>
        </w:tcBorders>
        <w:shd w:val="clear" w:color="auto" w:fill="CBD2EC" w:themeFill="accent5" w:themeFillTint="3F"/>
      </w:tcPr>
    </w:tblStylePr>
    <w:tblStylePr w:type="band2Horz">
      <w:tblPr/>
      <w:tcPr>
        <w:tcBorders>
          <w:top w:val="single" w:sz="8" w:space="0" w:color="3C54A5" w:themeColor="accent5"/>
          <w:left w:val="single" w:sz="8" w:space="0" w:color="3C54A5" w:themeColor="accent5"/>
          <w:bottom w:val="single" w:sz="8" w:space="0" w:color="3C54A5" w:themeColor="accent5"/>
          <w:right w:val="single" w:sz="8" w:space="0" w:color="3C54A5" w:themeColor="accent5"/>
          <w:insideV w:val="single" w:sz="8" w:space="0" w:color="3C54A5" w:themeColor="accent5"/>
        </w:tcBorders>
      </w:tcPr>
    </w:tblStylePr>
  </w:style>
  <w:style w:type="table" w:styleId="LightGrid-Accent6">
    <w:name w:val="Light Grid Accent 6"/>
    <w:basedOn w:val="TableNormal"/>
    <w:uiPriority w:val="62"/>
    <w:semiHidden/>
    <w:rsid w:val="003E273C"/>
    <w:pPr>
      <w:spacing w:after="0" w:line="240" w:lineRule="auto"/>
    </w:pPr>
    <w:tblPr>
      <w:tblStyleRowBandSize w:val="1"/>
      <w:tblStyleColBandSize w:val="1"/>
      <w:tblBorders>
        <w:top w:val="single" w:sz="8" w:space="0" w:color="545861" w:themeColor="accent6"/>
        <w:left w:val="single" w:sz="8" w:space="0" w:color="545861" w:themeColor="accent6"/>
        <w:bottom w:val="single" w:sz="8" w:space="0" w:color="545861" w:themeColor="accent6"/>
        <w:right w:val="single" w:sz="8" w:space="0" w:color="545861" w:themeColor="accent6"/>
        <w:insideH w:val="single" w:sz="8" w:space="0" w:color="545861" w:themeColor="accent6"/>
        <w:insideV w:val="single" w:sz="8" w:space="0" w:color="54586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861" w:themeColor="accent6"/>
          <w:left w:val="single" w:sz="8" w:space="0" w:color="545861" w:themeColor="accent6"/>
          <w:bottom w:val="single" w:sz="18" w:space="0" w:color="545861" w:themeColor="accent6"/>
          <w:right w:val="single" w:sz="8" w:space="0" w:color="545861" w:themeColor="accent6"/>
          <w:insideH w:val="nil"/>
          <w:insideV w:val="single" w:sz="8" w:space="0" w:color="54586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861" w:themeColor="accent6"/>
          <w:left w:val="single" w:sz="8" w:space="0" w:color="545861" w:themeColor="accent6"/>
          <w:bottom w:val="single" w:sz="8" w:space="0" w:color="545861" w:themeColor="accent6"/>
          <w:right w:val="single" w:sz="8" w:space="0" w:color="545861" w:themeColor="accent6"/>
          <w:insideH w:val="nil"/>
          <w:insideV w:val="single" w:sz="8" w:space="0" w:color="54586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861" w:themeColor="accent6"/>
          <w:left w:val="single" w:sz="8" w:space="0" w:color="545861" w:themeColor="accent6"/>
          <w:bottom w:val="single" w:sz="8" w:space="0" w:color="545861" w:themeColor="accent6"/>
          <w:right w:val="single" w:sz="8" w:space="0" w:color="545861" w:themeColor="accent6"/>
        </w:tcBorders>
      </w:tcPr>
    </w:tblStylePr>
    <w:tblStylePr w:type="band1Vert">
      <w:tblPr/>
      <w:tcPr>
        <w:tcBorders>
          <w:top w:val="single" w:sz="8" w:space="0" w:color="545861" w:themeColor="accent6"/>
          <w:left w:val="single" w:sz="8" w:space="0" w:color="545861" w:themeColor="accent6"/>
          <w:bottom w:val="single" w:sz="8" w:space="0" w:color="545861" w:themeColor="accent6"/>
          <w:right w:val="single" w:sz="8" w:space="0" w:color="545861" w:themeColor="accent6"/>
        </w:tcBorders>
        <w:shd w:val="clear" w:color="auto" w:fill="D3D5D9" w:themeFill="accent6" w:themeFillTint="3F"/>
      </w:tcPr>
    </w:tblStylePr>
    <w:tblStylePr w:type="band1Horz">
      <w:tblPr/>
      <w:tcPr>
        <w:tcBorders>
          <w:top w:val="single" w:sz="8" w:space="0" w:color="545861" w:themeColor="accent6"/>
          <w:left w:val="single" w:sz="8" w:space="0" w:color="545861" w:themeColor="accent6"/>
          <w:bottom w:val="single" w:sz="8" w:space="0" w:color="545861" w:themeColor="accent6"/>
          <w:right w:val="single" w:sz="8" w:space="0" w:color="545861" w:themeColor="accent6"/>
          <w:insideV w:val="single" w:sz="8" w:space="0" w:color="545861" w:themeColor="accent6"/>
        </w:tcBorders>
        <w:shd w:val="clear" w:color="auto" w:fill="D3D5D9" w:themeFill="accent6" w:themeFillTint="3F"/>
      </w:tcPr>
    </w:tblStylePr>
    <w:tblStylePr w:type="band2Horz">
      <w:tblPr/>
      <w:tcPr>
        <w:tcBorders>
          <w:top w:val="single" w:sz="8" w:space="0" w:color="545861" w:themeColor="accent6"/>
          <w:left w:val="single" w:sz="8" w:space="0" w:color="545861" w:themeColor="accent6"/>
          <w:bottom w:val="single" w:sz="8" w:space="0" w:color="545861" w:themeColor="accent6"/>
          <w:right w:val="single" w:sz="8" w:space="0" w:color="545861" w:themeColor="accent6"/>
          <w:insideV w:val="single" w:sz="8" w:space="0" w:color="545861" w:themeColor="accent6"/>
        </w:tcBorders>
      </w:tcPr>
    </w:tblStylePr>
  </w:style>
  <w:style w:type="table" w:styleId="LightList">
    <w:name w:val="Light List"/>
    <w:basedOn w:val="TableNormal"/>
    <w:uiPriority w:val="61"/>
    <w:semiHidden/>
    <w:rsid w:val="003E273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E273C"/>
    <w:pPr>
      <w:spacing w:after="0" w:line="240" w:lineRule="auto"/>
    </w:pPr>
    <w:tblPr>
      <w:tblStyleRowBandSize w:val="1"/>
      <w:tblStyleColBandSize w:val="1"/>
      <w:tblBorders>
        <w:top w:val="single" w:sz="8" w:space="0" w:color="3C54A5" w:themeColor="accent1"/>
        <w:left w:val="single" w:sz="8" w:space="0" w:color="3C54A5" w:themeColor="accent1"/>
        <w:bottom w:val="single" w:sz="8" w:space="0" w:color="3C54A5" w:themeColor="accent1"/>
        <w:right w:val="single" w:sz="8" w:space="0" w:color="3C54A5" w:themeColor="accent1"/>
      </w:tblBorders>
    </w:tblPr>
    <w:tblStylePr w:type="firstRow">
      <w:pPr>
        <w:spacing w:before="0" w:after="0" w:line="240" w:lineRule="auto"/>
      </w:pPr>
      <w:rPr>
        <w:b/>
        <w:bCs/>
        <w:color w:val="FFFFFF" w:themeColor="background1"/>
      </w:rPr>
      <w:tblPr/>
      <w:tcPr>
        <w:shd w:val="clear" w:color="auto" w:fill="3C54A5" w:themeFill="accent1"/>
      </w:tcPr>
    </w:tblStylePr>
    <w:tblStylePr w:type="lastRow">
      <w:pPr>
        <w:spacing w:before="0" w:after="0" w:line="240" w:lineRule="auto"/>
      </w:pPr>
      <w:rPr>
        <w:b/>
        <w:bCs/>
      </w:rPr>
      <w:tblPr/>
      <w:tcPr>
        <w:tcBorders>
          <w:top w:val="double" w:sz="6" w:space="0" w:color="3C54A5" w:themeColor="accent1"/>
          <w:left w:val="single" w:sz="8" w:space="0" w:color="3C54A5" w:themeColor="accent1"/>
          <w:bottom w:val="single" w:sz="8" w:space="0" w:color="3C54A5" w:themeColor="accent1"/>
          <w:right w:val="single" w:sz="8" w:space="0" w:color="3C54A5" w:themeColor="accent1"/>
        </w:tcBorders>
      </w:tcPr>
    </w:tblStylePr>
    <w:tblStylePr w:type="firstCol">
      <w:rPr>
        <w:b/>
        <w:bCs/>
      </w:rPr>
    </w:tblStylePr>
    <w:tblStylePr w:type="lastCol">
      <w:rPr>
        <w:b/>
        <w:bCs/>
      </w:rPr>
    </w:tblStylePr>
    <w:tblStylePr w:type="band1Vert">
      <w:tblPr/>
      <w:tcPr>
        <w:tcBorders>
          <w:top w:val="single" w:sz="8" w:space="0" w:color="3C54A5" w:themeColor="accent1"/>
          <w:left w:val="single" w:sz="8" w:space="0" w:color="3C54A5" w:themeColor="accent1"/>
          <w:bottom w:val="single" w:sz="8" w:space="0" w:color="3C54A5" w:themeColor="accent1"/>
          <w:right w:val="single" w:sz="8" w:space="0" w:color="3C54A5" w:themeColor="accent1"/>
        </w:tcBorders>
      </w:tcPr>
    </w:tblStylePr>
    <w:tblStylePr w:type="band1Horz">
      <w:tblPr/>
      <w:tcPr>
        <w:tcBorders>
          <w:top w:val="single" w:sz="8" w:space="0" w:color="3C54A5" w:themeColor="accent1"/>
          <w:left w:val="single" w:sz="8" w:space="0" w:color="3C54A5" w:themeColor="accent1"/>
          <w:bottom w:val="single" w:sz="8" w:space="0" w:color="3C54A5" w:themeColor="accent1"/>
          <w:right w:val="single" w:sz="8" w:space="0" w:color="3C54A5" w:themeColor="accent1"/>
        </w:tcBorders>
      </w:tcPr>
    </w:tblStylePr>
  </w:style>
  <w:style w:type="table" w:styleId="LightList-Accent2">
    <w:name w:val="Light List Accent 2"/>
    <w:basedOn w:val="TableNormal"/>
    <w:uiPriority w:val="61"/>
    <w:semiHidden/>
    <w:rsid w:val="003E273C"/>
    <w:pPr>
      <w:spacing w:after="0" w:line="240" w:lineRule="auto"/>
    </w:pPr>
    <w:tblPr>
      <w:tblStyleRowBandSize w:val="1"/>
      <w:tblStyleColBandSize w:val="1"/>
      <w:tblBorders>
        <w:top w:val="single" w:sz="8" w:space="0" w:color="545861" w:themeColor="accent2"/>
        <w:left w:val="single" w:sz="8" w:space="0" w:color="545861" w:themeColor="accent2"/>
        <w:bottom w:val="single" w:sz="8" w:space="0" w:color="545861" w:themeColor="accent2"/>
        <w:right w:val="single" w:sz="8" w:space="0" w:color="545861" w:themeColor="accent2"/>
      </w:tblBorders>
    </w:tblPr>
    <w:tblStylePr w:type="firstRow">
      <w:pPr>
        <w:spacing w:before="0" w:after="0" w:line="240" w:lineRule="auto"/>
      </w:pPr>
      <w:rPr>
        <w:b/>
        <w:bCs/>
        <w:color w:val="FFFFFF" w:themeColor="background1"/>
      </w:rPr>
      <w:tblPr/>
      <w:tcPr>
        <w:shd w:val="clear" w:color="auto" w:fill="545861" w:themeFill="accent2"/>
      </w:tcPr>
    </w:tblStylePr>
    <w:tblStylePr w:type="lastRow">
      <w:pPr>
        <w:spacing w:before="0" w:after="0" w:line="240" w:lineRule="auto"/>
      </w:pPr>
      <w:rPr>
        <w:b/>
        <w:bCs/>
      </w:rPr>
      <w:tblPr/>
      <w:tcPr>
        <w:tcBorders>
          <w:top w:val="double" w:sz="6" w:space="0" w:color="545861" w:themeColor="accent2"/>
          <w:left w:val="single" w:sz="8" w:space="0" w:color="545861" w:themeColor="accent2"/>
          <w:bottom w:val="single" w:sz="8" w:space="0" w:color="545861" w:themeColor="accent2"/>
          <w:right w:val="single" w:sz="8" w:space="0" w:color="545861" w:themeColor="accent2"/>
        </w:tcBorders>
      </w:tcPr>
    </w:tblStylePr>
    <w:tblStylePr w:type="firstCol">
      <w:rPr>
        <w:b/>
        <w:bCs/>
      </w:rPr>
    </w:tblStylePr>
    <w:tblStylePr w:type="lastCol">
      <w:rPr>
        <w:b/>
        <w:bCs/>
      </w:rPr>
    </w:tblStylePr>
    <w:tblStylePr w:type="band1Vert">
      <w:tblPr/>
      <w:tcPr>
        <w:tcBorders>
          <w:top w:val="single" w:sz="8" w:space="0" w:color="545861" w:themeColor="accent2"/>
          <w:left w:val="single" w:sz="8" w:space="0" w:color="545861" w:themeColor="accent2"/>
          <w:bottom w:val="single" w:sz="8" w:space="0" w:color="545861" w:themeColor="accent2"/>
          <w:right w:val="single" w:sz="8" w:space="0" w:color="545861" w:themeColor="accent2"/>
        </w:tcBorders>
      </w:tcPr>
    </w:tblStylePr>
    <w:tblStylePr w:type="band1Horz">
      <w:tblPr/>
      <w:tcPr>
        <w:tcBorders>
          <w:top w:val="single" w:sz="8" w:space="0" w:color="545861" w:themeColor="accent2"/>
          <w:left w:val="single" w:sz="8" w:space="0" w:color="545861" w:themeColor="accent2"/>
          <w:bottom w:val="single" w:sz="8" w:space="0" w:color="545861" w:themeColor="accent2"/>
          <w:right w:val="single" w:sz="8" w:space="0" w:color="545861" w:themeColor="accent2"/>
        </w:tcBorders>
      </w:tcPr>
    </w:tblStylePr>
  </w:style>
  <w:style w:type="table" w:styleId="LightList-Accent3">
    <w:name w:val="Light List Accent 3"/>
    <w:basedOn w:val="TableNormal"/>
    <w:uiPriority w:val="61"/>
    <w:semiHidden/>
    <w:rsid w:val="003E273C"/>
    <w:pPr>
      <w:spacing w:after="0" w:line="240" w:lineRule="auto"/>
    </w:pPr>
    <w:tblPr>
      <w:tblStyleRowBandSize w:val="1"/>
      <w:tblStyleColBandSize w:val="1"/>
      <w:tblBorders>
        <w:top w:val="single" w:sz="8" w:space="0" w:color="E9A913" w:themeColor="accent3"/>
        <w:left w:val="single" w:sz="8" w:space="0" w:color="E9A913" w:themeColor="accent3"/>
        <w:bottom w:val="single" w:sz="8" w:space="0" w:color="E9A913" w:themeColor="accent3"/>
        <w:right w:val="single" w:sz="8" w:space="0" w:color="E9A913" w:themeColor="accent3"/>
      </w:tblBorders>
    </w:tblPr>
    <w:tblStylePr w:type="firstRow">
      <w:pPr>
        <w:spacing w:before="0" w:after="0" w:line="240" w:lineRule="auto"/>
      </w:pPr>
      <w:rPr>
        <w:b/>
        <w:bCs/>
        <w:color w:val="FFFFFF" w:themeColor="background1"/>
      </w:rPr>
      <w:tblPr/>
      <w:tcPr>
        <w:shd w:val="clear" w:color="auto" w:fill="E9A913" w:themeFill="accent3"/>
      </w:tcPr>
    </w:tblStylePr>
    <w:tblStylePr w:type="lastRow">
      <w:pPr>
        <w:spacing w:before="0" w:after="0" w:line="240" w:lineRule="auto"/>
      </w:pPr>
      <w:rPr>
        <w:b/>
        <w:bCs/>
      </w:rPr>
      <w:tblPr/>
      <w:tcPr>
        <w:tcBorders>
          <w:top w:val="double" w:sz="6" w:space="0" w:color="E9A913" w:themeColor="accent3"/>
          <w:left w:val="single" w:sz="8" w:space="0" w:color="E9A913" w:themeColor="accent3"/>
          <w:bottom w:val="single" w:sz="8" w:space="0" w:color="E9A913" w:themeColor="accent3"/>
          <w:right w:val="single" w:sz="8" w:space="0" w:color="E9A913" w:themeColor="accent3"/>
        </w:tcBorders>
      </w:tcPr>
    </w:tblStylePr>
    <w:tblStylePr w:type="firstCol">
      <w:rPr>
        <w:b/>
        <w:bCs/>
      </w:rPr>
    </w:tblStylePr>
    <w:tblStylePr w:type="lastCol">
      <w:rPr>
        <w:b/>
        <w:bCs/>
      </w:rPr>
    </w:tblStylePr>
    <w:tblStylePr w:type="band1Vert">
      <w:tblPr/>
      <w:tcPr>
        <w:tcBorders>
          <w:top w:val="single" w:sz="8" w:space="0" w:color="E9A913" w:themeColor="accent3"/>
          <w:left w:val="single" w:sz="8" w:space="0" w:color="E9A913" w:themeColor="accent3"/>
          <w:bottom w:val="single" w:sz="8" w:space="0" w:color="E9A913" w:themeColor="accent3"/>
          <w:right w:val="single" w:sz="8" w:space="0" w:color="E9A913" w:themeColor="accent3"/>
        </w:tcBorders>
      </w:tcPr>
    </w:tblStylePr>
    <w:tblStylePr w:type="band1Horz">
      <w:tblPr/>
      <w:tcPr>
        <w:tcBorders>
          <w:top w:val="single" w:sz="8" w:space="0" w:color="E9A913" w:themeColor="accent3"/>
          <w:left w:val="single" w:sz="8" w:space="0" w:color="E9A913" w:themeColor="accent3"/>
          <w:bottom w:val="single" w:sz="8" w:space="0" w:color="E9A913" w:themeColor="accent3"/>
          <w:right w:val="single" w:sz="8" w:space="0" w:color="E9A913" w:themeColor="accent3"/>
        </w:tcBorders>
      </w:tcPr>
    </w:tblStylePr>
  </w:style>
  <w:style w:type="table" w:styleId="LightList-Accent4">
    <w:name w:val="Light List Accent 4"/>
    <w:basedOn w:val="TableNormal"/>
    <w:uiPriority w:val="61"/>
    <w:semiHidden/>
    <w:rsid w:val="003E273C"/>
    <w:pPr>
      <w:spacing w:after="0" w:line="240" w:lineRule="auto"/>
    </w:pPr>
    <w:tblPr>
      <w:tblStyleRowBandSize w:val="1"/>
      <w:tblStyleColBandSize w:val="1"/>
      <w:tblBorders>
        <w:top w:val="single" w:sz="8" w:space="0" w:color="522761" w:themeColor="accent4"/>
        <w:left w:val="single" w:sz="8" w:space="0" w:color="522761" w:themeColor="accent4"/>
        <w:bottom w:val="single" w:sz="8" w:space="0" w:color="522761" w:themeColor="accent4"/>
        <w:right w:val="single" w:sz="8" w:space="0" w:color="522761" w:themeColor="accent4"/>
      </w:tblBorders>
    </w:tblPr>
    <w:tblStylePr w:type="firstRow">
      <w:pPr>
        <w:spacing w:before="0" w:after="0" w:line="240" w:lineRule="auto"/>
      </w:pPr>
      <w:rPr>
        <w:b/>
        <w:bCs/>
        <w:color w:val="FFFFFF" w:themeColor="background1"/>
      </w:rPr>
      <w:tblPr/>
      <w:tcPr>
        <w:shd w:val="clear" w:color="auto" w:fill="522761" w:themeFill="accent4"/>
      </w:tcPr>
    </w:tblStylePr>
    <w:tblStylePr w:type="lastRow">
      <w:pPr>
        <w:spacing w:before="0" w:after="0" w:line="240" w:lineRule="auto"/>
      </w:pPr>
      <w:rPr>
        <w:b/>
        <w:bCs/>
      </w:rPr>
      <w:tblPr/>
      <w:tcPr>
        <w:tcBorders>
          <w:top w:val="double" w:sz="6" w:space="0" w:color="522761" w:themeColor="accent4"/>
          <w:left w:val="single" w:sz="8" w:space="0" w:color="522761" w:themeColor="accent4"/>
          <w:bottom w:val="single" w:sz="8" w:space="0" w:color="522761" w:themeColor="accent4"/>
          <w:right w:val="single" w:sz="8" w:space="0" w:color="522761" w:themeColor="accent4"/>
        </w:tcBorders>
      </w:tcPr>
    </w:tblStylePr>
    <w:tblStylePr w:type="firstCol">
      <w:rPr>
        <w:b/>
        <w:bCs/>
      </w:rPr>
    </w:tblStylePr>
    <w:tblStylePr w:type="lastCol">
      <w:rPr>
        <w:b/>
        <w:bCs/>
      </w:rPr>
    </w:tblStylePr>
    <w:tblStylePr w:type="band1Vert">
      <w:tblPr/>
      <w:tcPr>
        <w:tcBorders>
          <w:top w:val="single" w:sz="8" w:space="0" w:color="522761" w:themeColor="accent4"/>
          <w:left w:val="single" w:sz="8" w:space="0" w:color="522761" w:themeColor="accent4"/>
          <w:bottom w:val="single" w:sz="8" w:space="0" w:color="522761" w:themeColor="accent4"/>
          <w:right w:val="single" w:sz="8" w:space="0" w:color="522761" w:themeColor="accent4"/>
        </w:tcBorders>
      </w:tcPr>
    </w:tblStylePr>
    <w:tblStylePr w:type="band1Horz">
      <w:tblPr/>
      <w:tcPr>
        <w:tcBorders>
          <w:top w:val="single" w:sz="8" w:space="0" w:color="522761" w:themeColor="accent4"/>
          <w:left w:val="single" w:sz="8" w:space="0" w:color="522761" w:themeColor="accent4"/>
          <w:bottom w:val="single" w:sz="8" w:space="0" w:color="522761" w:themeColor="accent4"/>
          <w:right w:val="single" w:sz="8" w:space="0" w:color="522761" w:themeColor="accent4"/>
        </w:tcBorders>
      </w:tcPr>
    </w:tblStylePr>
  </w:style>
  <w:style w:type="table" w:styleId="LightList-Accent5">
    <w:name w:val="Light List Accent 5"/>
    <w:basedOn w:val="TableNormal"/>
    <w:uiPriority w:val="61"/>
    <w:semiHidden/>
    <w:rsid w:val="003E273C"/>
    <w:pPr>
      <w:spacing w:after="0" w:line="240" w:lineRule="auto"/>
    </w:pPr>
    <w:tblPr>
      <w:tblStyleRowBandSize w:val="1"/>
      <w:tblStyleColBandSize w:val="1"/>
      <w:tblBorders>
        <w:top w:val="single" w:sz="8" w:space="0" w:color="3C54A5" w:themeColor="accent5"/>
        <w:left w:val="single" w:sz="8" w:space="0" w:color="3C54A5" w:themeColor="accent5"/>
        <w:bottom w:val="single" w:sz="8" w:space="0" w:color="3C54A5" w:themeColor="accent5"/>
        <w:right w:val="single" w:sz="8" w:space="0" w:color="3C54A5" w:themeColor="accent5"/>
      </w:tblBorders>
    </w:tblPr>
    <w:tblStylePr w:type="firstRow">
      <w:pPr>
        <w:spacing w:before="0" w:after="0" w:line="240" w:lineRule="auto"/>
      </w:pPr>
      <w:rPr>
        <w:b/>
        <w:bCs/>
        <w:color w:val="FFFFFF" w:themeColor="background1"/>
      </w:rPr>
      <w:tblPr/>
      <w:tcPr>
        <w:shd w:val="clear" w:color="auto" w:fill="3C54A5" w:themeFill="accent5"/>
      </w:tcPr>
    </w:tblStylePr>
    <w:tblStylePr w:type="lastRow">
      <w:pPr>
        <w:spacing w:before="0" w:after="0" w:line="240" w:lineRule="auto"/>
      </w:pPr>
      <w:rPr>
        <w:b/>
        <w:bCs/>
      </w:rPr>
      <w:tblPr/>
      <w:tcPr>
        <w:tcBorders>
          <w:top w:val="double" w:sz="6" w:space="0" w:color="3C54A5" w:themeColor="accent5"/>
          <w:left w:val="single" w:sz="8" w:space="0" w:color="3C54A5" w:themeColor="accent5"/>
          <w:bottom w:val="single" w:sz="8" w:space="0" w:color="3C54A5" w:themeColor="accent5"/>
          <w:right w:val="single" w:sz="8" w:space="0" w:color="3C54A5" w:themeColor="accent5"/>
        </w:tcBorders>
      </w:tcPr>
    </w:tblStylePr>
    <w:tblStylePr w:type="firstCol">
      <w:rPr>
        <w:b/>
        <w:bCs/>
      </w:rPr>
    </w:tblStylePr>
    <w:tblStylePr w:type="lastCol">
      <w:rPr>
        <w:b/>
        <w:bCs/>
      </w:rPr>
    </w:tblStylePr>
    <w:tblStylePr w:type="band1Vert">
      <w:tblPr/>
      <w:tcPr>
        <w:tcBorders>
          <w:top w:val="single" w:sz="8" w:space="0" w:color="3C54A5" w:themeColor="accent5"/>
          <w:left w:val="single" w:sz="8" w:space="0" w:color="3C54A5" w:themeColor="accent5"/>
          <w:bottom w:val="single" w:sz="8" w:space="0" w:color="3C54A5" w:themeColor="accent5"/>
          <w:right w:val="single" w:sz="8" w:space="0" w:color="3C54A5" w:themeColor="accent5"/>
        </w:tcBorders>
      </w:tcPr>
    </w:tblStylePr>
    <w:tblStylePr w:type="band1Horz">
      <w:tblPr/>
      <w:tcPr>
        <w:tcBorders>
          <w:top w:val="single" w:sz="8" w:space="0" w:color="3C54A5" w:themeColor="accent5"/>
          <w:left w:val="single" w:sz="8" w:space="0" w:color="3C54A5" w:themeColor="accent5"/>
          <w:bottom w:val="single" w:sz="8" w:space="0" w:color="3C54A5" w:themeColor="accent5"/>
          <w:right w:val="single" w:sz="8" w:space="0" w:color="3C54A5" w:themeColor="accent5"/>
        </w:tcBorders>
      </w:tcPr>
    </w:tblStylePr>
  </w:style>
  <w:style w:type="table" w:styleId="LightList-Accent6">
    <w:name w:val="Light List Accent 6"/>
    <w:basedOn w:val="TableNormal"/>
    <w:uiPriority w:val="61"/>
    <w:semiHidden/>
    <w:rsid w:val="003E273C"/>
    <w:pPr>
      <w:spacing w:after="0" w:line="240" w:lineRule="auto"/>
    </w:pPr>
    <w:tblPr>
      <w:tblStyleRowBandSize w:val="1"/>
      <w:tblStyleColBandSize w:val="1"/>
      <w:tblBorders>
        <w:top w:val="single" w:sz="8" w:space="0" w:color="545861" w:themeColor="accent6"/>
        <w:left w:val="single" w:sz="8" w:space="0" w:color="545861" w:themeColor="accent6"/>
        <w:bottom w:val="single" w:sz="8" w:space="0" w:color="545861" w:themeColor="accent6"/>
        <w:right w:val="single" w:sz="8" w:space="0" w:color="545861" w:themeColor="accent6"/>
      </w:tblBorders>
    </w:tblPr>
    <w:tblStylePr w:type="firstRow">
      <w:pPr>
        <w:spacing w:before="0" w:after="0" w:line="240" w:lineRule="auto"/>
      </w:pPr>
      <w:rPr>
        <w:b/>
        <w:bCs/>
        <w:color w:val="FFFFFF" w:themeColor="background1"/>
      </w:rPr>
      <w:tblPr/>
      <w:tcPr>
        <w:shd w:val="clear" w:color="auto" w:fill="545861" w:themeFill="accent6"/>
      </w:tcPr>
    </w:tblStylePr>
    <w:tblStylePr w:type="lastRow">
      <w:pPr>
        <w:spacing w:before="0" w:after="0" w:line="240" w:lineRule="auto"/>
      </w:pPr>
      <w:rPr>
        <w:b/>
        <w:bCs/>
      </w:rPr>
      <w:tblPr/>
      <w:tcPr>
        <w:tcBorders>
          <w:top w:val="double" w:sz="6" w:space="0" w:color="545861" w:themeColor="accent6"/>
          <w:left w:val="single" w:sz="8" w:space="0" w:color="545861" w:themeColor="accent6"/>
          <w:bottom w:val="single" w:sz="8" w:space="0" w:color="545861" w:themeColor="accent6"/>
          <w:right w:val="single" w:sz="8" w:space="0" w:color="545861" w:themeColor="accent6"/>
        </w:tcBorders>
      </w:tcPr>
    </w:tblStylePr>
    <w:tblStylePr w:type="firstCol">
      <w:rPr>
        <w:b/>
        <w:bCs/>
      </w:rPr>
    </w:tblStylePr>
    <w:tblStylePr w:type="lastCol">
      <w:rPr>
        <w:b/>
        <w:bCs/>
      </w:rPr>
    </w:tblStylePr>
    <w:tblStylePr w:type="band1Vert">
      <w:tblPr/>
      <w:tcPr>
        <w:tcBorders>
          <w:top w:val="single" w:sz="8" w:space="0" w:color="545861" w:themeColor="accent6"/>
          <w:left w:val="single" w:sz="8" w:space="0" w:color="545861" w:themeColor="accent6"/>
          <w:bottom w:val="single" w:sz="8" w:space="0" w:color="545861" w:themeColor="accent6"/>
          <w:right w:val="single" w:sz="8" w:space="0" w:color="545861" w:themeColor="accent6"/>
        </w:tcBorders>
      </w:tcPr>
    </w:tblStylePr>
    <w:tblStylePr w:type="band1Horz">
      <w:tblPr/>
      <w:tcPr>
        <w:tcBorders>
          <w:top w:val="single" w:sz="8" w:space="0" w:color="545861" w:themeColor="accent6"/>
          <w:left w:val="single" w:sz="8" w:space="0" w:color="545861" w:themeColor="accent6"/>
          <w:bottom w:val="single" w:sz="8" w:space="0" w:color="545861" w:themeColor="accent6"/>
          <w:right w:val="single" w:sz="8" w:space="0" w:color="545861" w:themeColor="accent6"/>
        </w:tcBorders>
      </w:tcPr>
    </w:tblStylePr>
  </w:style>
  <w:style w:type="table" w:styleId="LightShading">
    <w:name w:val="Light Shading"/>
    <w:basedOn w:val="TableNormal"/>
    <w:uiPriority w:val="60"/>
    <w:semiHidden/>
    <w:rsid w:val="003E273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E273C"/>
    <w:pPr>
      <w:spacing w:after="0" w:line="240" w:lineRule="auto"/>
    </w:pPr>
    <w:rPr>
      <w:color w:val="2D3E7B" w:themeColor="accent1" w:themeShade="BF"/>
    </w:rPr>
    <w:tblPr>
      <w:tblStyleRowBandSize w:val="1"/>
      <w:tblStyleColBandSize w:val="1"/>
      <w:tblBorders>
        <w:top w:val="single" w:sz="8" w:space="0" w:color="3C54A5" w:themeColor="accent1"/>
        <w:bottom w:val="single" w:sz="8" w:space="0" w:color="3C54A5" w:themeColor="accent1"/>
      </w:tblBorders>
    </w:tblPr>
    <w:tblStylePr w:type="firstRow">
      <w:pPr>
        <w:spacing w:before="0" w:after="0" w:line="240" w:lineRule="auto"/>
      </w:pPr>
      <w:rPr>
        <w:b/>
        <w:bCs/>
      </w:rPr>
      <w:tblPr/>
      <w:tcPr>
        <w:tcBorders>
          <w:top w:val="single" w:sz="8" w:space="0" w:color="3C54A5" w:themeColor="accent1"/>
          <w:left w:val="nil"/>
          <w:bottom w:val="single" w:sz="8" w:space="0" w:color="3C54A5" w:themeColor="accent1"/>
          <w:right w:val="nil"/>
          <w:insideH w:val="nil"/>
          <w:insideV w:val="nil"/>
        </w:tcBorders>
      </w:tcPr>
    </w:tblStylePr>
    <w:tblStylePr w:type="lastRow">
      <w:pPr>
        <w:spacing w:before="0" w:after="0" w:line="240" w:lineRule="auto"/>
      </w:pPr>
      <w:rPr>
        <w:b/>
        <w:bCs/>
      </w:rPr>
      <w:tblPr/>
      <w:tcPr>
        <w:tcBorders>
          <w:top w:val="single" w:sz="8" w:space="0" w:color="3C54A5" w:themeColor="accent1"/>
          <w:left w:val="nil"/>
          <w:bottom w:val="single" w:sz="8" w:space="0" w:color="3C54A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D2EC" w:themeFill="accent1" w:themeFillTint="3F"/>
      </w:tcPr>
    </w:tblStylePr>
    <w:tblStylePr w:type="band1Horz">
      <w:tblPr/>
      <w:tcPr>
        <w:tcBorders>
          <w:left w:val="nil"/>
          <w:right w:val="nil"/>
          <w:insideH w:val="nil"/>
          <w:insideV w:val="nil"/>
        </w:tcBorders>
        <w:shd w:val="clear" w:color="auto" w:fill="CBD2EC" w:themeFill="accent1" w:themeFillTint="3F"/>
      </w:tcPr>
    </w:tblStylePr>
  </w:style>
  <w:style w:type="table" w:styleId="LightShading-Accent2">
    <w:name w:val="Light Shading Accent 2"/>
    <w:basedOn w:val="TableNormal"/>
    <w:uiPriority w:val="60"/>
    <w:semiHidden/>
    <w:rsid w:val="003E273C"/>
    <w:pPr>
      <w:spacing w:after="0" w:line="240" w:lineRule="auto"/>
    </w:pPr>
    <w:rPr>
      <w:color w:val="3F4148" w:themeColor="accent2" w:themeShade="BF"/>
    </w:rPr>
    <w:tblPr>
      <w:tblStyleRowBandSize w:val="1"/>
      <w:tblStyleColBandSize w:val="1"/>
      <w:tblBorders>
        <w:top w:val="single" w:sz="8" w:space="0" w:color="545861" w:themeColor="accent2"/>
        <w:bottom w:val="single" w:sz="8" w:space="0" w:color="545861" w:themeColor="accent2"/>
      </w:tblBorders>
    </w:tblPr>
    <w:tblStylePr w:type="firstRow">
      <w:pPr>
        <w:spacing w:before="0" w:after="0" w:line="240" w:lineRule="auto"/>
      </w:pPr>
      <w:rPr>
        <w:b/>
        <w:bCs/>
      </w:rPr>
      <w:tblPr/>
      <w:tcPr>
        <w:tcBorders>
          <w:top w:val="single" w:sz="8" w:space="0" w:color="545861" w:themeColor="accent2"/>
          <w:left w:val="nil"/>
          <w:bottom w:val="single" w:sz="8" w:space="0" w:color="545861" w:themeColor="accent2"/>
          <w:right w:val="nil"/>
          <w:insideH w:val="nil"/>
          <w:insideV w:val="nil"/>
        </w:tcBorders>
      </w:tcPr>
    </w:tblStylePr>
    <w:tblStylePr w:type="lastRow">
      <w:pPr>
        <w:spacing w:before="0" w:after="0" w:line="240" w:lineRule="auto"/>
      </w:pPr>
      <w:rPr>
        <w:b/>
        <w:bCs/>
      </w:rPr>
      <w:tblPr/>
      <w:tcPr>
        <w:tcBorders>
          <w:top w:val="single" w:sz="8" w:space="0" w:color="545861" w:themeColor="accent2"/>
          <w:left w:val="nil"/>
          <w:bottom w:val="single" w:sz="8" w:space="0" w:color="5458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9" w:themeFill="accent2" w:themeFillTint="3F"/>
      </w:tcPr>
    </w:tblStylePr>
    <w:tblStylePr w:type="band1Horz">
      <w:tblPr/>
      <w:tcPr>
        <w:tcBorders>
          <w:left w:val="nil"/>
          <w:right w:val="nil"/>
          <w:insideH w:val="nil"/>
          <w:insideV w:val="nil"/>
        </w:tcBorders>
        <w:shd w:val="clear" w:color="auto" w:fill="D3D5D9" w:themeFill="accent2" w:themeFillTint="3F"/>
      </w:tcPr>
    </w:tblStylePr>
  </w:style>
  <w:style w:type="table" w:styleId="LightShading-Accent3">
    <w:name w:val="Light Shading Accent 3"/>
    <w:basedOn w:val="TableNormal"/>
    <w:uiPriority w:val="60"/>
    <w:semiHidden/>
    <w:rsid w:val="003E273C"/>
    <w:pPr>
      <w:spacing w:after="0" w:line="240" w:lineRule="auto"/>
    </w:pPr>
    <w:rPr>
      <w:color w:val="AE7E0E" w:themeColor="accent3" w:themeShade="BF"/>
    </w:rPr>
    <w:tblPr>
      <w:tblStyleRowBandSize w:val="1"/>
      <w:tblStyleColBandSize w:val="1"/>
      <w:tblBorders>
        <w:top w:val="single" w:sz="8" w:space="0" w:color="E9A913" w:themeColor="accent3"/>
        <w:bottom w:val="single" w:sz="8" w:space="0" w:color="E9A913" w:themeColor="accent3"/>
      </w:tblBorders>
    </w:tblPr>
    <w:tblStylePr w:type="firstRow">
      <w:pPr>
        <w:spacing w:before="0" w:after="0" w:line="240" w:lineRule="auto"/>
      </w:pPr>
      <w:rPr>
        <w:b/>
        <w:bCs/>
      </w:rPr>
      <w:tblPr/>
      <w:tcPr>
        <w:tcBorders>
          <w:top w:val="single" w:sz="8" w:space="0" w:color="E9A913" w:themeColor="accent3"/>
          <w:left w:val="nil"/>
          <w:bottom w:val="single" w:sz="8" w:space="0" w:color="E9A913" w:themeColor="accent3"/>
          <w:right w:val="nil"/>
          <w:insideH w:val="nil"/>
          <w:insideV w:val="nil"/>
        </w:tcBorders>
      </w:tcPr>
    </w:tblStylePr>
    <w:tblStylePr w:type="lastRow">
      <w:pPr>
        <w:spacing w:before="0" w:after="0" w:line="240" w:lineRule="auto"/>
      </w:pPr>
      <w:rPr>
        <w:b/>
        <w:bCs/>
      </w:rPr>
      <w:tblPr/>
      <w:tcPr>
        <w:tcBorders>
          <w:top w:val="single" w:sz="8" w:space="0" w:color="E9A913" w:themeColor="accent3"/>
          <w:left w:val="nil"/>
          <w:bottom w:val="single" w:sz="8" w:space="0" w:color="E9A91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9C3" w:themeFill="accent3" w:themeFillTint="3F"/>
      </w:tcPr>
    </w:tblStylePr>
    <w:tblStylePr w:type="band1Horz">
      <w:tblPr/>
      <w:tcPr>
        <w:tcBorders>
          <w:left w:val="nil"/>
          <w:right w:val="nil"/>
          <w:insideH w:val="nil"/>
          <w:insideV w:val="nil"/>
        </w:tcBorders>
        <w:shd w:val="clear" w:color="auto" w:fill="FAE9C3" w:themeFill="accent3" w:themeFillTint="3F"/>
      </w:tcPr>
    </w:tblStylePr>
  </w:style>
  <w:style w:type="table" w:styleId="LightShading-Accent4">
    <w:name w:val="Light Shading Accent 4"/>
    <w:basedOn w:val="TableNormal"/>
    <w:uiPriority w:val="60"/>
    <w:semiHidden/>
    <w:rsid w:val="003E273C"/>
    <w:pPr>
      <w:spacing w:after="0" w:line="240" w:lineRule="auto"/>
    </w:pPr>
    <w:rPr>
      <w:color w:val="3D1D48" w:themeColor="accent4" w:themeShade="BF"/>
    </w:rPr>
    <w:tblPr>
      <w:tblStyleRowBandSize w:val="1"/>
      <w:tblStyleColBandSize w:val="1"/>
      <w:tblBorders>
        <w:top w:val="single" w:sz="8" w:space="0" w:color="522761" w:themeColor="accent4"/>
        <w:bottom w:val="single" w:sz="8" w:space="0" w:color="522761" w:themeColor="accent4"/>
      </w:tblBorders>
    </w:tblPr>
    <w:tblStylePr w:type="firstRow">
      <w:pPr>
        <w:spacing w:before="0" w:after="0" w:line="240" w:lineRule="auto"/>
      </w:pPr>
      <w:rPr>
        <w:b/>
        <w:bCs/>
      </w:rPr>
      <w:tblPr/>
      <w:tcPr>
        <w:tcBorders>
          <w:top w:val="single" w:sz="8" w:space="0" w:color="522761" w:themeColor="accent4"/>
          <w:left w:val="nil"/>
          <w:bottom w:val="single" w:sz="8" w:space="0" w:color="522761" w:themeColor="accent4"/>
          <w:right w:val="nil"/>
          <w:insideH w:val="nil"/>
          <w:insideV w:val="nil"/>
        </w:tcBorders>
      </w:tcPr>
    </w:tblStylePr>
    <w:tblStylePr w:type="lastRow">
      <w:pPr>
        <w:spacing w:before="0" w:after="0" w:line="240" w:lineRule="auto"/>
      </w:pPr>
      <w:rPr>
        <w:b/>
        <w:bCs/>
      </w:rPr>
      <w:tblPr/>
      <w:tcPr>
        <w:tcBorders>
          <w:top w:val="single" w:sz="8" w:space="0" w:color="522761" w:themeColor="accent4"/>
          <w:left w:val="nil"/>
          <w:bottom w:val="single" w:sz="8" w:space="0" w:color="52276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BCE4" w:themeFill="accent4" w:themeFillTint="3F"/>
      </w:tcPr>
    </w:tblStylePr>
    <w:tblStylePr w:type="band1Horz">
      <w:tblPr/>
      <w:tcPr>
        <w:tcBorders>
          <w:left w:val="nil"/>
          <w:right w:val="nil"/>
          <w:insideH w:val="nil"/>
          <w:insideV w:val="nil"/>
        </w:tcBorders>
        <w:shd w:val="clear" w:color="auto" w:fill="DABCE4" w:themeFill="accent4" w:themeFillTint="3F"/>
      </w:tcPr>
    </w:tblStylePr>
  </w:style>
  <w:style w:type="table" w:styleId="MediumGrid1">
    <w:name w:val="Medium Grid 1"/>
    <w:basedOn w:val="TableNormal"/>
    <w:uiPriority w:val="67"/>
    <w:semiHidden/>
    <w:rsid w:val="003E273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E273C"/>
    <w:pPr>
      <w:spacing w:after="0" w:line="240" w:lineRule="auto"/>
    </w:pPr>
    <w:tblPr>
      <w:tblStyleRowBandSize w:val="1"/>
      <w:tblStyleColBandSize w:val="1"/>
      <w:tblBorders>
        <w:top w:val="single" w:sz="8" w:space="0" w:color="6278C6" w:themeColor="accent1" w:themeTint="BF"/>
        <w:left w:val="single" w:sz="8" w:space="0" w:color="6278C6" w:themeColor="accent1" w:themeTint="BF"/>
        <w:bottom w:val="single" w:sz="8" w:space="0" w:color="6278C6" w:themeColor="accent1" w:themeTint="BF"/>
        <w:right w:val="single" w:sz="8" w:space="0" w:color="6278C6" w:themeColor="accent1" w:themeTint="BF"/>
        <w:insideH w:val="single" w:sz="8" w:space="0" w:color="6278C6" w:themeColor="accent1" w:themeTint="BF"/>
        <w:insideV w:val="single" w:sz="8" w:space="0" w:color="6278C6" w:themeColor="accent1" w:themeTint="BF"/>
      </w:tblBorders>
    </w:tblPr>
    <w:tcPr>
      <w:shd w:val="clear" w:color="auto" w:fill="CBD2EC" w:themeFill="accent1" w:themeFillTint="3F"/>
    </w:tcPr>
    <w:tblStylePr w:type="firstRow">
      <w:rPr>
        <w:b/>
        <w:bCs/>
      </w:rPr>
    </w:tblStylePr>
    <w:tblStylePr w:type="lastRow">
      <w:rPr>
        <w:b/>
        <w:bCs/>
      </w:rPr>
      <w:tblPr/>
      <w:tcPr>
        <w:tcBorders>
          <w:top w:val="single" w:sz="18" w:space="0" w:color="6278C6" w:themeColor="accent1" w:themeTint="BF"/>
        </w:tcBorders>
      </w:tcPr>
    </w:tblStylePr>
    <w:tblStylePr w:type="firstCol">
      <w:rPr>
        <w:b/>
        <w:bCs/>
      </w:rPr>
    </w:tblStylePr>
    <w:tblStylePr w:type="lastCol">
      <w:rPr>
        <w:b/>
        <w:bCs/>
      </w:rPr>
    </w:tblStylePr>
    <w:tblStylePr w:type="band1Vert">
      <w:tblPr/>
      <w:tcPr>
        <w:shd w:val="clear" w:color="auto" w:fill="96A5D9" w:themeFill="accent1" w:themeFillTint="7F"/>
      </w:tcPr>
    </w:tblStylePr>
    <w:tblStylePr w:type="band1Horz">
      <w:tblPr/>
      <w:tcPr>
        <w:shd w:val="clear" w:color="auto" w:fill="96A5D9" w:themeFill="accent1" w:themeFillTint="7F"/>
      </w:tcPr>
    </w:tblStylePr>
  </w:style>
  <w:style w:type="table" w:styleId="MediumGrid1-Accent2">
    <w:name w:val="Medium Grid 1 Accent 2"/>
    <w:basedOn w:val="TableNormal"/>
    <w:uiPriority w:val="67"/>
    <w:semiHidden/>
    <w:rsid w:val="003E273C"/>
    <w:pPr>
      <w:spacing w:after="0" w:line="240" w:lineRule="auto"/>
    </w:pPr>
    <w:tblPr>
      <w:tblStyleRowBandSize w:val="1"/>
      <w:tblStyleColBandSize w:val="1"/>
      <w:tblBorders>
        <w:top w:val="single" w:sz="8" w:space="0" w:color="7A808C" w:themeColor="accent2" w:themeTint="BF"/>
        <w:left w:val="single" w:sz="8" w:space="0" w:color="7A808C" w:themeColor="accent2" w:themeTint="BF"/>
        <w:bottom w:val="single" w:sz="8" w:space="0" w:color="7A808C" w:themeColor="accent2" w:themeTint="BF"/>
        <w:right w:val="single" w:sz="8" w:space="0" w:color="7A808C" w:themeColor="accent2" w:themeTint="BF"/>
        <w:insideH w:val="single" w:sz="8" w:space="0" w:color="7A808C" w:themeColor="accent2" w:themeTint="BF"/>
        <w:insideV w:val="single" w:sz="8" w:space="0" w:color="7A808C" w:themeColor="accent2" w:themeTint="BF"/>
      </w:tblBorders>
    </w:tblPr>
    <w:tcPr>
      <w:shd w:val="clear" w:color="auto" w:fill="D3D5D9" w:themeFill="accent2" w:themeFillTint="3F"/>
    </w:tcPr>
    <w:tblStylePr w:type="firstRow">
      <w:rPr>
        <w:b/>
        <w:bCs/>
      </w:rPr>
    </w:tblStylePr>
    <w:tblStylePr w:type="lastRow">
      <w:rPr>
        <w:b/>
        <w:bCs/>
      </w:rPr>
      <w:tblPr/>
      <w:tcPr>
        <w:tcBorders>
          <w:top w:val="single" w:sz="18" w:space="0" w:color="7A808C" w:themeColor="accent2" w:themeTint="BF"/>
        </w:tcBorders>
      </w:tcPr>
    </w:tblStylePr>
    <w:tblStylePr w:type="firstCol">
      <w:rPr>
        <w:b/>
        <w:bCs/>
      </w:rPr>
    </w:tblStylePr>
    <w:tblStylePr w:type="lastCol">
      <w:rPr>
        <w:b/>
        <w:bCs/>
      </w:rPr>
    </w:tblStylePr>
    <w:tblStylePr w:type="band1Vert">
      <w:tblPr/>
      <w:tcPr>
        <w:shd w:val="clear" w:color="auto" w:fill="A7AAB3" w:themeFill="accent2" w:themeFillTint="7F"/>
      </w:tcPr>
    </w:tblStylePr>
    <w:tblStylePr w:type="band1Horz">
      <w:tblPr/>
      <w:tcPr>
        <w:shd w:val="clear" w:color="auto" w:fill="A7AAB3" w:themeFill="accent2" w:themeFillTint="7F"/>
      </w:tcPr>
    </w:tblStylePr>
  </w:style>
  <w:style w:type="table" w:styleId="MediumGrid1-Accent3">
    <w:name w:val="Medium Grid 1 Accent 3"/>
    <w:basedOn w:val="TableNormal"/>
    <w:uiPriority w:val="67"/>
    <w:semiHidden/>
    <w:rsid w:val="003E273C"/>
    <w:pPr>
      <w:spacing w:after="0" w:line="240" w:lineRule="auto"/>
    </w:pPr>
    <w:tblPr>
      <w:tblStyleRowBandSize w:val="1"/>
      <w:tblStyleColBandSize w:val="1"/>
      <w:tblBorders>
        <w:top w:val="single" w:sz="8" w:space="0" w:color="F0BE4C" w:themeColor="accent3" w:themeTint="BF"/>
        <w:left w:val="single" w:sz="8" w:space="0" w:color="F0BE4C" w:themeColor="accent3" w:themeTint="BF"/>
        <w:bottom w:val="single" w:sz="8" w:space="0" w:color="F0BE4C" w:themeColor="accent3" w:themeTint="BF"/>
        <w:right w:val="single" w:sz="8" w:space="0" w:color="F0BE4C" w:themeColor="accent3" w:themeTint="BF"/>
        <w:insideH w:val="single" w:sz="8" w:space="0" w:color="F0BE4C" w:themeColor="accent3" w:themeTint="BF"/>
        <w:insideV w:val="single" w:sz="8" w:space="0" w:color="F0BE4C" w:themeColor="accent3" w:themeTint="BF"/>
      </w:tblBorders>
    </w:tblPr>
    <w:tcPr>
      <w:shd w:val="clear" w:color="auto" w:fill="FAE9C3" w:themeFill="accent3" w:themeFillTint="3F"/>
    </w:tcPr>
    <w:tblStylePr w:type="firstRow">
      <w:rPr>
        <w:b/>
        <w:bCs/>
      </w:rPr>
    </w:tblStylePr>
    <w:tblStylePr w:type="lastRow">
      <w:rPr>
        <w:b/>
        <w:bCs/>
      </w:rPr>
      <w:tblPr/>
      <w:tcPr>
        <w:tcBorders>
          <w:top w:val="single" w:sz="18" w:space="0" w:color="F0BE4C" w:themeColor="accent3" w:themeTint="BF"/>
        </w:tcBorders>
      </w:tcPr>
    </w:tblStylePr>
    <w:tblStylePr w:type="firstCol">
      <w:rPr>
        <w:b/>
        <w:bCs/>
      </w:rPr>
    </w:tblStylePr>
    <w:tblStylePr w:type="lastCol">
      <w:rPr>
        <w:b/>
        <w:bCs/>
      </w:rPr>
    </w:tblStylePr>
    <w:tblStylePr w:type="band1Vert">
      <w:tblPr/>
      <w:tcPr>
        <w:shd w:val="clear" w:color="auto" w:fill="F5D488" w:themeFill="accent3" w:themeFillTint="7F"/>
      </w:tcPr>
    </w:tblStylePr>
    <w:tblStylePr w:type="band1Horz">
      <w:tblPr/>
      <w:tcPr>
        <w:shd w:val="clear" w:color="auto" w:fill="F5D488" w:themeFill="accent3" w:themeFillTint="7F"/>
      </w:tcPr>
    </w:tblStylePr>
  </w:style>
  <w:style w:type="table" w:styleId="MediumGrid1-Accent4">
    <w:name w:val="Medium Grid 1 Accent 4"/>
    <w:basedOn w:val="TableNormal"/>
    <w:uiPriority w:val="67"/>
    <w:semiHidden/>
    <w:rsid w:val="003E273C"/>
    <w:pPr>
      <w:spacing w:after="0" w:line="240" w:lineRule="auto"/>
    </w:pPr>
    <w:tblPr>
      <w:tblStyleRowBandSize w:val="1"/>
      <w:tblStyleColBandSize w:val="1"/>
      <w:tblBorders>
        <w:top w:val="single" w:sz="8" w:space="0" w:color="8A42A3" w:themeColor="accent4" w:themeTint="BF"/>
        <w:left w:val="single" w:sz="8" w:space="0" w:color="8A42A3" w:themeColor="accent4" w:themeTint="BF"/>
        <w:bottom w:val="single" w:sz="8" w:space="0" w:color="8A42A3" w:themeColor="accent4" w:themeTint="BF"/>
        <w:right w:val="single" w:sz="8" w:space="0" w:color="8A42A3" w:themeColor="accent4" w:themeTint="BF"/>
        <w:insideH w:val="single" w:sz="8" w:space="0" w:color="8A42A3" w:themeColor="accent4" w:themeTint="BF"/>
        <w:insideV w:val="single" w:sz="8" w:space="0" w:color="8A42A3" w:themeColor="accent4" w:themeTint="BF"/>
      </w:tblBorders>
    </w:tblPr>
    <w:tcPr>
      <w:shd w:val="clear" w:color="auto" w:fill="DABCE4" w:themeFill="accent4" w:themeFillTint="3F"/>
    </w:tcPr>
    <w:tblStylePr w:type="firstRow">
      <w:rPr>
        <w:b/>
        <w:bCs/>
      </w:rPr>
    </w:tblStylePr>
    <w:tblStylePr w:type="lastRow">
      <w:rPr>
        <w:b/>
        <w:bCs/>
      </w:rPr>
      <w:tblPr/>
      <w:tcPr>
        <w:tcBorders>
          <w:top w:val="single" w:sz="18" w:space="0" w:color="8A42A3" w:themeColor="accent4" w:themeTint="BF"/>
        </w:tcBorders>
      </w:tcPr>
    </w:tblStylePr>
    <w:tblStylePr w:type="firstCol">
      <w:rPr>
        <w:b/>
        <w:bCs/>
      </w:rPr>
    </w:tblStylePr>
    <w:tblStylePr w:type="lastCol">
      <w:rPr>
        <w:b/>
        <w:bCs/>
      </w:rPr>
    </w:tblStylePr>
    <w:tblStylePr w:type="band1Vert">
      <w:tblPr/>
      <w:tcPr>
        <w:shd w:val="clear" w:color="auto" w:fill="B57AC9" w:themeFill="accent4" w:themeFillTint="7F"/>
      </w:tcPr>
    </w:tblStylePr>
    <w:tblStylePr w:type="band1Horz">
      <w:tblPr/>
      <w:tcPr>
        <w:shd w:val="clear" w:color="auto" w:fill="B57AC9" w:themeFill="accent4" w:themeFillTint="7F"/>
      </w:tcPr>
    </w:tblStylePr>
  </w:style>
  <w:style w:type="table" w:styleId="MediumGrid1-Accent5">
    <w:name w:val="Medium Grid 1 Accent 5"/>
    <w:basedOn w:val="TableNormal"/>
    <w:uiPriority w:val="67"/>
    <w:semiHidden/>
    <w:rsid w:val="003E273C"/>
    <w:pPr>
      <w:spacing w:after="0" w:line="240" w:lineRule="auto"/>
    </w:pPr>
    <w:tblPr>
      <w:tblStyleRowBandSize w:val="1"/>
      <w:tblStyleColBandSize w:val="1"/>
      <w:tblBorders>
        <w:top w:val="single" w:sz="8" w:space="0" w:color="6278C6" w:themeColor="accent5" w:themeTint="BF"/>
        <w:left w:val="single" w:sz="8" w:space="0" w:color="6278C6" w:themeColor="accent5" w:themeTint="BF"/>
        <w:bottom w:val="single" w:sz="8" w:space="0" w:color="6278C6" w:themeColor="accent5" w:themeTint="BF"/>
        <w:right w:val="single" w:sz="8" w:space="0" w:color="6278C6" w:themeColor="accent5" w:themeTint="BF"/>
        <w:insideH w:val="single" w:sz="8" w:space="0" w:color="6278C6" w:themeColor="accent5" w:themeTint="BF"/>
        <w:insideV w:val="single" w:sz="8" w:space="0" w:color="6278C6" w:themeColor="accent5" w:themeTint="BF"/>
      </w:tblBorders>
    </w:tblPr>
    <w:tcPr>
      <w:shd w:val="clear" w:color="auto" w:fill="CBD2EC" w:themeFill="accent5" w:themeFillTint="3F"/>
    </w:tcPr>
    <w:tblStylePr w:type="firstRow">
      <w:rPr>
        <w:b/>
        <w:bCs/>
      </w:rPr>
    </w:tblStylePr>
    <w:tblStylePr w:type="lastRow">
      <w:rPr>
        <w:b/>
        <w:bCs/>
      </w:rPr>
      <w:tblPr/>
      <w:tcPr>
        <w:tcBorders>
          <w:top w:val="single" w:sz="18" w:space="0" w:color="6278C6" w:themeColor="accent5" w:themeTint="BF"/>
        </w:tcBorders>
      </w:tcPr>
    </w:tblStylePr>
    <w:tblStylePr w:type="firstCol">
      <w:rPr>
        <w:b/>
        <w:bCs/>
      </w:rPr>
    </w:tblStylePr>
    <w:tblStylePr w:type="lastCol">
      <w:rPr>
        <w:b/>
        <w:bCs/>
      </w:rPr>
    </w:tblStylePr>
    <w:tblStylePr w:type="band1Vert">
      <w:tblPr/>
      <w:tcPr>
        <w:shd w:val="clear" w:color="auto" w:fill="96A5D9" w:themeFill="accent5" w:themeFillTint="7F"/>
      </w:tcPr>
    </w:tblStylePr>
    <w:tblStylePr w:type="band1Horz">
      <w:tblPr/>
      <w:tcPr>
        <w:shd w:val="clear" w:color="auto" w:fill="96A5D9" w:themeFill="accent5" w:themeFillTint="7F"/>
      </w:tcPr>
    </w:tblStylePr>
  </w:style>
  <w:style w:type="table" w:styleId="MediumGrid1-Accent6">
    <w:name w:val="Medium Grid 1 Accent 6"/>
    <w:basedOn w:val="TableNormal"/>
    <w:uiPriority w:val="67"/>
    <w:semiHidden/>
    <w:rsid w:val="003E273C"/>
    <w:pPr>
      <w:spacing w:after="0" w:line="240" w:lineRule="auto"/>
    </w:pPr>
    <w:tblPr>
      <w:tblStyleRowBandSize w:val="1"/>
      <w:tblStyleColBandSize w:val="1"/>
      <w:tblBorders>
        <w:top w:val="single" w:sz="8" w:space="0" w:color="7A808C" w:themeColor="accent6" w:themeTint="BF"/>
        <w:left w:val="single" w:sz="8" w:space="0" w:color="7A808C" w:themeColor="accent6" w:themeTint="BF"/>
        <w:bottom w:val="single" w:sz="8" w:space="0" w:color="7A808C" w:themeColor="accent6" w:themeTint="BF"/>
        <w:right w:val="single" w:sz="8" w:space="0" w:color="7A808C" w:themeColor="accent6" w:themeTint="BF"/>
        <w:insideH w:val="single" w:sz="8" w:space="0" w:color="7A808C" w:themeColor="accent6" w:themeTint="BF"/>
        <w:insideV w:val="single" w:sz="8" w:space="0" w:color="7A808C" w:themeColor="accent6" w:themeTint="BF"/>
      </w:tblBorders>
    </w:tblPr>
    <w:tcPr>
      <w:shd w:val="clear" w:color="auto" w:fill="D3D5D9" w:themeFill="accent6" w:themeFillTint="3F"/>
    </w:tcPr>
    <w:tblStylePr w:type="firstRow">
      <w:rPr>
        <w:b/>
        <w:bCs/>
      </w:rPr>
    </w:tblStylePr>
    <w:tblStylePr w:type="lastRow">
      <w:rPr>
        <w:b/>
        <w:bCs/>
      </w:rPr>
      <w:tblPr/>
      <w:tcPr>
        <w:tcBorders>
          <w:top w:val="single" w:sz="18" w:space="0" w:color="7A808C" w:themeColor="accent6" w:themeTint="BF"/>
        </w:tcBorders>
      </w:tcPr>
    </w:tblStylePr>
    <w:tblStylePr w:type="firstCol">
      <w:rPr>
        <w:b/>
        <w:bCs/>
      </w:rPr>
    </w:tblStylePr>
    <w:tblStylePr w:type="lastCol">
      <w:rPr>
        <w:b/>
        <w:bCs/>
      </w:rPr>
    </w:tblStylePr>
    <w:tblStylePr w:type="band1Vert">
      <w:tblPr/>
      <w:tcPr>
        <w:shd w:val="clear" w:color="auto" w:fill="A7AAB3" w:themeFill="accent6" w:themeFillTint="7F"/>
      </w:tcPr>
    </w:tblStylePr>
    <w:tblStylePr w:type="band1Horz">
      <w:tblPr/>
      <w:tcPr>
        <w:shd w:val="clear" w:color="auto" w:fill="A7AAB3" w:themeFill="accent6" w:themeFillTint="7F"/>
      </w:tcPr>
    </w:tblStylePr>
  </w:style>
  <w:style w:type="table" w:styleId="MediumGrid2">
    <w:name w:val="Medium Grid 2"/>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54A5" w:themeColor="accent1"/>
        <w:left w:val="single" w:sz="8" w:space="0" w:color="3C54A5" w:themeColor="accent1"/>
        <w:bottom w:val="single" w:sz="8" w:space="0" w:color="3C54A5" w:themeColor="accent1"/>
        <w:right w:val="single" w:sz="8" w:space="0" w:color="3C54A5" w:themeColor="accent1"/>
        <w:insideH w:val="single" w:sz="8" w:space="0" w:color="3C54A5" w:themeColor="accent1"/>
        <w:insideV w:val="single" w:sz="8" w:space="0" w:color="3C54A5" w:themeColor="accent1"/>
      </w:tblBorders>
    </w:tblPr>
    <w:tcPr>
      <w:shd w:val="clear" w:color="auto" w:fill="CBD2EC" w:themeFill="accent1" w:themeFillTint="3F"/>
    </w:tcPr>
    <w:tblStylePr w:type="firstRow">
      <w:rPr>
        <w:b/>
        <w:bCs/>
        <w:color w:val="000000" w:themeColor="text1"/>
      </w:rPr>
      <w:tblPr/>
      <w:tcPr>
        <w:shd w:val="clear" w:color="auto" w:fill="EAED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DBEF" w:themeFill="accent1" w:themeFillTint="33"/>
      </w:tcPr>
    </w:tblStylePr>
    <w:tblStylePr w:type="band1Vert">
      <w:tblPr/>
      <w:tcPr>
        <w:shd w:val="clear" w:color="auto" w:fill="96A5D9" w:themeFill="accent1" w:themeFillTint="7F"/>
      </w:tcPr>
    </w:tblStylePr>
    <w:tblStylePr w:type="band1Horz">
      <w:tblPr/>
      <w:tcPr>
        <w:tcBorders>
          <w:insideH w:val="single" w:sz="6" w:space="0" w:color="3C54A5" w:themeColor="accent1"/>
          <w:insideV w:val="single" w:sz="6" w:space="0" w:color="3C54A5" w:themeColor="accent1"/>
        </w:tcBorders>
        <w:shd w:val="clear" w:color="auto" w:fill="96A5D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5861" w:themeColor="accent2"/>
        <w:left w:val="single" w:sz="8" w:space="0" w:color="545861" w:themeColor="accent2"/>
        <w:bottom w:val="single" w:sz="8" w:space="0" w:color="545861" w:themeColor="accent2"/>
        <w:right w:val="single" w:sz="8" w:space="0" w:color="545861" w:themeColor="accent2"/>
        <w:insideH w:val="single" w:sz="8" w:space="0" w:color="545861" w:themeColor="accent2"/>
        <w:insideV w:val="single" w:sz="8" w:space="0" w:color="545861" w:themeColor="accent2"/>
      </w:tblBorders>
    </w:tblPr>
    <w:tcPr>
      <w:shd w:val="clear" w:color="auto" w:fill="D3D5D9" w:themeFill="accent2" w:themeFillTint="3F"/>
    </w:tcPr>
    <w:tblStylePr w:type="firstRow">
      <w:rPr>
        <w:b/>
        <w:bCs/>
        <w:color w:val="000000" w:themeColor="text1"/>
      </w:rPr>
      <w:tblPr/>
      <w:tcPr>
        <w:shd w:val="clear" w:color="auto" w:fill="EDEE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DE0" w:themeFill="accent2" w:themeFillTint="33"/>
      </w:tcPr>
    </w:tblStylePr>
    <w:tblStylePr w:type="band1Vert">
      <w:tblPr/>
      <w:tcPr>
        <w:shd w:val="clear" w:color="auto" w:fill="A7AAB3" w:themeFill="accent2" w:themeFillTint="7F"/>
      </w:tcPr>
    </w:tblStylePr>
    <w:tblStylePr w:type="band1Horz">
      <w:tblPr/>
      <w:tcPr>
        <w:tcBorders>
          <w:insideH w:val="single" w:sz="6" w:space="0" w:color="545861" w:themeColor="accent2"/>
          <w:insideV w:val="single" w:sz="6" w:space="0" w:color="545861" w:themeColor="accent2"/>
        </w:tcBorders>
        <w:shd w:val="clear" w:color="auto" w:fill="A7AAB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A913" w:themeColor="accent3"/>
        <w:left w:val="single" w:sz="8" w:space="0" w:color="E9A913" w:themeColor="accent3"/>
        <w:bottom w:val="single" w:sz="8" w:space="0" w:color="E9A913" w:themeColor="accent3"/>
        <w:right w:val="single" w:sz="8" w:space="0" w:color="E9A913" w:themeColor="accent3"/>
        <w:insideH w:val="single" w:sz="8" w:space="0" w:color="E9A913" w:themeColor="accent3"/>
        <w:insideV w:val="single" w:sz="8" w:space="0" w:color="E9A913" w:themeColor="accent3"/>
      </w:tblBorders>
    </w:tblPr>
    <w:tcPr>
      <w:shd w:val="clear" w:color="auto" w:fill="FAE9C3" w:themeFill="accent3" w:themeFillTint="3F"/>
    </w:tcPr>
    <w:tblStylePr w:type="firstRow">
      <w:rPr>
        <w:b/>
        <w:bCs/>
        <w:color w:val="000000" w:themeColor="text1"/>
      </w:rPr>
      <w:tblPr/>
      <w:tcPr>
        <w:shd w:val="clear" w:color="auto" w:fill="FDF6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DCF" w:themeFill="accent3" w:themeFillTint="33"/>
      </w:tcPr>
    </w:tblStylePr>
    <w:tblStylePr w:type="band1Vert">
      <w:tblPr/>
      <w:tcPr>
        <w:shd w:val="clear" w:color="auto" w:fill="F5D488" w:themeFill="accent3" w:themeFillTint="7F"/>
      </w:tcPr>
    </w:tblStylePr>
    <w:tblStylePr w:type="band1Horz">
      <w:tblPr/>
      <w:tcPr>
        <w:tcBorders>
          <w:insideH w:val="single" w:sz="6" w:space="0" w:color="E9A913" w:themeColor="accent3"/>
          <w:insideV w:val="single" w:sz="6" w:space="0" w:color="E9A913" w:themeColor="accent3"/>
        </w:tcBorders>
        <w:shd w:val="clear" w:color="auto" w:fill="F5D48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22761" w:themeColor="accent4"/>
        <w:left w:val="single" w:sz="8" w:space="0" w:color="522761" w:themeColor="accent4"/>
        <w:bottom w:val="single" w:sz="8" w:space="0" w:color="522761" w:themeColor="accent4"/>
        <w:right w:val="single" w:sz="8" w:space="0" w:color="522761" w:themeColor="accent4"/>
        <w:insideH w:val="single" w:sz="8" w:space="0" w:color="522761" w:themeColor="accent4"/>
        <w:insideV w:val="single" w:sz="8" w:space="0" w:color="522761" w:themeColor="accent4"/>
      </w:tblBorders>
    </w:tblPr>
    <w:tcPr>
      <w:shd w:val="clear" w:color="auto" w:fill="DABCE4" w:themeFill="accent4" w:themeFillTint="3F"/>
    </w:tcPr>
    <w:tblStylePr w:type="firstRow">
      <w:rPr>
        <w:b/>
        <w:bCs/>
        <w:color w:val="000000" w:themeColor="text1"/>
      </w:rPr>
      <w:tblPr/>
      <w:tcPr>
        <w:shd w:val="clear" w:color="auto" w:fill="F0E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C9E9" w:themeFill="accent4" w:themeFillTint="33"/>
      </w:tcPr>
    </w:tblStylePr>
    <w:tblStylePr w:type="band1Vert">
      <w:tblPr/>
      <w:tcPr>
        <w:shd w:val="clear" w:color="auto" w:fill="B57AC9" w:themeFill="accent4" w:themeFillTint="7F"/>
      </w:tcPr>
    </w:tblStylePr>
    <w:tblStylePr w:type="band1Horz">
      <w:tblPr/>
      <w:tcPr>
        <w:tcBorders>
          <w:insideH w:val="single" w:sz="6" w:space="0" w:color="522761" w:themeColor="accent4"/>
          <w:insideV w:val="single" w:sz="6" w:space="0" w:color="522761" w:themeColor="accent4"/>
        </w:tcBorders>
        <w:shd w:val="clear" w:color="auto" w:fill="B57AC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54A5" w:themeColor="accent5"/>
        <w:left w:val="single" w:sz="8" w:space="0" w:color="3C54A5" w:themeColor="accent5"/>
        <w:bottom w:val="single" w:sz="8" w:space="0" w:color="3C54A5" w:themeColor="accent5"/>
        <w:right w:val="single" w:sz="8" w:space="0" w:color="3C54A5" w:themeColor="accent5"/>
        <w:insideH w:val="single" w:sz="8" w:space="0" w:color="3C54A5" w:themeColor="accent5"/>
        <w:insideV w:val="single" w:sz="8" w:space="0" w:color="3C54A5" w:themeColor="accent5"/>
      </w:tblBorders>
    </w:tblPr>
    <w:tcPr>
      <w:shd w:val="clear" w:color="auto" w:fill="CBD2EC" w:themeFill="accent5" w:themeFillTint="3F"/>
    </w:tcPr>
    <w:tblStylePr w:type="firstRow">
      <w:rPr>
        <w:b/>
        <w:bCs/>
        <w:color w:val="000000" w:themeColor="text1"/>
      </w:rPr>
      <w:tblPr/>
      <w:tcPr>
        <w:shd w:val="clear" w:color="auto" w:fill="EAED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DBEF" w:themeFill="accent5" w:themeFillTint="33"/>
      </w:tcPr>
    </w:tblStylePr>
    <w:tblStylePr w:type="band1Vert">
      <w:tblPr/>
      <w:tcPr>
        <w:shd w:val="clear" w:color="auto" w:fill="96A5D9" w:themeFill="accent5" w:themeFillTint="7F"/>
      </w:tcPr>
    </w:tblStylePr>
    <w:tblStylePr w:type="band1Horz">
      <w:tblPr/>
      <w:tcPr>
        <w:tcBorders>
          <w:insideH w:val="single" w:sz="6" w:space="0" w:color="3C54A5" w:themeColor="accent5"/>
          <w:insideV w:val="single" w:sz="6" w:space="0" w:color="3C54A5" w:themeColor="accent5"/>
        </w:tcBorders>
        <w:shd w:val="clear" w:color="auto" w:fill="96A5D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5861" w:themeColor="accent6"/>
        <w:left w:val="single" w:sz="8" w:space="0" w:color="545861" w:themeColor="accent6"/>
        <w:bottom w:val="single" w:sz="8" w:space="0" w:color="545861" w:themeColor="accent6"/>
        <w:right w:val="single" w:sz="8" w:space="0" w:color="545861" w:themeColor="accent6"/>
        <w:insideH w:val="single" w:sz="8" w:space="0" w:color="545861" w:themeColor="accent6"/>
        <w:insideV w:val="single" w:sz="8" w:space="0" w:color="545861" w:themeColor="accent6"/>
      </w:tblBorders>
    </w:tblPr>
    <w:tcPr>
      <w:shd w:val="clear" w:color="auto" w:fill="D3D5D9" w:themeFill="accent6" w:themeFillTint="3F"/>
    </w:tcPr>
    <w:tblStylePr w:type="firstRow">
      <w:rPr>
        <w:b/>
        <w:bCs/>
        <w:color w:val="000000" w:themeColor="text1"/>
      </w:rPr>
      <w:tblPr/>
      <w:tcPr>
        <w:shd w:val="clear" w:color="auto" w:fill="EDEE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DE0" w:themeFill="accent6" w:themeFillTint="33"/>
      </w:tcPr>
    </w:tblStylePr>
    <w:tblStylePr w:type="band1Vert">
      <w:tblPr/>
      <w:tcPr>
        <w:shd w:val="clear" w:color="auto" w:fill="A7AAB3" w:themeFill="accent6" w:themeFillTint="7F"/>
      </w:tcPr>
    </w:tblStylePr>
    <w:tblStylePr w:type="band1Horz">
      <w:tblPr/>
      <w:tcPr>
        <w:tcBorders>
          <w:insideH w:val="single" w:sz="6" w:space="0" w:color="545861" w:themeColor="accent6"/>
          <w:insideV w:val="single" w:sz="6" w:space="0" w:color="545861" w:themeColor="accent6"/>
        </w:tcBorders>
        <w:shd w:val="clear" w:color="auto" w:fill="A7AAB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2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54A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54A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54A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54A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A5D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A5D9" w:themeFill="accent1" w:themeFillTint="7F"/>
      </w:tcPr>
    </w:tblStylePr>
  </w:style>
  <w:style w:type="table" w:styleId="MediumGrid3-Accent2">
    <w:name w:val="Medium Grid 3 Accent 2"/>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5D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86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86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86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86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AAB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AAB3" w:themeFill="accent2" w:themeFillTint="7F"/>
      </w:tcPr>
    </w:tblStylePr>
  </w:style>
  <w:style w:type="table" w:styleId="MediumGrid3-Accent3">
    <w:name w:val="Medium Grid 3 Accent 3"/>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9C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A91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A91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A91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A91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D48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D488" w:themeFill="accent3" w:themeFillTint="7F"/>
      </w:tcPr>
    </w:tblStylePr>
  </w:style>
  <w:style w:type="table" w:styleId="MediumGrid3-Accent4">
    <w:name w:val="Medium Grid 3 Accent 4"/>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BC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2276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2276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2276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2276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7AC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7AC9" w:themeFill="accent4" w:themeFillTint="7F"/>
      </w:tcPr>
    </w:tblStylePr>
  </w:style>
  <w:style w:type="table" w:styleId="MediumGrid3-Accent5">
    <w:name w:val="Medium Grid 3 Accent 5"/>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2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54A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54A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54A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54A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A5D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A5D9" w:themeFill="accent5" w:themeFillTint="7F"/>
      </w:tcPr>
    </w:tblStylePr>
  </w:style>
  <w:style w:type="table" w:styleId="MediumGrid3-Accent6">
    <w:name w:val="Medium Grid 3 Accent 6"/>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5D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86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86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86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86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AAB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AAB3" w:themeFill="accent6" w:themeFillTint="7F"/>
      </w:tcPr>
    </w:tblStylePr>
  </w:style>
  <w:style w:type="table" w:styleId="MediumList1">
    <w:name w:val="Medium List 1"/>
    <w:basedOn w:val="TableNormal"/>
    <w:uiPriority w:val="65"/>
    <w:semiHidden/>
    <w:rsid w:val="003E273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C54A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E273C"/>
    <w:pPr>
      <w:spacing w:after="0" w:line="240" w:lineRule="auto"/>
    </w:pPr>
    <w:rPr>
      <w:color w:val="000000" w:themeColor="text1"/>
    </w:rPr>
    <w:tblPr>
      <w:tblStyleRowBandSize w:val="1"/>
      <w:tblStyleColBandSize w:val="1"/>
      <w:tblBorders>
        <w:top w:val="single" w:sz="8" w:space="0" w:color="3C54A5" w:themeColor="accent1"/>
        <w:bottom w:val="single" w:sz="8" w:space="0" w:color="3C54A5" w:themeColor="accent1"/>
      </w:tblBorders>
    </w:tblPr>
    <w:tblStylePr w:type="firstRow">
      <w:rPr>
        <w:rFonts w:asciiTheme="majorHAnsi" w:eastAsiaTheme="majorEastAsia" w:hAnsiTheme="majorHAnsi" w:cstheme="majorBidi"/>
      </w:rPr>
      <w:tblPr/>
      <w:tcPr>
        <w:tcBorders>
          <w:top w:val="nil"/>
          <w:bottom w:val="single" w:sz="8" w:space="0" w:color="3C54A5" w:themeColor="accent1"/>
        </w:tcBorders>
      </w:tcPr>
    </w:tblStylePr>
    <w:tblStylePr w:type="lastRow">
      <w:rPr>
        <w:b/>
        <w:bCs/>
        <w:color w:val="3C54A5" w:themeColor="text2"/>
      </w:rPr>
      <w:tblPr/>
      <w:tcPr>
        <w:tcBorders>
          <w:top w:val="single" w:sz="8" w:space="0" w:color="3C54A5" w:themeColor="accent1"/>
          <w:bottom w:val="single" w:sz="8" w:space="0" w:color="3C54A5" w:themeColor="accent1"/>
        </w:tcBorders>
      </w:tcPr>
    </w:tblStylePr>
    <w:tblStylePr w:type="firstCol">
      <w:rPr>
        <w:b/>
        <w:bCs/>
      </w:rPr>
    </w:tblStylePr>
    <w:tblStylePr w:type="lastCol">
      <w:rPr>
        <w:b/>
        <w:bCs/>
      </w:rPr>
      <w:tblPr/>
      <w:tcPr>
        <w:tcBorders>
          <w:top w:val="single" w:sz="8" w:space="0" w:color="3C54A5" w:themeColor="accent1"/>
          <w:bottom w:val="single" w:sz="8" w:space="0" w:color="3C54A5" w:themeColor="accent1"/>
        </w:tcBorders>
      </w:tcPr>
    </w:tblStylePr>
    <w:tblStylePr w:type="band1Vert">
      <w:tblPr/>
      <w:tcPr>
        <w:shd w:val="clear" w:color="auto" w:fill="CBD2EC" w:themeFill="accent1" w:themeFillTint="3F"/>
      </w:tcPr>
    </w:tblStylePr>
    <w:tblStylePr w:type="band1Horz">
      <w:tblPr/>
      <w:tcPr>
        <w:shd w:val="clear" w:color="auto" w:fill="CBD2EC" w:themeFill="accent1" w:themeFillTint="3F"/>
      </w:tcPr>
    </w:tblStylePr>
  </w:style>
  <w:style w:type="table" w:styleId="MediumList1-Accent2">
    <w:name w:val="Medium List 1 Accent 2"/>
    <w:basedOn w:val="TableNormal"/>
    <w:uiPriority w:val="65"/>
    <w:semiHidden/>
    <w:rsid w:val="003E273C"/>
    <w:pPr>
      <w:spacing w:after="0" w:line="240" w:lineRule="auto"/>
    </w:pPr>
    <w:rPr>
      <w:color w:val="000000" w:themeColor="text1"/>
    </w:rPr>
    <w:tblPr>
      <w:tblStyleRowBandSize w:val="1"/>
      <w:tblStyleColBandSize w:val="1"/>
      <w:tblBorders>
        <w:top w:val="single" w:sz="8" w:space="0" w:color="545861" w:themeColor="accent2"/>
        <w:bottom w:val="single" w:sz="8" w:space="0" w:color="545861" w:themeColor="accent2"/>
      </w:tblBorders>
    </w:tblPr>
    <w:tblStylePr w:type="firstRow">
      <w:rPr>
        <w:rFonts w:asciiTheme="majorHAnsi" w:eastAsiaTheme="majorEastAsia" w:hAnsiTheme="majorHAnsi" w:cstheme="majorBidi"/>
      </w:rPr>
      <w:tblPr/>
      <w:tcPr>
        <w:tcBorders>
          <w:top w:val="nil"/>
          <w:bottom w:val="single" w:sz="8" w:space="0" w:color="545861" w:themeColor="accent2"/>
        </w:tcBorders>
      </w:tcPr>
    </w:tblStylePr>
    <w:tblStylePr w:type="lastRow">
      <w:rPr>
        <w:b/>
        <w:bCs/>
        <w:color w:val="3C54A5" w:themeColor="text2"/>
      </w:rPr>
      <w:tblPr/>
      <w:tcPr>
        <w:tcBorders>
          <w:top w:val="single" w:sz="8" w:space="0" w:color="545861" w:themeColor="accent2"/>
          <w:bottom w:val="single" w:sz="8" w:space="0" w:color="545861" w:themeColor="accent2"/>
        </w:tcBorders>
      </w:tcPr>
    </w:tblStylePr>
    <w:tblStylePr w:type="firstCol">
      <w:rPr>
        <w:b/>
        <w:bCs/>
      </w:rPr>
    </w:tblStylePr>
    <w:tblStylePr w:type="lastCol">
      <w:rPr>
        <w:b/>
        <w:bCs/>
      </w:rPr>
      <w:tblPr/>
      <w:tcPr>
        <w:tcBorders>
          <w:top w:val="single" w:sz="8" w:space="0" w:color="545861" w:themeColor="accent2"/>
          <w:bottom w:val="single" w:sz="8" w:space="0" w:color="545861" w:themeColor="accent2"/>
        </w:tcBorders>
      </w:tcPr>
    </w:tblStylePr>
    <w:tblStylePr w:type="band1Vert">
      <w:tblPr/>
      <w:tcPr>
        <w:shd w:val="clear" w:color="auto" w:fill="D3D5D9" w:themeFill="accent2" w:themeFillTint="3F"/>
      </w:tcPr>
    </w:tblStylePr>
    <w:tblStylePr w:type="band1Horz">
      <w:tblPr/>
      <w:tcPr>
        <w:shd w:val="clear" w:color="auto" w:fill="D3D5D9" w:themeFill="accent2" w:themeFillTint="3F"/>
      </w:tcPr>
    </w:tblStylePr>
  </w:style>
  <w:style w:type="table" w:styleId="MediumList1-Accent3">
    <w:name w:val="Medium List 1 Accent 3"/>
    <w:basedOn w:val="TableNormal"/>
    <w:uiPriority w:val="65"/>
    <w:semiHidden/>
    <w:rsid w:val="003E273C"/>
    <w:pPr>
      <w:spacing w:after="0" w:line="240" w:lineRule="auto"/>
    </w:pPr>
    <w:rPr>
      <w:color w:val="000000" w:themeColor="text1"/>
    </w:rPr>
    <w:tblPr>
      <w:tblStyleRowBandSize w:val="1"/>
      <w:tblStyleColBandSize w:val="1"/>
      <w:tblBorders>
        <w:top w:val="single" w:sz="8" w:space="0" w:color="E9A913" w:themeColor="accent3"/>
        <w:bottom w:val="single" w:sz="8" w:space="0" w:color="E9A913" w:themeColor="accent3"/>
      </w:tblBorders>
    </w:tblPr>
    <w:tblStylePr w:type="firstRow">
      <w:rPr>
        <w:rFonts w:asciiTheme="majorHAnsi" w:eastAsiaTheme="majorEastAsia" w:hAnsiTheme="majorHAnsi" w:cstheme="majorBidi"/>
      </w:rPr>
      <w:tblPr/>
      <w:tcPr>
        <w:tcBorders>
          <w:top w:val="nil"/>
          <w:bottom w:val="single" w:sz="8" w:space="0" w:color="E9A913" w:themeColor="accent3"/>
        </w:tcBorders>
      </w:tcPr>
    </w:tblStylePr>
    <w:tblStylePr w:type="lastRow">
      <w:rPr>
        <w:b/>
        <w:bCs/>
        <w:color w:val="3C54A5" w:themeColor="text2"/>
      </w:rPr>
      <w:tblPr/>
      <w:tcPr>
        <w:tcBorders>
          <w:top w:val="single" w:sz="8" w:space="0" w:color="E9A913" w:themeColor="accent3"/>
          <w:bottom w:val="single" w:sz="8" w:space="0" w:color="E9A913" w:themeColor="accent3"/>
        </w:tcBorders>
      </w:tcPr>
    </w:tblStylePr>
    <w:tblStylePr w:type="firstCol">
      <w:rPr>
        <w:b/>
        <w:bCs/>
      </w:rPr>
    </w:tblStylePr>
    <w:tblStylePr w:type="lastCol">
      <w:rPr>
        <w:b/>
        <w:bCs/>
      </w:rPr>
      <w:tblPr/>
      <w:tcPr>
        <w:tcBorders>
          <w:top w:val="single" w:sz="8" w:space="0" w:color="E9A913" w:themeColor="accent3"/>
          <w:bottom w:val="single" w:sz="8" w:space="0" w:color="E9A913" w:themeColor="accent3"/>
        </w:tcBorders>
      </w:tcPr>
    </w:tblStylePr>
    <w:tblStylePr w:type="band1Vert">
      <w:tblPr/>
      <w:tcPr>
        <w:shd w:val="clear" w:color="auto" w:fill="FAE9C3" w:themeFill="accent3" w:themeFillTint="3F"/>
      </w:tcPr>
    </w:tblStylePr>
    <w:tblStylePr w:type="band1Horz">
      <w:tblPr/>
      <w:tcPr>
        <w:shd w:val="clear" w:color="auto" w:fill="FAE9C3" w:themeFill="accent3" w:themeFillTint="3F"/>
      </w:tcPr>
    </w:tblStylePr>
  </w:style>
  <w:style w:type="table" w:styleId="MediumList1-Accent4">
    <w:name w:val="Medium List 1 Accent 4"/>
    <w:basedOn w:val="TableNormal"/>
    <w:uiPriority w:val="65"/>
    <w:semiHidden/>
    <w:rsid w:val="003E273C"/>
    <w:pPr>
      <w:spacing w:after="0" w:line="240" w:lineRule="auto"/>
    </w:pPr>
    <w:rPr>
      <w:color w:val="000000" w:themeColor="text1"/>
    </w:rPr>
    <w:tblPr>
      <w:tblStyleRowBandSize w:val="1"/>
      <w:tblStyleColBandSize w:val="1"/>
      <w:tblBorders>
        <w:top w:val="single" w:sz="8" w:space="0" w:color="522761" w:themeColor="accent4"/>
        <w:bottom w:val="single" w:sz="8" w:space="0" w:color="522761" w:themeColor="accent4"/>
      </w:tblBorders>
    </w:tblPr>
    <w:tblStylePr w:type="firstRow">
      <w:rPr>
        <w:rFonts w:asciiTheme="majorHAnsi" w:eastAsiaTheme="majorEastAsia" w:hAnsiTheme="majorHAnsi" w:cstheme="majorBidi"/>
      </w:rPr>
      <w:tblPr/>
      <w:tcPr>
        <w:tcBorders>
          <w:top w:val="nil"/>
          <w:bottom w:val="single" w:sz="8" w:space="0" w:color="522761" w:themeColor="accent4"/>
        </w:tcBorders>
      </w:tcPr>
    </w:tblStylePr>
    <w:tblStylePr w:type="lastRow">
      <w:rPr>
        <w:b/>
        <w:bCs/>
        <w:color w:val="3C54A5" w:themeColor="text2"/>
      </w:rPr>
      <w:tblPr/>
      <w:tcPr>
        <w:tcBorders>
          <w:top w:val="single" w:sz="8" w:space="0" w:color="522761" w:themeColor="accent4"/>
          <w:bottom w:val="single" w:sz="8" w:space="0" w:color="522761" w:themeColor="accent4"/>
        </w:tcBorders>
      </w:tcPr>
    </w:tblStylePr>
    <w:tblStylePr w:type="firstCol">
      <w:rPr>
        <w:b/>
        <w:bCs/>
      </w:rPr>
    </w:tblStylePr>
    <w:tblStylePr w:type="lastCol">
      <w:rPr>
        <w:b/>
        <w:bCs/>
      </w:rPr>
      <w:tblPr/>
      <w:tcPr>
        <w:tcBorders>
          <w:top w:val="single" w:sz="8" w:space="0" w:color="522761" w:themeColor="accent4"/>
          <w:bottom w:val="single" w:sz="8" w:space="0" w:color="522761" w:themeColor="accent4"/>
        </w:tcBorders>
      </w:tcPr>
    </w:tblStylePr>
    <w:tblStylePr w:type="band1Vert">
      <w:tblPr/>
      <w:tcPr>
        <w:shd w:val="clear" w:color="auto" w:fill="DABCE4" w:themeFill="accent4" w:themeFillTint="3F"/>
      </w:tcPr>
    </w:tblStylePr>
    <w:tblStylePr w:type="band1Horz">
      <w:tblPr/>
      <w:tcPr>
        <w:shd w:val="clear" w:color="auto" w:fill="DABCE4" w:themeFill="accent4" w:themeFillTint="3F"/>
      </w:tcPr>
    </w:tblStylePr>
  </w:style>
  <w:style w:type="table" w:styleId="MediumList1-Accent5">
    <w:name w:val="Medium List 1 Accent 5"/>
    <w:basedOn w:val="TableNormal"/>
    <w:uiPriority w:val="65"/>
    <w:semiHidden/>
    <w:rsid w:val="003E273C"/>
    <w:pPr>
      <w:spacing w:after="0" w:line="240" w:lineRule="auto"/>
    </w:pPr>
    <w:rPr>
      <w:color w:val="000000" w:themeColor="text1"/>
    </w:rPr>
    <w:tblPr>
      <w:tblStyleRowBandSize w:val="1"/>
      <w:tblStyleColBandSize w:val="1"/>
      <w:tblBorders>
        <w:top w:val="single" w:sz="8" w:space="0" w:color="3C54A5" w:themeColor="accent5"/>
        <w:bottom w:val="single" w:sz="8" w:space="0" w:color="3C54A5" w:themeColor="accent5"/>
      </w:tblBorders>
    </w:tblPr>
    <w:tblStylePr w:type="firstRow">
      <w:rPr>
        <w:rFonts w:asciiTheme="majorHAnsi" w:eastAsiaTheme="majorEastAsia" w:hAnsiTheme="majorHAnsi" w:cstheme="majorBidi"/>
      </w:rPr>
      <w:tblPr/>
      <w:tcPr>
        <w:tcBorders>
          <w:top w:val="nil"/>
          <w:bottom w:val="single" w:sz="8" w:space="0" w:color="3C54A5" w:themeColor="accent5"/>
        </w:tcBorders>
      </w:tcPr>
    </w:tblStylePr>
    <w:tblStylePr w:type="lastRow">
      <w:rPr>
        <w:b/>
        <w:bCs/>
        <w:color w:val="3C54A5" w:themeColor="text2"/>
      </w:rPr>
      <w:tblPr/>
      <w:tcPr>
        <w:tcBorders>
          <w:top w:val="single" w:sz="8" w:space="0" w:color="3C54A5" w:themeColor="accent5"/>
          <w:bottom w:val="single" w:sz="8" w:space="0" w:color="3C54A5" w:themeColor="accent5"/>
        </w:tcBorders>
      </w:tcPr>
    </w:tblStylePr>
    <w:tblStylePr w:type="firstCol">
      <w:rPr>
        <w:b/>
        <w:bCs/>
      </w:rPr>
    </w:tblStylePr>
    <w:tblStylePr w:type="lastCol">
      <w:rPr>
        <w:b/>
        <w:bCs/>
      </w:rPr>
      <w:tblPr/>
      <w:tcPr>
        <w:tcBorders>
          <w:top w:val="single" w:sz="8" w:space="0" w:color="3C54A5" w:themeColor="accent5"/>
          <w:bottom w:val="single" w:sz="8" w:space="0" w:color="3C54A5" w:themeColor="accent5"/>
        </w:tcBorders>
      </w:tcPr>
    </w:tblStylePr>
    <w:tblStylePr w:type="band1Vert">
      <w:tblPr/>
      <w:tcPr>
        <w:shd w:val="clear" w:color="auto" w:fill="CBD2EC" w:themeFill="accent5" w:themeFillTint="3F"/>
      </w:tcPr>
    </w:tblStylePr>
    <w:tblStylePr w:type="band1Horz">
      <w:tblPr/>
      <w:tcPr>
        <w:shd w:val="clear" w:color="auto" w:fill="CBD2EC" w:themeFill="accent5" w:themeFillTint="3F"/>
      </w:tcPr>
    </w:tblStylePr>
  </w:style>
  <w:style w:type="table" w:styleId="MediumList1-Accent6">
    <w:name w:val="Medium List 1 Accent 6"/>
    <w:basedOn w:val="TableNormal"/>
    <w:uiPriority w:val="65"/>
    <w:semiHidden/>
    <w:rsid w:val="003E273C"/>
    <w:pPr>
      <w:spacing w:after="0" w:line="240" w:lineRule="auto"/>
    </w:pPr>
    <w:rPr>
      <w:color w:val="000000" w:themeColor="text1"/>
    </w:rPr>
    <w:tblPr>
      <w:tblStyleRowBandSize w:val="1"/>
      <w:tblStyleColBandSize w:val="1"/>
      <w:tblBorders>
        <w:top w:val="single" w:sz="8" w:space="0" w:color="545861" w:themeColor="accent6"/>
        <w:bottom w:val="single" w:sz="8" w:space="0" w:color="545861" w:themeColor="accent6"/>
      </w:tblBorders>
    </w:tblPr>
    <w:tblStylePr w:type="firstRow">
      <w:rPr>
        <w:rFonts w:asciiTheme="majorHAnsi" w:eastAsiaTheme="majorEastAsia" w:hAnsiTheme="majorHAnsi" w:cstheme="majorBidi"/>
      </w:rPr>
      <w:tblPr/>
      <w:tcPr>
        <w:tcBorders>
          <w:top w:val="nil"/>
          <w:bottom w:val="single" w:sz="8" w:space="0" w:color="545861" w:themeColor="accent6"/>
        </w:tcBorders>
      </w:tcPr>
    </w:tblStylePr>
    <w:tblStylePr w:type="lastRow">
      <w:rPr>
        <w:b/>
        <w:bCs/>
        <w:color w:val="3C54A5" w:themeColor="text2"/>
      </w:rPr>
      <w:tblPr/>
      <w:tcPr>
        <w:tcBorders>
          <w:top w:val="single" w:sz="8" w:space="0" w:color="545861" w:themeColor="accent6"/>
          <w:bottom w:val="single" w:sz="8" w:space="0" w:color="545861" w:themeColor="accent6"/>
        </w:tcBorders>
      </w:tcPr>
    </w:tblStylePr>
    <w:tblStylePr w:type="firstCol">
      <w:rPr>
        <w:b/>
        <w:bCs/>
      </w:rPr>
    </w:tblStylePr>
    <w:tblStylePr w:type="lastCol">
      <w:rPr>
        <w:b/>
        <w:bCs/>
      </w:rPr>
      <w:tblPr/>
      <w:tcPr>
        <w:tcBorders>
          <w:top w:val="single" w:sz="8" w:space="0" w:color="545861" w:themeColor="accent6"/>
          <w:bottom w:val="single" w:sz="8" w:space="0" w:color="545861" w:themeColor="accent6"/>
        </w:tcBorders>
      </w:tcPr>
    </w:tblStylePr>
    <w:tblStylePr w:type="band1Vert">
      <w:tblPr/>
      <w:tcPr>
        <w:shd w:val="clear" w:color="auto" w:fill="D3D5D9" w:themeFill="accent6" w:themeFillTint="3F"/>
      </w:tcPr>
    </w:tblStylePr>
    <w:tblStylePr w:type="band1Horz">
      <w:tblPr/>
      <w:tcPr>
        <w:shd w:val="clear" w:color="auto" w:fill="D3D5D9" w:themeFill="accent6" w:themeFillTint="3F"/>
      </w:tcPr>
    </w:tblStylePr>
  </w:style>
  <w:style w:type="table" w:styleId="MediumList2">
    <w:name w:val="Medium List 2"/>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54A5" w:themeColor="accent1"/>
        <w:left w:val="single" w:sz="8" w:space="0" w:color="3C54A5" w:themeColor="accent1"/>
        <w:bottom w:val="single" w:sz="8" w:space="0" w:color="3C54A5" w:themeColor="accent1"/>
        <w:right w:val="single" w:sz="8" w:space="0" w:color="3C54A5" w:themeColor="accent1"/>
      </w:tblBorders>
    </w:tblPr>
    <w:tblStylePr w:type="firstRow">
      <w:rPr>
        <w:sz w:val="24"/>
        <w:szCs w:val="24"/>
      </w:rPr>
      <w:tblPr/>
      <w:tcPr>
        <w:tcBorders>
          <w:top w:val="nil"/>
          <w:left w:val="nil"/>
          <w:bottom w:val="single" w:sz="24" w:space="0" w:color="3C54A5" w:themeColor="accent1"/>
          <w:right w:val="nil"/>
          <w:insideH w:val="nil"/>
          <w:insideV w:val="nil"/>
        </w:tcBorders>
        <w:shd w:val="clear" w:color="auto" w:fill="FFFFFF" w:themeFill="background1"/>
      </w:tcPr>
    </w:tblStylePr>
    <w:tblStylePr w:type="lastRow">
      <w:tblPr/>
      <w:tcPr>
        <w:tcBorders>
          <w:top w:val="single" w:sz="8" w:space="0" w:color="3C54A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54A5" w:themeColor="accent1"/>
          <w:insideH w:val="nil"/>
          <w:insideV w:val="nil"/>
        </w:tcBorders>
        <w:shd w:val="clear" w:color="auto" w:fill="FFFFFF" w:themeFill="background1"/>
      </w:tcPr>
    </w:tblStylePr>
    <w:tblStylePr w:type="lastCol">
      <w:tblPr/>
      <w:tcPr>
        <w:tcBorders>
          <w:top w:val="nil"/>
          <w:left w:val="single" w:sz="8" w:space="0" w:color="3C54A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2EC" w:themeFill="accent1" w:themeFillTint="3F"/>
      </w:tcPr>
    </w:tblStylePr>
    <w:tblStylePr w:type="band1Horz">
      <w:tblPr/>
      <w:tcPr>
        <w:tcBorders>
          <w:top w:val="nil"/>
          <w:bottom w:val="nil"/>
          <w:insideH w:val="nil"/>
          <w:insideV w:val="nil"/>
        </w:tcBorders>
        <w:shd w:val="clear" w:color="auto" w:fill="CBD2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5861" w:themeColor="accent2"/>
        <w:left w:val="single" w:sz="8" w:space="0" w:color="545861" w:themeColor="accent2"/>
        <w:bottom w:val="single" w:sz="8" w:space="0" w:color="545861" w:themeColor="accent2"/>
        <w:right w:val="single" w:sz="8" w:space="0" w:color="545861" w:themeColor="accent2"/>
      </w:tblBorders>
    </w:tblPr>
    <w:tblStylePr w:type="firstRow">
      <w:rPr>
        <w:sz w:val="24"/>
        <w:szCs w:val="24"/>
      </w:rPr>
      <w:tblPr/>
      <w:tcPr>
        <w:tcBorders>
          <w:top w:val="nil"/>
          <w:left w:val="nil"/>
          <w:bottom w:val="single" w:sz="24" w:space="0" w:color="545861" w:themeColor="accent2"/>
          <w:right w:val="nil"/>
          <w:insideH w:val="nil"/>
          <w:insideV w:val="nil"/>
        </w:tcBorders>
        <w:shd w:val="clear" w:color="auto" w:fill="FFFFFF" w:themeFill="background1"/>
      </w:tcPr>
    </w:tblStylePr>
    <w:tblStylePr w:type="lastRow">
      <w:tblPr/>
      <w:tcPr>
        <w:tcBorders>
          <w:top w:val="single" w:sz="8" w:space="0" w:color="54586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861" w:themeColor="accent2"/>
          <w:insideH w:val="nil"/>
          <w:insideV w:val="nil"/>
        </w:tcBorders>
        <w:shd w:val="clear" w:color="auto" w:fill="FFFFFF" w:themeFill="background1"/>
      </w:tcPr>
    </w:tblStylePr>
    <w:tblStylePr w:type="lastCol">
      <w:tblPr/>
      <w:tcPr>
        <w:tcBorders>
          <w:top w:val="nil"/>
          <w:left w:val="single" w:sz="8" w:space="0" w:color="54586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5D9" w:themeFill="accent2" w:themeFillTint="3F"/>
      </w:tcPr>
    </w:tblStylePr>
    <w:tblStylePr w:type="band1Horz">
      <w:tblPr/>
      <w:tcPr>
        <w:tcBorders>
          <w:top w:val="nil"/>
          <w:bottom w:val="nil"/>
          <w:insideH w:val="nil"/>
          <w:insideV w:val="nil"/>
        </w:tcBorders>
        <w:shd w:val="clear" w:color="auto" w:fill="D3D5D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A913" w:themeColor="accent3"/>
        <w:left w:val="single" w:sz="8" w:space="0" w:color="E9A913" w:themeColor="accent3"/>
        <w:bottom w:val="single" w:sz="8" w:space="0" w:color="E9A913" w:themeColor="accent3"/>
        <w:right w:val="single" w:sz="8" w:space="0" w:color="E9A913" w:themeColor="accent3"/>
      </w:tblBorders>
    </w:tblPr>
    <w:tblStylePr w:type="firstRow">
      <w:rPr>
        <w:sz w:val="24"/>
        <w:szCs w:val="24"/>
      </w:rPr>
      <w:tblPr/>
      <w:tcPr>
        <w:tcBorders>
          <w:top w:val="nil"/>
          <w:left w:val="nil"/>
          <w:bottom w:val="single" w:sz="24" w:space="0" w:color="E9A913" w:themeColor="accent3"/>
          <w:right w:val="nil"/>
          <w:insideH w:val="nil"/>
          <w:insideV w:val="nil"/>
        </w:tcBorders>
        <w:shd w:val="clear" w:color="auto" w:fill="FFFFFF" w:themeFill="background1"/>
      </w:tcPr>
    </w:tblStylePr>
    <w:tblStylePr w:type="lastRow">
      <w:tblPr/>
      <w:tcPr>
        <w:tcBorders>
          <w:top w:val="single" w:sz="8" w:space="0" w:color="E9A91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A913" w:themeColor="accent3"/>
          <w:insideH w:val="nil"/>
          <w:insideV w:val="nil"/>
        </w:tcBorders>
        <w:shd w:val="clear" w:color="auto" w:fill="FFFFFF" w:themeFill="background1"/>
      </w:tcPr>
    </w:tblStylePr>
    <w:tblStylePr w:type="lastCol">
      <w:tblPr/>
      <w:tcPr>
        <w:tcBorders>
          <w:top w:val="nil"/>
          <w:left w:val="single" w:sz="8" w:space="0" w:color="E9A91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9C3" w:themeFill="accent3" w:themeFillTint="3F"/>
      </w:tcPr>
    </w:tblStylePr>
    <w:tblStylePr w:type="band1Horz">
      <w:tblPr/>
      <w:tcPr>
        <w:tcBorders>
          <w:top w:val="nil"/>
          <w:bottom w:val="nil"/>
          <w:insideH w:val="nil"/>
          <w:insideV w:val="nil"/>
        </w:tcBorders>
        <w:shd w:val="clear" w:color="auto" w:fill="FAE9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22761" w:themeColor="accent4"/>
        <w:left w:val="single" w:sz="8" w:space="0" w:color="522761" w:themeColor="accent4"/>
        <w:bottom w:val="single" w:sz="8" w:space="0" w:color="522761" w:themeColor="accent4"/>
        <w:right w:val="single" w:sz="8" w:space="0" w:color="522761" w:themeColor="accent4"/>
      </w:tblBorders>
    </w:tblPr>
    <w:tblStylePr w:type="firstRow">
      <w:rPr>
        <w:sz w:val="24"/>
        <w:szCs w:val="24"/>
      </w:rPr>
      <w:tblPr/>
      <w:tcPr>
        <w:tcBorders>
          <w:top w:val="nil"/>
          <w:left w:val="nil"/>
          <w:bottom w:val="single" w:sz="24" w:space="0" w:color="522761" w:themeColor="accent4"/>
          <w:right w:val="nil"/>
          <w:insideH w:val="nil"/>
          <w:insideV w:val="nil"/>
        </w:tcBorders>
        <w:shd w:val="clear" w:color="auto" w:fill="FFFFFF" w:themeFill="background1"/>
      </w:tcPr>
    </w:tblStylePr>
    <w:tblStylePr w:type="lastRow">
      <w:tblPr/>
      <w:tcPr>
        <w:tcBorders>
          <w:top w:val="single" w:sz="8" w:space="0" w:color="52276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22761" w:themeColor="accent4"/>
          <w:insideH w:val="nil"/>
          <w:insideV w:val="nil"/>
        </w:tcBorders>
        <w:shd w:val="clear" w:color="auto" w:fill="FFFFFF" w:themeFill="background1"/>
      </w:tcPr>
    </w:tblStylePr>
    <w:tblStylePr w:type="lastCol">
      <w:tblPr/>
      <w:tcPr>
        <w:tcBorders>
          <w:top w:val="nil"/>
          <w:left w:val="single" w:sz="8" w:space="0" w:color="52276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BCE4" w:themeFill="accent4" w:themeFillTint="3F"/>
      </w:tcPr>
    </w:tblStylePr>
    <w:tblStylePr w:type="band1Horz">
      <w:tblPr/>
      <w:tcPr>
        <w:tcBorders>
          <w:top w:val="nil"/>
          <w:bottom w:val="nil"/>
          <w:insideH w:val="nil"/>
          <w:insideV w:val="nil"/>
        </w:tcBorders>
        <w:shd w:val="clear" w:color="auto" w:fill="DABC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54A5" w:themeColor="accent5"/>
        <w:left w:val="single" w:sz="8" w:space="0" w:color="3C54A5" w:themeColor="accent5"/>
        <w:bottom w:val="single" w:sz="8" w:space="0" w:color="3C54A5" w:themeColor="accent5"/>
        <w:right w:val="single" w:sz="8" w:space="0" w:color="3C54A5" w:themeColor="accent5"/>
      </w:tblBorders>
    </w:tblPr>
    <w:tblStylePr w:type="firstRow">
      <w:rPr>
        <w:sz w:val="24"/>
        <w:szCs w:val="24"/>
      </w:rPr>
      <w:tblPr/>
      <w:tcPr>
        <w:tcBorders>
          <w:top w:val="nil"/>
          <w:left w:val="nil"/>
          <w:bottom w:val="single" w:sz="24" w:space="0" w:color="3C54A5" w:themeColor="accent5"/>
          <w:right w:val="nil"/>
          <w:insideH w:val="nil"/>
          <w:insideV w:val="nil"/>
        </w:tcBorders>
        <w:shd w:val="clear" w:color="auto" w:fill="FFFFFF" w:themeFill="background1"/>
      </w:tcPr>
    </w:tblStylePr>
    <w:tblStylePr w:type="lastRow">
      <w:tblPr/>
      <w:tcPr>
        <w:tcBorders>
          <w:top w:val="single" w:sz="8" w:space="0" w:color="3C54A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54A5" w:themeColor="accent5"/>
          <w:insideH w:val="nil"/>
          <w:insideV w:val="nil"/>
        </w:tcBorders>
        <w:shd w:val="clear" w:color="auto" w:fill="FFFFFF" w:themeFill="background1"/>
      </w:tcPr>
    </w:tblStylePr>
    <w:tblStylePr w:type="lastCol">
      <w:tblPr/>
      <w:tcPr>
        <w:tcBorders>
          <w:top w:val="nil"/>
          <w:left w:val="single" w:sz="8" w:space="0" w:color="3C54A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2EC" w:themeFill="accent5" w:themeFillTint="3F"/>
      </w:tcPr>
    </w:tblStylePr>
    <w:tblStylePr w:type="band1Horz">
      <w:tblPr/>
      <w:tcPr>
        <w:tcBorders>
          <w:top w:val="nil"/>
          <w:bottom w:val="nil"/>
          <w:insideH w:val="nil"/>
          <w:insideV w:val="nil"/>
        </w:tcBorders>
        <w:shd w:val="clear" w:color="auto" w:fill="CBD2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5861" w:themeColor="accent6"/>
        <w:left w:val="single" w:sz="8" w:space="0" w:color="545861" w:themeColor="accent6"/>
        <w:bottom w:val="single" w:sz="8" w:space="0" w:color="545861" w:themeColor="accent6"/>
        <w:right w:val="single" w:sz="8" w:space="0" w:color="545861" w:themeColor="accent6"/>
      </w:tblBorders>
    </w:tblPr>
    <w:tblStylePr w:type="firstRow">
      <w:rPr>
        <w:sz w:val="24"/>
        <w:szCs w:val="24"/>
      </w:rPr>
      <w:tblPr/>
      <w:tcPr>
        <w:tcBorders>
          <w:top w:val="nil"/>
          <w:left w:val="nil"/>
          <w:bottom w:val="single" w:sz="24" w:space="0" w:color="545861" w:themeColor="accent6"/>
          <w:right w:val="nil"/>
          <w:insideH w:val="nil"/>
          <w:insideV w:val="nil"/>
        </w:tcBorders>
        <w:shd w:val="clear" w:color="auto" w:fill="FFFFFF" w:themeFill="background1"/>
      </w:tcPr>
    </w:tblStylePr>
    <w:tblStylePr w:type="lastRow">
      <w:tblPr/>
      <w:tcPr>
        <w:tcBorders>
          <w:top w:val="single" w:sz="8" w:space="0" w:color="54586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861" w:themeColor="accent6"/>
          <w:insideH w:val="nil"/>
          <w:insideV w:val="nil"/>
        </w:tcBorders>
        <w:shd w:val="clear" w:color="auto" w:fill="FFFFFF" w:themeFill="background1"/>
      </w:tcPr>
    </w:tblStylePr>
    <w:tblStylePr w:type="lastCol">
      <w:tblPr/>
      <w:tcPr>
        <w:tcBorders>
          <w:top w:val="nil"/>
          <w:left w:val="single" w:sz="8" w:space="0" w:color="54586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5D9" w:themeFill="accent6" w:themeFillTint="3F"/>
      </w:tcPr>
    </w:tblStylePr>
    <w:tblStylePr w:type="band1Horz">
      <w:tblPr/>
      <w:tcPr>
        <w:tcBorders>
          <w:top w:val="nil"/>
          <w:bottom w:val="nil"/>
          <w:insideH w:val="nil"/>
          <w:insideV w:val="nil"/>
        </w:tcBorders>
        <w:shd w:val="clear" w:color="auto" w:fill="D3D5D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E273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E273C"/>
    <w:pPr>
      <w:spacing w:after="0" w:line="240" w:lineRule="auto"/>
    </w:pPr>
    <w:tblPr>
      <w:tblStyleRowBandSize w:val="1"/>
      <w:tblStyleColBandSize w:val="1"/>
      <w:tblBorders>
        <w:top w:val="single" w:sz="8" w:space="0" w:color="6278C6" w:themeColor="accent1" w:themeTint="BF"/>
        <w:left w:val="single" w:sz="8" w:space="0" w:color="6278C6" w:themeColor="accent1" w:themeTint="BF"/>
        <w:bottom w:val="single" w:sz="8" w:space="0" w:color="6278C6" w:themeColor="accent1" w:themeTint="BF"/>
        <w:right w:val="single" w:sz="8" w:space="0" w:color="6278C6" w:themeColor="accent1" w:themeTint="BF"/>
        <w:insideH w:val="single" w:sz="8" w:space="0" w:color="6278C6" w:themeColor="accent1" w:themeTint="BF"/>
      </w:tblBorders>
    </w:tblPr>
    <w:tblStylePr w:type="firstRow">
      <w:pPr>
        <w:spacing w:before="0" w:after="0" w:line="240" w:lineRule="auto"/>
      </w:pPr>
      <w:rPr>
        <w:b/>
        <w:bCs/>
        <w:color w:val="FFFFFF" w:themeColor="background1"/>
      </w:rPr>
      <w:tblPr/>
      <w:tcPr>
        <w:tcBorders>
          <w:top w:val="single" w:sz="8" w:space="0" w:color="6278C6" w:themeColor="accent1" w:themeTint="BF"/>
          <w:left w:val="single" w:sz="8" w:space="0" w:color="6278C6" w:themeColor="accent1" w:themeTint="BF"/>
          <w:bottom w:val="single" w:sz="8" w:space="0" w:color="6278C6" w:themeColor="accent1" w:themeTint="BF"/>
          <w:right w:val="single" w:sz="8" w:space="0" w:color="6278C6" w:themeColor="accent1" w:themeTint="BF"/>
          <w:insideH w:val="nil"/>
          <w:insideV w:val="nil"/>
        </w:tcBorders>
        <w:shd w:val="clear" w:color="auto" w:fill="3C54A5" w:themeFill="accent1"/>
      </w:tcPr>
    </w:tblStylePr>
    <w:tblStylePr w:type="lastRow">
      <w:pPr>
        <w:spacing w:before="0" w:after="0" w:line="240" w:lineRule="auto"/>
      </w:pPr>
      <w:rPr>
        <w:b/>
        <w:bCs/>
      </w:rPr>
      <w:tblPr/>
      <w:tcPr>
        <w:tcBorders>
          <w:top w:val="double" w:sz="6" w:space="0" w:color="6278C6" w:themeColor="accent1" w:themeTint="BF"/>
          <w:left w:val="single" w:sz="8" w:space="0" w:color="6278C6" w:themeColor="accent1" w:themeTint="BF"/>
          <w:bottom w:val="single" w:sz="8" w:space="0" w:color="6278C6" w:themeColor="accent1" w:themeTint="BF"/>
          <w:right w:val="single" w:sz="8" w:space="0" w:color="6278C6" w:themeColor="accent1" w:themeTint="BF"/>
          <w:insideH w:val="nil"/>
          <w:insideV w:val="nil"/>
        </w:tcBorders>
      </w:tcPr>
    </w:tblStylePr>
    <w:tblStylePr w:type="firstCol">
      <w:rPr>
        <w:b/>
        <w:bCs/>
      </w:rPr>
    </w:tblStylePr>
    <w:tblStylePr w:type="lastCol">
      <w:rPr>
        <w:b/>
        <w:bCs/>
      </w:rPr>
    </w:tblStylePr>
    <w:tblStylePr w:type="band1Vert">
      <w:tblPr/>
      <w:tcPr>
        <w:shd w:val="clear" w:color="auto" w:fill="CBD2EC" w:themeFill="accent1" w:themeFillTint="3F"/>
      </w:tcPr>
    </w:tblStylePr>
    <w:tblStylePr w:type="band1Horz">
      <w:tblPr/>
      <w:tcPr>
        <w:tcBorders>
          <w:insideH w:val="nil"/>
          <w:insideV w:val="nil"/>
        </w:tcBorders>
        <w:shd w:val="clear" w:color="auto" w:fill="CBD2E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E273C"/>
    <w:pPr>
      <w:spacing w:after="0" w:line="240" w:lineRule="auto"/>
    </w:pPr>
    <w:tblPr>
      <w:tblStyleRowBandSize w:val="1"/>
      <w:tblStyleColBandSize w:val="1"/>
      <w:tblBorders>
        <w:top w:val="single" w:sz="8" w:space="0" w:color="7A808C" w:themeColor="accent2" w:themeTint="BF"/>
        <w:left w:val="single" w:sz="8" w:space="0" w:color="7A808C" w:themeColor="accent2" w:themeTint="BF"/>
        <w:bottom w:val="single" w:sz="8" w:space="0" w:color="7A808C" w:themeColor="accent2" w:themeTint="BF"/>
        <w:right w:val="single" w:sz="8" w:space="0" w:color="7A808C" w:themeColor="accent2" w:themeTint="BF"/>
        <w:insideH w:val="single" w:sz="8" w:space="0" w:color="7A808C" w:themeColor="accent2" w:themeTint="BF"/>
      </w:tblBorders>
    </w:tblPr>
    <w:tblStylePr w:type="firstRow">
      <w:pPr>
        <w:spacing w:before="0" w:after="0" w:line="240" w:lineRule="auto"/>
      </w:pPr>
      <w:rPr>
        <w:b/>
        <w:bCs/>
        <w:color w:val="FFFFFF" w:themeColor="background1"/>
      </w:rPr>
      <w:tblPr/>
      <w:tcPr>
        <w:tcBorders>
          <w:top w:val="single" w:sz="8" w:space="0" w:color="7A808C" w:themeColor="accent2" w:themeTint="BF"/>
          <w:left w:val="single" w:sz="8" w:space="0" w:color="7A808C" w:themeColor="accent2" w:themeTint="BF"/>
          <w:bottom w:val="single" w:sz="8" w:space="0" w:color="7A808C" w:themeColor="accent2" w:themeTint="BF"/>
          <w:right w:val="single" w:sz="8" w:space="0" w:color="7A808C" w:themeColor="accent2" w:themeTint="BF"/>
          <w:insideH w:val="nil"/>
          <w:insideV w:val="nil"/>
        </w:tcBorders>
        <w:shd w:val="clear" w:color="auto" w:fill="545861" w:themeFill="accent2"/>
      </w:tcPr>
    </w:tblStylePr>
    <w:tblStylePr w:type="lastRow">
      <w:pPr>
        <w:spacing w:before="0" w:after="0" w:line="240" w:lineRule="auto"/>
      </w:pPr>
      <w:rPr>
        <w:b/>
        <w:bCs/>
      </w:rPr>
      <w:tblPr/>
      <w:tcPr>
        <w:tcBorders>
          <w:top w:val="double" w:sz="6" w:space="0" w:color="7A808C" w:themeColor="accent2" w:themeTint="BF"/>
          <w:left w:val="single" w:sz="8" w:space="0" w:color="7A808C" w:themeColor="accent2" w:themeTint="BF"/>
          <w:bottom w:val="single" w:sz="8" w:space="0" w:color="7A808C" w:themeColor="accent2" w:themeTint="BF"/>
          <w:right w:val="single" w:sz="8" w:space="0" w:color="7A808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3D5D9" w:themeFill="accent2" w:themeFillTint="3F"/>
      </w:tcPr>
    </w:tblStylePr>
    <w:tblStylePr w:type="band1Horz">
      <w:tblPr/>
      <w:tcPr>
        <w:tcBorders>
          <w:insideH w:val="nil"/>
          <w:insideV w:val="nil"/>
        </w:tcBorders>
        <w:shd w:val="clear" w:color="auto" w:fill="D3D5D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E273C"/>
    <w:pPr>
      <w:spacing w:after="0" w:line="240" w:lineRule="auto"/>
    </w:pPr>
    <w:tblPr>
      <w:tblStyleRowBandSize w:val="1"/>
      <w:tblStyleColBandSize w:val="1"/>
      <w:tblBorders>
        <w:top w:val="single" w:sz="8" w:space="0" w:color="F0BE4C" w:themeColor="accent3" w:themeTint="BF"/>
        <w:left w:val="single" w:sz="8" w:space="0" w:color="F0BE4C" w:themeColor="accent3" w:themeTint="BF"/>
        <w:bottom w:val="single" w:sz="8" w:space="0" w:color="F0BE4C" w:themeColor="accent3" w:themeTint="BF"/>
        <w:right w:val="single" w:sz="8" w:space="0" w:color="F0BE4C" w:themeColor="accent3" w:themeTint="BF"/>
        <w:insideH w:val="single" w:sz="8" w:space="0" w:color="F0BE4C" w:themeColor="accent3" w:themeTint="BF"/>
      </w:tblBorders>
    </w:tblPr>
    <w:tblStylePr w:type="firstRow">
      <w:pPr>
        <w:spacing w:before="0" w:after="0" w:line="240" w:lineRule="auto"/>
      </w:pPr>
      <w:rPr>
        <w:b/>
        <w:bCs/>
        <w:color w:val="FFFFFF" w:themeColor="background1"/>
      </w:rPr>
      <w:tblPr/>
      <w:tcPr>
        <w:tcBorders>
          <w:top w:val="single" w:sz="8" w:space="0" w:color="F0BE4C" w:themeColor="accent3" w:themeTint="BF"/>
          <w:left w:val="single" w:sz="8" w:space="0" w:color="F0BE4C" w:themeColor="accent3" w:themeTint="BF"/>
          <w:bottom w:val="single" w:sz="8" w:space="0" w:color="F0BE4C" w:themeColor="accent3" w:themeTint="BF"/>
          <w:right w:val="single" w:sz="8" w:space="0" w:color="F0BE4C" w:themeColor="accent3" w:themeTint="BF"/>
          <w:insideH w:val="nil"/>
          <w:insideV w:val="nil"/>
        </w:tcBorders>
        <w:shd w:val="clear" w:color="auto" w:fill="E9A913" w:themeFill="accent3"/>
      </w:tcPr>
    </w:tblStylePr>
    <w:tblStylePr w:type="lastRow">
      <w:pPr>
        <w:spacing w:before="0" w:after="0" w:line="240" w:lineRule="auto"/>
      </w:pPr>
      <w:rPr>
        <w:b/>
        <w:bCs/>
      </w:rPr>
      <w:tblPr/>
      <w:tcPr>
        <w:tcBorders>
          <w:top w:val="double" w:sz="6" w:space="0" w:color="F0BE4C" w:themeColor="accent3" w:themeTint="BF"/>
          <w:left w:val="single" w:sz="8" w:space="0" w:color="F0BE4C" w:themeColor="accent3" w:themeTint="BF"/>
          <w:bottom w:val="single" w:sz="8" w:space="0" w:color="F0BE4C" w:themeColor="accent3" w:themeTint="BF"/>
          <w:right w:val="single" w:sz="8" w:space="0" w:color="F0BE4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E9C3" w:themeFill="accent3" w:themeFillTint="3F"/>
      </w:tcPr>
    </w:tblStylePr>
    <w:tblStylePr w:type="band1Horz">
      <w:tblPr/>
      <w:tcPr>
        <w:tcBorders>
          <w:insideH w:val="nil"/>
          <w:insideV w:val="nil"/>
        </w:tcBorders>
        <w:shd w:val="clear" w:color="auto" w:fill="FAE9C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E273C"/>
    <w:pPr>
      <w:spacing w:after="0" w:line="240" w:lineRule="auto"/>
    </w:pPr>
    <w:tblPr>
      <w:tblStyleRowBandSize w:val="1"/>
      <w:tblStyleColBandSize w:val="1"/>
      <w:tblBorders>
        <w:top w:val="single" w:sz="8" w:space="0" w:color="8A42A3" w:themeColor="accent4" w:themeTint="BF"/>
        <w:left w:val="single" w:sz="8" w:space="0" w:color="8A42A3" w:themeColor="accent4" w:themeTint="BF"/>
        <w:bottom w:val="single" w:sz="8" w:space="0" w:color="8A42A3" w:themeColor="accent4" w:themeTint="BF"/>
        <w:right w:val="single" w:sz="8" w:space="0" w:color="8A42A3" w:themeColor="accent4" w:themeTint="BF"/>
        <w:insideH w:val="single" w:sz="8" w:space="0" w:color="8A42A3" w:themeColor="accent4" w:themeTint="BF"/>
      </w:tblBorders>
    </w:tblPr>
    <w:tblStylePr w:type="firstRow">
      <w:pPr>
        <w:spacing w:before="0" w:after="0" w:line="240" w:lineRule="auto"/>
      </w:pPr>
      <w:rPr>
        <w:b/>
        <w:bCs/>
        <w:color w:val="FFFFFF" w:themeColor="background1"/>
      </w:rPr>
      <w:tblPr/>
      <w:tcPr>
        <w:tcBorders>
          <w:top w:val="single" w:sz="8" w:space="0" w:color="8A42A3" w:themeColor="accent4" w:themeTint="BF"/>
          <w:left w:val="single" w:sz="8" w:space="0" w:color="8A42A3" w:themeColor="accent4" w:themeTint="BF"/>
          <w:bottom w:val="single" w:sz="8" w:space="0" w:color="8A42A3" w:themeColor="accent4" w:themeTint="BF"/>
          <w:right w:val="single" w:sz="8" w:space="0" w:color="8A42A3" w:themeColor="accent4" w:themeTint="BF"/>
          <w:insideH w:val="nil"/>
          <w:insideV w:val="nil"/>
        </w:tcBorders>
        <w:shd w:val="clear" w:color="auto" w:fill="522761" w:themeFill="accent4"/>
      </w:tcPr>
    </w:tblStylePr>
    <w:tblStylePr w:type="lastRow">
      <w:pPr>
        <w:spacing w:before="0" w:after="0" w:line="240" w:lineRule="auto"/>
      </w:pPr>
      <w:rPr>
        <w:b/>
        <w:bCs/>
      </w:rPr>
      <w:tblPr/>
      <w:tcPr>
        <w:tcBorders>
          <w:top w:val="double" w:sz="6" w:space="0" w:color="8A42A3" w:themeColor="accent4" w:themeTint="BF"/>
          <w:left w:val="single" w:sz="8" w:space="0" w:color="8A42A3" w:themeColor="accent4" w:themeTint="BF"/>
          <w:bottom w:val="single" w:sz="8" w:space="0" w:color="8A42A3" w:themeColor="accent4" w:themeTint="BF"/>
          <w:right w:val="single" w:sz="8" w:space="0" w:color="8A42A3" w:themeColor="accent4" w:themeTint="BF"/>
          <w:insideH w:val="nil"/>
          <w:insideV w:val="nil"/>
        </w:tcBorders>
      </w:tcPr>
    </w:tblStylePr>
    <w:tblStylePr w:type="firstCol">
      <w:rPr>
        <w:b/>
        <w:bCs/>
      </w:rPr>
    </w:tblStylePr>
    <w:tblStylePr w:type="lastCol">
      <w:rPr>
        <w:b/>
        <w:bCs/>
      </w:rPr>
    </w:tblStylePr>
    <w:tblStylePr w:type="band1Vert">
      <w:tblPr/>
      <w:tcPr>
        <w:shd w:val="clear" w:color="auto" w:fill="DABCE4" w:themeFill="accent4" w:themeFillTint="3F"/>
      </w:tcPr>
    </w:tblStylePr>
    <w:tblStylePr w:type="band1Horz">
      <w:tblPr/>
      <w:tcPr>
        <w:tcBorders>
          <w:insideH w:val="nil"/>
          <w:insideV w:val="nil"/>
        </w:tcBorders>
        <w:shd w:val="clear" w:color="auto" w:fill="DABC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E273C"/>
    <w:pPr>
      <w:spacing w:after="0" w:line="240" w:lineRule="auto"/>
    </w:pPr>
    <w:tblPr>
      <w:tblStyleRowBandSize w:val="1"/>
      <w:tblStyleColBandSize w:val="1"/>
      <w:tblBorders>
        <w:top w:val="single" w:sz="8" w:space="0" w:color="6278C6" w:themeColor="accent5" w:themeTint="BF"/>
        <w:left w:val="single" w:sz="8" w:space="0" w:color="6278C6" w:themeColor="accent5" w:themeTint="BF"/>
        <w:bottom w:val="single" w:sz="8" w:space="0" w:color="6278C6" w:themeColor="accent5" w:themeTint="BF"/>
        <w:right w:val="single" w:sz="8" w:space="0" w:color="6278C6" w:themeColor="accent5" w:themeTint="BF"/>
        <w:insideH w:val="single" w:sz="8" w:space="0" w:color="6278C6" w:themeColor="accent5" w:themeTint="BF"/>
      </w:tblBorders>
    </w:tblPr>
    <w:tblStylePr w:type="firstRow">
      <w:pPr>
        <w:spacing w:before="0" w:after="0" w:line="240" w:lineRule="auto"/>
      </w:pPr>
      <w:rPr>
        <w:b/>
        <w:bCs/>
        <w:color w:val="FFFFFF" w:themeColor="background1"/>
      </w:rPr>
      <w:tblPr/>
      <w:tcPr>
        <w:tcBorders>
          <w:top w:val="single" w:sz="8" w:space="0" w:color="6278C6" w:themeColor="accent5" w:themeTint="BF"/>
          <w:left w:val="single" w:sz="8" w:space="0" w:color="6278C6" w:themeColor="accent5" w:themeTint="BF"/>
          <w:bottom w:val="single" w:sz="8" w:space="0" w:color="6278C6" w:themeColor="accent5" w:themeTint="BF"/>
          <w:right w:val="single" w:sz="8" w:space="0" w:color="6278C6" w:themeColor="accent5" w:themeTint="BF"/>
          <w:insideH w:val="nil"/>
          <w:insideV w:val="nil"/>
        </w:tcBorders>
        <w:shd w:val="clear" w:color="auto" w:fill="3C54A5" w:themeFill="accent5"/>
      </w:tcPr>
    </w:tblStylePr>
    <w:tblStylePr w:type="lastRow">
      <w:pPr>
        <w:spacing w:before="0" w:after="0" w:line="240" w:lineRule="auto"/>
      </w:pPr>
      <w:rPr>
        <w:b/>
        <w:bCs/>
      </w:rPr>
      <w:tblPr/>
      <w:tcPr>
        <w:tcBorders>
          <w:top w:val="double" w:sz="6" w:space="0" w:color="6278C6" w:themeColor="accent5" w:themeTint="BF"/>
          <w:left w:val="single" w:sz="8" w:space="0" w:color="6278C6" w:themeColor="accent5" w:themeTint="BF"/>
          <w:bottom w:val="single" w:sz="8" w:space="0" w:color="6278C6" w:themeColor="accent5" w:themeTint="BF"/>
          <w:right w:val="single" w:sz="8" w:space="0" w:color="6278C6" w:themeColor="accent5" w:themeTint="BF"/>
          <w:insideH w:val="nil"/>
          <w:insideV w:val="nil"/>
        </w:tcBorders>
      </w:tcPr>
    </w:tblStylePr>
    <w:tblStylePr w:type="firstCol">
      <w:rPr>
        <w:b/>
        <w:bCs/>
      </w:rPr>
    </w:tblStylePr>
    <w:tblStylePr w:type="lastCol">
      <w:rPr>
        <w:b/>
        <w:bCs/>
      </w:rPr>
    </w:tblStylePr>
    <w:tblStylePr w:type="band1Vert">
      <w:tblPr/>
      <w:tcPr>
        <w:shd w:val="clear" w:color="auto" w:fill="CBD2EC" w:themeFill="accent5" w:themeFillTint="3F"/>
      </w:tcPr>
    </w:tblStylePr>
    <w:tblStylePr w:type="band1Horz">
      <w:tblPr/>
      <w:tcPr>
        <w:tcBorders>
          <w:insideH w:val="nil"/>
          <w:insideV w:val="nil"/>
        </w:tcBorders>
        <w:shd w:val="clear" w:color="auto" w:fill="CBD2E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E273C"/>
    <w:pPr>
      <w:spacing w:after="0" w:line="240" w:lineRule="auto"/>
    </w:pPr>
    <w:tblPr>
      <w:tblStyleRowBandSize w:val="1"/>
      <w:tblStyleColBandSize w:val="1"/>
      <w:tblBorders>
        <w:top w:val="single" w:sz="8" w:space="0" w:color="7A808C" w:themeColor="accent6" w:themeTint="BF"/>
        <w:left w:val="single" w:sz="8" w:space="0" w:color="7A808C" w:themeColor="accent6" w:themeTint="BF"/>
        <w:bottom w:val="single" w:sz="8" w:space="0" w:color="7A808C" w:themeColor="accent6" w:themeTint="BF"/>
        <w:right w:val="single" w:sz="8" w:space="0" w:color="7A808C" w:themeColor="accent6" w:themeTint="BF"/>
        <w:insideH w:val="single" w:sz="8" w:space="0" w:color="7A808C" w:themeColor="accent6" w:themeTint="BF"/>
      </w:tblBorders>
    </w:tblPr>
    <w:tblStylePr w:type="firstRow">
      <w:pPr>
        <w:spacing w:before="0" w:after="0" w:line="240" w:lineRule="auto"/>
      </w:pPr>
      <w:rPr>
        <w:b/>
        <w:bCs/>
        <w:color w:val="FFFFFF" w:themeColor="background1"/>
      </w:rPr>
      <w:tblPr/>
      <w:tcPr>
        <w:tcBorders>
          <w:top w:val="single" w:sz="8" w:space="0" w:color="7A808C" w:themeColor="accent6" w:themeTint="BF"/>
          <w:left w:val="single" w:sz="8" w:space="0" w:color="7A808C" w:themeColor="accent6" w:themeTint="BF"/>
          <w:bottom w:val="single" w:sz="8" w:space="0" w:color="7A808C" w:themeColor="accent6" w:themeTint="BF"/>
          <w:right w:val="single" w:sz="8" w:space="0" w:color="7A808C" w:themeColor="accent6" w:themeTint="BF"/>
          <w:insideH w:val="nil"/>
          <w:insideV w:val="nil"/>
        </w:tcBorders>
        <w:shd w:val="clear" w:color="auto" w:fill="545861" w:themeFill="accent6"/>
      </w:tcPr>
    </w:tblStylePr>
    <w:tblStylePr w:type="lastRow">
      <w:pPr>
        <w:spacing w:before="0" w:after="0" w:line="240" w:lineRule="auto"/>
      </w:pPr>
      <w:rPr>
        <w:b/>
        <w:bCs/>
      </w:rPr>
      <w:tblPr/>
      <w:tcPr>
        <w:tcBorders>
          <w:top w:val="double" w:sz="6" w:space="0" w:color="7A808C" w:themeColor="accent6" w:themeTint="BF"/>
          <w:left w:val="single" w:sz="8" w:space="0" w:color="7A808C" w:themeColor="accent6" w:themeTint="BF"/>
          <w:bottom w:val="single" w:sz="8" w:space="0" w:color="7A808C" w:themeColor="accent6" w:themeTint="BF"/>
          <w:right w:val="single" w:sz="8" w:space="0" w:color="7A808C"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5D9" w:themeFill="accent6" w:themeFillTint="3F"/>
      </w:tcPr>
    </w:tblStylePr>
    <w:tblStylePr w:type="band1Horz">
      <w:tblPr/>
      <w:tcPr>
        <w:tcBorders>
          <w:insideH w:val="nil"/>
          <w:insideV w:val="nil"/>
        </w:tcBorders>
        <w:shd w:val="clear" w:color="auto" w:fill="D3D5D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54A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54A5" w:themeFill="accent1"/>
      </w:tcPr>
    </w:tblStylePr>
    <w:tblStylePr w:type="lastCol">
      <w:rPr>
        <w:b/>
        <w:bCs/>
        <w:color w:val="FFFFFF" w:themeColor="background1"/>
      </w:rPr>
      <w:tblPr/>
      <w:tcPr>
        <w:tcBorders>
          <w:left w:val="nil"/>
          <w:right w:val="nil"/>
          <w:insideH w:val="nil"/>
          <w:insideV w:val="nil"/>
        </w:tcBorders>
        <w:shd w:val="clear" w:color="auto" w:fill="3C54A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8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45861" w:themeFill="accent2"/>
      </w:tcPr>
    </w:tblStylePr>
    <w:tblStylePr w:type="lastCol">
      <w:rPr>
        <w:b/>
        <w:bCs/>
        <w:color w:val="FFFFFF" w:themeColor="background1"/>
      </w:rPr>
      <w:tblPr/>
      <w:tcPr>
        <w:tcBorders>
          <w:left w:val="nil"/>
          <w:right w:val="nil"/>
          <w:insideH w:val="nil"/>
          <w:insideV w:val="nil"/>
        </w:tcBorders>
        <w:shd w:val="clear" w:color="auto" w:fill="5458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A91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A913" w:themeFill="accent3"/>
      </w:tcPr>
    </w:tblStylePr>
    <w:tblStylePr w:type="lastCol">
      <w:rPr>
        <w:b/>
        <w:bCs/>
        <w:color w:val="FFFFFF" w:themeColor="background1"/>
      </w:rPr>
      <w:tblPr/>
      <w:tcPr>
        <w:tcBorders>
          <w:left w:val="nil"/>
          <w:right w:val="nil"/>
          <w:insideH w:val="nil"/>
          <w:insideV w:val="nil"/>
        </w:tcBorders>
        <w:shd w:val="clear" w:color="auto" w:fill="E9A91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2276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22761" w:themeFill="accent4"/>
      </w:tcPr>
    </w:tblStylePr>
    <w:tblStylePr w:type="lastCol">
      <w:rPr>
        <w:b/>
        <w:bCs/>
        <w:color w:val="FFFFFF" w:themeColor="background1"/>
      </w:rPr>
      <w:tblPr/>
      <w:tcPr>
        <w:tcBorders>
          <w:left w:val="nil"/>
          <w:right w:val="nil"/>
          <w:insideH w:val="nil"/>
          <w:insideV w:val="nil"/>
        </w:tcBorders>
        <w:shd w:val="clear" w:color="auto" w:fill="52276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54A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54A5" w:themeFill="accent5"/>
      </w:tcPr>
    </w:tblStylePr>
    <w:tblStylePr w:type="lastCol">
      <w:rPr>
        <w:b/>
        <w:bCs/>
        <w:color w:val="FFFFFF" w:themeColor="background1"/>
      </w:rPr>
      <w:tblPr/>
      <w:tcPr>
        <w:tcBorders>
          <w:left w:val="nil"/>
          <w:right w:val="nil"/>
          <w:insideH w:val="nil"/>
          <w:insideV w:val="nil"/>
        </w:tcBorders>
        <w:shd w:val="clear" w:color="auto" w:fill="3C54A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86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45861" w:themeFill="accent6"/>
      </w:tcPr>
    </w:tblStylePr>
    <w:tblStylePr w:type="lastCol">
      <w:rPr>
        <w:b/>
        <w:bCs/>
        <w:color w:val="FFFFFF" w:themeColor="background1"/>
      </w:rPr>
      <w:tblPr/>
      <w:tcPr>
        <w:tcBorders>
          <w:left w:val="nil"/>
          <w:right w:val="nil"/>
          <w:insideH w:val="nil"/>
          <w:insideV w:val="nil"/>
        </w:tcBorders>
        <w:shd w:val="clear" w:color="auto" w:fill="54586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rsid w:val="003E273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3E273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3E273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3E273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3E273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3E273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3E273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3E273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3E273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3E273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3E273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3E273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3E273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3E273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3E273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3E273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3E273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3E273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3E273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3E273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3E273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3E273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3E273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3E273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3E273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3E273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3E273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3E273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3E273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3E273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3E273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TableofAuthorities">
    <w:name w:val="table of authorities"/>
    <w:basedOn w:val="Normal"/>
    <w:next w:val="Normal"/>
    <w:uiPriority w:val="99"/>
    <w:semiHidden/>
    <w:rsid w:val="003E273C"/>
    <w:pPr>
      <w:spacing w:after="0"/>
      <w:ind w:left="220" w:hanging="220"/>
    </w:pPr>
  </w:style>
  <w:style w:type="paragraph" w:styleId="TableofFigures">
    <w:name w:val="table of figures"/>
    <w:basedOn w:val="Normal"/>
    <w:next w:val="Normal"/>
    <w:uiPriority w:val="99"/>
    <w:rsid w:val="003E273C"/>
    <w:pPr>
      <w:spacing w:after="0"/>
    </w:pPr>
  </w:style>
  <w:style w:type="table" w:styleId="TableProfessional">
    <w:name w:val="Table Professional"/>
    <w:basedOn w:val="TableNormal"/>
    <w:uiPriority w:val="99"/>
    <w:semiHidden/>
    <w:rsid w:val="003E273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3E273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3E273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3E273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3E273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3E273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3E2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3E273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llowedHyperlink">
    <w:name w:val="FollowedHyperlink"/>
    <w:basedOn w:val="DefaultParagraphFont"/>
    <w:unhideWhenUsed/>
    <w:rsid w:val="00E376D2"/>
    <w:rPr>
      <w:color w:val="522761" w:themeColor="accent4"/>
      <w:u w:val="single"/>
    </w:rPr>
  </w:style>
  <w:style w:type="paragraph" w:styleId="BodyText2">
    <w:name w:val="Body Text 2"/>
    <w:basedOn w:val="Normal"/>
    <w:link w:val="BodyText2Char"/>
    <w:rsid w:val="00341597"/>
    <w:pPr>
      <w:spacing w:after="120" w:line="240" w:lineRule="auto"/>
    </w:pPr>
    <w:rPr>
      <w:rFonts w:eastAsia="Times New Roman" w:cstheme="minorHAnsi"/>
      <w:i/>
      <w:iCs/>
      <w:color w:val="0000FF"/>
      <w:lang w:eastAsia="en-AU"/>
    </w:rPr>
  </w:style>
  <w:style w:type="character" w:customStyle="1" w:styleId="BodyText2Char">
    <w:name w:val="Body Text 2 Char"/>
    <w:basedOn w:val="DefaultParagraphFont"/>
    <w:link w:val="BodyText2"/>
    <w:rsid w:val="00341597"/>
    <w:rPr>
      <w:rFonts w:eastAsia="Times New Roman" w:cstheme="minorHAnsi"/>
      <w:i/>
      <w:iCs/>
      <w:color w:val="0000FF"/>
      <w:lang w:eastAsia="en-AU"/>
    </w:rPr>
  </w:style>
  <w:style w:type="character" w:styleId="PageNumber">
    <w:name w:val="page number"/>
    <w:basedOn w:val="DefaultParagraphFont"/>
    <w:rsid w:val="00341597"/>
  </w:style>
  <w:style w:type="paragraph" w:customStyle="1" w:styleId="Heading10">
    <w:name w:val="Heading_1"/>
    <w:basedOn w:val="Normal"/>
    <w:rsid w:val="00341597"/>
    <w:pPr>
      <w:spacing w:after="120" w:line="240" w:lineRule="auto"/>
    </w:pPr>
    <w:rPr>
      <w:rFonts w:ascii="Times New Roman" w:eastAsia="Times New Roman" w:hAnsi="Times New Roman" w:cstheme="minorHAnsi"/>
      <w:b/>
      <w:sz w:val="24"/>
      <w:lang w:eastAsia="en-AU"/>
    </w:rPr>
  </w:style>
  <w:style w:type="character" w:customStyle="1" w:styleId="Subjecttext">
    <w:name w:val="Subject_text"/>
    <w:rsid w:val="00341597"/>
    <w:rPr>
      <w:b/>
    </w:rPr>
  </w:style>
  <w:style w:type="paragraph" w:customStyle="1" w:styleId="text">
    <w:name w:val="text"/>
    <w:basedOn w:val="Normal"/>
    <w:rsid w:val="00341597"/>
    <w:pPr>
      <w:spacing w:after="120" w:line="240" w:lineRule="auto"/>
    </w:pPr>
    <w:rPr>
      <w:rFonts w:ascii="Times New Roman" w:eastAsia="Times New Roman" w:hAnsi="Times New Roman" w:cstheme="minorHAnsi"/>
      <w:sz w:val="24"/>
      <w:lang w:eastAsia="en-AU"/>
    </w:rPr>
  </w:style>
  <w:style w:type="paragraph" w:customStyle="1" w:styleId="nonumber">
    <w:name w:val="no_number"/>
    <w:basedOn w:val="Normal"/>
    <w:next w:val="numberlist"/>
    <w:rsid w:val="00341597"/>
    <w:pPr>
      <w:spacing w:after="120" w:line="240" w:lineRule="auto"/>
    </w:pPr>
    <w:rPr>
      <w:rFonts w:eastAsia="Times New Roman" w:cstheme="minorHAnsi"/>
      <w:sz w:val="24"/>
      <w:lang w:eastAsia="en-AU"/>
    </w:rPr>
  </w:style>
  <w:style w:type="paragraph" w:customStyle="1" w:styleId="numberlist">
    <w:name w:val="number_list"/>
    <w:basedOn w:val="nonumber"/>
    <w:rsid w:val="00341597"/>
    <w:pPr>
      <w:numPr>
        <w:numId w:val="20"/>
      </w:numPr>
    </w:pPr>
  </w:style>
  <w:style w:type="numbering" w:customStyle="1" w:styleId="Listnobullet">
    <w:name w:val="List no bullet"/>
    <w:basedOn w:val="NoList"/>
    <w:uiPriority w:val="99"/>
    <w:rsid w:val="00B67C70"/>
    <w:pPr>
      <w:numPr>
        <w:numId w:val="35"/>
      </w:numPr>
    </w:pPr>
  </w:style>
  <w:style w:type="paragraph" w:customStyle="1" w:styleId="Brief-BULLET">
    <w:name w:val="Brief - BULLET"/>
    <w:basedOn w:val="Normal"/>
    <w:rsid w:val="00341597"/>
    <w:pPr>
      <w:numPr>
        <w:numId w:val="19"/>
      </w:numPr>
      <w:spacing w:after="120" w:line="230" w:lineRule="exact"/>
    </w:pPr>
    <w:rPr>
      <w:rFonts w:ascii="Times New Roman" w:eastAsia="Times New Roman" w:hAnsi="Times New Roman" w:cstheme="minorHAnsi"/>
      <w:lang w:eastAsia="en-AU"/>
    </w:rPr>
  </w:style>
  <w:style w:type="paragraph" w:styleId="FootnoteText">
    <w:name w:val="footnote text"/>
    <w:basedOn w:val="Normal"/>
    <w:link w:val="FootnoteTextChar"/>
    <w:uiPriority w:val="99"/>
    <w:rsid w:val="00341597"/>
    <w:pPr>
      <w:spacing w:after="120" w:line="240" w:lineRule="auto"/>
    </w:pPr>
    <w:rPr>
      <w:rFonts w:ascii="Times New Roman" w:eastAsia="Times New Roman" w:hAnsi="Times New Roman" w:cstheme="minorHAnsi"/>
      <w:sz w:val="20"/>
      <w:lang w:eastAsia="en-AU"/>
    </w:rPr>
  </w:style>
  <w:style w:type="character" w:customStyle="1" w:styleId="FootnoteTextChar">
    <w:name w:val="Footnote Text Char"/>
    <w:basedOn w:val="DefaultParagraphFont"/>
    <w:link w:val="FootnoteText"/>
    <w:uiPriority w:val="99"/>
    <w:rsid w:val="00341597"/>
    <w:rPr>
      <w:rFonts w:ascii="Times New Roman" w:eastAsia="Times New Roman" w:hAnsi="Times New Roman" w:cstheme="minorHAnsi"/>
      <w:sz w:val="20"/>
      <w:lang w:eastAsia="en-AU"/>
    </w:rPr>
  </w:style>
  <w:style w:type="character" w:styleId="FootnoteReference">
    <w:name w:val="footnote reference"/>
    <w:basedOn w:val="DefaultParagraphFont"/>
    <w:uiPriority w:val="99"/>
    <w:rsid w:val="00341597"/>
    <w:rPr>
      <w:vertAlign w:val="superscript"/>
    </w:rPr>
  </w:style>
  <w:style w:type="character" w:styleId="CommentReference">
    <w:name w:val="annotation reference"/>
    <w:basedOn w:val="DefaultParagraphFont"/>
    <w:semiHidden/>
    <w:rsid w:val="00341597"/>
    <w:rPr>
      <w:sz w:val="16"/>
      <w:szCs w:val="16"/>
    </w:rPr>
  </w:style>
  <w:style w:type="paragraph" w:styleId="CommentText">
    <w:name w:val="annotation text"/>
    <w:basedOn w:val="Normal"/>
    <w:link w:val="CommentTextChar"/>
    <w:rsid w:val="00341597"/>
    <w:pPr>
      <w:spacing w:after="120" w:line="240" w:lineRule="auto"/>
    </w:pPr>
    <w:rPr>
      <w:rFonts w:eastAsia="Times New Roman" w:cstheme="minorHAnsi"/>
      <w:sz w:val="20"/>
      <w:lang w:eastAsia="en-AU"/>
    </w:rPr>
  </w:style>
  <w:style w:type="character" w:customStyle="1" w:styleId="CommentTextChar">
    <w:name w:val="Comment Text Char"/>
    <w:basedOn w:val="DefaultParagraphFont"/>
    <w:link w:val="CommentText"/>
    <w:rsid w:val="00341597"/>
    <w:rPr>
      <w:rFonts w:eastAsia="Times New Roman" w:cstheme="minorHAnsi"/>
      <w:sz w:val="20"/>
      <w:lang w:eastAsia="en-AU"/>
    </w:rPr>
  </w:style>
  <w:style w:type="paragraph" w:styleId="CommentSubject">
    <w:name w:val="annotation subject"/>
    <w:basedOn w:val="CommentText"/>
    <w:next w:val="CommentText"/>
    <w:link w:val="CommentSubjectChar"/>
    <w:semiHidden/>
    <w:rsid w:val="00341597"/>
    <w:rPr>
      <w:b/>
      <w:bCs/>
    </w:rPr>
  </w:style>
  <w:style w:type="character" w:customStyle="1" w:styleId="CommentSubjectChar">
    <w:name w:val="Comment Subject Char"/>
    <w:basedOn w:val="CommentTextChar"/>
    <w:link w:val="CommentSubject"/>
    <w:semiHidden/>
    <w:rsid w:val="00341597"/>
    <w:rPr>
      <w:rFonts w:eastAsia="Times New Roman" w:cstheme="minorHAnsi"/>
      <w:b/>
      <w:bCs/>
      <w:sz w:val="20"/>
      <w:lang w:eastAsia="en-AU"/>
    </w:rPr>
  </w:style>
  <w:style w:type="paragraph" w:customStyle="1" w:styleId="Style1">
    <w:name w:val="Style1"/>
    <w:basedOn w:val="TOC3"/>
    <w:rsid w:val="00341597"/>
    <w:pPr>
      <w:tabs>
        <w:tab w:val="right" w:leader="dot" w:pos="8296"/>
      </w:tabs>
      <w:spacing w:after="120" w:line="240" w:lineRule="auto"/>
      <w:ind w:left="851"/>
      <w:jc w:val="both"/>
    </w:pPr>
    <w:rPr>
      <w:rFonts w:ascii="Times New Roman" w:eastAsia="Times New Roman" w:hAnsi="Times New Roman" w:cstheme="minorHAnsi"/>
      <w:i/>
      <w:noProof/>
      <w:color w:val="000000" w:themeColor="text1"/>
      <w:lang w:eastAsia="en-AU"/>
    </w:rPr>
  </w:style>
  <w:style w:type="paragraph" w:customStyle="1" w:styleId="Style2">
    <w:name w:val="Style2"/>
    <w:basedOn w:val="TOC2"/>
    <w:rsid w:val="00341597"/>
    <w:pPr>
      <w:tabs>
        <w:tab w:val="center" w:pos="993"/>
        <w:tab w:val="right" w:leader="dot" w:pos="8296"/>
      </w:tabs>
      <w:spacing w:before="120" w:after="120" w:line="240" w:lineRule="auto"/>
    </w:pPr>
    <w:rPr>
      <w:rFonts w:ascii="Times New Roman" w:eastAsia="Times New Roman" w:hAnsi="Times New Roman" w:cstheme="minorHAnsi"/>
      <w:noProof/>
      <w:lang w:eastAsia="en-AU"/>
    </w:rPr>
  </w:style>
  <w:style w:type="paragraph" w:styleId="Revision">
    <w:name w:val="Revision"/>
    <w:hidden/>
    <w:uiPriority w:val="99"/>
    <w:semiHidden/>
    <w:rsid w:val="00341597"/>
    <w:pPr>
      <w:spacing w:after="0" w:line="240" w:lineRule="auto"/>
    </w:pPr>
    <w:rPr>
      <w:rFonts w:ascii="Arial" w:eastAsia="Times New Roman" w:hAnsi="Arial" w:cs="Times New Roman"/>
      <w:szCs w:val="20"/>
    </w:rPr>
  </w:style>
  <w:style w:type="paragraph" w:customStyle="1" w:styleId="Tableheading">
    <w:name w:val="Table heading"/>
    <w:basedOn w:val="Caption"/>
    <w:next w:val="Normal"/>
    <w:qFormat/>
    <w:rsid w:val="00341597"/>
    <w:pPr>
      <w:numPr>
        <w:numId w:val="21"/>
      </w:numPr>
      <w:tabs>
        <w:tab w:val="left" w:pos="907"/>
        <w:tab w:val="left" w:pos="1021"/>
      </w:tabs>
      <w:spacing w:before="0" w:after="120" w:line="240" w:lineRule="auto"/>
      <w:outlineLvl w:val="9"/>
    </w:pPr>
    <w:rPr>
      <w:rFonts w:eastAsia="Times New Roman" w:cstheme="minorHAnsi"/>
      <w:iCs w:val="0"/>
      <w:sz w:val="24"/>
      <w:szCs w:val="20"/>
      <w:lang w:eastAsia="en-AU"/>
    </w:rPr>
  </w:style>
  <w:style w:type="paragraph" w:customStyle="1" w:styleId="Figureheading">
    <w:name w:val="Figure heading"/>
    <w:basedOn w:val="Tableheading"/>
    <w:next w:val="Normal"/>
    <w:qFormat/>
    <w:rsid w:val="00341597"/>
    <w:pPr>
      <w:numPr>
        <w:numId w:val="22"/>
      </w:numPr>
      <w:tabs>
        <w:tab w:val="clear" w:pos="907"/>
        <w:tab w:val="clear" w:pos="1021"/>
        <w:tab w:val="left" w:pos="964"/>
        <w:tab w:val="left" w:pos="1077"/>
      </w:tabs>
    </w:pPr>
  </w:style>
  <w:style w:type="paragraph" w:styleId="EndnoteText">
    <w:name w:val="endnote text"/>
    <w:basedOn w:val="Normal"/>
    <w:link w:val="EndnoteTextChar"/>
    <w:rsid w:val="00341597"/>
    <w:pPr>
      <w:spacing w:after="120" w:line="240" w:lineRule="auto"/>
    </w:pPr>
    <w:rPr>
      <w:rFonts w:eastAsia="Times New Roman" w:cstheme="minorHAnsi"/>
      <w:sz w:val="20"/>
      <w:lang w:eastAsia="en-AU"/>
    </w:rPr>
  </w:style>
  <w:style w:type="character" w:customStyle="1" w:styleId="EndnoteTextChar">
    <w:name w:val="Endnote Text Char"/>
    <w:basedOn w:val="DefaultParagraphFont"/>
    <w:link w:val="EndnoteText"/>
    <w:rsid w:val="00341597"/>
    <w:rPr>
      <w:rFonts w:eastAsia="Times New Roman" w:cstheme="minorHAnsi"/>
      <w:sz w:val="20"/>
      <w:lang w:eastAsia="en-AU"/>
    </w:rPr>
  </w:style>
  <w:style w:type="character" w:styleId="EndnoteReference">
    <w:name w:val="endnote reference"/>
    <w:basedOn w:val="DefaultParagraphFont"/>
    <w:rsid w:val="00341597"/>
    <w:rPr>
      <w:vertAlign w:val="superscript"/>
    </w:rPr>
  </w:style>
  <w:style w:type="paragraph" w:styleId="PlainText">
    <w:name w:val="Plain Text"/>
    <w:basedOn w:val="Normal"/>
    <w:link w:val="PlainTextChar"/>
    <w:uiPriority w:val="99"/>
    <w:unhideWhenUsed/>
    <w:rsid w:val="00341597"/>
    <w:pPr>
      <w:spacing w:after="120" w:line="240" w:lineRule="auto"/>
    </w:pPr>
    <w:rPr>
      <w:rFonts w:ascii="Calibri" w:eastAsiaTheme="minorHAnsi" w:hAnsi="Calibri" w:cs="Consolas"/>
      <w:szCs w:val="21"/>
      <w:lang w:eastAsia="en-AU"/>
    </w:rPr>
  </w:style>
  <w:style w:type="character" w:customStyle="1" w:styleId="PlainTextChar">
    <w:name w:val="Plain Text Char"/>
    <w:basedOn w:val="DefaultParagraphFont"/>
    <w:link w:val="PlainText"/>
    <w:uiPriority w:val="99"/>
    <w:rsid w:val="00341597"/>
    <w:rPr>
      <w:rFonts w:ascii="Calibri" w:eastAsiaTheme="minorHAnsi" w:hAnsi="Calibri" w:cs="Consolas"/>
      <w:szCs w:val="21"/>
      <w:lang w:eastAsia="en-AU"/>
    </w:rPr>
  </w:style>
  <w:style w:type="paragraph" w:customStyle="1" w:styleId="Style3">
    <w:name w:val="Style3"/>
    <w:basedOn w:val="Heading3"/>
    <w:link w:val="Style3Char"/>
    <w:qFormat/>
    <w:rsid w:val="00341597"/>
    <w:pPr>
      <w:keepNext/>
      <w:keepLines/>
      <w:widowControl w:val="0"/>
      <w:spacing w:before="0" w:after="120" w:line="240" w:lineRule="auto"/>
    </w:pPr>
    <w:rPr>
      <w:rFonts w:ascii="Times New Roman" w:eastAsia="Times New Roman" w:hAnsi="Times New Roman" w:cstheme="minorHAnsi"/>
      <w:bCs w:val="0"/>
      <w:lang w:eastAsia="en-AU"/>
    </w:rPr>
  </w:style>
  <w:style w:type="character" w:customStyle="1" w:styleId="Style3Char">
    <w:name w:val="Style3 Char"/>
    <w:basedOn w:val="Heading3Char"/>
    <w:link w:val="Style3"/>
    <w:rsid w:val="00341597"/>
    <w:rPr>
      <w:rFonts w:ascii="Times New Roman" w:eastAsia="Times New Roman" w:hAnsi="Times New Roman" w:cstheme="minorHAnsi"/>
      <w:b/>
      <w:bCs w:val="0"/>
      <w:lang w:eastAsia="en-AU"/>
    </w:rPr>
  </w:style>
  <w:style w:type="paragraph" w:customStyle="1" w:styleId="StyleTOCHeadingLatinBodyCalibri11ptNotBoldAuto">
    <w:name w:val="Style TOC Heading + (Latin) +Body (Calibri) 11 pt Not Bold Auto"/>
    <w:basedOn w:val="TOCHeading"/>
    <w:rsid w:val="00956BAB"/>
    <w:pPr>
      <w:numPr>
        <w:numId w:val="0"/>
      </w:numPr>
    </w:pPr>
    <w:rPr>
      <w:rFonts w:asciiTheme="minorHAnsi" w:hAnsiTheme="minorHAnsi"/>
      <w:b w:val="0"/>
      <w:bCs w:val="0"/>
      <w:color w:val="auto"/>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iPriority="0" w:unhideWhenUsed="1"/>
    <w:lsdException w:name="header" w:unhideWhenUsed="1"/>
    <w:lsdException w:name="footer" w:unhideWhenUsed="1"/>
    <w:lsdException w:name="index heading" w:unhideWhenUsed="1"/>
    <w:lsdException w:name="caption" w:uiPriority="0" w:unhideWhenUsed="1" w:qFormat="1"/>
    <w:lsdException w:name="envelope address" w:unhideWhenUsed="1"/>
    <w:lsdException w:name="envelope return" w:unhideWhenUsed="1"/>
    <w:lsdException w:name="footnote reference" w:unhideWhenUsed="1"/>
    <w:lsdException w:name="annotation reference" w:uiPriority="0" w:unhideWhenUsed="1"/>
    <w:lsdException w:name="line number" w:unhideWhenUsed="1"/>
    <w:lsdException w:name="page number" w:uiPriority="0" w:unhideWhenUsed="1"/>
    <w:lsdException w:name="endnote reference" w:uiPriority="0" w:unhideWhenUsed="1"/>
    <w:lsdException w:name="endnote text" w:uiPriority="0"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iPriority="0"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iPriority="0"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List 7" w:unhideWhenUsed="1"/>
    <w:lsdException w:name="Table List 8" w:unhideWhenUsed="1"/>
    <w:lsdException w:name="Table Web 2" w:unhideWhenUsed="1"/>
    <w:lsdException w:name="Table Web 3" w:unhideWhenUsed="1"/>
    <w:lsdException w:name="Balloon Text" w:uiPriority="0" w:unhideWhenUsed="1"/>
    <w:lsdException w:name="Table Grid" w:semiHidden="0" w:uiPriority="5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67C70"/>
  </w:style>
  <w:style w:type="paragraph" w:styleId="Heading1">
    <w:name w:val="heading 1"/>
    <w:basedOn w:val="Normal"/>
    <w:next w:val="Normal"/>
    <w:link w:val="Heading1Char"/>
    <w:qFormat/>
    <w:rsid w:val="00956BAB"/>
    <w:pPr>
      <w:pageBreakBefore/>
      <w:numPr>
        <w:numId w:val="37"/>
      </w:numPr>
      <w:spacing w:after="240" w:line="240" w:lineRule="auto"/>
      <w:ind w:left="357" w:hanging="357"/>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nhideWhenUsed/>
    <w:qFormat/>
    <w:rsid w:val="00341597"/>
    <w:pPr>
      <w:keepNext/>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E376D2"/>
    <w:rPr>
      <w:color w:val="3C54A5" w:themeColor="text2"/>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rsid w:val="00956BAB"/>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rsid w:val="00341597"/>
    <w:rPr>
      <w:rFonts w:ascii="Calibri" w:eastAsiaTheme="majorEastAsia" w:hAnsi="Calibri" w:cstheme="majorBidi"/>
      <w:b/>
      <w:bCs/>
      <w:sz w:val="28"/>
      <w:szCs w:val="26"/>
    </w:rPr>
  </w:style>
  <w:style w:type="character" w:customStyle="1" w:styleId="Heading3Char">
    <w:name w:val="Heading 3 Char"/>
    <w:basedOn w:val="DefaultParagraphFont"/>
    <w:link w:val="Heading3"/>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qFormat/>
    <w:rsid w:val="00BA4D57"/>
    <w:pPr>
      <w:spacing w:after="120" w:line="240" w:lineRule="auto"/>
      <w:contextualSpacing/>
    </w:pPr>
    <w:rPr>
      <w:rFonts w:ascii="Calibri" w:eastAsiaTheme="majorEastAsia" w:hAnsi="Calibri" w:cstheme="majorBidi"/>
      <w:b/>
      <w:color w:val="522761"/>
      <w:spacing w:val="5"/>
      <w:sz w:val="72"/>
      <w:szCs w:val="52"/>
    </w:rPr>
  </w:style>
  <w:style w:type="character" w:customStyle="1" w:styleId="TitleChar">
    <w:name w:val="Title Char"/>
    <w:basedOn w:val="DefaultParagraphFont"/>
    <w:link w:val="Title"/>
    <w:uiPriority w:val="10"/>
    <w:rsid w:val="00BA4D57"/>
    <w:rPr>
      <w:rFonts w:ascii="Calibri" w:eastAsiaTheme="majorEastAsia" w:hAnsi="Calibri" w:cstheme="majorBidi"/>
      <w:b/>
      <w:color w:val="522761"/>
      <w:spacing w:val="5"/>
      <w:sz w:val="72"/>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qFormat/>
    <w:rsid w:val="00B67C70"/>
    <w:pPr>
      <w:numPr>
        <w:numId w:val="34"/>
      </w:numPr>
      <w:ind w:left="641" w:hanging="357"/>
      <w:contextualSpacing/>
    </w:pPr>
  </w:style>
  <w:style w:type="paragraph" w:styleId="IntenseQuote">
    <w:name w:val="Intense Quote"/>
    <w:basedOn w:val="Normal"/>
    <w:next w:val="Normal"/>
    <w:link w:val="IntenseQuoteChar"/>
    <w:uiPriority w:val="30"/>
    <w:semiHidden/>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semiHidden/>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semiHidden/>
    <w:qFormat/>
    <w:rsid w:val="00AC65DA"/>
    <w:rPr>
      <w:smallCaps/>
    </w:rPr>
  </w:style>
  <w:style w:type="character" w:styleId="IntenseReference">
    <w:name w:val="Intense Reference"/>
    <w:uiPriority w:val="32"/>
    <w:semiHidden/>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ind w:left="369" w:hanging="369"/>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7F72E7"/>
    <w:pPr>
      <w:keepNext/>
      <w:keepLines/>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tblStylePr w:type="band1Horz">
      <w:tblPr/>
      <w:tcPr>
        <w:shd w:val="clear" w:color="auto" w:fill="F1E7F5"/>
      </w:tcPr>
    </w:tblStylePr>
  </w:style>
  <w:style w:type="paragraph" w:customStyle="1" w:styleId="Default">
    <w:name w:val="Default"/>
    <w:uiPriority w:val="99"/>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qFormat/>
    <w:rsid w:val="00EF4A38"/>
    <w:pPr>
      <w:spacing w:after="100"/>
    </w:pPr>
  </w:style>
  <w:style w:type="paragraph" w:styleId="TOC2">
    <w:name w:val="toc 2"/>
    <w:basedOn w:val="Normal"/>
    <w:next w:val="Normal"/>
    <w:autoRedefine/>
    <w:uiPriority w:val="39"/>
    <w:unhideWhenUsed/>
    <w:qFormat/>
    <w:rsid w:val="00EF4A38"/>
    <w:pPr>
      <w:spacing w:after="100"/>
      <w:ind w:left="220"/>
    </w:pPr>
  </w:style>
  <w:style w:type="paragraph" w:styleId="TOC3">
    <w:name w:val="toc 3"/>
    <w:basedOn w:val="Normal"/>
    <w:next w:val="Normal"/>
    <w:autoRedefine/>
    <w:uiPriority w:val="39"/>
    <w:unhideWhenUsed/>
    <w:qFormat/>
    <w:rsid w:val="00EF4A38"/>
    <w:pPr>
      <w:spacing w:after="100"/>
      <w:ind w:left="440"/>
    </w:pPr>
  </w:style>
  <w:style w:type="paragraph" w:styleId="Caption">
    <w:name w:val="caption"/>
    <w:basedOn w:val="Heading4"/>
    <w:next w:val="Normal"/>
    <w:unhideWhenUsed/>
    <w:qFormat/>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E376D2"/>
    <w:rPr>
      <w:color w:val="522761" w:themeColor="accent4"/>
    </w:rPr>
  </w:style>
  <w:style w:type="table" w:styleId="ColorfulGrid-Accent1">
    <w:name w:val="Colorful Grid Accent 1"/>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5DBEF" w:themeFill="accent1" w:themeFillTint="33"/>
    </w:tcPr>
    <w:tblStylePr w:type="firstRow">
      <w:rPr>
        <w:b/>
        <w:bCs/>
      </w:rPr>
      <w:tblPr/>
      <w:tcPr>
        <w:shd w:val="clear" w:color="auto" w:fill="ABB7E0" w:themeFill="accent1" w:themeFillTint="66"/>
      </w:tcPr>
    </w:tblStylePr>
    <w:tblStylePr w:type="lastRow">
      <w:rPr>
        <w:b/>
        <w:bCs/>
        <w:color w:val="000000" w:themeColor="text1"/>
      </w:rPr>
      <w:tblPr/>
      <w:tcPr>
        <w:shd w:val="clear" w:color="auto" w:fill="ABB7E0" w:themeFill="accent1" w:themeFillTint="66"/>
      </w:tcPr>
    </w:tblStylePr>
    <w:tblStylePr w:type="firstCol">
      <w:rPr>
        <w:color w:val="FFFFFF" w:themeColor="background1"/>
      </w:rPr>
      <w:tblPr/>
      <w:tcPr>
        <w:shd w:val="clear" w:color="auto" w:fill="2D3E7B" w:themeFill="accent1" w:themeFillShade="BF"/>
      </w:tcPr>
    </w:tblStylePr>
    <w:tblStylePr w:type="lastCol">
      <w:rPr>
        <w:color w:val="FFFFFF" w:themeColor="background1"/>
      </w:rPr>
      <w:tblPr/>
      <w:tcPr>
        <w:shd w:val="clear" w:color="auto" w:fill="2D3E7B" w:themeFill="accent1" w:themeFillShade="BF"/>
      </w:tcPr>
    </w:tblStylePr>
    <w:tblStylePr w:type="band1Vert">
      <w:tblPr/>
      <w:tcPr>
        <w:shd w:val="clear" w:color="auto" w:fill="96A5D9" w:themeFill="accent1" w:themeFillTint="7F"/>
      </w:tcPr>
    </w:tblStylePr>
    <w:tblStylePr w:type="band1Horz">
      <w:tblPr/>
      <w:tcPr>
        <w:shd w:val="clear" w:color="auto" w:fill="96A5D9" w:themeFill="accent1" w:themeFillTint="7F"/>
      </w:tcPr>
    </w:tblStylePr>
  </w:style>
  <w:style w:type="table" w:styleId="ColorfulGrid-Accent2">
    <w:name w:val="Colorful Grid Accent 2"/>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DDE0" w:themeFill="accent2" w:themeFillTint="33"/>
    </w:tcPr>
    <w:tblStylePr w:type="firstRow">
      <w:rPr>
        <w:b/>
        <w:bCs/>
      </w:rPr>
      <w:tblPr/>
      <w:tcPr>
        <w:shd w:val="clear" w:color="auto" w:fill="B8BBC2" w:themeFill="accent2" w:themeFillTint="66"/>
      </w:tcPr>
    </w:tblStylePr>
    <w:tblStylePr w:type="lastRow">
      <w:rPr>
        <w:b/>
        <w:bCs/>
        <w:color w:val="000000" w:themeColor="text1"/>
      </w:rPr>
      <w:tblPr/>
      <w:tcPr>
        <w:shd w:val="clear" w:color="auto" w:fill="B8BBC2" w:themeFill="accent2" w:themeFillTint="66"/>
      </w:tcPr>
    </w:tblStylePr>
    <w:tblStylePr w:type="firstCol">
      <w:rPr>
        <w:color w:val="FFFFFF" w:themeColor="background1"/>
      </w:rPr>
      <w:tblPr/>
      <w:tcPr>
        <w:shd w:val="clear" w:color="auto" w:fill="3F4148" w:themeFill="accent2" w:themeFillShade="BF"/>
      </w:tcPr>
    </w:tblStylePr>
    <w:tblStylePr w:type="lastCol">
      <w:rPr>
        <w:color w:val="FFFFFF" w:themeColor="background1"/>
      </w:rPr>
      <w:tblPr/>
      <w:tcPr>
        <w:shd w:val="clear" w:color="auto" w:fill="3F4148" w:themeFill="accent2" w:themeFillShade="BF"/>
      </w:tcPr>
    </w:tblStylePr>
    <w:tblStylePr w:type="band1Vert">
      <w:tblPr/>
      <w:tcPr>
        <w:shd w:val="clear" w:color="auto" w:fill="A7AAB3" w:themeFill="accent2" w:themeFillTint="7F"/>
      </w:tcPr>
    </w:tblStylePr>
    <w:tblStylePr w:type="band1Horz">
      <w:tblPr/>
      <w:tcPr>
        <w:shd w:val="clear" w:color="auto" w:fill="A7AAB3" w:themeFill="accent2" w:themeFillTint="7F"/>
      </w:tcPr>
    </w:tblStylePr>
  </w:style>
  <w:style w:type="table" w:styleId="ColorfulGrid-Accent3">
    <w:name w:val="Colorful Grid Accent 3"/>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DCF" w:themeFill="accent3" w:themeFillTint="33"/>
    </w:tcPr>
    <w:tblStylePr w:type="firstRow">
      <w:rPr>
        <w:b/>
        <w:bCs/>
      </w:rPr>
      <w:tblPr/>
      <w:tcPr>
        <w:shd w:val="clear" w:color="auto" w:fill="F7DC9F" w:themeFill="accent3" w:themeFillTint="66"/>
      </w:tcPr>
    </w:tblStylePr>
    <w:tblStylePr w:type="lastRow">
      <w:rPr>
        <w:b/>
        <w:bCs/>
        <w:color w:val="000000" w:themeColor="text1"/>
      </w:rPr>
      <w:tblPr/>
      <w:tcPr>
        <w:shd w:val="clear" w:color="auto" w:fill="F7DC9F" w:themeFill="accent3" w:themeFillTint="66"/>
      </w:tcPr>
    </w:tblStylePr>
    <w:tblStylePr w:type="firstCol">
      <w:rPr>
        <w:color w:val="FFFFFF" w:themeColor="background1"/>
      </w:rPr>
      <w:tblPr/>
      <w:tcPr>
        <w:shd w:val="clear" w:color="auto" w:fill="AE7E0E" w:themeFill="accent3" w:themeFillShade="BF"/>
      </w:tcPr>
    </w:tblStylePr>
    <w:tblStylePr w:type="lastCol">
      <w:rPr>
        <w:color w:val="FFFFFF" w:themeColor="background1"/>
      </w:rPr>
      <w:tblPr/>
      <w:tcPr>
        <w:shd w:val="clear" w:color="auto" w:fill="AE7E0E" w:themeFill="accent3" w:themeFillShade="BF"/>
      </w:tcPr>
    </w:tblStylePr>
    <w:tblStylePr w:type="band1Vert">
      <w:tblPr/>
      <w:tcPr>
        <w:shd w:val="clear" w:color="auto" w:fill="F5D488" w:themeFill="accent3" w:themeFillTint="7F"/>
      </w:tcPr>
    </w:tblStylePr>
    <w:tblStylePr w:type="band1Horz">
      <w:tblPr/>
      <w:tcPr>
        <w:shd w:val="clear" w:color="auto" w:fill="F5D488" w:themeFill="accent3" w:themeFillTint="7F"/>
      </w:tcPr>
    </w:tblStylePr>
  </w:style>
  <w:style w:type="table" w:styleId="ColorfulGrid-Accent4">
    <w:name w:val="Colorful Grid Accent 4"/>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1C9E9" w:themeFill="accent4" w:themeFillTint="33"/>
    </w:tcPr>
    <w:tblStylePr w:type="firstRow">
      <w:rPr>
        <w:b/>
        <w:bCs/>
      </w:rPr>
      <w:tblPr/>
      <w:tcPr>
        <w:shd w:val="clear" w:color="auto" w:fill="C394D4" w:themeFill="accent4" w:themeFillTint="66"/>
      </w:tcPr>
    </w:tblStylePr>
    <w:tblStylePr w:type="lastRow">
      <w:rPr>
        <w:b/>
        <w:bCs/>
        <w:color w:val="000000" w:themeColor="text1"/>
      </w:rPr>
      <w:tblPr/>
      <w:tcPr>
        <w:shd w:val="clear" w:color="auto" w:fill="C394D4" w:themeFill="accent4" w:themeFillTint="66"/>
      </w:tcPr>
    </w:tblStylePr>
    <w:tblStylePr w:type="firstCol">
      <w:rPr>
        <w:color w:val="FFFFFF" w:themeColor="background1"/>
      </w:rPr>
      <w:tblPr/>
      <w:tcPr>
        <w:shd w:val="clear" w:color="auto" w:fill="3D1D48" w:themeFill="accent4" w:themeFillShade="BF"/>
      </w:tcPr>
    </w:tblStylePr>
    <w:tblStylePr w:type="lastCol">
      <w:rPr>
        <w:color w:val="FFFFFF" w:themeColor="background1"/>
      </w:rPr>
      <w:tblPr/>
      <w:tcPr>
        <w:shd w:val="clear" w:color="auto" w:fill="3D1D48" w:themeFill="accent4" w:themeFillShade="BF"/>
      </w:tcPr>
    </w:tblStylePr>
    <w:tblStylePr w:type="band1Vert">
      <w:tblPr/>
      <w:tcPr>
        <w:shd w:val="clear" w:color="auto" w:fill="B57AC9" w:themeFill="accent4" w:themeFillTint="7F"/>
      </w:tcPr>
    </w:tblStylePr>
    <w:tblStylePr w:type="band1Horz">
      <w:tblPr/>
      <w:tcPr>
        <w:shd w:val="clear" w:color="auto" w:fill="B57AC9" w:themeFill="accent4" w:themeFillTint="7F"/>
      </w:tcPr>
    </w:tblStylePr>
  </w:style>
  <w:style w:type="table" w:styleId="ColorfulGrid-Accent5">
    <w:name w:val="Colorful Grid Accent 5"/>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5DBEF" w:themeFill="accent5" w:themeFillTint="33"/>
    </w:tcPr>
    <w:tblStylePr w:type="firstRow">
      <w:rPr>
        <w:b/>
        <w:bCs/>
      </w:rPr>
      <w:tblPr/>
      <w:tcPr>
        <w:shd w:val="clear" w:color="auto" w:fill="ABB7E0" w:themeFill="accent5" w:themeFillTint="66"/>
      </w:tcPr>
    </w:tblStylePr>
    <w:tblStylePr w:type="lastRow">
      <w:rPr>
        <w:b/>
        <w:bCs/>
        <w:color w:val="000000" w:themeColor="text1"/>
      </w:rPr>
      <w:tblPr/>
      <w:tcPr>
        <w:shd w:val="clear" w:color="auto" w:fill="ABB7E0" w:themeFill="accent5" w:themeFillTint="66"/>
      </w:tcPr>
    </w:tblStylePr>
    <w:tblStylePr w:type="firstCol">
      <w:rPr>
        <w:color w:val="FFFFFF" w:themeColor="background1"/>
      </w:rPr>
      <w:tblPr/>
      <w:tcPr>
        <w:shd w:val="clear" w:color="auto" w:fill="2D3E7B" w:themeFill="accent5" w:themeFillShade="BF"/>
      </w:tcPr>
    </w:tblStylePr>
    <w:tblStylePr w:type="lastCol">
      <w:rPr>
        <w:color w:val="FFFFFF" w:themeColor="background1"/>
      </w:rPr>
      <w:tblPr/>
      <w:tcPr>
        <w:shd w:val="clear" w:color="auto" w:fill="2D3E7B" w:themeFill="accent5" w:themeFillShade="BF"/>
      </w:tcPr>
    </w:tblStylePr>
    <w:tblStylePr w:type="band1Vert">
      <w:tblPr/>
      <w:tcPr>
        <w:shd w:val="clear" w:color="auto" w:fill="96A5D9" w:themeFill="accent5" w:themeFillTint="7F"/>
      </w:tcPr>
    </w:tblStylePr>
    <w:tblStylePr w:type="band1Horz">
      <w:tblPr/>
      <w:tcPr>
        <w:shd w:val="clear" w:color="auto" w:fill="96A5D9" w:themeFill="accent5" w:themeFillTint="7F"/>
      </w:tcPr>
    </w:tblStylePr>
  </w:style>
  <w:style w:type="table" w:styleId="ColorfulGrid-Accent6">
    <w:name w:val="Colorful Grid Accent 6"/>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DDE0" w:themeFill="accent6" w:themeFillTint="33"/>
    </w:tcPr>
    <w:tblStylePr w:type="firstRow">
      <w:rPr>
        <w:b/>
        <w:bCs/>
      </w:rPr>
      <w:tblPr/>
      <w:tcPr>
        <w:shd w:val="clear" w:color="auto" w:fill="B8BBC2" w:themeFill="accent6" w:themeFillTint="66"/>
      </w:tcPr>
    </w:tblStylePr>
    <w:tblStylePr w:type="lastRow">
      <w:rPr>
        <w:b/>
        <w:bCs/>
        <w:color w:val="000000" w:themeColor="text1"/>
      </w:rPr>
      <w:tblPr/>
      <w:tcPr>
        <w:shd w:val="clear" w:color="auto" w:fill="B8BBC2" w:themeFill="accent6" w:themeFillTint="66"/>
      </w:tcPr>
    </w:tblStylePr>
    <w:tblStylePr w:type="firstCol">
      <w:rPr>
        <w:color w:val="FFFFFF" w:themeColor="background1"/>
      </w:rPr>
      <w:tblPr/>
      <w:tcPr>
        <w:shd w:val="clear" w:color="auto" w:fill="3F4148" w:themeFill="accent6" w:themeFillShade="BF"/>
      </w:tcPr>
    </w:tblStylePr>
    <w:tblStylePr w:type="lastCol">
      <w:rPr>
        <w:color w:val="FFFFFF" w:themeColor="background1"/>
      </w:rPr>
      <w:tblPr/>
      <w:tcPr>
        <w:shd w:val="clear" w:color="auto" w:fill="3F4148" w:themeFill="accent6" w:themeFillShade="BF"/>
      </w:tcPr>
    </w:tblStylePr>
    <w:tblStylePr w:type="band1Vert">
      <w:tblPr/>
      <w:tcPr>
        <w:shd w:val="clear" w:color="auto" w:fill="A7AAB3" w:themeFill="accent6" w:themeFillTint="7F"/>
      </w:tcPr>
    </w:tblStylePr>
    <w:tblStylePr w:type="band1Horz">
      <w:tblPr/>
      <w:tcPr>
        <w:shd w:val="clear" w:color="auto" w:fill="A7AAB3" w:themeFill="accent6" w:themeFillTint="7F"/>
      </w:tcPr>
    </w:tblStylePr>
  </w:style>
  <w:style w:type="table" w:styleId="ColorfulList">
    <w:name w:val="Colorful List"/>
    <w:basedOn w:val="TableNormal"/>
    <w:uiPriority w:val="72"/>
    <w:semiHidden/>
    <w:rsid w:val="003E273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3464D" w:themeFill="accent2" w:themeFillShade="CC"/>
      </w:tcPr>
    </w:tblStylePr>
    <w:tblStylePr w:type="lastRow">
      <w:rPr>
        <w:b/>
        <w:bCs/>
        <w:color w:val="4346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E273C"/>
    <w:pPr>
      <w:spacing w:after="0" w:line="240" w:lineRule="auto"/>
    </w:pPr>
    <w:rPr>
      <w:color w:val="000000" w:themeColor="text1"/>
    </w:rPr>
    <w:tblPr>
      <w:tblStyleRowBandSize w:val="1"/>
      <w:tblStyleColBandSize w:val="1"/>
    </w:tblPr>
    <w:tcPr>
      <w:shd w:val="clear" w:color="auto" w:fill="EAEDF7" w:themeFill="accent1" w:themeFillTint="19"/>
    </w:tcPr>
    <w:tblStylePr w:type="firstRow">
      <w:rPr>
        <w:b/>
        <w:bCs/>
        <w:color w:val="FFFFFF" w:themeColor="background1"/>
      </w:rPr>
      <w:tblPr/>
      <w:tcPr>
        <w:tcBorders>
          <w:bottom w:val="single" w:sz="12" w:space="0" w:color="FFFFFF" w:themeColor="background1"/>
        </w:tcBorders>
        <w:shd w:val="clear" w:color="auto" w:fill="43464D" w:themeFill="accent2" w:themeFillShade="CC"/>
      </w:tcPr>
    </w:tblStylePr>
    <w:tblStylePr w:type="lastRow">
      <w:rPr>
        <w:b/>
        <w:bCs/>
        <w:color w:val="4346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2EC" w:themeFill="accent1" w:themeFillTint="3F"/>
      </w:tcPr>
    </w:tblStylePr>
    <w:tblStylePr w:type="band1Horz">
      <w:tblPr/>
      <w:tcPr>
        <w:shd w:val="clear" w:color="auto" w:fill="D5DBEF" w:themeFill="accent1" w:themeFillTint="33"/>
      </w:tcPr>
    </w:tblStylePr>
  </w:style>
  <w:style w:type="table" w:styleId="ColorfulList-Accent2">
    <w:name w:val="Colorful List Accent 2"/>
    <w:basedOn w:val="TableNormal"/>
    <w:uiPriority w:val="72"/>
    <w:semiHidden/>
    <w:rsid w:val="003E273C"/>
    <w:pPr>
      <w:spacing w:after="0" w:line="240" w:lineRule="auto"/>
    </w:pPr>
    <w:rPr>
      <w:color w:val="000000" w:themeColor="text1"/>
    </w:rPr>
    <w:tblPr>
      <w:tblStyleRowBandSize w:val="1"/>
      <w:tblStyleColBandSize w:val="1"/>
    </w:tblPr>
    <w:tcPr>
      <w:shd w:val="clear" w:color="auto" w:fill="EDEEF0" w:themeFill="accent2" w:themeFillTint="19"/>
    </w:tcPr>
    <w:tblStylePr w:type="firstRow">
      <w:rPr>
        <w:b/>
        <w:bCs/>
        <w:color w:val="FFFFFF" w:themeColor="background1"/>
      </w:rPr>
      <w:tblPr/>
      <w:tcPr>
        <w:tcBorders>
          <w:bottom w:val="single" w:sz="12" w:space="0" w:color="FFFFFF" w:themeColor="background1"/>
        </w:tcBorders>
        <w:shd w:val="clear" w:color="auto" w:fill="43464D" w:themeFill="accent2" w:themeFillShade="CC"/>
      </w:tcPr>
    </w:tblStylePr>
    <w:tblStylePr w:type="lastRow">
      <w:rPr>
        <w:b/>
        <w:bCs/>
        <w:color w:val="4346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9" w:themeFill="accent2" w:themeFillTint="3F"/>
      </w:tcPr>
    </w:tblStylePr>
    <w:tblStylePr w:type="band1Horz">
      <w:tblPr/>
      <w:tcPr>
        <w:shd w:val="clear" w:color="auto" w:fill="DBDDE0" w:themeFill="accent2" w:themeFillTint="33"/>
      </w:tcPr>
    </w:tblStylePr>
  </w:style>
  <w:style w:type="table" w:styleId="ColorfulList-Accent3">
    <w:name w:val="Colorful List Accent 3"/>
    <w:basedOn w:val="TableNormal"/>
    <w:uiPriority w:val="72"/>
    <w:semiHidden/>
    <w:rsid w:val="003E273C"/>
    <w:pPr>
      <w:spacing w:after="0" w:line="240" w:lineRule="auto"/>
    </w:pPr>
    <w:rPr>
      <w:color w:val="000000" w:themeColor="text1"/>
    </w:rPr>
    <w:tblPr>
      <w:tblStyleRowBandSize w:val="1"/>
      <w:tblStyleColBandSize w:val="1"/>
    </w:tblPr>
    <w:tcPr>
      <w:shd w:val="clear" w:color="auto" w:fill="FDF6E7" w:themeFill="accent3" w:themeFillTint="19"/>
    </w:tcPr>
    <w:tblStylePr w:type="firstRow">
      <w:rPr>
        <w:b/>
        <w:bCs/>
        <w:color w:val="FFFFFF" w:themeColor="background1"/>
      </w:rPr>
      <w:tblPr/>
      <w:tcPr>
        <w:tcBorders>
          <w:bottom w:val="single" w:sz="12" w:space="0" w:color="FFFFFF" w:themeColor="background1"/>
        </w:tcBorders>
        <w:shd w:val="clear" w:color="auto" w:fill="411F4D" w:themeFill="accent4" w:themeFillShade="CC"/>
      </w:tcPr>
    </w:tblStylePr>
    <w:tblStylePr w:type="lastRow">
      <w:rPr>
        <w:b/>
        <w:bCs/>
        <w:color w:val="411F4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9C3" w:themeFill="accent3" w:themeFillTint="3F"/>
      </w:tcPr>
    </w:tblStylePr>
    <w:tblStylePr w:type="band1Horz">
      <w:tblPr/>
      <w:tcPr>
        <w:shd w:val="clear" w:color="auto" w:fill="FBEDCF" w:themeFill="accent3" w:themeFillTint="33"/>
      </w:tcPr>
    </w:tblStylePr>
  </w:style>
  <w:style w:type="table" w:styleId="ColorfulList-Accent4">
    <w:name w:val="Colorful List Accent 4"/>
    <w:basedOn w:val="TableNormal"/>
    <w:uiPriority w:val="72"/>
    <w:semiHidden/>
    <w:rsid w:val="003E273C"/>
    <w:pPr>
      <w:spacing w:after="0" w:line="240" w:lineRule="auto"/>
    </w:pPr>
    <w:rPr>
      <w:color w:val="000000" w:themeColor="text1"/>
    </w:rPr>
    <w:tblPr>
      <w:tblStyleRowBandSize w:val="1"/>
      <w:tblStyleColBandSize w:val="1"/>
    </w:tblPr>
    <w:tcPr>
      <w:shd w:val="clear" w:color="auto" w:fill="F0E4F4" w:themeFill="accent4" w:themeFillTint="19"/>
    </w:tcPr>
    <w:tblStylePr w:type="firstRow">
      <w:rPr>
        <w:b/>
        <w:bCs/>
        <w:color w:val="FFFFFF" w:themeColor="background1"/>
      </w:rPr>
      <w:tblPr/>
      <w:tcPr>
        <w:tcBorders>
          <w:bottom w:val="single" w:sz="12" w:space="0" w:color="FFFFFF" w:themeColor="background1"/>
        </w:tcBorders>
        <w:shd w:val="clear" w:color="auto" w:fill="BA860F" w:themeFill="accent3" w:themeFillShade="CC"/>
      </w:tcPr>
    </w:tblStylePr>
    <w:tblStylePr w:type="lastRow">
      <w:rPr>
        <w:b/>
        <w:bCs/>
        <w:color w:val="BA860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BCE4" w:themeFill="accent4" w:themeFillTint="3F"/>
      </w:tcPr>
    </w:tblStylePr>
    <w:tblStylePr w:type="band1Horz">
      <w:tblPr/>
      <w:tcPr>
        <w:shd w:val="clear" w:color="auto" w:fill="E1C9E9" w:themeFill="accent4" w:themeFillTint="33"/>
      </w:tcPr>
    </w:tblStylePr>
  </w:style>
  <w:style w:type="table" w:styleId="ColorfulList-Accent5">
    <w:name w:val="Colorful List Accent 5"/>
    <w:basedOn w:val="TableNormal"/>
    <w:uiPriority w:val="72"/>
    <w:semiHidden/>
    <w:rsid w:val="003E273C"/>
    <w:pPr>
      <w:spacing w:after="0" w:line="240" w:lineRule="auto"/>
    </w:pPr>
    <w:rPr>
      <w:color w:val="000000" w:themeColor="text1"/>
    </w:rPr>
    <w:tblPr>
      <w:tblStyleRowBandSize w:val="1"/>
      <w:tblStyleColBandSize w:val="1"/>
    </w:tblPr>
    <w:tcPr>
      <w:shd w:val="clear" w:color="auto" w:fill="EAEDF7" w:themeFill="accent5" w:themeFillTint="19"/>
    </w:tcPr>
    <w:tblStylePr w:type="firstRow">
      <w:rPr>
        <w:b/>
        <w:bCs/>
        <w:color w:val="FFFFFF" w:themeColor="background1"/>
      </w:rPr>
      <w:tblPr/>
      <w:tcPr>
        <w:tcBorders>
          <w:bottom w:val="single" w:sz="12" w:space="0" w:color="FFFFFF" w:themeColor="background1"/>
        </w:tcBorders>
        <w:shd w:val="clear" w:color="auto" w:fill="43464D" w:themeFill="accent6" w:themeFillShade="CC"/>
      </w:tcPr>
    </w:tblStylePr>
    <w:tblStylePr w:type="lastRow">
      <w:rPr>
        <w:b/>
        <w:bCs/>
        <w:color w:val="43464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2EC" w:themeFill="accent5" w:themeFillTint="3F"/>
      </w:tcPr>
    </w:tblStylePr>
    <w:tblStylePr w:type="band1Horz">
      <w:tblPr/>
      <w:tcPr>
        <w:shd w:val="clear" w:color="auto" w:fill="D5DBEF" w:themeFill="accent5" w:themeFillTint="33"/>
      </w:tcPr>
    </w:tblStylePr>
  </w:style>
  <w:style w:type="table" w:styleId="ColorfulList-Accent6">
    <w:name w:val="Colorful List Accent 6"/>
    <w:basedOn w:val="TableNormal"/>
    <w:uiPriority w:val="72"/>
    <w:semiHidden/>
    <w:rsid w:val="003E273C"/>
    <w:pPr>
      <w:spacing w:after="0" w:line="240" w:lineRule="auto"/>
    </w:pPr>
    <w:rPr>
      <w:color w:val="000000" w:themeColor="text1"/>
    </w:rPr>
    <w:tblPr>
      <w:tblStyleRowBandSize w:val="1"/>
      <w:tblStyleColBandSize w:val="1"/>
    </w:tblPr>
    <w:tcPr>
      <w:shd w:val="clear" w:color="auto" w:fill="EDEEF0" w:themeFill="accent6" w:themeFillTint="19"/>
    </w:tcPr>
    <w:tblStylePr w:type="firstRow">
      <w:rPr>
        <w:b/>
        <w:bCs/>
        <w:color w:val="FFFFFF" w:themeColor="background1"/>
      </w:rPr>
      <w:tblPr/>
      <w:tcPr>
        <w:tcBorders>
          <w:bottom w:val="single" w:sz="12" w:space="0" w:color="FFFFFF" w:themeColor="background1"/>
        </w:tcBorders>
        <w:shd w:val="clear" w:color="auto" w:fill="304384" w:themeFill="accent5" w:themeFillShade="CC"/>
      </w:tcPr>
    </w:tblStylePr>
    <w:tblStylePr w:type="lastRow">
      <w:rPr>
        <w:b/>
        <w:bCs/>
        <w:color w:val="30438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9" w:themeFill="accent6" w:themeFillTint="3F"/>
      </w:tcPr>
    </w:tblStylePr>
    <w:tblStylePr w:type="band1Horz">
      <w:tblPr/>
      <w:tcPr>
        <w:shd w:val="clear" w:color="auto" w:fill="DBDDE0" w:themeFill="accent6" w:themeFillTint="33"/>
      </w:tcPr>
    </w:tblStylePr>
  </w:style>
  <w:style w:type="table" w:styleId="ColorfulShading">
    <w:name w:val="Colorful Shading"/>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4586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458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45861" w:themeColor="accent2"/>
        <w:left w:val="single" w:sz="4" w:space="0" w:color="3C54A5" w:themeColor="accent1"/>
        <w:bottom w:val="single" w:sz="4" w:space="0" w:color="3C54A5" w:themeColor="accent1"/>
        <w:right w:val="single" w:sz="4" w:space="0" w:color="3C54A5" w:themeColor="accent1"/>
        <w:insideH w:val="single" w:sz="4" w:space="0" w:color="FFFFFF" w:themeColor="background1"/>
        <w:insideV w:val="single" w:sz="4" w:space="0" w:color="FFFFFF" w:themeColor="background1"/>
      </w:tblBorders>
    </w:tblPr>
    <w:tcPr>
      <w:shd w:val="clear" w:color="auto" w:fill="EAEDF7" w:themeFill="accent1" w:themeFillTint="19"/>
    </w:tcPr>
    <w:tblStylePr w:type="firstRow">
      <w:rPr>
        <w:b/>
        <w:bCs/>
      </w:rPr>
      <w:tblPr/>
      <w:tcPr>
        <w:tcBorders>
          <w:top w:val="nil"/>
          <w:left w:val="nil"/>
          <w:bottom w:val="single" w:sz="24" w:space="0" w:color="5458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3263" w:themeFill="accent1" w:themeFillShade="99"/>
      </w:tcPr>
    </w:tblStylePr>
    <w:tblStylePr w:type="firstCol">
      <w:rPr>
        <w:color w:val="FFFFFF" w:themeColor="background1"/>
      </w:rPr>
      <w:tblPr/>
      <w:tcPr>
        <w:tcBorders>
          <w:top w:val="nil"/>
          <w:left w:val="nil"/>
          <w:bottom w:val="nil"/>
          <w:right w:val="nil"/>
          <w:insideH w:val="single" w:sz="4" w:space="0" w:color="243263" w:themeColor="accent1" w:themeShade="99"/>
          <w:insideV w:val="nil"/>
        </w:tcBorders>
        <w:shd w:val="clear" w:color="auto" w:fill="24326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43263" w:themeFill="accent1" w:themeFillShade="99"/>
      </w:tcPr>
    </w:tblStylePr>
    <w:tblStylePr w:type="band1Vert">
      <w:tblPr/>
      <w:tcPr>
        <w:shd w:val="clear" w:color="auto" w:fill="ABB7E0" w:themeFill="accent1" w:themeFillTint="66"/>
      </w:tcPr>
    </w:tblStylePr>
    <w:tblStylePr w:type="band1Horz">
      <w:tblPr/>
      <w:tcPr>
        <w:shd w:val="clear" w:color="auto" w:fill="96A5D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45861" w:themeColor="accent2"/>
        <w:left w:val="single" w:sz="4" w:space="0" w:color="545861" w:themeColor="accent2"/>
        <w:bottom w:val="single" w:sz="4" w:space="0" w:color="545861" w:themeColor="accent2"/>
        <w:right w:val="single" w:sz="4" w:space="0" w:color="545861" w:themeColor="accent2"/>
        <w:insideH w:val="single" w:sz="4" w:space="0" w:color="FFFFFF" w:themeColor="background1"/>
        <w:insideV w:val="single" w:sz="4" w:space="0" w:color="FFFFFF" w:themeColor="background1"/>
      </w:tblBorders>
    </w:tblPr>
    <w:tcPr>
      <w:shd w:val="clear" w:color="auto" w:fill="EDEEF0" w:themeFill="accent2" w:themeFillTint="19"/>
    </w:tcPr>
    <w:tblStylePr w:type="firstRow">
      <w:rPr>
        <w:b/>
        <w:bCs/>
      </w:rPr>
      <w:tblPr/>
      <w:tcPr>
        <w:tcBorders>
          <w:top w:val="nil"/>
          <w:left w:val="nil"/>
          <w:bottom w:val="single" w:sz="24" w:space="0" w:color="5458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43A" w:themeFill="accent2" w:themeFillShade="99"/>
      </w:tcPr>
    </w:tblStylePr>
    <w:tblStylePr w:type="firstCol">
      <w:rPr>
        <w:color w:val="FFFFFF" w:themeColor="background1"/>
      </w:rPr>
      <w:tblPr/>
      <w:tcPr>
        <w:tcBorders>
          <w:top w:val="nil"/>
          <w:left w:val="nil"/>
          <w:bottom w:val="nil"/>
          <w:right w:val="nil"/>
          <w:insideH w:val="single" w:sz="4" w:space="0" w:color="32343A" w:themeColor="accent2" w:themeShade="99"/>
          <w:insideV w:val="nil"/>
        </w:tcBorders>
        <w:shd w:val="clear" w:color="auto" w:fill="3234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2343A" w:themeFill="accent2" w:themeFillShade="99"/>
      </w:tcPr>
    </w:tblStylePr>
    <w:tblStylePr w:type="band1Vert">
      <w:tblPr/>
      <w:tcPr>
        <w:shd w:val="clear" w:color="auto" w:fill="B8BBC2" w:themeFill="accent2" w:themeFillTint="66"/>
      </w:tcPr>
    </w:tblStylePr>
    <w:tblStylePr w:type="band1Horz">
      <w:tblPr/>
      <w:tcPr>
        <w:shd w:val="clear" w:color="auto" w:fill="A7AAB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22761" w:themeColor="accent4"/>
        <w:left w:val="single" w:sz="4" w:space="0" w:color="E9A913" w:themeColor="accent3"/>
        <w:bottom w:val="single" w:sz="4" w:space="0" w:color="E9A913" w:themeColor="accent3"/>
        <w:right w:val="single" w:sz="4" w:space="0" w:color="E9A913" w:themeColor="accent3"/>
        <w:insideH w:val="single" w:sz="4" w:space="0" w:color="FFFFFF" w:themeColor="background1"/>
        <w:insideV w:val="single" w:sz="4" w:space="0" w:color="FFFFFF" w:themeColor="background1"/>
      </w:tblBorders>
    </w:tblPr>
    <w:tcPr>
      <w:shd w:val="clear" w:color="auto" w:fill="FDF6E7" w:themeFill="accent3" w:themeFillTint="19"/>
    </w:tcPr>
    <w:tblStylePr w:type="firstRow">
      <w:rPr>
        <w:b/>
        <w:bCs/>
      </w:rPr>
      <w:tblPr/>
      <w:tcPr>
        <w:tcBorders>
          <w:top w:val="nil"/>
          <w:left w:val="nil"/>
          <w:bottom w:val="single" w:sz="24" w:space="0" w:color="52276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640B" w:themeFill="accent3" w:themeFillShade="99"/>
      </w:tcPr>
    </w:tblStylePr>
    <w:tblStylePr w:type="firstCol">
      <w:rPr>
        <w:color w:val="FFFFFF" w:themeColor="background1"/>
      </w:rPr>
      <w:tblPr/>
      <w:tcPr>
        <w:tcBorders>
          <w:top w:val="nil"/>
          <w:left w:val="nil"/>
          <w:bottom w:val="nil"/>
          <w:right w:val="nil"/>
          <w:insideH w:val="single" w:sz="4" w:space="0" w:color="8B640B" w:themeColor="accent3" w:themeShade="99"/>
          <w:insideV w:val="nil"/>
        </w:tcBorders>
        <w:shd w:val="clear" w:color="auto" w:fill="8B64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B640B" w:themeFill="accent3" w:themeFillShade="99"/>
      </w:tcPr>
    </w:tblStylePr>
    <w:tblStylePr w:type="band1Vert">
      <w:tblPr/>
      <w:tcPr>
        <w:shd w:val="clear" w:color="auto" w:fill="F7DC9F" w:themeFill="accent3" w:themeFillTint="66"/>
      </w:tcPr>
    </w:tblStylePr>
    <w:tblStylePr w:type="band1Horz">
      <w:tblPr/>
      <w:tcPr>
        <w:shd w:val="clear" w:color="auto" w:fill="F5D488" w:themeFill="accent3" w:themeFillTint="7F"/>
      </w:tcPr>
    </w:tblStylePr>
  </w:style>
  <w:style w:type="table" w:styleId="ColorfulShading-Accent4">
    <w:name w:val="Colorful Shading Accent 4"/>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E9A913" w:themeColor="accent3"/>
        <w:left w:val="single" w:sz="4" w:space="0" w:color="522761" w:themeColor="accent4"/>
        <w:bottom w:val="single" w:sz="4" w:space="0" w:color="522761" w:themeColor="accent4"/>
        <w:right w:val="single" w:sz="4" w:space="0" w:color="522761" w:themeColor="accent4"/>
        <w:insideH w:val="single" w:sz="4" w:space="0" w:color="FFFFFF" w:themeColor="background1"/>
        <w:insideV w:val="single" w:sz="4" w:space="0" w:color="FFFFFF" w:themeColor="background1"/>
      </w:tblBorders>
    </w:tblPr>
    <w:tcPr>
      <w:shd w:val="clear" w:color="auto" w:fill="F0E4F4" w:themeFill="accent4" w:themeFillTint="19"/>
    </w:tcPr>
    <w:tblStylePr w:type="firstRow">
      <w:rPr>
        <w:b/>
        <w:bCs/>
      </w:rPr>
      <w:tblPr/>
      <w:tcPr>
        <w:tcBorders>
          <w:top w:val="nil"/>
          <w:left w:val="nil"/>
          <w:bottom w:val="single" w:sz="24" w:space="0" w:color="E9A91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1739" w:themeFill="accent4" w:themeFillShade="99"/>
      </w:tcPr>
    </w:tblStylePr>
    <w:tblStylePr w:type="firstCol">
      <w:rPr>
        <w:color w:val="FFFFFF" w:themeColor="background1"/>
      </w:rPr>
      <w:tblPr/>
      <w:tcPr>
        <w:tcBorders>
          <w:top w:val="nil"/>
          <w:left w:val="nil"/>
          <w:bottom w:val="nil"/>
          <w:right w:val="nil"/>
          <w:insideH w:val="single" w:sz="4" w:space="0" w:color="301739" w:themeColor="accent4" w:themeShade="99"/>
          <w:insideV w:val="nil"/>
        </w:tcBorders>
        <w:shd w:val="clear" w:color="auto" w:fill="30173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01739" w:themeFill="accent4" w:themeFillShade="99"/>
      </w:tcPr>
    </w:tblStylePr>
    <w:tblStylePr w:type="band1Vert">
      <w:tblPr/>
      <w:tcPr>
        <w:shd w:val="clear" w:color="auto" w:fill="C394D4" w:themeFill="accent4" w:themeFillTint="66"/>
      </w:tcPr>
    </w:tblStylePr>
    <w:tblStylePr w:type="band1Horz">
      <w:tblPr/>
      <w:tcPr>
        <w:shd w:val="clear" w:color="auto" w:fill="B57AC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45861" w:themeColor="accent6"/>
        <w:left w:val="single" w:sz="4" w:space="0" w:color="3C54A5" w:themeColor="accent5"/>
        <w:bottom w:val="single" w:sz="4" w:space="0" w:color="3C54A5" w:themeColor="accent5"/>
        <w:right w:val="single" w:sz="4" w:space="0" w:color="3C54A5" w:themeColor="accent5"/>
        <w:insideH w:val="single" w:sz="4" w:space="0" w:color="FFFFFF" w:themeColor="background1"/>
        <w:insideV w:val="single" w:sz="4" w:space="0" w:color="FFFFFF" w:themeColor="background1"/>
      </w:tblBorders>
    </w:tblPr>
    <w:tcPr>
      <w:shd w:val="clear" w:color="auto" w:fill="EAEDF7" w:themeFill="accent5" w:themeFillTint="19"/>
    </w:tcPr>
    <w:tblStylePr w:type="firstRow">
      <w:rPr>
        <w:b/>
        <w:bCs/>
      </w:rPr>
      <w:tblPr/>
      <w:tcPr>
        <w:tcBorders>
          <w:top w:val="nil"/>
          <w:left w:val="nil"/>
          <w:bottom w:val="single" w:sz="24" w:space="0" w:color="54586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3263" w:themeFill="accent5" w:themeFillShade="99"/>
      </w:tcPr>
    </w:tblStylePr>
    <w:tblStylePr w:type="firstCol">
      <w:rPr>
        <w:color w:val="FFFFFF" w:themeColor="background1"/>
      </w:rPr>
      <w:tblPr/>
      <w:tcPr>
        <w:tcBorders>
          <w:top w:val="nil"/>
          <w:left w:val="nil"/>
          <w:bottom w:val="nil"/>
          <w:right w:val="nil"/>
          <w:insideH w:val="single" w:sz="4" w:space="0" w:color="243263" w:themeColor="accent5" w:themeShade="99"/>
          <w:insideV w:val="nil"/>
        </w:tcBorders>
        <w:shd w:val="clear" w:color="auto" w:fill="24326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43263" w:themeFill="accent5" w:themeFillShade="99"/>
      </w:tcPr>
    </w:tblStylePr>
    <w:tblStylePr w:type="band1Vert">
      <w:tblPr/>
      <w:tcPr>
        <w:shd w:val="clear" w:color="auto" w:fill="ABB7E0" w:themeFill="accent5" w:themeFillTint="66"/>
      </w:tcPr>
    </w:tblStylePr>
    <w:tblStylePr w:type="band1Horz">
      <w:tblPr/>
      <w:tcPr>
        <w:shd w:val="clear" w:color="auto" w:fill="96A5D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3C54A5" w:themeColor="accent5"/>
        <w:left w:val="single" w:sz="4" w:space="0" w:color="545861" w:themeColor="accent6"/>
        <w:bottom w:val="single" w:sz="4" w:space="0" w:color="545861" w:themeColor="accent6"/>
        <w:right w:val="single" w:sz="4" w:space="0" w:color="545861" w:themeColor="accent6"/>
        <w:insideH w:val="single" w:sz="4" w:space="0" w:color="FFFFFF" w:themeColor="background1"/>
        <w:insideV w:val="single" w:sz="4" w:space="0" w:color="FFFFFF" w:themeColor="background1"/>
      </w:tblBorders>
    </w:tblPr>
    <w:tcPr>
      <w:shd w:val="clear" w:color="auto" w:fill="EDEEF0" w:themeFill="accent6" w:themeFillTint="19"/>
    </w:tcPr>
    <w:tblStylePr w:type="firstRow">
      <w:rPr>
        <w:b/>
        <w:bCs/>
      </w:rPr>
      <w:tblPr/>
      <w:tcPr>
        <w:tcBorders>
          <w:top w:val="nil"/>
          <w:left w:val="nil"/>
          <w:bottom w:val="single" w:sz="24" w:space="0" w:color="3C54A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43A" w:themeFill="accent6" w:themeFillShade="99"/>
      </w:tcPr>
    </w:tblStylePr>
    <w:tblStylePr w:type="firstCol">
      <w:rPr>
        <w:color w:val="FFFFFF" w:themeColor="background1"/>
      </w:rPr>
      <w:tblPr/>
      <w:tcPr>
        <w:tcBorders>
          <w:top w:val="nil"/>
          <w:left w:val="nil"/>
          <w:bottom w:val="nil"/>
          <w:right w:val="nil"/>
          <w:insideH w:val="single" w:sz="4" w:space="0" w:color="32343A" w:themeColor="accent6" w:themeShade="99"/>
          <w:insideV w:val="nil"/>
        </w:tcBorders>
        <w:shd w:val="clear" w:color="auto" w:fill="32343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2343A" w:themeFill="accent6" w:themeFillShade="99"/>
      </w:tcPr>
    </w:tblStylePr>
    <w:tblStylePr w:type="band1Vert">
      <w:tblPr/>
      <w:tcPr>
        <w:shd w:val="clear" w:color="auto" w:fill="B8BBC2" w:themeFill="accent6" w:themeFillTint="66"/>
      </w:tcPr>
    </w:tblStylePr>
    <w:tblStylePr w:type="band1Horz">
      <w:tblPr/>
      <w:tcPr>
        <w:shd w:val="clear" w:color="auto" w:fill="A7AAB3"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3C54A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295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D3E7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D3E7B" w:themeFill="accent1" w:themeFillShade="BF"/>
      </w:tcPr>
    </w:tblStylePr>
    <w:tblStylePr w:type="band1Vert">
      <w:tblPr/>
      <w:tcPr>
        <w:tcBorders>
          <w:top w:val="nil"/>
          <w:left w:val="nil"/>
          <w:bottom w:val="nil"/>
          <w:right w:val="nil"/>
          <w:insideH w:val="nil"/>
          <w:insideV w:val="nil"/>
        </w:tcBorders>
        <w:shd w:val="clear" w:color="auto" w:fill="2D3E7B" w:themeFill="accent1" w:themeFillShade="BF"/>
      </w:tcPr>
    </w:tblStylePr>
    <w:tblStylePr w:type="band1Horz">
      <w:tblPr/>
      <w:tcPr>
        <w:tcBorders>
          <w:top w:val="nil"/>
          <w:left w:val="nil"/>
          <w:bottom w:val="nil"/>
          <w:right w:val="nil"/>
          <w:insideH w:val="nil"/>
          <w:insideV w:val="nil"/>
        </w:tcBorders>
        <w:shd w:val="clear" w:color="auto" w:fill="2D3E7B" w:themeFill="accent1" w:themeFillShade="BF"/>
      </w:tcPr>
    </w:tblStylePr>
  </w:style>
  <w:style w:type="table" w:styleId="DarkList-Accent2">
    <w:name w:val="Dark List Accent 2"/>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54586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B3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F414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F4148" w:themeFill="accent2" w:themeFillShade="BF"/>
      </w:tcPr>
    </w:tblStylePr>
    <w:tblStylePr w:type="band1Vert">
      <w:tblPr/>
      <w:tcPr>
        <w:tcBorders>
          <w:top w:val="nil"/>
          <w:left w:val="nil"/>
          <w:bottom w:val="nil"/>
          <w:right w:val="nil"/>
          <w:insideH w:val="nil"/>
          <w:insideV w:val="nil"/>
        </w:tcBorders>
        <w:shd w:val="clear" w:color="auto" w:fill="3F4148" w:themeFill="accent2" w:themeFillShade="BF"/>
      </w:tcPr>
    </w:tblStylePr>
    <w:tblStylePr w:type="band1Horz">
      <w:tblPr/>
      <w:tcPr>
        <w:tcBorders>
          <w:top w:val="nil"/>
          <w:left w:val="nil"/>
          <w:bottom w:val="nil"/>
          <w:right w:val="nil"/>
          <w:insideH w:val="nil"/>
          <w:insideV w:val="nil"/>
        </w:tcBorders>
        <w:shd w:val="clear" w:color="auto" w:fill="3F4148" w:themeFill="accent2" w:themeFillShade="BF"/>
      </w:tcPr>
    </w:tblStylePr>
  </w:style>
  <w:style w:type="table" w:styleId="DarkList-Accent3">
    <w:name w:val="Dark List Accent 3"/>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E9A91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53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E7E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E7E0E" w:themeFill="accent3" w:themeFillShade="BF"/>
      </w:tcPr>
    </w:tblStylePr>
    <w:tblStylePr w:type="band1Vert">
      <w:tblPr/>
      <w:tcPr>
        <w:tcBorders>
          <w:top w:val="nil"/>
          <w:left w:val="nil"/>
          <w:bottom w:val="nil"/>
          <w:right w:val="nil"/>
          <w:insideH w:val="nil"/>
          <w:insideV w:val="nil"/>
        </w:tcBorders>
        <w:shd w:val="clear" w:color="auto" w:fill="AE7E0E" w:themeFill="accent3" w:themeFillShade="BF"/>
      </w:tcPr>
    </w:tblStylePr>
    <w:tblStylePr w:type="band1Horz">
      <w:tblPr/>
      <w:tcPr>
        <w:tcBorders>
          <w:top w:val="nil"/>
          <w:left w:val="nil"/>
          <w:bottom w:val="nil"/>
          <w:right w:val="nil"/>
          <w:insideH w:val="nil"/>
          <w:insideV w:val="nil"/>
        </w:tcBorders>
        <w:shd w:val="clear" w:color="auto" w:fill="AE7E0E" w:themeFill="accent3" w:themeFillShade="BF"/>
      </w:tcPr>
    </w:tblStylePr>
  </w:style>
  <w:style w:type="table" w:styleId="DarkList-Accent4">
    <w:name w:val="Dark List Accent 4"/>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52276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13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D1D4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D1D48" w:themeFill="accent4" w:themeFillShade="BF"/>
      </w:tcPr>
    </w:tblStylePr>
    <w:tblStylePr w:type="band1Vert">
      <w:tblPr/>
      <w:tcPr>
        <w:tcBorders>
          <w:top w:val="nil"/>
          <w:left w:val="nil"/>
          <w:bottom w:val="nil"/>
          <w:right w:val="nil"/>
          <w:insideH w:val="nil"/>
          <w:insideV w:val="nil"/>
        </w:tcBorders>
        <w:shd w:val="clear" w:color="auto" w:fill="3D1D48" w:themeFill="accent4" w:themeFillShade="BF"/>
      </w:tcPr>
    </w:tblStylePr>
    <w:tblStylePr w:type="band1Horz">
      <w:tblPr/>
      <w:tcPr>
        <w:tcBorders>
          <w:top w:val="nil"/>
          <w:left w:val="nil"/>
          <w:bottom w:val="nil"/>
          <w:right w:val="nil"/>
          <w:insideH w:val="nil"/>
          <w:insideV w:val="nil"/>
        </w:tcBorders>
        <w:shd w:val="clear" w:color="auto" w:fill="3D1D48" w:themeFill="accent4" w:themeFillShade="BF"/>
      </w:tcPr>
    </w:tblStylePr>
  </w:style>
  <w:style w:type="table" w:styleId="DarkList-Accent5">
    <w:name w:val="Dark List Accent 5"/>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3C54A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295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D3E7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D3E7B" w:themeFill="accent5" w:themeFillShade="BF"/>
      </w:tcPr>
    </w:tblStylePr>
    <w:tblStylePr w:type="band1Vert">
      <w:tblPr/>
      <w:tcPr>
        <w:tcBorders>
          <w:top w:val="nil"/>
          <w:left w:val="nil"/>
          <w:bottom w:val="nil"/>
          <w:right w:val="nil"/>
          <w:insideH w:val="nil"/>
          <w:insideV w:val="nil"/>
        </w:tcBorders>
        <w:shd w:val="clear" w:color="auto" w:fill="2D3E7B" w:themeFill="accent5" w:themeFillShade="BF"/>
      </w:tcPr>
    </w:tblStylePr>
    <w:tblStylePr w:type="band1Horz">
      <w:tblPr/>
      <w:tcPr>
        <w:tcBorders>
          <w:top w:val="nil"/>
          <w:left w:val="nil"/>
          <w:bottom w:val="nil"/>
          <w:right w:val="nil"/>
          <w:insideH w:val="nil"/>
          <w:insideV w:val="nil"/>
        </w:tcBorders>
        <w:shd w:val="clear" w:color="auto" w:fill="2D3E7B" w:themeFill="accent5" w:themeFillShade="BF"/>
      </w:tcPr>
    </w:tblStylePr>
  </w:style>
  <w:style w:type="table" w:styleId="DarkList-Accent6">
    <w:name w:val="Dark List Accent 6"/>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54586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B3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F414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F4148" w:themeFill="accent6" w:themeFillShade="BF"/>
      </w:tcPr>
    </w:tblStylePr>
    <w:tblStylePr w:type="band1Vert">
      <w:tblPr/>
      <w:tcPr>
        <w:tcBorders>
          <w:top w:val="nil"/>
          <w:left w:val="nil"/>
          <w:bottom w:val="nil"/>
          <w:right w:val="nil"/>
          <w:insideH w:val="nil"/>
          <w:insideV w:val="nil"/>
        </w:tcBorders>
        <w:shd w:val="clear" w:color="auto" w:fill="3F4148" w:themeFill="accent6" w:themeFillShade="BF"/>
      </w:tcPr>
    </w:tblStylePr>
    <w:tblStylePr w:type="band1Horz">
      <w:tblPr/>
      <w:tcPr>
        <w:tcBorders>
          <w:top w:val="nil"/>
          <w:left w:val="nil"/>
          <w:bottom w:val="nil"/>
          <w:right w:val="nil"/>
          <w:insideH w:val="nil"/>
          <w:insideV w:val="nil"/>
        </w:tcBorders>
        <w:shd w:val="clear" w:color="auto" w:fill="3F4148" w:themeFill="accent6" w:themeFillShade="BF"/>
      </w:tcPr>
    </w:tblStylePr>
  </w:style>
  <w:style w:type="table" w:styleId="LightGrid">
    <w:name w:val="Light Grid"/>
    <w:basedOn w:val="TableNormal"/>
    <w:uiPriority w:val="62"/>
    <w:semiHidden/>
    <w:rsid w:val="003E273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E273C"/>
    <w:pPr>
      <w:spacing w:after="0" w:line="240" w:lineRule="auto"/>
    </w:pPr>
    <w:tblPr>
      <w:tblStyleRowBandSize w:val="1"/>
      <w:tblStyleColBandSize w:val="1"/>
      <w:tblBorders>
        <w:top w:val="single" w:sz="8" w:space="0" w:color="3C54A5" w:themeColor="accent1"/>
        <w:left w:val="single" w:sz="8" w:space="0" w:color="3C54A5" w:themeColor="accent1"/>
        <w:bottom w:val="single" w:sz="8" w:space="0" w:color="3C54A5" w:themeColor="accent1"/>
        <w:right w:val="single" w:sz="8" w:space="0" w:color="3C54A5" w:themeColor="accent1"/>
        <w:insideH w:val="single" w:sz="8" w:space="0" w:color="3C54A5" w:themeColor="accent1"/>
        <w:insideV w:val="single" w:sz="8" w:space="0" w:color="3C54A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54A5" w:themeColor="accent1"/>
          <w:left w:val="single" w:sz="8" w:space="0" w:color="3C54A5" w:themeColor="accent1"/>
          <w:bottom w:val="single" w:sz="18" w:space="0" w:color="3C54A5" w:themeColor="accent1"/>
          <w:right w:val="single" w:sz="8" w:space="0" w:color="3C54A5" w:themeColor="accent1"/>
          <w:insideH w:val="nil"/>
          <w:insideV w:val="single" w:sz="8" w:space="0" w:color="3C54A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54A5" w:themeColor="accent1"/>
          <w:left w:val="single" w:sz="8" w:space="0" w:color="3C54A5" w:themeColor="accent1"/>
          <w:bottom w:val="single" w:sz="8" w:space="0" w:color="3C54A5" w:themeColor="accent1"/>
          <w:right w:val="single" w:sz="8" w:space="0" w:color="3C54A5" w:themeColor="accent1"/>
          <w:insideH w:val="nil"/>
          <w:insideV w:val="single" w:sz="8" w:space="0" w:color="3C54A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54A5" w:themeColor="accent1"/>
          <w:left w:val="single" w:sz="8" w:space="0" w:color="3C54A5" w:themeColor="accent1"/>
          <w:bottom w:val="single" w:sz="8" w:space="0" w:color="3C54A5" w:themeColor="accent1"/>
          <w:right w:val="single" w:sz="8" w:space="0" w:color="3C54A5" w:themeColor="accent1"/>
        </w:tcBorders>
      </w:tcPr>
    </w:tblStylePr>
    <w:tblStylePr w:type="band1Vert">
      <w:tblPr/>
      <w:tcPr>
        <w:tcBorders>
          <w:top w:val="single" w:sz="8" w:space="0" w:color="3C54A5" w:themeColor="accent1"/>
          <w:left w:val="single" w:sz="8" w:space="0" w:color="3C54A5" w:themeColor="accent1"/>
          <w:bottom w:val="single" w:sz="8" w:space="0" w:color="3C54A5" w:themeColor="accent1"/>
          <w:right w:val="single" w:sz="8" w:space="0" w:color="3C54A5" w:themeColor="accent1"/>
        </w:tcBorders>
        <w:shd w:val="clear" w:color="auto" w:fill="CBD2EC" w:themeFill="accent1" w:themeFillTint="3F"/>
      </w:tcPr>
    </w:tblStylePr>
    <w:tblStylePr w:type="band1Horz">
      <w:tblPr/>
      <w:tcPr>
        <w:tcBorders>
          <w:top w:val="single" w:sz="8" w:space="0" w:color="3C54A5" w:themeColor="accent1"/>
          <w:left w:val="single" w:sz="8" w:space="0" w:color="3C54A5" w:themeColor="accent1"/>
          <w:bottom w:val="single" w:sz="8" w:space="0" w:color="3C54A5" w:themeColor="accent1"/>
          <w:right w:val="single" w:sz="8" w:space="0" w:color="3C54A5" w:themeColor="accent1"/>
          <w:insideV w:val="single" w:sz="8" w:space="0" w:color="3C54A5" w:themeColor="accent1"/>
        </w:tcBorders>
        <w:shd w:val="clear" w:color="auto" w:fill="CBD2EC" w:themeFill="accent1" w:themeFillTint="3F"/>
      </w:tcPr>
    </w:tblStylePr>
    <w:tblStylePr w:type="band2Horz">
      <w:tblPr/>
      <w:tcPr>
        <w:tcBorders>
          <w:top w:val="single" w:sz="8" w:space="0" w:color="3C54A5" w:themeColor="accent1"/>
          <w:left w:val="single" w:sz="8" w:space="0" w:color="3C54A5" w:themeColor="accent1"/>
          <w:bottom w:val="single" w:sz="8" w:space="0" w:color="3C54A5" w:themeColor="accent1"/>
          <w:right w:val="single" w:sz="8" w:space="0" w:color="3C54A5" w:themeColor="accent1"/>
          <w:insideV w:val="single" w:sz="8" w:space="0" w:color="3C54A5" w:themeColor="accent1"/>
        </w:tcBorders>
      </w:tcPr>
    </w:tblStylePr>
  </w:style>
  <w:style w:type="table" w:styleId="LightGrid-Accent2">
    <w:name w:val="Light Grid Accent 2"/>
    <w:basedOn w:val="TableNormal"/>
    <w:uiPriority w:val="62"/>
    <w:semiHidden/>
    <w:rsid w:val="003E273C"/>
    <w:pPr>
      <w:spacing w:after="0" w:line="240" w:lineRule="auto"/>
    </w:pPr>
    <w:tblPr>
      <w:tblStyleRowBandSize w:val="1"/>
      <w:tblStyleColBandSize w:val="1"/>
      <w:tblBorders>
        <w:top w:val="single" w:sz="8" w:space="0" w:color="545861" w:themeColor="accent2"/>
        <w:left w:val="single" w:sz="8" w:space="0" w:color="545861" w:themeColor="accent2"/>
        <w:bottom w:val="single" w:sz="8" w:space="0" w:color="545861" w:themeColor="accent2"/>
        <w:right w:val="single" w:sz="8" w:space="0" w:color="545861" w:themeColor="accent2"/>
        <w:insideH w:val="single" w:sz="8" w:space="0" w:color="545861" w:themeColor="accent2"/>
        <w:insideV w:val="single" w:sz="8" w:space="0" w:color="5458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861" w:themeColor="accent2"/>
          <w:left w:val="single" w:sz="8" w:space="0" w:color="545861" w:themeColor="accent2"/>
          <w:bottom w:val="single" w:sz="18" w:space="0" w:color="545861" w:themeColor="accent2"/>
          <w:right w:val="single" w:sz="8" w:space="0" w:color="545861" w:themeColor="accent2"/>
          <w:insideH w:val="nil"/>
          <w:insideV w:val="single" w:sz="8" w:space="0" w:color="5458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861" w:themeColor="accent2"/>
          <w:left w:val="single" w:sz="8" w:space="0" w:color="545861" w:themeColor="accent2"/>
          <w:bottom w:val="single" w:sz="8" w:space="0" w:color="545861" w:themeColor="accent2"/>
          <w:right w:val="single" w:sz="8" w:space="0" w:color="545861" w:themeColor="accent2"/>
          <w:insideH w:val="nil"/>
          <w:insideV w:val="single" w:sz="8" w:space="0" w:color="5458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861" w:themeColor="accent2"/>
          <w:left w:val="single" w:sz="8" w:space="0" w:color="545861" w:themeColor="accent2"/>
          <w:bottom w:val="single" w:sz="8" w:space="0" w:color="545861" w:themeColor="accent2"/>
          <w:right w:val="single" w:sz="8" w:space="0" w:color="545861" w:themeColor="accent2"/>
        </w:tcBorders>
      </w:tcPr>
    </w:tblStylePr>
    <w:tblStylePr w:type="band1Vert">
      <w:tblPr/>
      <w:tcPr>
        <w:tcBorders>
          <w:top w:val="single" w:sz="8" w:space="0" w:color="545861" w:themeColor="accent2"/>
          <w:left w:val="single" w:sz="8" w:space="0" w:color="545861" w:themeColor="accent2"/>
          <w:bottom w:val="single" w:sz="8" w:space="0" w:color="545861" w:themeColor="accent2"/>
          <w:right w:val="single" w:sz="8" w:space="0" w:color="545861" w:themeColor="accent2"/>
        </w:tcBorders>
        <w:shd w:val="clear" w:color="auto" w:fill="D3D5D9" w:themeFill="accent2" w:themeFillTint="3F"/>
      </w:tcPr>
    </w:tblStylePr>
    <w:tblStylePr w:type="band1Horz">
      <w:tblPr/>
      <w:tcPr>
        <w:tcBorders>
          <w:top w:val="single" w:sz="8" w:space="0" w:color="545861" w:themeColor="accent2"/>
          <w:left w:val="single" w:sz="8" w:space="0" w:color="545861" w:themeColor="accent2"/>
          <w:bottom w:val="single" w:sz="8" w:space="0" w:color="545861" w:themeColor="accent2"/>
          <w:right w:val="single" w:sz="8" w:space="0" w:color="545861" w:themeColor="accent2"/>
          <w:insideV w:val="single" w:sz="8" w:space="0" w:color="545861" w:themeColor="accent2"/>
        </w:tcBorders>
        <w:shd w:val="clear" w:color="auto" w:fill="D3D5D9" w:themeFill="accent2" w:themeFillTint="3F"/>
      </w:tcPr>
    </w:tblStylePr>
    <w:tblStylePr w:type="band2Horz">
      <w:tblPr/>
      <w:tcPr>
        <w:tcBorders>
          <w:top w:val="single" w:sz="8" w:space="0" w:color="545861" w:themeColor="accent2"/>
          <w:left w:val="single" w:sz="8" w:space="0" w:color="545861" w:themeColor="accent2"/>
          <w:bottom w:val="single" w:sz="8" w:space="0" w:color="545861" w:themeColor="accent2"/>
          <w:right w:val="single" w:sz="8" w:space="0" w:color="545861" w:themeColor="accent2"/>
          <w:insideV w:val="single" w:sz="8" w:space="0" w:color="545861" w:themeColor="accent2"/>
        </w:tcBorders>
      </w:tcPr>
    </w:tblStylePr>
  </w:style>
  <w:style w:type="table" w:styleId="LightGrid-Accent3">
    <w:name w:val="Light Grid Accent 3"/>
    <w:basedOn w:val="TableNormal"/>
    <w:uiPriority w:val="62"/>
    <w:semiHidden/>
    <w:rsid w:val="003E273C"/>
    <w:pPr>
      <w:spacing w:after="0" w:line="240" w:lineRule="auto"/>
    </w:pPr>
    <w:tblPr>
      <w:tblStyleRowBandSize w:val="1"/>
      <w:tblStyleColBandSize w:val="1"/>
      <w:tblBorders>
        <w:top w:val="single" w:sz="8" w:space="0" w:color="E9A913" w:themeColor="accent3"/>
        <w:left w:val="single" w:sz="8" w:space="0" w:color="E9A913" w:themeColor="accent3"/>
        <w:bottom w:val="single" w:sz="8" w:space="0" w:color="E9A913" w:themeColor="accent3"/>
        <w:right w:val="single" w:sz="8" w:space="0" w:color="E9A913" w:themeColor="accent3"/>
        <w:insideH w:val="single" w:sz="8" w:space="0" w:color="E9A913" w:themeColor="accent3"/>
        <w:insideV w:val="single" w:sz="8" w:space="0" w:color="E9A91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A913" w:themeColor="accent3"/>
          <w:left w:val="single" w:sz="8" w:space="0" w:color="E9A913" w:themeColor="accent3"/>
          <w:bottom w:val="single" w:sz="18" w:space="0" w:color="E9A913" w:themeColor="accent3"/>
          <w:right w:val="single" w:sz="8" w:space="0" w:color="E9A913" w:themeColor="accent3"/>
          <w:insideH w:val="nil"/>
          <w:insideV w:val="single" w:sz="8" w:space="0" w:color="E9A91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A913" w:themeColor="accent3"/>
          <w:left w:val="single" w:sz="8" w:space="0" w:color="E9A913" w:themeColor="accent3"/>
          <w:bottom w:val="single" w:sz="8" w:space="0" w:color="E9A913" w:themeColor="accent3"/>
          <w:right w:val="single" w:sz="8" w:space="0" w:color="E9A913" w:themeColor="accent3"/>
          <w:insideH w:val="nil"/>
          <w:insideV w:val="single" w:sz="8" w:space="0" w:color="E9A91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A913" w:themeColor="accent3"/>
          <w:left w:val="single" w:sz="8" w:space="0" w:color="E9A913" w:themeColor="accent3"/>
          <w:bottom w:val="single" w:sz="8" w:space="0" w:color="E9A913" w:themeColor="accent3"/>
          <w:right w:val="single" w:sz="8" w:space="0" w:color="E9A913" w:themeColor="accent3"/>
        </w:tcBorders>
      </w:tcPr>
    </w:tblStylePr>
    <w:tblStylePr w:type="band1Vert">
      <w:tblPr/>
      <w:tcPr>
        <w:tcBorders>
          <w:top w:val="single" w:sz="8" w:space="0" w:color="E9A913" w:themeColor="accent3"/>
          <w:left w:val="single" w:sz="8" w:space="0" w:color="E9A913" w:themeColor="accent3"/>
          <w:bottom w:val="single" w:sz="8" w:space="0" w:color="E9A913" w:themeColor="accent3"/>
          <w:right w:val="single" w:sz="8" w:space="0" w:color="E9A913" w:themeColor="accent3"/>
        </w:tcBorders>
        <w:shd w:val="clear" w:color="auto" w:fill="FAE9C3" w:themeFill="accent3" w:themeFillTint="3F"/>
      </w:tcPr>
    </w:tblStylePr>
    <w:tblStylePr w:type="band1Horz">
      <w:tblPr/>
      <w:tcPr>
        <w:tcBorders>
          <w:top w:val="single" w:sz="8" w:space="0" w:color="E9A913" w:themeColor="accent3"/>
          <w:left w:val="single" w:sz="8" w:space="0" w:color="E9A913" w:themeColor="accent3"/>
          <w:bottom w:val="single" w:sz="8" w:space="0" w:color="E9A913" w:themeColor="accent3"/>
          <w:right w:val="single" w:sz="8" w:space="0" w:color="E9A913" w:themeColor="accent3"/>
          <w:insideV w:val="single" w:sz="8" w:space="0" w:color="E9A913" w:themeColor="accent3"/>
        </w:tcBorders>
        <w:shd w:val="clear" w:color="auto" w:fill="FAE9C3" w:themeFill="accent3" w:themeFillTint="3F"/>
      </w:tcPr>
    </w:tblStylePr>
    <w:tblStylePr w:type="band2Horz">
      <w:tblPr/>
      <w:tcPr>
        <w:tcBorders>
          <w:top w:val="single" w:sz="8" w:space="0" w:color="E9A913" w:themeColor="accent3"/>
          <w:left w:val="single" w:sz="8" w:space="0" w:color="E9A913" w:themeColor="accent3"/>
          <w:bottom w:val="single" w:sz="8" w:space="0" w:color="E9A913" w:themeColor="accent3"/>
          <w:right w:val="single" w:sz="8" w:space="0" w:color="E9A913" w:themeColor="accent3"/>
          <w:insideV w:val="single" w:sz="8" w:space="0" w:color="E9A913" w:themeColor="accent3"/>
        </w:tcBorders>
      </w:tcPr>
    </w:tblStylePr>
  </w:style>
  <w:style w:type="table" w:styleId="LightGrid-Accent4">
    <w:name w:val="Light Grid Accent 4"/>
    <w:basedOn w:val="TableNormal"/>
    <w:uiPriority w:val="62"/>
    <w:semiHidden/>
    <w:rsid w:val="003E273C"/>
    <w:pPr>
      <w:spacing w:after="0" w:line="240" w:lineRule="auto"/>
    </w:pPr>
    <w:tblPr>
      <w:tblStyleRowBandSize w:val="1"/>
      <w:tblStyleColBandSize w:val="1"/>
      <w:tblBorders>
        <w:top w:val="single" w:sz="8" w:space="0" w:color="522761" w:themeColor="accent4"/>
        <w:left w:val="single" w:sz="8" w:space="0" w:color="522761" w:themeColor="accent4"/>
        <w:bottom w:val="single" w:sz="8" w:space="0" w:color="522761" w:themeColor="accent4"/>
        <w:right w:val="single" w:sz="8" w:space="0" w:color="522761" w:themeColor="accent4"/>
        <w:insideH w:val="single" w:sz="8" w:space="0" w:color="522761" w:themeColor="accent4"/>
        <w:insideV w:val="single" w:sz="8" w:space="0" w:color="52276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22761" w:themeColor="accent4"/>
          <w:left w:val="single" w:sz="8" w:space="0" w:color="522761" w:themeColor="accent4"/>
          <w:bottom w:val="single" w:sz="18" w:space="0" w:color="522761" w:themeColor="accent4"/>
          <w:right w:val="single" w:sz="8" w:space="0" w:color="522761" w:themeColor="accent4"/>
          <w:insideH w:val="nil"/>
          <w:insideV w:val="single" w:sz="8" w:space="0" w:color="52276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22761" w:themeColor="accent4"/>
          <w:left w:val="single" w:sz="8" w:space="0" w:color="522761" w:themeColor="accent4"/>
          <w:bottom w:val="single" w:sz="8" w:space="0" w:color="522761" w:themeColor="accent4"/>
          <w:right w:val="single" w:sz="8" w:space="0" w:color="522761" w:themeColor="accent4"/>
          <w:insideH w:val="nil"/>
          <w:insideV w:val="single" w:sz="8" w:space="0" w:color="52276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22761" w:themeColor="accent4"/>
          <w:left w:val="single" w:sz="8" w:space="0" w:color="522761" w:themeColor="accent4"/>
          <w:bottom w:val="single" w:sz="8" w:space="0" w:color="522761" w:themeColor="accent4"/>
          <w:right w:val="single" w:sz="8" w:space="0" w:color="522761" w:themeColor="accent4"/>
        </w:tcBorders>
      </w:tcPr>
    </w:tblStylePr>
    <w:tblStylePr w:type="band1Vert">
      <w:tblPr/>
      <w:tcPr>
        <w:tcBorders>
          <w:top w:val="single" w:sz="8" w:space="0" w:color="522761" w:themeColor="accent4"/>
          <w:left w:val="single" w:sz="8" w:space="0" w:color="522761" w:themeColor="accent4"/>
          <w:bottom w:val="single" w:sz="8" w:space="0" w:color="522761" w:themeColor="accent4"/>
          <w:right w:val="single" w:sz="8" w:space="0" w:color="522761" w:themeColor="accent4"/>
        </w:tcBorders>
        <w:shd w:val="clear" w:color="auto" w:fill="DABCE4" w:themeFill="accent4" w:themeFillTint="3F"/>
      </w:tcPr>
    </w:tblStylePr>
    <w:tblStylePr w:type="band1Horz">
      <w:tblPr/>
      <w:tcPr>
        <w:tcBorders>
          <w:top w:val="single" w:sz="8" w:space="0" w:color="522761" w:themeColor="accent4"/>
          <w:left w:val="single" w:sz="8" w:space="0" w:color="522761" w:themeColor="accent4"/>
          <w:bottom w:val="single" w:sz="8" w:space="0" w:color="522761" w:themeColor="accent4"/>
          <w:right w:val="single" w:sz="8" w:space="0" w:color="522761" w:themeColor="accent4"/>
          <w:insideV w:val="single" w:sz="8" w:space="0" w:color="522761" w:themeColor="accent4"/>
        </w:tcBorders>
        <w:shd w:val="clear" w:color="auto" w:fill="DABCE4" w:themeFill="accent4" w:themeFillTint="3F"/>
      </w:tcPr>
    </w:tblStylePr>
    <w:tblStylePr w:type="band2Horz">
      <w:tblPr/>
      <w:tcPr>
        <w:tcBorders>
          <w:top w:val="single" w:sz="8" w:space="0" w:color="522761" w:themeColor="accent4"/>
          <w:left w:val="single" w:sz="8" w:space="0" w:color="522761" w:themeColor="accent4"/>
          <w:bottom w:val="single" w:sz="8" w:space="0" w:color="522761" w:themeColor="accent4"/>
          <w:right w:val="single" w:sz="8" w:space="0" w:color="522761" w:themeColor="accent4"/>
          <w:insideV w:val="single" w:sz="8" w:space="0" w:color="522761" w:themeColor="accent4"/>
        </w:tcBorders>
      </w:tcPr>
    </w:tblStylePr>
  </w:style>
  <w:style w:type="table" w:styleId="LightGrid-Accent5">
    <w:name w:val="Light Grid Accent 5"/>
    <w:basedOn w:val="TableNormal"/>
    <w:uiPriority w:val="62"/>
    <w:semiHidden/>
    <w:rsid w:val="003E273C"/>
    <w:pPr>
      <w:spacing w:after="0" w:line="240" w:lineRule="auto"/>
    </w:pPr>
    <w:tblPr>
      <w:tblStyleRowBandSize w:val="1"/>
      <w:tblStyleColBandSize w:val="1"/>
      <w:tblBorders>
        <w:top w:val="single" w:sz="8" w:space="0" w:color="3C54A5" w:themeColor="accent5"/>
        <w:left w:val="single" w:sz="8" w:space="0" w:color="3C54A5" w:themeColor="accent5"/>
        <w:bottom w:val="single" w:sz="8" w:space="0" w:color="3C54A5" w:themeColor="accent5"/>
        <w:right w:val="single" w:sz="8" w:space="0" w:color="3C54A5" w:themeColor="accent5"/>
        <w:insideH w:val="single" w:sz="8" w:space="0" w:color="3C54A5" w:themeColor="accent5"/>
        <w:insideV w:val="single" w:sz="8" w:space="0" w:color="3C54A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54A5" w:themeColor="accent5"/>
          <w:left w:val="single" w:sz="8" w:space="0" w:color="3C54A5" w:themeColor="accent5"/>
          <w:bottom w:val="single" w:sz="18" w:space="0" w:color="3C54A5" w:themeColor="accent5"/>
          <w:right w:val="single" w:sz="8" w:space="0" w:color="3C54A5" w:themeColor="accent5"/>
          <w:insideH w:val="nil"/>
          <w:insideV w:val="single" w:sz="8" w:space="0" w:color="3C54A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54A5" w:themeColor="accent5"/>
          <w:left w:val="single" w:sz="8" w:space="0" w:color="3C54A5" w:themeColor="accent5"/>
          <w:bottom w:val="single" w:sz="8" w:space="0" w:color="3C54A5" w:themeColor="accent5"/>
          <w:right w:val="single" w:sz="8" w:space="0" w:color="3C54A5" w:themeColor="accent5"/>
          <w:insideH w:val="nil"/>
          <w:insideV w:val="single" w:sz="8" w:space="0" w:color="3C54A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54A5" w:themeColor="accent5"/>
          <w:left w:val="single" w:sz="8" w:space="0" w:color="3C54A5" w:themeColor="accent5"/>
          <w:bottom w:val="single" w:sz="8" w:space="0" w:color="3C54A5" w:themeColor="accent5"/>
          <w:right w:val="single" w:sz="8" w:space="0" w:color="3C54A5" w:themeColor="accent5"/>
        </w:tcBorders>
      </w:tcPr>
    </w:tblStylePr>
    <w:tblStylePr w:type="band1Vert">
      <w:tblPr/>
      <w:tcPr>
        <w:tcBorders>
          <w:top w:val="single" w:sz="8" w:space="0" w:color="3C54A5" w:themeColor="accent5"/>
          <w:left w:val="single" w:sz="8" w:space="0" w:color="3C54A5" w:themeColor="accent5"/>
          <w:bottom w:val="single" w:sz="8" w:space="0" w:color="3C54A5" w:themeColor="accent5"/>
          <w:right w:val="single" w:sz="8" w:space="0" w:color="3C54A5" w:themeColor="accent5"/>
        </w:tcBorders>
        <w:shd w:val="clear" w:color="auto" w:fill="CBD2EC" w:themeFill="accent5" w:themeFillTint="3F"/>
      </w:tcPr>
    </w:tblStylePr>
    <w:tblStylePr w:type="band1Horz">
      <w:tblPr/>
      <w:tcPr>
        <w:tcBorders>
          <w:top w:val="single" w:sz="8" w:space="0" w:color="3C54A5" w:themeColor="accent5"/>
          <w:left w:val="single" w:sz="8" w:space="0" w:color="3C54A5" w:themeColor="accent5"/>
          <w:bottom w:val="single" w:sz="8" w:space="0" w:color="3C54A5" w:themeColor="accent5"/>
          <w:right w:val="single" w:sz="8" w:space="0" w:color="3C54A5" w:themeColor="accent5"/>
          <w:insideV w:val="single" w:sz="8" w:space="0" w:color="3C54A5" w:themeColor="accent5"/>
        </w:tcBorders>
        <w:shd w:val="clear" w:color="auto" w:fill="CBD2EC" w:themeFill="accent5" w:themeFillTint="3F"/>
      </w:tcPr>
    </w:tblStylePr>
    <w:tblStylePr w:type="band2Horz">
      <w:tblPr/>
      <w:tcPr>
        <w:tcBorders>
          <w:top w:val="single" w:sz="8" w:space="0" w:color="3C54A5" w:themeColor="accent5"/>
          <w:left w:val="single" w:sz="8" w:space="0" w:color="3C54A5" w:themeColor="accent5"/>
          <w:bottom w:val="single" w:sz="8" w:space="0" w:color="3C54A5" w:themeColor="accent5"/>
          <w:right w:val="single" w:sz="8" w:space="0" w:color="3C54A5" w:themeColor="accent5"/>
          <w:insideV w:val="single" w:sz="8" w:space="0" w:color="3C54A5" w:themeColor="accent5"/>
        </w:tcBorders>
      </w:tcPr>
    </w:tblStylePr>
  </w:style>
  <w:style w:type="table" w:styleId="LightGrid-Accent6">
    <w:name w:val="Light Grid Accent 6"/>
    <w:basedOn w:val="TableNormal"/>
    <w:uiPriority w:val="62"/>
    <w:semiHidden/>
    <w:rsid w:val="003E273C"/>
    <w:pPr>
      <w:spacing w:after="0" w:line="240" w:lineRule="auto"/>
    </w:pPr>
    <w:tblPr>
      <w:tblStyleRowBandSize w:val="1"/>
      <w:tblStyleColBandSize w:val="1"/>
      <w:tblBorders>
        <w:top w:val="single" w:sz="8" w:space="0" w:color="545861" w:themeColor="accent6"/>
        <w:left w:val="single" w:sz="8" w:space="0" w:color="545861" w:themeColor="accent6"/>
        <w:bottom w:val="single" w:sz="8" w:space="0" w:color="545861" w:themeColor="accent6"/>
        <w:right w:val="single" w:sz="8" w:space="0" w:color="545861" w:themeColor="accent6"/>
        <w:insideH w:val="single" w:sz="8" w:space="0" w:color="545861" w:themeColor="accent6"/>
        <w:insideV w:val="single" w:sz="8" w:space="0" w:color="54586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861" w:themeColor="accent6"/>
          <w:left w:val="single" w:sz="8" w:space="0" w:color="545861" w:themeColor="accent6"/>
          <w:bottom w:val="single" w:sz="18" w:space="0" w:color="545861" w:themeColor="accent6"/>
          <w:right w:val="single" w:sz="8" w:space="0" w:color="545861" w:themeColor="accent6"/>
          <w:insideH w:val="nil"/>
          <w:insideV w:val="single" w:sz="8" w:space="0" w:color="54586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861" w:themeColor="accent6"/>
          <w:left w:val="single" w:sz="8" w:space="0" w:color="545861" w:themeColor="accent6"/>
          <w:bottom w:val="single" w:sz="8" w:space="0" w:color="545861" w:themeColor="accent6"/>
          <w:right w:val="single" w:sz="8" w:space="0" w:color="545861" w:themeColor="accent6"/>
          <w:insideH w:val="nil"/>
          <w:insideV w:val="single" w:sz="8" w:space="0" w:color="54586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861" w:themeColor="accent6"/>
          <w:left w:val="single" w:sz="8" w:space="0" w:color="545861" w:themeColor="accent6"/>
          <w:bottom w:val="single" w:sz="8" w:space="0" w:color="545861" w:themeColor="accent6"/>
          <w:right w:val="single" w:sz="8" w:space="0" w:color="545861" w:themeColor="accent6"/>
        </w:tcBorders>
      </w:tcPr>
    </w:tblStylePr>
    <w:tblStylePr w:type="band1Vert">
      <w:tblPr/>
      <w:tcPr>
        <w:tcBorders>
          <w:top w:val="single" w:sz="8" w:space="0" w:color="545861" w:themeColor="accent6"/>
          <w:left w:val="single" w:sz="8" w:space="0" w:color="545861" w:themeColor="accent6"/>
          <w:bottom w:val="single" w:sz="8" w:space="0" w:color="545861" w:themeColor="accent6"/>
          <w:right w:val="single" w:sz="8" w:space="0" w:color="545861" w:themeColor="accent6"/>
        </w:tcBorders>
        <w:shd w:val="clear" w:color="auto" w:fill="D3D5D9" w:themeFill="accent6" w:themeFillTint="3F"/>
      </w:tcPr>
    </w:tblStylePr>
    <w:tblStylePr w:type="band1Horz">
      <w:tblPr/>
      <w:tcPr>
        <w:tcBorders>
          <w:top w:val="single" w:sz="8" w:space="0" w:color="545861" w:themeColor="accent6"/>
          <w:left w:val="single" w:sz="8" w:space="0" w:color="545861" w:themeColor="accent6"/>
          <w:bottom w:val="single" w:sz="8" w:space="0" w:color="545861" w:themeColor="accent6"/>
          <w:right w:val="single" w:sz="8" w:space="0" w:color="545861" w:themeColor="accent6"/>
          <w:insideV w:val="single" w:sz="8" w:space="0" w:color="545861" w:themeColor="accent6"/>
        </w:tcBorders>
        <w:shd w:val="clear" w:color="auto" w:fill="D3D5D9" w:themeFill="accent6" w:themeFillTint="3F"/>
      </w:tcPr>
    </w:tblStylePr>
    <w:tblStylePr w:type="band2Horz">
      <w:tblPr/>
      <w:tcPr>
        <w:tcBorders>
          <w:top w:val="single" w:sz="8" w:space="0" w:color="545861" w:themeColor="accent6"/>
          <w:left w:val="single" w:sz="8" w:space="0" w:color="545861" w:themeColor="accent6"/>
          <w:bottom w:val="single" w:sz="8" w:space="0" w:color="545861" w:themeColor="accent6"/>
          <w:right w:val="single" w:sz="8" w:space="0" w:color="545861" w:themeColor="accent6"/>
          <w:insideV w:val="single" w:sz="8" w:space="0" w:color="545861" w:themeColor="accent6"/>
        </w:tcBorders>
      </w:tcPr>
    </w:tblStylePr>
  </w:style>
  <w:style w:type="table" w:styleId="LightList">
    <w:name w:val="Light List"/>
    <w:basedOn w:val="TableNormal"/>
    <w:uiPriority w:val="61"/>
    <w:semiHidden/>
    <w:rsid w:val="003E273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E273C"/>
    <w:pPr>
      <w:spacing w:after="0" w:line="240" w:lineRule="auto"/>
    </w:pPr>
    <w:tblPr>
      <w:tblStyleRowBandSize w:val="1"/>
      <w:tblStyleColBandSize w:val="1"/>
      <w:tblBorders>
        <w:top w:val="single" w:sz="8" w:space="0" w:color="3C54A5" w:themeColor="accent1"/>
        <w:left w:val="single" w:sz="8" w:space="0" w:color="3C54A5" w:themeColor="accent1"/>
        <w:bottom w:val="single" w:sz="8" w:space="0" w:color="3C54A5" w:themeColor="accent1"/>
        <w:right w:val="single" w:sz="8" w:space="0" w:color="3C54A5" w:themeColor="accent1"/>
      </w:tblBorders>
    </w:tblPr>
    <w:tblStylePr w:type="firstRow">
      <w:pPr>
        <w:spacing w:before="0" w:after="0" w:line="240" w:lineRule="auto"/>
      </w:pPr>
      <w:rPr>
        <w:b/>
        <w:bCs/>
        <w:color w:val="FFFFFF" w:themeColor="background1"/>
      </w:rPr>
      <w:tblPr/>
      <w:tcPr>
        <w:shd w:val="clear" w:color="auto" w:fill="3C54A5" w:themeFill="accent1"/>
      </w:tcPr>
    </w:tblStylePr>
    <w:tblStylePr w:type="lastRow">
      <w:pPr>
        <w:spacing w:before="0" w:after="0" w:line="240" w:lineRule="auto"/>
      </w:pPr>
      <w:rPr>
        <w:b/>
        <w:bCs/>
      </w:rPr>
      <w:tblPr/>
      <w:tcPr>
        <w:tcBorders>
          <w:top w:val="double" w:sz="6" w:space="0" w:color="3C54A5" w:themeColor="accent1"/>
          <w:left w:val="single" w:sz="8" w:space="0" w:color="3C54A5" w:themeColor="accent1"/>
          <w:bottom w:val="single" w:sz="8" w:space="0" w:color="3C54A5" w:themeColor="accent1"/>
          <w:right w:val="single" w:sz="8" w:space="0" w:color="3C54A5" w:themeColor="accent1"/>
        </w:tcBorders>
      </w:tcPr>
    </w:tblStylePr>
    <w:tblStylePr w:type="firstCol">
      <w:rPr>
        <w:b/>
        <w:bCs/>
      </w:rPr>
    </w:tblStylePr>
    <w:tblStylePr w:type="lastCol">
      <w:rPr>
        <w:b/>
        <w:bCs/>
      </w:rPr>
    </w:tblStylePr>
    <w:tblStylePr w:type="band1Vert">
      <w:tblPr/>
      <w:tcPr>
        <w:tcBorders>
          <w:top w:val="single" w:sz="8" w:space="0" w:color="3C54A5" w:themeColor="accent1"/>
          <w:left w:val="single" w:sz="8" w:space="0" w:color="3C54A5" w:themeColor="accent1"/>
          <w:bottom w:val="single" w:sz="8" w:space="0" w:color="3C54A5" w:themeColor="accent1"/>
          <w:right w:val="single" w:sz="8" w:space="0" w:color="3C54A5" w:themeColor="accent1"/>
        </w:tcBorders>
      </w:tcPr>
    </w:tblStylePr>
    <w:tblStylePr w:type="band1Horz">
      <w:tblPr/>
      <w:tcPr>
        <w:tcBorders>
          <w:top w:val="single" w:sz="8" w:space="0" w:color="3C54A5" w:themeColor="accent1"/>
          <w:left w:val="single" w:sz="8" w:space="0" w:color="3C54A5" w:themeColor="accent1"/>
          <w:bottom w:val="single" w:sz="8" w:space="0" w:color="3C54A5" w:themeColor="accent1"/>
          <w:right w:val="single" w:sz="8" w:space="0" w:color="3C54A5" w:themeColor="accent1"/>
        </w:tcBorders>
      </w:tcPr>
    </w:tblStylePr>
  </w:style>
  <w:style w:type="table" w:styleId="LightList-Accent2">
    <w:name w:val="Light List Accent 2"/>
    <w:basedOn w:val="TableNormal"/>
    <w:uiPriority w:val="61"/>
    <w:semiHidden/>
    <w:rsid w:val="003E273C"/>
    <w:pPr>
      <w:spacing w:after="0" w:line="240" w:lineRule="auto"/>
    </w:pPr>
    <w:tblPr>
      <w:tblStyleRowBandSize w:val="1"/>
      <w:tblStyleColBandSize w:val="1"/>
      <w:tblBorders>
        <w:top w:val="single" w:sz="8" w:space="0" w:color="545861" w:themeColor="accent2"/>
        <w:left w:val="single" w:sz="8" w:space="0" w:color="545861" w:themeColor="accent2"/>
        <w:bottom w:val="single" w:sz="8" w:space="0" w:color="545861" w:themeColor="accent2"/>
        <w:right w:val="single" w:sz="8" w:space="0" w:color="545861" w:themeColor="accent2"/>
      </w:tblBorders>
    </w:tblPr>
    <w:tblStylePr w:type="firstRow">
      <w:pPr>
        <w:spacing w:before="0" w:after="0" w:line="240" w:lineRule="auto"/>
      </w:pPr>
      <w:rPr>
        <w:b/>
        <w:bCs/>
        <w:color w:val="FFFFFF" w:themeColor="background1"/>
      </w:rPr>
      <w:tblPr/>
      <w:tcPr>
        <w:shd w:val="clear" w:color="auto" w:fill="545861" w:themeFill="accent2"/>
      </w:tcPr>
    </w:tblStylePr>
    <w:tblStylePr w:type="lastRow">
      <w:pPr>
        <w:spacing w:before="0" w:after="0" w:line="240" w:lineRule="auto"/>
      </w:pPr>
      <w:rPr>
        <w:b/>
        <w:bCs/>
      </w:rPr>
      <w:tblPr/>
      <w:tcPr>
        <w:tcBorders>
          <w:top w:val="double" w:sz="6" w:space="0" w:color="545861" w:themeColor="accent2"/>
          <w:left w:val="single" w:sz="8" w:space="0" w:color="545861" w:themeColor="accent2"/>
          <w:bottom w:val="single" w:sz="8" w:space="0" w:color="545861" w:themeColor="accent2"/>
          <w:right w:val="single" w:sz="8" w:space="0" w:color="545861" w:themeColor="accent2"/>
        </w:tcBorders>
      </w:tcPr>
    </w:tblStylePr>
    <w:tblStylePr w:type="firstCol">
      <w:rPr>
        <w:b/>
        <w:bCs/>
      </w:rPr>
    </w:tblStylePr>
    <w:tblStylePr w:type="lastCol">
      <w:rPr>
        <w:b/>
        <w:bCs/>
      </w:rPr>
    </w:tblStylePr>
    <w:tblStylePr w:type="band1Vert">
      <w:tblPr/>
      <w:tcPr>
        <w:tcBorders>
          <w:top w:val="single" w:sz="8" w:space="0" w:color="545861" w:themeColor="accent2"/>
          <w:left w:val="single" w:sz="8" w:space="0" w:color="545861" w:themeColor="accent2"/>
          <w:bottom w:val="single" w:sz="8" w:space="0" w:color="545861" w:themeColor="accent2"/>
          <w:right w:val="single" w:sz="8" w:space="0" w:color="545861" w:themeColor="accent2"/>
        </w:tcBorders>
      </w:tcPr>
    </w:tblStylePr>
    <w:tblStylePr w:type="band1Horz">
      <w:tblPr/>
      <w:tcPr>
        <w:tcBorders>
          <w:top w:val="single" w:sz="8" w:space="0" w:color="545861" w:themeColor="accent2"/>
          <w:left w:val="single" w:sz="8" w:space="0" w:color="545861" w:themeColor="accent2"/>
          <w:bottom w:val="single" w:sz="8" w:space="0" w:color="545861" w:themeColor="accent2"/>
          <w:right w:val="single" w:sz="8" w:space="0" w:color="545861" w:themeColor="accent2"/>
        </w:tcBorders>
      </w:tcPr>
    </w:tblStylePr>
  </w:style>
  <w:style w:type="table" w:styleId="LightList-Accent3">
    <w:name w:val="Light List Accent 3"/>
    <w:basedOn w:val="TableNormal"/>
    <w:uiPriority w:val="61"/>
    <w:semiHidden/>
    <w:rsid w:val="003E273C"/>
    <w:pPr>
      <w:spacing w:after="0" w:line="240" w:lineRule="auto"/>
    </w:pPr>
    <w:tblPr>
      <w:tblStyleRowBandSize w:val="1"/>
      <w:tblStyleColBandSize w:val="1"/>
      <w:tblBorders>
        <w:top w:val="single" w:sz="8" w:space="0" w:color="E9A913" w:themeColor="accent3"/>
        <w:left w:val="single" w:sz="8" w:space="0" w:color="E9A913" w:themeColor="accent3"/>
        <w:bottom w:val="single" w:sz="8" w:space="0" w:color="E9A913" w:themeColor="accent3"/>
        <w:right w:val="single" w:sz="8" w:space="0" w:color="E9A913" w:themeColor="accent3"/>
      </w:tblBorders>
    </w:tblPr>
    <w:tblStylePr w:type="firstRow">
      <w:pPr>
        <w:spacing w:before="0" w:after="0" w:line="240" w:lineRule="auto"/>
      </w:pPr>
      <w:rPr>
        <w:b/>
        <w:bCs/>
        <w:color w:val="FFFFFF" w:themeColor="background1"/>
      </w:rPr>
      <w:tblPr/>
      <w:tcPr>
        <w:shd w:val="clear" w:color="auto" w:fill="E9A913" w:themeFill="accent3"/>
      </w:tcPr>
    </w:tblStylePr>
    <w:tblStylePr w:type="lastRow">
      <w:pPr>
        <w:spacing w:before="0" w:after="0" w:line="240" w:lineRule="auto"/>
      </w:pPr>
      <w:rPr>
        <w:b/>
        <w:bCs/>
      </w:rPr>
      <w:tblPr/>
      <w:tcPr>
        <w:tcBorders>
          <w:top w:val="double" w:sz="6" w:space="0" w:color="E9A913" w:themeColor="accent3"/>
          <w:left w:val="single" w:sz="8" w:space="0" w:color="E9A913" w:themeColor="accent3"/>
          <w:bottom w:val="single" w:sz="8" w:space="0" w:color="E9A913" w:themeColor="accent3"/>
          <w:right w:val="single" w:sz="8" w:space="0" w:color="E9A913" w:themeColor="accent3"/>
        </w:tcBorders>
      </w:tcPr>
    </w:tblStylePr>
    <w:tblStylePr w:type="firstCol">
      <w:rPr>
        <w:b/>
        <w:bCs/>
      </w:rPr>
    </w:tblStylePr>
    <w:tblStylePr w:type="lastCol">
      <w:rPr>
        <w:b/>
        <w:bCs/>
      </w:rPr>
    </w:tblStylePr>
    <w:tblStylePr w:type="band1Vert">
      <w:tblPr/>
      <w:tcPr>
        <w:tcBorders>
          <w:top w:val="single" w:sz="8" w:space="0" w:color="E9A913" w:themeColor="accent3"/>
          <w:left w:val="single" w:sz="8" w:space="0" w:color="E9A913" w:themeColor="accent3"/>
          <w:bottom w:val="single" w:sz="8" w:space="0" w:color="E9A913" w:themeColor="accent3"/>
          <w:right w:val="single" w:sz="8" w:space="0" w:color="E9A913" w:themeColor="accent3"/>
        </w:tcBorders>
      </w:tcPr>
    </w:tblStylePr>
    <w:tblStylePr w:type="band1Horz">
      <w:tblPr/>
      <w:tcPr>
        <w:tcBorders>
          <w:top w:val="single" w:sz="8" w:space="0" w:color="E9A913" w:themeColor="accent3"/>
          <w:left w:val="single" w:sz="8" w:space="0" w:color="E9A913" w:themeColor="accent3"/>
          <w:bottom w:val="single" w:sz="8" w:space="0" w:color="E9A913" w:themeColor="accent3"/>
          <w:right w:val="single" w:sz="8" w:space="0" w:color="E9A913" w:themeColor="accent3"/>
        </w:tcBorders>
      </w:tcPr>
    </w:tblStylePr>
  </w:style>
  <w:style w:type="table" w:styleId="LightList-Accent4">
    <w:name w:val="Light List Accent 4"/>
    <w:basedOn w:val="TableNormal"/>
    <w:uiPriority w:val="61"/>
    <w:semiHidden/>
    <w:rsid w:val="003E273C"/>
    <w:pPr>
      <w:spacing w:after="0" w:line="240" w:lineRule="auto"/>
    </w:pPr>
    <w:tblPr>
      <w:tblStyleRowBandSize w:val="1"/>
      <w:tblStyleColBandSize w:val="1"/>
      <w:tblBorders>
        <w:top w:val="single" w:sz="8" w:space="0" w:color="522761" w:themeColor="accent4"/>
        <w:left w:val="single" w:sz="8" w:space="0" w:color="522761" w:themeColor="accent4"/>
        <w:bottom w:val="single" w:sz="8" w:space="0" w:color="522761" w:themeColor="accent4"/>
        <w:right w:val="single" w:sz="8" w:space="0" w:color="522761" w:themeColor="accent4"/>
      </w:tblBorders>
    </w:tblPr>
    <w:tblStylePr w:type="firstRow">
      <w:pPr>
        <w:spacing w:before="0" w:after="0" w:line="240" w:lineRule="auto"/>
      </w:pPr>
      <w:rPr>
        <w:b/>
        <w:bCs/>
        <w:color w:val="FFFFFF" w:themeColor="background1"/>
      </w:rPr>
      <w:tblPr/>
      <w:tcPr>
        <w:shd w:val="clear" w:color="auto" w:fill="522761" w:themeFill="accent4"/>
      </w:tcPr>
    </w:tblStylePr>
    <w:tblStylePr w:type="lastRow">
      <w:pPr>
        <w:spacing w:before="0" w:after="0" w:line="240" w:lineRule="auto"/>
      </w:pPr>
      <w:rPr>
        <w:b/>
        <w:bCs/>
      </w:rPr>
      <w:tblPr/>
      <w:tcPr>
        <w:tcBorders>
          <w:top w:val="double" w:sz="6" w:space="0" w:color="522761" w:themeColor="accent4"/>
          <w:left w:val="single" w:sz="8" w:space="0" w:color="522761" w:themeColor="accent4"/>
          <w:bottom w:val="single" w:sz="8" w:space="0" w:color="522761" w:themeColor="accent4"/>
          <w:right w:val="single" w:sz="8" w:space="0" w:color="522761" w:themeColor="accent4"/>
        </w:tcBorders>
      </w:tcPr>
    </w:tblStylePr>
    <w:tblStylePr w:type="firstCol">
      <w:rPr>
        <w:b/>
        <w:bCs/>
      </w:rPr>
    </w:tblStylePr>
    <w:tblStylePr w:type="lastCol">
      <w:rPr>
        <w:b/>
        <w:bCs/>
      </w:rPr>
    </w:tblStylePr>
    <w:tblStylePr w:type="band1Vert">
      <w:tblPr/>
      <w:tcPr>
        <w:tcBorders>
          <w:top w:val="single" w:sz="8" w:space="0" w:color="522761" w:themeColor="accent4"/>
          <w:left w:val="single" w:sz="8" w:space="0" w:color="522761" w:themeColor="accent4"/>
          <w:bottom w:val="single" w:sz="8" w:space="0" w:color="522761" w:themeColor="accent4"/>
          <w:right w:val="single" w:sz="8" w:space="0" w:color="522761" w:themeColor="accent4"/>
        </w:tcBorders>
      </w:tcPr>
    </w:tblStylePr>
    <w:tblStylePr w:type="band1Horz">
      <w:tblPr/>
      <w:tcPr>
        <w:tcBorders>
          <w:top w:val="single" w:sz="8" w:space="0" w:color="522761" w:themeColor="accent4"/>
          <w:left w:val="single" w:sz="8" w:space="0" w:color="522761" w:themeColor="accent4"/>
          <w:bottom w:val="single" w:sz="8" w:space="0" w:color="522761" w:themeColor="accent4"/>
          <w:right w:val="single" w:sz="8" w:space="0" w:color="522761" w:themeColor="accent4"/>
        </w:tcBorders>
      </w:tcPr>
    </w:tblStylePr>
  </w:style>
  <w:style w:type="table" w:styleId="LightList-Accent5">
    <w:name w:val="Light List Accent 5"/>
    <w:basedOn w:val="TableNormal"/>
    <w:uiPriority w:val="61"/>
    <w:semiHidden/>
    <w:rsid w:val="003E273C"/>
    <w:pPr>
      <w:spacing w:after="0" w:line="240" w:lineRule="auto"/>
    </w:pPr>
    <w:tblPr>
      <w:tblStyleRowBandSize w:val="1"/>
      <w:tblStyleColBandSize w:val="1"/>
      <w:tblBorders>
        <w:top w:val="single" w:sz="8" w:space="0" w:color="3C54A5" w:themeColor="accent5"/>
        <w:left w:val="single" w:sz="8" w:space="0" w:color="3C54A5" w:themeColor="accent5"/>
        <w:bottom w:val="single" w:sz="8" w:space="0" w:color="3C54A5" w:themeColor="accent5"/>
        <w:right w:val="single" w:sz="8" w:space="0" w:color="3C54A5" w:themeColor="accent5"/>
      </w:tblBorders>
    </w:tblPr>
    <w:tblStylePr w:type="firstRow">
      <w:pPr>
        <w:spacing w:before="0" w:after="0" w:line="240" w:lineRule="auto"/>
      </w:pPr>
      <w:rPr>
        <w:b/>
        <w:bCs/>
        <w:color w:val="FFFFFF" w:themeColor="background1"/>
      </w:rPr>
      <w:tblPr/>
      <w:tcPr>
        <w:shd w:val="clear" w:color="auto" w:fill="3C54A5" w:themeFill="accent5"/>
      </w:tcPr>
    </w:tblStylePr>
    <w:tblStylePr w:type="lastRow">
      <w:pPr>
        <w:spacing w:before="0" w:after="0" w:line="240" w:lineRule="auto"/>
      </w:pPr>
      <w:rPr>
        <w:b/>
        <w:bCs/>
      </w:rPr>
      <w:tblPr/>
      <w:tcPr>
        <w:tcBorders>
          <w:top w:val="double" w:sz="6" w:space="0" w:color="3C54A5" w:themeColor="accent5"/>
          <w:left w:val="single" w:sz="8" w:space="0" w:color="3C54A5" w:themeColor="accent5"/>
          <w:bottom w:val="single" w:sz="8" w:space="0" w:color="3C54A5" w:themeColor="accent5"/>
          <w:right w:val="single" w:sz="8" w:space="0" w:color="3C54A5" w:themeColor="accent5"/>
        </w:tcBorders>
      </w:tcPr>
    </w:tblStylePr>
    <w:tblStylePr w:type="firstCol">
      <w:rPr>
        <w:b/>
        <w:bCs/>
      </w:rPr>
    </w:tblStylePr>
    <w:tblStylePr w:type="lastCol">
      <w:rPr>
        <w:b/>
        <w:bCs/>
      </w:rPr>
    </w:tblStylePr>
    <w:tblStylePr w:type="band1Vert">
      <w:tblPr/>
      <w:tcPr>
        <w:tcBorders>
          <w:top w:val="single" w:sz="8" w:space="0" w:color="3C54A5" w:themeColor="accent5"/>
          <w:left w:val="single" w:sz="8" w:space="0" w:color="3C54A5" w:themeColor="accent5"/>
          <w:bottom w:val="single" w:sz="8" w:space="0" w:color="3C54A5" w:themeColor="accent5"/>
          <w:right w:val="single" w:sz="8" w:space="0" w:color="3C54A5" w:themeColor="accent5"/>
        </w:tcBorders>
      </w:tcPr>
    </w:tblStylePr>
    <w:tblStylePr w:type="band1Horz">
      <w:tblPr/>
      <w:tcPr>
        <w:tcBorders>
          <w:top w:val="single" w:sz="8" w:space="0" w:color="3C54A5" w:themeColor="accent5"/>
          <w:left w:val="single" w:sz="8" w:space="0" w:color="3C54A5" w:themeColor="accent5"/>
          <w:bottom w:val="single" w:sz="8" w:space="0" w:color="3C54A5" w:themeColor="accent5"/>
          <w:right w:val="single" w:sz="8" w:space="0" w:color="3C54A5" w:themeColor="accent5"/>
        </w:tcBorders>
      </w:tcPr>
    </w:tblStylePr>
  </w:style>
  <w:style w:type="table" w:styleId="LightList-Accent6">
    <w:name w:val="Light List Accent 6"/>
    <w:basedOn w:val="TableNormal"/>
    <w:uiPriority w:val="61"/>
    <w:semiHidden/>
    <w:rsid w:val="003E273C"/>
    <w:pPr>
      <w:spacing w:after="0" w:line="240" w:lineRule="auto"/>
    </w:pPr>
    <w:tblPr>
      <w:tblStyleRowBandSize w:val="1"/>
      <w:tblStyleColBandSize w:val="1"/>
      <w:tblBorders>
        <w:top w:val="single" w:sz="8" w:space="0" w:color="545861" w:themeColor="accent6"/>
        <w:left w:val="single" w:sz="8" w:space="0" w:color="545861" w:themeColor="accent6"/>
        <w:bottom w:val="single" w:sz="8" w:space="0" w:color="545861" w:themeColor="accent6"/>
        <w:right w:val="single" w:sz="8" w:space="0" w:color="545861" w:themeColor="accent6"/>
      </w:tblBorders>
    </w:tblPr>
    <w:tblStylePr w:type="firstRow">
      <w:pPr>
        <w:spacing w:before="0" w:after="0" w:line="240" w:lineRule="auto"/>
      </w:pPr>
      <w:rPr>
        <w:b/>
        <w:bCs/>
        <w:color w:val="FFFFFF" w:themeColor="background1"/>
      </w:rPr>
      <w:tblPr/>
      <w:tcPr>
        <w:shd w:val="clear" w:color="auto" w:fill="545861" w:themeFill="accent6"/>
      </w:tcPr>
    </w:tblStylePr>
    <w:tblStylePr w:type="lastRow">
      <w:pPr>
        <w:spacing w:before="0" w:after="0" w:line="240" w:lineRule="auto"/>
      </w:pPr>
      <w:rPr>
        <w:b/>
        <w:bCs/>
      </w:rPr>
      <w:tblPr/>
      <w:tcPr>
        <w:tcBorders>
          <w:top w:val="double" w:sz="6" w:space="0" w:color="545861" w:themeColor="accent6"/>
          <w:left w:val="single" w:sz="8" w:space="0" w:color="545861" w:themeColor="accent6"/>
          <w:bottom w:val="single" w:sz="8" w:space="0" w:color="545861" w:themeColor="accent6"/>
          <w:right w:val="single" w:sz="8" w:space="0" w:color="545861" w:themeColor="accent6"/>
        </w:tcBorders>
      </w:tcPr>
    </w:tblStylePr>
    <w:tblStylePr w:type="firstCol">
      <w:rPr>
        <w:b/>
        <w:bCs/>
      </w:rPr>
    </w:tblStylePr>
    <w:tblStylePr w:type="lastCol">
      <w:rPr>
        <w:b/>
        <w:bCs/>
      </w:rPr>
    </w:tblStylePr>
    <w:tblStylePr w:type="band1Vert">
      <w:tblPr/>
      <w:tcPr>
        <w:tcBorders>
          <w:top w:val="single" w:sz="8" w:space="0" w:color="545861" w:themeColor="accent6"/>
          <w:left w:val="single" w:sz="8" w:space="0" w:color="545861" w:themeColor="accent6"/>
          <w:bottom w:val="single" w:sz="8" w:space="0" w:color="545861" w:themeColor="accent6"/>
          <w:right w:val="single" w:sz="8" w:space="0" w:color="545861" w:themeColor="accent6"/>
        </w:tcBorders>
      </w:tcPr>
    </w:tblStylePr>
    <w:tblStylePr w:type="band1Horz">
      <w:tblPr/>
      <w:tcPr>
        <w:tcBorders>
          <w:top w:val="single" w:sz="8" w:space="0" w:color="545861" w:themeColor="accent6"/>
          <w:left w:val="single" w:sz="8" w:space="0" w:color="545861" w:themeColor="accent6"/>
          <w:bottom w:val="single" w:sz="8" w:space="0" w:color="545861" w:themeColor="accent6"/>
          <w:right w:val="single" w:sz="8" w:space="0" w:color="545861" w:themeColor="accent6"/>
        </w:tcBorders>
      </w:tcPr>
    </w:tblStylePr>
  </w:style>
  <w:style w:type="table" w:styleId="LightShading">
    <w:name w:val="Light Shading"/>
    <w:basedOn w:val="TableNormal"/>
    <w:uiPriority w:val="60"/>
    <w:semiHidden/>
    <w:rsid w:val="003E273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E273C"/>
    <w:pPr>
      <w:spacing w:after="0" w:line="240" w:lineRule="auto"/>
    </w:pPr>
    <w:rPr>
      <w:color w:val="2D3E7B" w:themeColor="accent1" w:themeShade="BF"/>
    </w:rPr>
    <w:tblPr>
      <w:tblStyleRowBandSize w:val="1"/>
      <w:tblStyleColBandSize w:val="1"/>
      <w:tblBorders>
        <w:top w:val="single" w:sz="8" w:space="0" w:color="3C54A5" w:themeColor="accent1"/>
        <w:bottom w:val="single" w:sz="8" w:space="0" w:color="3C54A5" w:themeColor="accent1"/>
      </w:tblBorders>
    </w:tblPr>
    <w:tblStylePr w:type="firstRow">
      <w:pPr>
        <w:spacing w:before="0" w:after="0" w:line="240" w:lineRule="auto"/>
      </w:pPr>
      <w:rPr>
        <w:b/>
        <w:bCs/>
      </w:rPr>
      <w:tblPr/>
      <w:tcPr>
        <w:tcBorders>
          <w:top w:val="single" w:sz="8" w:space="0" w:color="3C54A5" w:themeColor="accent1"/>
          <w:left w:val="nil"/>
          <w:bottom w:val="single" w:sz="8" w:space="0" w:color="3C54A5" w:themeColor="accent1"/>
          <w:right w:val="nil"/>
          <w:insideH w:val="nil"/>
          <w:insideV w:val="nil"/>
        </w:tcBorders>
      </w:tcPr>
    </w:tblStylePr>
    <w:tblStylePr w:type="lastRow">
      <w:pPr>
        <w:spacing w:before="0" w:after="0" w:line="240" w:lineRule="auto"/>
      </w:pPr>
      <w:rPr>
        <w:b/>
        <w:bCs/>
      </w:rPr>
      <w:tblPr/>
      <w:tcPr>
        <w:tcBorders>
          <w:top w:val="single" w:sz="8" w:space="0" w:color="3C54A5" w:themeColor="accent1"/>
          <w:left w:val="nil"/>
          <w:bottom w:val="single" w:sz="8" w:space="0" w:color="3C54A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D2EC" w:themeFill="accent1" w:themeFillTint="3F"/>
      </w:tcPr>
    </w:tblStylePr>
    <w:tblStylePr w:type="band1Horz">
      <w:tblPr/>
      <w:tcPr>
        <w:tcBorders>
          <w:left w:val="nil"/>
          <w:right w:val="nil"/>
          <w:insideH w:val="nil"/>
          <w:insideV w:val="nil"/>
        </w:tcBorders>
        <w:shd w:val="clear" w:color="auto" w:fill="CBD2EC" w:themeFill="accent1" w:themeFillTint="3F"/>
      </w:tcPr>
    </w:tblStylePr>
  </w:style>
  <w:style w:type="table" w:styleId="LightShading-Accent2">
    <w:name w:val="Light Shading Accent 2"/>
    <w:basedOn w:val="TableNormal"/>
    <w:uiPriority w:val="60"/>
    <w:semiHidden/>
    <w:rsid w:val="003E273C"/>
    <w:pPr>
      <w:spacing w:after="0" w:line="240" w:lineRule="auto"/>
    </w:pPr>
    <w:rPr>
      <w:color w:val="3F4148" w:themeColor="accent2" w:themeShade="BF"/>
    </w:rPr>
    <w:tblPr>
      <w:tblStyleRowBandSize w:val="1"/>
      <w:tblStyleColBandSize w:val="1"/>
      <w:tblBorders>
        <w:top w:val="single" w:sz="8" w:space="0" w:color="545861" w:themeColor="accent2"/>
        <w:bottom w:val="single" w:sz="8" w:space="0" w:color="545861" w:themeColor="accent2"/>
      </w:tblBorders>
    </w:tblPr>
    <w:tblStylePr w:type="firstRow">
      <w:pPr>
        <w:spacing w:before="0" w:after="0" w:line="240" w:lineRule="auto"/>
      </w:pPr>
      <w:rPr>
        <w:b/>
        <w:bCs/>
      </w:rPr>
      <w:tblPr/>
      <w:tcPr>
        <w:tcBorders>
          <w:top w:val="single" w:sz="8" w:space="0" w:color="545861" w:themeColor="accent2"/>
          <w:left w:val="nil"/>
          <w:bottom w:val="single" w:sz="8" w:space="0" w:color="545861" w:themeColor="accent2"/>
          <w:right w:val="nil"/>
          <w:insideH w:val="nil"/>
          <w:insideV w:val="nil"/>
        </w:tcBorders>
      </w:tcPr>
    </w:tblStylePr>
    <w:tblStylePr w:type="lastRow">
      <w:pPr>
        <w:spacing w:before="0" w:after="0" w:line="240" w:lineRule="auto"/>
      </w:pPr>
      <w:rPr>
        <w:b/>
        <w:bCs/>
      </w:rPr>
      <w:tblPr/>
      <w:tcPr>
        <w:tcBorders>
          <w:top w:val="single" w:sz="8" w:space="0" w:color="545861" w:themeColor="accent2"/>
          <w:left w:val="nil"/>
          <w:bottom w:val="single" w:sz="8" w:space="0" w:color="5458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9" w:themeFill="accent2" w:themeFillTint="3F"/>
      </w:tcPr>
    </w:tblStylePr>
    <w:tblStylePr w:type="band1Horz">
      <w:tblPr/>
      <w:tcPr>
        <w:tcBorders>
          <w:left w:val="nil"/>
          <w:right w:val="nil"/>
          <w:insideH w:val="nil"/>
          <w:insideV w:val="nil"/>
        </w:tcBorders>
        <w:shd w:val="clear" w:color="auto" w:fill="D3D5D9" w:themeFill="accent2" w:themeFillTint="3F"/>
      </w:tcPr>
    </w:tblStylePr>
  </w:style>
  <w:style w:type="table" w:styleId="LightShading-Accent3">
    <w:name w:val="Light Shading Accent 3"/>
    <w:basedOn w:val="TableNormal"/>
    <w:uiPriority w:val="60"/>
    <w:semiHidden/>
    <w:rsid w:val="003E273C"/>
    <w:pPr>
      <w:spacing w:after="0" w:line="240" w:lineRule="auto"/>
    </w:pPr>
    <w:rPr>
      <w:color w:val="AE7E0E" w:themeColor="accent3" w:themeShade="BF"/>
    </w:rPr>
    <w:tblPr>
      <w:tblStyleRowBandSize w:val="1"/>
      <w:tblStyleColBandSize w:val="1"/>
      <w:tblBorders>
        <w:top w:val="single" w:sz="8" w:space="0" w:color="E9A913" w:themeColor="accent3"/>
        <w:bottom w:val="single" w:sz="8" w:space="0" w:color="E9A913" w:themeColor="accent3"/>
      </w:tblBorders>
    </w:tblPr>
    <w:tblStylePr w:type="firstRow">
      <w:pPr>
        <w:spacing w:before="0" w:after="0" w:line="240" w:lineRule="auto"/>
      </w:pPr>
      <w:rPr>
        <w:b/>
        <w:bCs/>
      </w:rPr>
      <w:tblPr/>
      <w:tcPr>
        <w:tcBorders>
          <w:top w:val="single" w:sz="8" w:space="0" w:color="E9A913" w:themeColor="accent3"/>
          <w:left w:val="nil"/>
          <w:bottom w:val="single" w:sz="8" w:space="0" w:color="E9A913" w:themeColor="accent3"/>
          <w:right w:val="nil"/>
          <w:insideH w:val="nil"/>
          <w:insideV w:val="nil"/>
        </w:tcBorders>
      </w:tcPr>
    </w:tblStylePr>
    <w:tblStylePr w:type="lastRow">
      <w:pPr>
        <w:spacing w:before="0" w:after="0" w:line="240" w:lineRule="auto"/>
      </w:pPr>
      <w:rPr>
        <w:b/>
        <w:bCs/>
      </w:rPr>
      <w:tblPr/>
      <w:tcPr>
        <w:tcBorders>
          <w:top w:val="single" w:sz="8" w:space="0" w:color="E9A913" w:themeColor="accent3"/>
          <w:left w:val="nil"/>
          <w:bottom w:val="single" w:sz="8" w:space="0" w:color="E9A91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9C3" w:themeFill="accent3" w:themeFillTint="3F"/>
      </w:tcPr>
    </w:tblStylePr>
    <w:tblStylePr w:type="band1Horz">
      <w:tblPr/>
      <w:tcPr>
        <w:tcBorders>
          <w:left w:val="nil"/>
          <w:right w:val="nil"/>
          <w:insideH w:val="nil"/>
          <w:insideV w:val="nil"/>
        </w:tcBorders>
        <w:shd w:val="clear" w:color="auto" w:fill="FAE9C3" w:themeFill="accent3" w:themeFillTint="3F"/>
      </w:tcPr>
    </w:tblStylePr>
  </w:style>
  <w:style w:type="table" w:styleId="LightShading-Accent4">
    <w:name w:val="Light Shading Accent 4"/>
    <w:basedOn w:val="TableNormal"/>
    <w:uiPriority w:val="60"/>
    <w:semiHidden/>
    <w:rsid w:val="003E273C"/>
    <w:pPr>
      <w:spacing w:after="0" w:line="240" w:lineRule="auto"/>
    </w:pPr>
    <w:rPr>
      <w:color w:val="3D1D48" w:themeColor="accent4" w:themeShade="BF"/>
    </w:rPr>
    <w:tblPr>
      <w:tblStyleRowBandSize w:val="1"/>
      <w:tblStyleColBandSize w:val="1"/>
      <w:tblBorders>
        <w:top w:val="single" w:sz="8" w:space="0" w:color="522761" w:themeColor="accent4"/>
        <w:bottom w:val="single" w:sz="8" w:space="0" w:color="522761" w:themeColor="accent4"/>
      </w:tblBorders>
    </w:tblPr>
    <w:tblStylePr w:type="firstRow">
      <w:pPr>
        <w:spacing w:before="0" w:after="0" w:line="240" w:lineRule="auto"/>
      </w:pPr>
      <w:rPr>
        <w:b/>
        <w:bCs/>
      </w:rPr>
      <w:tblPr/>
      <w:tcPr>
        <w:tcBorders>
          <w:top w:val="single" w:sz="8" w:space="0" w:color="522761" w:themeColor="accent4"/>
          <w:left w:val="nil"/>
          <w:bottom w:val="single" w:sz="8" w:space="0" w:color="522761" w:themeColor="accent4"/>
          <w:right w:val="nil"/>
          <w:insideH w:val="nil"/>
          <w:insideV w:val="nil"/>
        </w:tcBorders>
      </w:tcPr>
    </w:tblStylePr>
    <w:tblStylePr w:type="lastRow">
      <w:pPr>
        <w:spacing w:before="0" w:after="0" w:line="240" w:lineRule="auto"/>
      </w:pPr>
      <w:rPr>
        <w:b/>
        <w:bCs/>
      </w:rPr>
      <w:tblPr/>
      <w:tcPr>
        <w:tcBorders>
          <w:top w:val="single" w:sz="8" w:space="0" w:color="522761" w:themeColor="accent4"/>
          <w:left w:val="nil"/>
          <w:bottom w:val="single" w:sz="8" w:space="0" w:color="52276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BCE4" w:themeFill="accent4" w:themeFillTint="3F"/>
      </w:tcPr>
    </w:tblStylePr>
    <w:tblStylePr w:type="band1Horz">
      <w:tblPr/>
      <w:tcPr>
        <w:tcBorders>
          <w:left w:val="nil"/>
          <w:right w:val="nil"/>
          <w:insideH w:val="nil"/>
          <w:insideV w:val="nil"/>
        </w:tcBorders>
        <w:shd w:val="clear" w:color="auto" w:fill="DABCE4" w:themeFill="accent4" w:themeFillTint="3F"/>
      </w:tcPr>
    </w:tblStylePr>
  </w:style>
  <w:style w:type="table" w:styleId="MediumGrid1">
    <w:name w:val="Medium Grid 1"/>
    <w:basedOn w:val="TableNormal"/>
    <w:uiPriority w:val="67"/>
    <w:semiHidden/>
    <w:rsid w:val="003E273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E273C"/>
    <w:pPr>
      <w:spacing w:after="0" w:line="240" w:lineRule="auto"/>
    </w:pPr>
    <w:tblPr>
      <w:tblStyleRowBandSize w:val="1"/>
      <w:tblStyleColBandSize w:val="1"/>
      <w:tblBorders>
        <w:top w:val="single" w:sz="8" w:space="0" w:color="6278C6" w:themeColor="accent1" w:themeTint="BF"/>
        <w:left w:val="single" w:sz="8" w:space="0" w:color="6278C6" w:themeColor="accent1" w:themeTint="BF"/>
        <w:bottom w:val="single" w:sz="8" w:space="0" w:color="6278C6" w:themeColor="accent1" w:themeTint="BF"/>
        <w:right w:val="single" w:sz="8" w:space="0" w:color="6278C6" w:themeColor="accent1" w:themeTint="BF"/>
        <w:insideH w:val="single" w:sz="8" w:space="0" w:color="6278C6" w:themeColor="accent1" w:themeTint="BF"/>
        <w:insideV w:val="single" w:sz="8" w:space="0" w:color="6278C6" w:themeColor="accent1" w:themeTint="BF"/>
      </w:tblBorders>
    </w:tblPr>
    <w:tcPr>
      <w:shd w:val="clear" w:color="auto" w:fill="CBD2EC" w:themeFill="accent1" w:themeFillTint="3F"/>
    </w:tcPr>
    <w:tblStylePr w:type="firstRow">
      <w:rPr>
        <w:b/>
        <w:bCs/>
      </w:rPr>
    </w:tblStylePr>
    <w:tblStylePr w:type="lastRow">
      <w:rPr>
        <w:b/>
        <w:bCs/>
      </w:rPr>
      <w:tblPr/>
      <w:tcPr>
        <w:tcBorders>
          <w:top w:val="single" w:sz="18" w:space="0" w:color="6278C6" w:themeColor="accent1" w:themeTint="BF"/>
        </w:tcBorders>
      </w:tcPr>
    </w:tblStylePr>
    <w:tblStylePr w:type="firstCol">
      <w:rPr>
        <w:b/>
        <w:bCs/>
      </w:rPr>
    </w:tblStylePr>
    <w:tblStylePr w:type="lastCol">
      <w:rPr>
        <w:b/>
        <w:bCs/>
      </w:rPr>
    </w:tblStylePr>
    <w:tblStylePr w:type="band1Vert">
      <w:tblPr/>
      <w:tcPr>
        <w:shd w:val="clear" w:color="auto" w:fill="96A5D9" w:themeFill="accent1" w:themeFillTint="7F"/>
      </w:tcPr>
    </w:tblStylePr>
    <w:tblStylePr w:type="band1Horz">
      <w:tblPr/>
      <w:tcPr>
        <w:shd w:val="clear" w:color="auto" w:fill="96A5D9" w:themeFill="accent1" w:themeFillTint="7F"/>
      </w:tcPr>
    </w:tblStylePr>
  </w:style>
  <w:style w:type="table" w:styleId="MediumGrid1-Accent2">
    <w:name w:val="Medium Grid 1 Accent 2"/>
    <w:basedOn w:val="TableNormal"/>
    <w:uiPriority w:val="67"/>
    <w:semiHidden/>
    <w:rsid w:val="003E273C"/>
    <w:pPr>
      <w:spacing w:after="0" w:line="240" w:lineRule="auto"/>
    </w:pPr>
    <w:tblPr>
      <w:tblStyleRowBandSize w:val="1"/>
      <w:tblStyleColBandSize w:val="1"/>
      <w:tblBorders>
        <w:top w:val="single" w:sz="8" w:space="0" w:color="7A808C" w:themeColor="accent2" w:themeTint="BF"/>
        <w:left w:val="single" w:sz="8" w:space="0" w:color="7A808C" w:themeColor="accent2" w:themeTint="BF"/>
        <w:bottom w:val="single" w:sz="8" w:space="0" w:color="7A808C" w:themeColor="accent2" w:themeTint="BF"/>
        <w:right w:val="single" w:sz="8" w:space="0" w:color="7A808C" w:themeColor="accent2" w:themeTint="BF"/>
        <w:insideH w:val="single" w:sz="8" w:space="0" w:color="7A808C" w:themeColor="accent2" w:themeTint="BF"/>
        <w:insideV w:val="single" w:sz="8" w:space="0" w:color="7A808C" w:themeColor="accent2" w:themeTint="BF"/>
      </w:tblBorders>
    </w:tblPr>
    <w:tcPr>
      <w:shd w:val="clear" w:color="auto" w:fill="D3D5D9" w:themeFill="accent2" w:themeFillTint="3F"/>
    </w:tcPr>
    <w:tblStylePr w:type="firstRow">
      <w:rPr>
        <w:b/>
        <w:bCs/>
      </w:rPr>
    </w:tblStylePr>
    <w:tblStylePr w:type="lastRow">
      <w:rPr>
        <w:b/>
        <w:bCs/>
      </w:rPr>
      <w:tblPr/>
      <w:tcPr>
        <w:tcBorders>
          <w:top w:val="single" w:sz="18" w:space="0" w:color="7A808C" w:themeColor="accent2" w:themeTint="BF"/>
        </w:tcBorders>
      </w:tcPr>
    </w:tblStylePr>
    <w:tblStylePr w:type="firstCol">
      <w:rPr>
        <w:b/>
        <w:bCs/>
      </w:rPr>
    </w:tblStylePr>
    <w:tblStylePr w:type="lastCol">
      <w:rPr>
        <w:b/>
        <w:bCs/>
      </w:rPr>
    </w:tblStylePr>
    <w:tblStylePr w:type="band1Vert">
      <w:tblPr/>
      <w:tcPr>
        <w:shd w:val="clear" w:color="auto" w:fill="A7AAB3" w:themeFill="accent2" w:themeFillTint="7F"/>
      </w:tcPr>
    </w:tblStylePr>
    <w:tblStylePr w:type="band1Horz">
      <w:tblPr/>
      <w:tcPr>
        <w:shd w:val="clear" w:color="auto" w:fill="A7AAB3" w:themeFill="accent2" w:themeFillTint="7F"/>
      </w:tcPr>
    </w:tblStylePr>
  </w:style>
  <w:style w:type="table" w:styleId="MediumGrid1-Accent3">
    <w:name w:val="Medium Grid 1 Accent 3"/>
    <w:basedOn w:val="TableNormal"/>
    <w:uiPriority w:val="67"/>
    <w:semiHidden/>
    <w:rsid w:val="003E273C"/>
    <w:pPr>
      <w:spacing w:after="0" w:line="240" w:lineRule="auto"/>
    </w:pPr>
    <w:tblPr>
      <w:tblStyleRowBandSize w:val="1"/>
      <w:tblStyleColBandSize w:val="1"/>
      <w:tblBorders>
        <w:top w:val="single" w:sz="8" w:space="0" w:color="F0BE4C" w:themeColor="accent3" w:themeTint="BF"/>
        <w:left w:val="single" w:sz="8" w:space="0" w:color="F0BE4C" w:themeColor="accent3" w:themeTint="BF"/>
        <w:bottom w:val="single" w:sz="8" w:space="0" w:color="F0BE4C" w:themeColor="accent3" w:themeTint="BF"/>
        <w:right w:val="single" w:sz="8" w:space="0" w:color="F0BE4C" w:themeColor="accent3" w:themeTint="BF"/>
        <w:insideH w:val="single" w:sz="8" w:space="0" w:color="F0BE4C" w:themeColor="accent3" w:themeTint="BF"/>
        <w:insideV w:val="single" w:sz="8" w:space="0" w:color="F0BE4C" w:themeColor="accent3" w:themeTint="BF"/>
      </w:tblBorders>
    </w:tblPr>
    <w:tcPr>
      <w:shd w:val="clear" w:color="auto" w:fill="FAE9C3" w:themeFill="accent3" w:themeFillTint="3F"/>
    </w:tcPr>
    <w:tblStylePr w:type="firstRow">
      <w:rPr>
        <w:b/>
        <w:bCs/>
      </w:rPr>
    </w:tblStylePr>
    <w:tblStylePr w:type="lastRow">
      <w:rPr>
        <w:b/>
        <w:bCs/>
      </w:rPr>
      <w:tblPr/>
      <w:tcPr>
        <w:tcBorders>
          <w:top w:val="single" w:sz="18" w:space="0" w:color="F0BE4C" w:themeColor="accent3" w:themeTint="BF"/>
        </w:tcBorders>
      </w:tcPr>
    </w:tblStylePr>
    <w:tblStylePr w:type="firstCol">
      <w:rPr>
        <w:b/>
        <w:bCs/>
      </w:rPr>
    </w:tblStylePr>
    <w:tblStylePr w:type="lastCol">
      <w:rPr>
        <w:b/>
        <w:bCs/>
      </w:rPr>
    </w:tblStylePr>
    <w:tblStylePr w:type="band1Vert">
      <w:tblPr/>
      <w:tcPr>
        <w:shd w:val="clear" w:color="auto" w:fill="F5D488" w:themeFill="accent3" w:themeFillTint="7F"/>
      </w:tcPr>
    </w:tblStylePr>
    <w:tblStylePr w:type="band1Horz">
      <w:tblPr/>
      <w:tcPr>
        <w:shd w:val="clear" w:color="auto" w:fill="F5D488" w:themeFill="accent3" w:themeFillTint="7F"/>
      </w:tcPr>
    </w:tblStylePr>
  </w:style>
  <w:style w:type="table" w:styleId="MediumGrid1-Accent4">
    <w:name w:val="Medium Grid 1 Accent 4"/>
    <w:basedOn w:val="TableNormal"/>
    <w:uiPriority w:val="67"/>
    <w:semiHidden/>
    <w:rsid w:val="003E273C"/>
    <w:pPr>
      <w:spacing w:after="0" w:line="240" w:lineRule="auto"/>
    </w:pPr>
    <w:tblPr>
      <w:tblStyleRowBandSize w:val="1"/>
      <w:tblStyleColBandSize w:val="1"/>
      <w:tblBorders>
        <w:top w:val="single" w:sz="8" w:space="0" w:color="8A42A3" w:themeColor="accent4" w:themeTint="BF"/>
        <w:left w:val="single" w:sz="8" w:space="0" w:color="8A42A3" w:themeColor="accent4" w:themeTint="BF"/>
        <w:bottom w:val="single" w:sz="8" w:space="0" w:color="8A42A3" w:themeColor="accent4" w:themeTint="BF"/>
        <w:right w:val="single" w:sz="8" w:space="0" w:color="8A42A3" w:themeColor="accent4" w:themeTint="BF"/>
        <w:insideH w:val="single" w:sz="8" w:space="0" w:color="8A42A3" w:themeColor="accent4" w:themeTint="BF"/>
        <w:insideV w:val="single" w:sz="8" w:space="0" w:color="8A42A3" w:themeColor="accent4" w:themeTint="BF"/>
      </w:tblBorders>
    </w:tblPr>
    <w:tcPr>
      <w:shd w:val="clear" w:color="auto" w:fill="DABCE4" w:themeFill="accent4" w:themeFillTint="3F"/>
    </w:tcPr>
    <w:tblStylePr w:type="firstRow">
      <w:rPr>
        <w:b/>
        <w:bCs/>
      </w:rPr>
    </w:tblStylePr>
    <w:tblStylePr w:type="lastRow">
      <w:rPr>
        <w:b/>
        <w:bCs/>
      </w:rPr>
      <w:tblPr/>
      <w:tcPr>
        <w:tcBorders>
          <w:top w:val="single" w:sz="18" w:space="0" w:color="8A42A3" w:themeColor="accent4" w:themeTint="BF"/>
        </w:tcBorders>
      </w:tcPr>
    </w:tblStylePr>
    <w:tblStylePr w:type="firstCol">
      <w:rPr>
        <w:b/>
        <w:bCs/>
      </w:rPr>
    </w:tblStylePr>
    <w:tblStylePr w:type="lastCol">
      <w:rPr>
        <w:b/>
        <w:bCs/>
      </w:rPr>
    </w:tblStylePr>
    <w:tblStylePr w:type="band1Vert">
      <w:tblPr/>
      <w:tcPr>
        <w:shd w:val="clear" w:color="auto" w:fill="B57AC9" w:themeFill="accent4" w:themeFillTint="7F"/>
      </w:tcPr>
    </w:tblStylePr>
    <w:tblStylePr w:type="band1Horz">
      <w:tblPr/>
      <w:tcPr>
        <w:shd w:val="clear" w:color="auto" w:fill="B57AC9" w:themeFill="accent4" w:themeFillTint="7F"/>
      </w:tcPr>
    </w:tblStylePr>
  </w:style>
  <w:style w:type="table" w:styleId="MediumGrid1-Accent5">
    <w:name w:val="Medium Grid 1 Accent 5"/>
    <w:basedOn w:val="TableNormal"/>
    <w:uiPriority w:val="67"/>
    <w:semiHidden/>
    <w:rsid w:val="003E273C"/>
    <w:pPr>
      <w:spacing w:after="0" w:line="240" w:lineRule="auto"/>
    </w:pPr>
    <w:tblPr>
      <w:tblStyleRowBandSize w:val="1"/>
      <w:tblStyleColBandSize w:val="1"/>
      <w:tblBorders>
        <w:top w:val="single" w:sz="8" w:space="0" w:color="6278C6" w:themeColor="accent5" w:themeTint="BF"/>
        <w:left w:val="single" w:sz="8" w:space="0" w:color="6278C6" w:themeColor="accent5" w:themeTint="BF"/>
        <w:bottom w:val="single" w:sz="8" w:space="0" w:color="6278C6" w:themeColor="accent5" w:themeTint="BF"/>
        <w:right w:val="single" w:sz="8" w:space="0" w:color="6278C6" w:themeColor="accent5" w:themeTint="BF"/>
        <w:insideH w:val="single" w:sz="8" w:space="0" w:color="6278C6" w:themeColor="accent5" w:themeTint="BF"/>
        <w:insideV w:val="single" w:sz="8" w:space="0" w:color="6278C6" w:themeColor="accent5" w:themeTint="BF"/>
      </w:tblBorders>
    </w:tblPr>
    <w:tcPr>
      <w:shd w:val="clear" w:color="auto" w:fill="CBD2EC" w:themeFill="accent5" w:themeFillTint="3F"/>
    </w:tcPr>
    <w:tblStylePr w:type="firstRow">
      <w:rPr>
        <w:b/>
        <w:bCs/>
      </w:rPr>
    </w:tblStylePr>
    <w:tblStylePr w:type="lastRow">
      <w:rPr>
        <w:b/>
        <w:bCs/>
      </w:rPr>
      <w:tblPr/>
      <w:tcPr>
        <w:tcBorders>
          <w:top w:val="single" w:sz="18" w:space="0" w:color="6278C6" w:themeColor="accent5" w:themeTint="BF"/>
        </w:tcBorders>
      </w:tcPr>
    </w:tblStylePr>
    <w:tblStylePr w:type="firstCol">
      <w:rPr>
        <w:b/>
        <w:bCs/>
      </w:rPr>
    </w:tblStylePr>
    <w:tblStylePr w:type="lastCol">
      <w:rPr>
        <w:b/>
        <w:bCs/>
      </w:rPr>
    </w:tblStylePr>
    <w:tblStylePr w:type="band1Vert">
      <w:tblPr/>
      <w:tcPr>
        <w:shd w:val="clear" w:color="auto" w:fill="96A5D9" w:themeFill="accent5" w:themeFillTint="7F"/>
      </w:tcPr>
    </w:tblStylePr>
    <w:tblStylePr w:type="band1Horz">
      <w:tblPr/>
      <w:tcPr>
        <w:shd w:val="clear" w:color="auto" w:fill="96A5D9" w:themeFill="accent5" w:themeFillTint="7F"/>
      </w:tcPr>
    </w:tblStylePr>
  </w:style>
  <w:style w:type="table" w:styleId="MediumGrid1-Accent6">
    <w:name w:val="Medium Grid 1 Accent 6"/>
    <w:basedOn w:val="TableNormal"/>
    <w:uiPriority w:val="67"/>
    <w:semiHidden/>
    <w:rsid w:val="003E273C"/>
    <w:pPr>
      <w:spacing w:after="0" w:line="240" w:lineRule="auto"/>
    </w:pPr>
    <w:tblPr>
      <w:tblStyleRowBandSize w:val="1"/>
      <w:tblStyleColBandSize w:val="1"/>
      <w:tblBorders>
        <w:top w:val="single" w:sz="8" w:space="0" w:color="7A808C" w:themeColor="accent6" w:themeTint="BF"/>
        <w:left w:val="single" w:sz="8" w:space="0" w:color="7A808C" w:themeColor="accent6" w:themeTint="BF"/>
        <w:bottom w:val="single" w:sz="8" w:space="0" w:color="7A808C" w:themeColor="accent6" w:themeTint="BF"/>
        <w:right w:val="single" w:sz="8" w:space="0" w:color="7A808C" w:themeColor="accent6" w:themeTint="BF"/>
        <w:insideH w:val="single" w:sz="8" w:space="0" w:color="7A808C" w:themeColor="accent6" w:themeTint="BF"/>
        <w:insideV w:val="single" w:sz="8" w:space="0" w:color="7A808C" w:themeColor="accent6" w:themeTint="BF"/>
      </w:tblBorders>
    </w:tblPr>
    <w:tcPr>
      <w:shd w:val="clear" w:color="auto" w:fill="D3D5D9" w:themeFill="accent6" w:themeFillTint="3F"/>
    </w:tcPr>
    <w:tblStylePr w:type="firstRow">
      <w:rPr>
        <w:b/>
        <w:bCs/>
      </w:rPr>
    </w:tblStylePr>
    <w:tblStylePr w:type="lastRow">
      <w:rPr>
        <w:b/>
        <w:bCs/>
      </w:rPr>
      <w:tblPr/>
      <w:tcPr>
        <w:tcBorders>
          <w:top w:val="single" w:sz="18" w:space="0" w:color="7A808C" w:themeColor="accent6" w:themeTint="BF"/>
        </w:tcBorders>
      </w:tcPr>
    </w:tblStylePr>
    <w:tblStylePr w:type="firstCol">
      <w:rPr>
        <w:b/>
        <w:bCs/>
      </w:rPr>
    </w:tblStylePr>
    <w:tblStylePr w:type="lastCol">
      <w:rPr>
        <w:b/>
        <w:bCs/>
      </w:rPr>
    </w:tblStylePr>
    <w:tblStylePr w:type="band1Vert">
      <w:tblPr/>
      <w:tcPr>
        <w:shd w:val="clear" w:color="auto" w:fill="A7AAB3" w:themeFill="accent6" w:themeFillTint="7F"/>
      </w:tcPr>
    </w:tblStylePr>
    <w:tblStylePr w:type="band1Horz">
      <w:tblPr/>
      <w:tcPr>
        <w:shd w:val="clear" w:color="auto" w:fill="A7AAB3" w:themeFill="accent6" w:themeFillTint="7F"/>
      </w:tcPr>
    </w:tblStylePr>
  </w:style>
  <w:style w:type="table" w:styleId="MediumGrid2">
    <w:name w:val="Medium Grid 2"/>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54A5" w:themeColor="accent1"/>
        <w:left w:val="single" w:sz="8" w:space="0" w:color="3C54A5" w:themeColor="accent1"/>
        <w:bottom w:val="single" w:sz="8" w:space="0" w:color="3C54A5" w:themeColor="accent1"/>
        <w:right w:val="single" w:sz="8" w:space="0" w:color="3C54A5" w:themeColor="accent1"/>
        <w:insideH w:val="single" w:sz="8" w:space="0" w:color="3C54A5" w:themeColor="accent1"/>
        <w:insideV w:val="single" w:sz="8" w:space="0" w:color="3C54A5" w:themeColor="accent1"/>
      </w:tblBorders>
    </w:tblPr>
    <w:tcPr>
      <w:shd w:val="clear" w:color="auto" w:fill="CBD2EC" w:themeFill="accent1" w:themeFillTint="3F"/>
    </w:tcPr>
    <w:tblStylePr w:type="firstRow">
      <w:rPr>
        <w:b/>
        <w:bCs/>
        <w:color w:val="000000" w:themeColor="text1"/>
      </w:rPr>
      <w:tblPr/>
      <w:tcPr>
        <w:shd w:val="clear" w:color="auto" w:fill="EAED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DBEF" w:themeFill="accent1" w:themeFillTint="33"/>
      </w:tcPr>
    </w:tblStylePr>
    <w:tblStylePr w:type="band1Vert">
      <w:tblPr/>
      <w:tcPr>
        <w:shd w:val="clear" w:color="auto" w:fill="96A5D9" w:themeFill="accent1" w:themeFillTint="7F"/>
      </w:tcPr>
    </w:tblStylePr>
    <w:tblStylePr w:type="band1Horz">
      <w:tblPr/>
      <w:tcPr>
        <w:tcBorders>
          <w:insideH w:val="single" w:sz="6" w:space="0" w:color="3C54A5" w:themeColor="accent1"/>
          <w:insideV w:val="single" w:sz="6" w:space="0" w:color="3C54A5" w:themeColor="accent1"/>
        </w:tcBorders>
        <w:shd w:val="clear" w:color="auto" w:fill="96A5D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5861" w:themeColor="accent2"/>
        <w:left w:val="single" w:sz="8" w:space="0" w:color="545861" w:themeColor="accent2"/>
        <w:bottom w:val="single" w:sz="8" w:space="0" w:color="545861" w:themeColor="accent2"/>
        <w:right w:val="single" w:sz="8" w:space="0" w:color="545861" w:themeColor="accent2"/>
        <w:insideH w:val="single" w:sz="8" w:space="0" w:color="545861" w:themeColor="accent2"/>
        <w:insideV w:val="single" w:sz="8" w:space="0" w:color="545861" w:themeColor="accent2"/>
      </w:tblBorders>
    </w:tblPr>
    <w:tcPr>
      <w:shd w:val="clear" w:color="auto" w:fill="D3D5D9" w:themeFill="accent2" w:themeFillTint="3F"/>
    </w:tcPr>
    <w:tblStylePr w:type="firstRow">
      <w:rPr>
        <w:b/>
        <w:bCs/>
        <w:color w:val="000000" w:themeColor="text1"/>
      </w:rPr>
      <w:tblPr/>
      <w:tcPr>
        <w:shd w:val="clear" w:color="auto" w:fill="EDEE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DE0" w:themeFill="accent2" w:themeFillTint="33"/>
      </w:tcPr>
    </w:tblStylePr>
    <w:tblStylePr w:type="band1Vert">
      <w:tblPr/>
      <w:tcPr>
        <w:shd w:val="clear" w:color="auto" w:fill="A7AAB3" w:themeFill="accent2" w:themeFillTint="7F"/>
      </w:tcPr>
    </w:tblStylePr>
    <w:tblStylePr w:type="band1Horz">
      <w:tblPr/>
      <w:tcPr>
        <w:tcBorders>
          <w:insideH w:val="single" w:sz="6" w:space="0" w:color="545861" w:themeColor="accent2"/>
          <w:insideV w:val="single" w:sz="6" w:space="0" w:color="545861" w:themeColor="accent2"/>
        </w:tcBorders>
        <w:shd w:val="clear" w:color="auto" w:fill="A7AAB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A913" w:themeColor="accent3"/>
        <w:left w:val="single" w:sz="8" w:space="0" w:color="E9A913" w:themeColor="accent3"/>
        <w:bottom w:val="single" w:sz="8" w:space="0" w:color="E9A913" w:themeColor="accent3"/>
        <w:right w:val="single" w:sz="8" w:space="0" w:color="E9A913" w:themeColor="accent3"/>
        <w:insideH w:val="single" w:sz="8" w:space="0" w:color="E9A913" w:themeColor="accent3"/>
        <w:insideV w:val="single" w:sz="8" w:space="0" w:color="E9A913" w:themeColor="accent3"/>
      </w:tblBorders>
    </w:tblPr>
    <w:tcPr>
      <w:shd w:val="clear" w:color="auto" w:fill="FAE9C3" w:themeFill="accent3" w:themeFillTint="3F"/>
    </w:tcPr>
    <w:tblStylePr w:type="firstRow">
      <w:rPr>
        <w:b/>
        <w:bCs/>
        <w:color w:val="000000" w:themeColor="text1"/>
      </w:rPr>
      <w:tblPr/>
      <w:tcPr>
        <w:shd w:val="clear" w:color="auto" w:fill="FDF6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DCF" w:themeFill="accent3" w:themeFillTint="33"/>
      </w:tcPr>
    </w:tblStylePr>
    <w:tblStylePr w:type="band1Vert">
      <w:tblPr/>
      <w:tcPr>
        <w:shd w:val="clear" w:color="auto" w:fill="F5D488" w:themeFill="accent3" w:themeFillTint="7F"/>
      </w:tcPr>
    </w:tblStylePr>
    <w:tblStylePr w:type="band1Horz">
      <w:tblPr/>
      <w:tcPr>
        <w:tcBorders>
          <w:insideH w:val="single" w:sz="6" w:space="0" w:color="E9A913" w:themeColor="accent3"/>
          <w:insideV w:val="single" w:sz="6" w:space="0" w:color="E9A913" w:themeColor="accent3"/>
        </w:tcBorders>
        <w:shd w:val="clear" w:color="auto" w:fill="F5D48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22761" w:themeColor="accent4"/>
        <w:left w:val="single" w:sz="8" w:space="0" w:color="522761" w:themeColor="accent4"/>
        <w:bottom w:val="single" w:sz="8" w:space="0" w:color="522761" w:themeColor="accent4"/>
        <w:right w:val="single" w:sz="8" w:space="0" w:color="522761" w:themeColor="accent4"/>
        <w:insideH w:val="single" w:sz="8" w:space="0" w:color="522761" w:themeColor="accent4"/>
        <w:insideV w:val="single" w:sz="8" w:space="0" w:color="522761" w:themeColor="accent4"/>
      </w:tblBorders>
    </w:tblPr>
    <w:tcPr>
      <w:shd w:val="clear" w:color="auto" w:fill="DABCE4" w:themeFill="accent4" w:themeFillTint="3F"/>
    </w:tcPr>
    <w:tblStylePr w:type="firstRow">
      <w:rPr>
        <w:b/>
        <w:bCs/>
        <w:color w:val="000000" w:themeColor="text1"/>
      </w:rPr>
      <w:tblPr/>
      <w:tcPr>
        <w:shd w:val="clear" w:color="auto" w:fill="F0E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C9E9" w:themeFill="accent4" w:themeFillTint="33"/>
      </w:tcPr>
    </w:tblStylePr>
    <w:tblStylePr w:type="band1Vert">
      <w:tblPr/>
      <w:tcPr>
        <w:shd w:val="clear" w:color="auto" w:fill="B57AC9" w:themeFill="accent4" w:themeFillTint="7F"/>
      </w:tcPr>
    </w:tblStylePr>
    <w:tblStylePr w:type="band1Horz">
      <w:tblPr/>
      <w:tcPr>
        <w:tcBorders>
          <w:insideH w:val="single" w:sz="6" w:space="0" w:color="522761" w:themeColor="accent4"/>
          <w:insideV w:val="single" w:sz="6" w:space="0" w:color="522761" w:themeColor="accent4"/>
        </w:tcBorders>
        <w:shd w:val="clear" w:color="auto" w:fill="B57AC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54A5" w:themeColor="accent5"/>
        <w:left w:val="single" w:sz="8" w:space="0" w:color="3C54A5" w:themeColor="accent5"/>
        <w:bottom w:val="single" w:sz="8" w:space="0" w:color="3C54A5" w:themeColor="accent5"/>
        <w:right w:val="single" w:sz="8" w:space="0" w:color="3C54A5" w:themeColor="accent5"/>
        <w:insideH w:val="single" w:sz="8" w:space="0" w:color="3C54A5" w:themeColor="accent5"/>
        <w:insideV w:val="single" w:sz="8" w:space="0" w:color="3C54A5" w:themeColor="accent5"/>
      </w:tblBorders>
    </w:tblPr>
    <w:tcPr>
      <w:shd w:val="clear" w:color="auto" w:fill="CBD2EC" w:themeFill="accent5" w:themeFillTint="3F"/>
    </w:tcPr>
    <w:tblStylePr w:type="firstRow">
      <w:rPr>
        <w:b/>
        <w:bCs/>
        <w:color w:val="000000" w:themeColor="text1"/>
      </w:rPr>
      <w:tblPr/>
      <w:tcPr>
        <w:shd w:val="clear" w:color="auto" w:fill="EAED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DBEF" w:themeFill="accent5" w:themeFillTint="33"/>
      </w:tcPr>
    </w:tblStylePr>
    <w:tblStylePr w:type="band1Vert">
      <w:tblPr/>
      <w:tcPr>
        <w:shd w:val="clear" w:color="auto" w:fill="96A5D9" w:themeFill="accent5" w:themeFillTint="7F"/>
      </w:tcPr>
    </w:tblStylePr>
    <w:tblStylePr w:type="band1Horz">
      <w:tblPr/>
      <w:tcPr>
        <w:tcBorders>
          <w:insideH w:val="single" w:sz="6" w:space="0" w:color="3C54A5" w:themeColor="accent5"/>
          <w:insideV w:val="single" w:sz="6" w:space="0" w:color="3C54A5" w:themeColor="accent5"/>
        </w:tcBorders>
        <w:shd w:val="clear" w:color="auto" w:fill="96A5D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5861" w:themeColor="accent6"/>
        <w:left w:val="single" w:sz="8" w:space="0" w:color="545861" w:themeColor="accent6"/>
        <w:bottom w:val="single" w:sz="8" w:space="0" w:color="545861" w:themeColor="accent6"/>
        <w:right w:val="single" w:sz="8" w:space="0" w:color="545861" w:themeColor="accent6"/>
        <w:insideH w:val="single" w:sz="8" w:space="0" w:color="545861" w:themeColor="accent6"/>
        <w:insideV w:val="single" w:sz="8" w:space="0" w:color="545861" w:themeColor="accent6"/>
      </w:tblBorders>
    </w:tblPr>
    <w:tcPr>
      <w:shd w:val="clear" w:color="auto" w:fill="D3D5D9" w:themeFill="accent6" w:themeFillTint="3F"/>
    </w:tcPr>
    <w:tblStylePr w:type="firstRow">
      <w:rPr>
        <w:b/>
        <w:bCs/>
        <w:color w:val="000000" w:themeColor="text1"/>
      </w:rPr>
      <w:tblPr/>
      <w:tcPr>
        <w:shd w:val="clear" w:color="auto" w:fill="EDEE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DE0" w:themeFill="accent6" w:themeFillTint="33"/>
      </w:tcPr>
    </w:tblStylePr>
    <w:tblStylePr w:type="band1Vert">
      <w:tblPr/>
      <w:tcPr>
        <w:shd w:val="clear" w:color="auto" w:fill="A7AAB3" w:themeFill="accent6" w:themeFillTint="7F"/>
      </w:tcPr>
    </w:tblStylePr>
    <w:tblStylePr w:type="band1Horz">
      <w:tblPr/>
      <w:tcPr>
        <w:tcBorders>
          <w:insideH w:val="single" w:sz="6" w:space="0" w:color="545861" w:themeColor="accent6"/>
          <w:insideV w:val="single" w:sz="6" w:space="0" w:color="545861" w:themeColor="accent6"/>
        </w:tcBorders>
        <w:shd w:val="clear" w:color="auto" w:fill="A7AAB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2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54A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54A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54A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54A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A5D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A5D9" w:themeFill="accent1" w:themeFillTint="7F"/>
      </w:tcPr>
    </w:tblStylePr>
  </w:style>
  <w:style w:type="table" w:styleId="MediumGrid3-Accent2">
    <w:name w:val="Medium Grid 3 Accent 2"/>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5D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86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86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86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86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AAB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AAB3" w:themeFill="accent2" w:themeFillTint="7F"/>
      </w:tcPr>
    </w:tblStylePr>
  </w:style>
  <w:style w:type="table" w:styleId="MediumGrid3-Accent3">
    <w:name w:val="Medium Grid 3 Accent 3"/>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9C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A91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A91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A91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A91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D48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D488" w:themeFill="accent3" w:themeFillTint="7F"/>
      </w:tcPr>
    </w:tblStylePr>
  </w:style>
  <w:style w:type="table" w:styleId="MediumGrid3-Accent4">
    <w:name w:val="Medium Grid 3 Accent 4"/>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BC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2276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2276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2276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2276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7AC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7AC9" w:themeFill="accent4" w:themeFillTint="7F"/>
      </w:tcPr>
    </w:tblStylePr>
  </w:style>
  <w:style w:type="table" w:styleId="MediumGrid3-Accent5">
    <w:name w:val="Medium Grid 3 Accent 5"/>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2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54A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54A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54A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54A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A5D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A5D9" w:themeFill="accent5" w:themeFillTint="7F"/>
      </w:tcPr>
    </w:tblStylePr>
  </w:style>
  <w:style w:type="table" w:styleId="MediumGrid3-Accent6">
    <w:name w:val="Medium Grid 3 Accent 6"/>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5D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86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86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86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86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AAB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AAB3" w:themeFill="accent6" w:themeFillTint="7F"/>
      </w:tcPr>
    </w:tblStylePr>
  </w:style>
  <w:style w:type="table" w:styleId="MediumList1">
    <w:name w:val="Medium List 1"/>
    <w:basedOn w:val="TableNormal"/>
    <w:uiPriority w:val="65"/>
    <w:semiHidden/>
    <w:rsid w:val="003E273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C54A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E273C"/>
    <w:pPr>
      <w:spacing w:after="0" w:line="240" w:lineRule="auto"/>
    </w:pPr>
    <w:rPr>
      <w:color w:val="000000" w:themeColor="text1"/>
    </w:rPr>
    <w:tblPr>
      <w:tblStyleRowBandSize w:val="1"/>
      <w:tblStyleColBandSize w:val="1"/>
      <w:tblBorders>
        <w:top w:val="single" w:sz="8" w:space="0" w:color="3C54A5" w:themeColor="accent1"/>
        <w:bottom w:val="single" w:sz="8" w:space="0" w:color="3C54A5" w:themeColor="accent1"/>
      </w:tblBorders>
    </w:tblPr>
    <w:tblStylePr w:type="firstRow">
      <w:rPr>
        <w:rFonts w:asciiTheme="majorHAnsi" w:eastAsiaTheme="majorEastAsia" w:hAnsiTheme="majorHAnsi" w:cstheme="majorBidi"/>
      </w:rPr>
      <w:tblPr/>
      <w:tcPr>
        <w:tcBorders>
          <w:top w:val="nil"/>
          <w:bottom w:val="single" w:sz="8" w:space="0" w:color="3C54A5" w:themeColor="accent1"/>
        </w:tcBorders>
      </w:tcPr>
    </w:tblStylePr>
    <w:tblStylePr w:type="lastRow">
      <w:rPr>
        <w:b/>
        <w:bCs/>
        <w:color w:val="3C54A5" w:themeColor="text2"/>
      </w:rPr>
      <w:tblPr/>
      <w:tcPr>
        <w:tcBorders>
          <w:top w:val="single" w:sz="8" w:space="0" w:color="3C54A5" w:themeColor="accent1"/>
          <w:bottom w:val="single" w:sz="8" w:space="0" w:color="3C54A5" w:themeColor="accent1"/>
        </w:tcBorders>
      </w:tcPr>
    </w:tblStylePr>
    <w:tblStylePr w:type="firstCol">
      <w:rPr>
        <w:b/>
        <w:bCs/>
      </w:rPr>
    </w:tblStylePr>
    <w:tblStylePr w:type="lastCol">
      <w:rPr>
        <w:b/>
        <w:bCs/>
      </w:rPr>
      <w:tblPr/>
      <w:tcPr>
        <w:tcBorders>
          <w:top w:val="single" w:sz="8" w:space="0" w:color="3C54A5" w:themeColor="accent1"/>
          <w:bottom w:val="single" w:sz="8" w:space="0" w:color="3C54A5" w:themeColor="accent1"/>
        </w:tcBorders>
      </w:tcPr>
    </w:tblStylePr>
    <w:tblStylePr w:type="band1Vert">
      <w:tblPr/>
      <w:tcPr>
        <w:shd w:val="clear" w:color="auto" w:fill="CBD2EC" w:themeFill="accent1" w:themeFillTint="3F"/>
      </w:tcPr>
    </w:tblStylePr>
    <w:tblStylePr w:type="band1Horz">
      <w:tblPr/>
      <w:tcPr>
        <w:shd w:val="clear" w:color="auto" w:fill="CBD2EC" w:themeFill="accent1" w:themeFillTint="3F"/>
      </w:tcPr>
    </w:tblStylePr>
  </w:style>
  <w:style w:type="table" w:styleId="MediumList1-Accent2">
    <w:name w:val="Medium List 1 Accent 2"/>
    <w:basedOn w:val="TableNormal"/>
    <w:uiPriority w:val="65"/>
    <w:semiHidden/>
    <w:rsid w:val="003E273C"/>
    <w:pPr>
      <w:spacing w:after="0" w:line="240" w:lineRule="auto"/>
    </w:pPr>
    <w:rPr>
      <w:color w:val="000000" w:themeColor="text1"/>
    </w:rPr>
    <w:tblPr>
      <w:tblStyleRowBandSize w:val="1"/>
      <w:tblStyleColBandSize w:val="1"/>
      <w:tblBorders>
        <w:top w:val="single" w:sz="8" w:space="0" w:color="545861" w:themeColor="accent2"/>
        <w:bottom w:val="single" w:sz="8" w:space="0" w:color="545861" w:themeColor="accent2"/>
      </w:tblBorders>
    </w:tblPr>
    <w:tblStylePr w:type="firstRow">
      <w:rPr>
        <w:rFonts w:asciiTheme="majorHAnsi" w:eastAsiaTheme="majorEastAsia" w:hAnsiTheme="majorHAnsi" w:cstheme="majorBidi"/>
      </w:rPr>
      <w:tblPr/>
      <w:tcPr>
        <w:tcBorders>
          <w:top w:val="nil"/>
          <w:bottom w:val="single" w:sz="8" w:space="0" w:color="545861" w:themeColor="accent2"/>
        </w:tcBorders>
      </w:tcPr>
    </w:tblStylePr>
    <w:tblStylePr w:type="lastRow">
      <w:rPr>
        <w:b/>
        <w:bCs/>
        <w:color w:val="3C54A5" w:themeColor="text2"/>
      </w:rPr>
      <w:tblPr/>
      <w:tcPr>
        <w:tcBorders>
          <w:top w:val="single" w:sz="8" w:space="0" w:color="545861" w:themeColor="accent2"/>
          <w:bottom w:val="single" w:sz="8" w:space="0" w:color="545861" w:themeColor="accent2"/>
        </w:tcBorders>
      </w:tcPr>
    </w:tblStylePr>
    <w:tblStylePr w:type="firstCol">
      <w:rPr>
        <w:b/>
        <w:bCs/>
      </w:rPr>
    </w:tblStylePr>
    <w:tblStylePr w:type="lastCol">
      <w:rPr>
        <w:b/>
        <w:bCs/>
      </w:rPr>
      <w:tblPr/>
      <w:tcPr>
        <w:tcBorders>
          <w:top w:val="single" w:sz="8" w:space="0" w:color="545861" w:themeColor="accent2"/>
          <w:bottom w:val="single" w:sz="8" w:space="0" w:color="545861" w:themeColor="accent2"/>
        </w:tcBorders>
      </w:tcPr>
    </w:tblStylePr>
    <w:tblStylePr w:type="band1Vert">
      <w:tblPr/>
      <w:tcPr>
        <w:shd w:val="clear" w:color="auto" w:fill="D3D5D9" w:themeFill="accent2" w:themeFillTint="3F"/>
      </w:tcPr>
    </w:tblStylePr>
    <w:tblStylePr w:type="band1Horz">
      <w:tblPr/>
      <w:tcPr>
        <w:shd w:val="clear" w:color="auto" w:fill="D3D5D9" w:themeFill="accent2" w:themeFillTint="3F"/>
      </w:tcPr>
    </w:tblStylePr>
  </w:style>
  <w:style w:type="table" w:styleId="MediumList1-Accent3">
    <w:name w:val="Medium List 1 Accent 3"/>
    <w:basedOn w:val="TableNormal"/>
    <w:uiPriority w:val="65"/>
    <w:semiHidden/>
    <w:rsid w:val="003E273C"/>
    <w:pPr>
      <w:spacing w:after="0" w:line="240" w:lineRule="auto"/>
    </w:pPr>
    <w:rPr>
      <w:color w:val="000000" w:themeColor="text1"/>
    </w:rPr>
    <w:tblPr>
      <w:tblStyleRowBandSize w:val="1"/>
      <w:tblStyleColBandSize w:val="1"/>
      <w:tblBorders>
        <w:top w:val="single" w:sz="8" w:space="0" w:color="E9A913" w:themeColor="accent3"/>
        <w:bottom w:val="single" w:sz="8" w:space="0" w:color="E9A913" w:themeColor="accent3"/>
      </w:tblBorders>
    </w:tblPr>
    <w:tblStylePr w:type="firstRow">
      <w:rPr>
        <w:rFonts w:asciiTheme="majorHAnsi" w:eastAsiaTheme="majorEastAsia" w:hAnsiTheme="majorHAnsi" w:cstheme="majorBidi"/>
      </w:rPr>
      <w:tblPr/>
      <w:tcPr>
        <w:tcBorders>
          <w:top w:val="nil"/>
          <w:bottom w:val="single" w:sz="8" w:space="0" w:color="E9A913" w:themeColor="accent3"/>
        </w:tcBorders>
      </w:tcPr>
    </w:tblStylePr>
    <w:tblStylePr w:type="lastRow">
      <w:rPr>
        <w:b/>
        <w:bCs/>
        <w:color w:val="3C54A5" w:themeColor="text2"/>
      </w:rPr>
      <w:tblPr/>
      <w:tcPr>
        <w:tcBorders>
          <w:top w:val="single" w:sz="8" w:space="0" w:color="E9A913" w:themeColor="accent3"/>
          <w:bottom w:val="single" w:sz="8" w:space="0" w:color="E9A913" w:themeColor="accent3"/>
        </w:tcBorders>
      </w:tcPr>
    </w:tblStylePr>
    <w:tblStylePr w:type="firstCol">
      <w:rPr>
        <w:b/>
        <w:bCs/>
      </w:rPr>
    </w:tblStylePr>
    <w:tblStylePr w:type="lastCol">
      <w:rPr>
        <w:b/>
        <w:bCs/>
      </w:rPr>
      <w:tblPr/>
      <w:tcPr>
        <w:tcBorders>
          <w:top w:val="single" w:sz="8" w:space="0" w:color="E9A913" w:themeColor="accent3"/>
          <w:bottom w:val="single" w:sz="8" w:space="0" w:color="E9A913" w:themeColor="accent3"/>
        </w:tcBorders>
      </w:tcPr>
    </w:tblStylePr>
    <w:tblStylePr w:type="band1Vert">
      <w:tblPr/>
      <w:tcPr>
        <w:shd w:val="clear" w:color="auto" w:fill="FAE9C3" w:themeFill="accent3" w:themeFillTint="3F"/>
      </w:tcPr>
    </w:tblStylePr>
    <w:tblStylePr w:type="band1Horz">
      <w:tblPr/>
      <w:tcPr>
        <w:shd w:val="clear" w:color="auto" w:fill="FAE9C3" w:themeFill="accent3" w:themeFillTint="3F"/>
      </w:tcPr>
    </w:tblStylePr>
  </w:style>
  <w:style w:type="table" w:styleId="MediumList1-Accent4">
    <w:name w:val="Medium List 1 Accent 4"/>
    <w:basedOn w:val="TableNormal"/>
    <w:uiPriority w:val="65"/>
    <w:semiHidden/>
    <w:rsid w:val="003E273C"/>
    <w:pPr>
      <w:spacing w:after="0" w:line="240" w:lineRule="auto"/>
    </w:pPr>
    <w:rPr>
      <w:color w:val="000000" w:themeColor="text1"/>
    </w:rPr>
    <w:tblPr>
      <w:tblStyleRowBandSize w:val="1"/>
      <w:tblStyleColBandSize w:val="1"/>
      <w:tblBorders>
        <w:top w:val="single" w:sz="8" w:space="0" w:color="522761" w:themeColor="accent4"/>
        <w:bottom w:val="single" w:sz="8" w:space="0" w:color="522761" w:themeColor="accent4"/>
      </w:tblBorders>
    </w:tblPr>
    <w:tblStylePr w:type="firstRow">
      <w:rPr>
        <w:rFonts w:asciiTheme="majorHAnsi" w:eastAsiaTheme="majorEastAsia" w:hAnsiTheme="majorHAnsi" w:cstheme="majorBidi"/>
      </w:rPr>
      <w:tblPr/>
      <w:tcPr>
        <w:tcBorders>
          <w:top w:val="nil"/>
          <w:bottom w:val="single" w:sz="8" w:space="0" w:color="522761" w:themeColor="accent4"/>
        </w:tcBorders>
      </w:tcPr>
    </w:tblStylePr>
    <w:tblStylePr w:type="lastRow">
      <w:rPr>
        <w:b/>
        <w:bCs/>
        <w:color w:val="3C54A5" w:themeColor="text2"/>
      </w:rPr>
      <w:tblPr/>
      <w:tcPr>
        <w:tcBorders>
          <w:top w:val="single" w:sz="8" w:space="0" w:color="522761" w:themeColor="accent4"/>
          <w:bottom w:val="single" w:sz="8" w:space="0" w:color="522761" w:themeColor="accent4"/>
        </w:tcBorders>
      </w:tcPr>
    </w:tblStylePr>
    <w:tblStylePr w:type="firstCol">
      <w:rPr>
        <w:b/>
        <w:bCs/>
      </w:rPr>
    </w:tblStylePr>
    <w:tblStylePr w:type="lastCol">
      <w:rPr>
        <w:b/>
        <w:bCs/>
      </w:rPr>
      <w:tblPr/>
      <w:tcPr>
        <w:tcBorders>
          <w:top w:val="single" w:sz="8" w:space="0" w:color="522761" w:themeColor="accent4"/>
          <w:bottom w:val="single" w:sz="8" w:space="0" w:color="522761" w:themeColor="accent4"/>
        </w:tcBorders>
      </w:tcPr>
    </w:tblStylePr>
    <w:tblStylePr w:type="band1Vert">
      <w:tblPr/>
      <w:tcPr>
        <w:shd w:val="clear" w:color="auto" w:fill="DABCE4" w:themeFill="accent4" w:themeFillTint="3F"/>
      </w:tcPr>
    </w:tblStylePr>
    <w:tblStylePr w:type="band1Horz">
      <w:tblPr/>
      <w:tcPr>
        <w:shd w:val="clear" w:color="auto" w:fill="DABCE4" w:themeFill="accent4" w:themeFillTint="3F"/>
      </w:tcPr>
    </w:tblStylePr>
  </w:style>
  <w:style w:type="table" w:styleId="MediumList1-Accent5">
    <w:name w:val="Medium List 1 Accent 5"/>
    <w:basedOn w:val="TableNormal"/>
    <w:uiPriority w:val="65"/>
    <w:semiHidden/>
    <w:rsid w:val="003E273C"/>
    <w:pPr>
      <w:spacing w:after="0" w:line="240" w:lineRule="auto"/>
    </w:pPr>
    <w:rPr>
      <w:color w:val="000000" w:themeColor="text1"/>
    </w:rPr>
    <w:tblPr>
      <w:tblStyleRowBandSize w:val="1"/>
      <w:tblStyleColBandSize w:val="1"/>
      <w:tblBorders>
        <w:top w:val="single" w:sz="8" w:space="0" w:color="3C54A5" w:themeColor="accent5"/>
        <w:bottom w:val="single" w:sz="8" w:space="0" w:color="3C54A5" w:themeColor="accent5"/>
      </w:tblBorders>
    </w:tblPr>
    <w:tblStylePr w:type="firstRow">
      <w:rPr>
        <w:rFonts w:asciiTheme="majorHAnsi" w:eastAsiaTheme="majorEastAsia" w:hAnsiTheme="majorHAnsi" w:cstheme="majorBidi"/>
      </w:rPr>
      <w:tblPr/>
      <w:tcPr>
        <w:tcBorders>
          <w:top w:val="nil"/>
          <w:bottom w:val="single" w:sz="8" w:space="0" w:color="3C54A5" w:themeColor="accent5"/>
        </w:tcBorders>
      </w:tcPr>
    </w:tblStylePr>
    <w:tblStylePr w:type="lastRow">
      <w:rPr>
        <w:b/>
        <w:bCs/>
        <w:color w:val="3C54A5" w:themeColor="text2"/>
      </w:rPr>
      <w:tblPr/>
      <w:tcPr>
        <w:tcBorders>
          <w:top w:val="single" w:sz="8" w:space="0" w:color="3C54A5" w:themeColor="accent5"/>
          <w:bottom w:val="single" w:sz="8" w:space="0" w:color="3C54A5" w:themeColor="accent5"/>
        </w:tcBorders>
      </w:tcPr>
    </w:tblStylePr>
    <w:tblStylePr w:type="firstCol">
      <w:rPr>
        <w:b/>
        <w:bCs/>
      </w:rPr>
    </w:tblStylePr>
    <w:tblStylePr w:type="lastCol">
      <w:rPr>
        <w:b/>
        <w:bCs/>
      </w:rPr>
      <w:tblPr/>
      <w:tcPr>
        <w:tcBorders>
          <w:top w:val="single" w:sz="8" w:space="0" w:color="3C54A5" w:themeColor="accent5"/>
          <w:bottom w:val="single" w:sz="8" w:space="0" w:color="3C54A5" w:themeColor="accent5"/>
        </w:tcBorders>
      </w:tcPr>
    </w:tblStylePr>
    <w:tblStylePr w:type="band1Vert">
      <w:tblPr/>
      <w:tcPr>
        <w:shd w:val="clear" w:color="auto" w:fill="CBD2EC" w:themeFill="accent5" w:themeFillTint="3F"/>
      </w:tcPr>
    </w:tblStylePr>
    <w:tblStylePr w:type="band1Horz">
      <w:tblPr/>
      <w:tcPr>
        <w:shd w:val="clear" w:color="auto" w:fill="CBD2EC" w:themeFill="accent5" w:themeFillTint="3F"/>
      </w:tcPr>
    </w:tblStylePr>
  </w:style>
  <w:style w:type="table" w:styleId="MediumList1-Accent6">
    <w:name w:val="Medium List 1 Accent 6"/>
    <w:basedOn w:val="TableNormal"/>
    <w:uiPriority w:val="65"/>
    <w:semiHidden/>
    <w:rsid w:val="003E273C"/>
    <w:pPr>
      <w:spacing w:after="0" w:line="240" w:lineRule="auto"/>
    </w:pPr>
    <w:rPr>
      <w:color w:val="000000" w:themeColor="text1"/>
    </w:rPr>
    <w:tblPr>
      <w:tblStyleRowBandSize w:val="1"/>
      <w:tblStyleColBandSize w:val="1"/>
      <w:tblBorders>
        <w:top w:val="single" w:sz="8" w:space="0" w:color="545861" w:themeColor="accent6"/>
        <w:bottom w:val="single" w:sz="8" w:space="0" w:color="545861" w:themeColor="accent6"/>
      </w:tblBorders>
    </w:tblPr>
    <w:tblStylePr w:type="firstRow">
      <w:rPr>
        <w:rFonts w:asciiTheme="majorHAnsi" w:eastAsiaTheme="majorEastAsia" w:hAnsiTheme="majorHAnsi" w:cstheme="majorBidi"/>
      </w:rPr>
      <w:tblPr/>
      <w:tcPr>
        <w:tcBorders>
          <w:top w:val="nil"/>
          <w:bottom w:val="single" w:sz="8" w:space="0" w:color="545861" w:themeColor="accent6"/>
        </w:tcBorders>
      </w:tcPr>
    </w:tblStylePr>
    <w:tblStylePr w:type="lastRow">
      <w:rPr>
        <w:b/>
        <w:bCs/>
        <w:color w:val="3C54A5" w:themeColor="text2"/>
      </w:rPr>
      <w:tblPr/>
      <w:tcPr>
        <w:tcBorders>
          <w:top w:val="single" w:sz="8" w:space="0" w:color="545861" w:themeColor="accent6"/>
          <w:bottom w:val="single" w:sz="8" w:space="0" w:color="545861" w:themeColor="accent6"/>
        </w:tcBorders>
      </w:tcPr>
    </w:tblStylePr>
    <w:tblStylePr w:type="firstCol">
      <w:rPr>
        <w:b/>
        <w:bCs/>
      </w:rPr>
    </w:tblStylePr>
    <w:tblStylePr w:type="lastCol">
      <w:rPr>
        <w:b/>
        <w:bCs/>
      </w:rPr>
      <w:tblPr/>
      <w:tcPr>
        <w:tcBorders>
          <w:top w:val="single" w:sz="8" w:space="0" w:color="545861" w:themeColor="accent6"/>
          <w:bottom w:val="single" w:sz="8" w:space="0" w:color="545861" w:themeColor="accent6"/>
        </w:tcBorders>
      </w:tcPr>
    </w:tblStylePr>
    <w:tblStylePr w:type="band1Vert">
      <w:tblPr/>
      <w:tcPr>
        <w:shd w:val="clear" w:color="auto" w:fill="D3D5D9" w:themeFill="accent6" w:themeFillTint="3F"/>
      </w:tcPr>
    </w:tblStylePr>
    <w:tblStylePr w:type="band1Horz">
      <w:tblPr/>
      <w:tcPr>
        <w:shd w:val="clear" w:color="auto" w:fill="D3D5D9" w:themeFill="accent6" w:themeFillTint="3F"/>
      </w:tcPr>
    </w:tblStylePr>
  </w:style>
  <w:style w:type="table" w:styleId="MediumList2">
    <w:name w:val="Medium List 2"/>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54A5" w:themeColor="accent1"/>
        <w:left w:val="single" w:sz="8" w:space="0" w:color="3C54A5" w:themeColor="accent1"/>
        <w:bottom w:val="single" w:sz="8" w:space="0" w:color="3C54A5" w:themeColor="accent1"/>
        <w:right w:val="single" w:sz="8" w:space="0" w:color="3C54A5" w:themeColor="accent1"/>
      </w:tblBorders>
    </w:tblPr>
    <w:tblStylePr w:type="firstRow">
      <w:rPr>
        <w:sz w:val="24"/>
        <w:szCs w:val="24"/>
      </w:rPr>
      <w:tblPr/>
      <w:tcPr>
        <w:tcBorders>
          <w:top w:val="nil"/>
          <w:left w:val="nil"/>
          <w:bottom w:val="single" w:sz="24" w:space="0" w:color="3C54A5" w:themeColor="accent1"/>
          <w:right w:val="nil"/>
          <w:insideH w:val="nil"/>
          <w:insideV w:val="nil"/>
        </w:tcBorders>
        <w:shd w:val="clear" w:color="auto" w:fill="FFFFFF" w:themeFill="background1"/>
      </w:tcPr>
    </w:tblStylePr>
    <w:tblStylePr w:type="lastRow">
      <w:tblPr/>
      <w:tcPr>
        <w:tcBorders>
          <w:top w:val="single" w:sz="8" w:space="0" w:color="3C54A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54A5" w:themeColor="accent1"/>
          <w:insideH w:val="nil"/>
          <w:insideV w:val="nil"/>
        </w:tcBorders>
        <w:shd w:val="clear" w:color="auto" w:fill="FFFFFF" w:themeFill="background1"/>
      </w:tcPr>
    </w:tblStylePr>
    <w:tblStylePr w:type="lastCol">
      <w:tblPr/>
      <w:tcPr>
        <w:tcBorders>
          <w:top w:val="nil"/>
          <w:left w:val="single" w:sz="8" w:space="0" w:color="3C54A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2EC" w:themeFill="accent1" w:themeFillTint="3F"/>
      </w:tcPr>
    </w:tblStylePr>
    <w:tblStylePr w:type="band1Horz">
      <w:tblPr/>
      <w:tcPr>
        <w:tcBorders>
          <w:top w:val="nil"/>
          <w:bottom w:val="nil"/>
          <w:insideH w:val="nil"/>
          <w:insideV w:val="nil"/>
        </w:tcBorders>
        <w:shd w:val="clear" w:color="auto" w:fill="CBD2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5861" w:themeColor="accent2"/>
        <w:left w:val="single" w:sz="8" w:space="0" w:color="545861" w:themeColor="accent2"/>
        <w:bottom w:val="single" w:sz="8" w:space="0" w:color="545861" w:themeColor="accent2"/>
        <w:right w:val="single" w:sz="8" w:space="0" w:color="545861" w:themeColor="accent2"/>
      </w:tblBorders>
    </w:tblPr>
    <w:tblStylePr w:type="firstRow">
      <w:rPr>
        <w:sz w:val="24"/>
        <w:szCs w:val="24"/>
      </w:rPr>
      <w:tblPr/>
      <w:tcPr>
        <w:tcBorders>
          <w:top w:val="nil"/>
          <w:left w:val="nil"/>
          <w:bottom w:val="single" w:sz="24" w:space="0" w:color="545861" w:themeColor="accent2"/>
          <w:right w:val="nil"/>
          <w:insideH w:val="nil"/>
          <w:insideV w:val="nil"/>
        </w:tcBorders>
        <w:shd w:val="clear" w:color="auto" w:fill="FFFFFF" w:themeFill="background1"/>
      </w:tcPr>
    </w:tblStylePr>
    <w:tblStylePr w:type="lastRow">
      <w:tblPr/>
      <w:tcPr>
        <w:tcBorders>
          <w:top w:val="single" w:sz="8" w:space="0" w:color="54586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861" w:themeColor="accent2"/>
          <w:insideH w:val="nil"/>
          <w:insideV w:val="nil"/>
        </w:tcBorders>
        <w:shd w:val="clear" w:color="auto" w:fill="FFFFFF" w:themeFill="background1"/>
      </w:tcPr>
    </w:tblStylePr>
    <w:tblStylePr w:type="lastCol">
      <w:tblPr/>
      <w:tcPr>
        <w:tcBorders>
          <w:top w:val="nil"/>
          <w:left w:val="single" w:sz="8" w:space="0" w:color="54586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5D9" w:themeFill="accent2" w:themeFillTint="3F"/>
      </w:tcPr>
    </w:tblStylePr>
    <w:tblStylePr w:type="band1Horz">
      <w:tblPr/>
      <w:tcPr>
        <w:tcBorders>
          <w:top w:val="nil"/>
          <w:bottom w:val="nil"/>
          <w:insideH w:val="nil"/>
          <w:insideV w:val="nil"/>
        </w:tcBorders>
        <w:shd w:val="clear" w:color="auto" w:fill="D3D5D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A913" w:themeColor="accent3"/>
        <w:left w:val="single" w:sz="8" w:space="0" w:color="E9A913" w:themeColor="accent3"/>
        <w:bottom w:val="single" w:sz="8" w:space="0" w:color="E9A913" w:themeColor="accent3"/>
        <w:right w:val="single" w:sz="8" w:space="0" w:color="E9A913" w:themeColor="accent3"/>
      </w:tblBorders>
    </w:tblPr>
    <w:tblStylePr w:type="firstRow">
      <w:rPr>
        <w:sz w:val="24"/>
        <w:szCs w:val="24"/>
      </w:rPr>
      <w:tblPr/>
      <w:tcPr>
        <w:tcBorders>
          <w:top w:val="nil"/>
          <w:left w:val="nil"/>
          <w:bottom w:val="single" w:sz="24" w:space="0" w:color="E9A913" w:themeColor="accent3"/>
          <w:right w:val="nil"/>
          <w:insideH w:val="nil"/>
          <w:insideV w:val="nil"/>
        </w:tcBorders>
        <w:shd w:val="clear" w:color="auto" w:fill="FFFFFF" w:themeFill="background1"/>
      </w:tcPr>
    </w:tblStylePr>
    <w:tblStylePr w:type="lastRow">
      <w:tblPr/>
      <w:tcPr>
        <w:tcBorders>
          <w:top w:val="single" w:sz="8" w:space="0" w:color="E9A91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A913" w:themeColor="accent3"/>
          <w:insideH w:val="nil"/>
          <w:insideV w:val="nil"/>
        </w:tcBorders>
        <w:shd w:val="clear" w:color="auto" w:fill="FFFFFF" w:themeFill="background1"/>
      </w:tcPr>
    </w:tblStylePr>
    <w:tblStylePr w:type="lastCol">
      <w:tblPr/>
      <w:tcPr>
        <w:tcBorders>
          <w:top w:val="nil"/>
          <w:left w:val="single" w:sz="8" w:space="0" w:color="E9A91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9C3" w:themeFill="accent3" w:themeFillTint="3F"/>
      </w:tcPr>
    </w:tblStylePr>
    <w:tblStylePr w:type="band1Horz">
      <w:tblPr/>
      <w:tcPr>
        <w:tcBorders>
          <w:top w:val="nil"/>
          <w:bottom w:val="nil"/>
          <w:insideH w:val="nil"/>
          <w:insideV w:val="nil"/>
        </w:tcBorders>
        <w:shd w:val="clear" w:color="auto" w:fill="FAE9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22761" w:themeColor="accent4"/>
        <w:left w:val="single" w:sz="8" w:space="0" w:color="522761" w:themeColor="accent4"/>
        <w:bottom w:val="single" w:sz="8" w:space="0" w:color="522761" w:themeColor="accent4"/>
        <w:right w:val="single" w:sz="8" w:space="0" w:color="522761" w:themeColor="accent4"/>
      </w:tblBorders>
    </w:tblPr>
    <w:tblStylePr w:type="firstRow">
      <w:rPr>
        <w:sz w:val="24"/>
        <w:szCs w:val="24"/>
      </w:rPr>
      <w:tblPr/>
      <w:tcPr>
        <w:tcBorders>
          <w:top w:val="nil"/>
          <w:left w:val="nil"/>
          <w:bottom w:val="single" w:sz="24" w:space="0" w:color="522761" w:themeColor="accent4"/>
          <w:right w:val="nil"/>
          <w:insideH w:val="nil"/>
          <w:insideV w:val="nil"/>
        </w:tcBorders>
        <w:shd w:val="clear" w:color="auto" w:fill="FFFFFF" w:themeFill="background1"/>
      </w:tcPr>
    </w:tblStylePr>
    <w:tblStylePr w:type="lastRow">
      <w:tblPr/>
      <w:tcPr>
        <w:tcBorders>
          <w:top w:val="single" w:sz="8" w:space="0" w:color="52276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22761" w:themeColor="accent4"/>
          <w:insideH w:val="nil"/>
          <w:insideV w:val="nil"/>
        </w:tcBorders>
        <w:shd w:val="clear" w:color="auto" w:fill="FFFFFF" w:themeFill="background1"/>
      </w:tcPr>
    </w:tblStylePr>
    <w:tblStylePr w:type="lastCol">
      <w:tblPr/>
      <w:tcPr>
        <w:tcBorders>
          <w:top w:val="nil"/>
          <w:left w:val="single" w:sz="8" w:space="0" w:color="52276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BCE4" w:themeFill="accent4" w:themeFillTint="3F"/>
      </w:tcPr>
    </w:tblStylePr>
    <w:tblStylePr w:type="band1Horz">
      <w:tblPr/>
      <w:tcPr>
        <w:tcBorders>
          <w:top w:val="nil"/>
          <w:bottom w:val="nil"/>
          <w:insideH w:val="nil"/>
          <w:insideV w:val="nil"/>
        </w:tcBorders>
        <w:shd w:val="clear" w:color="auto" w:fill="DABC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54A5" w:themeColor="accent5"/>
        <w:left w:val="single" w:sz="8" w:space="0" w:color="3C54A5" w:themeColor="accent5"/>
        <w:bottom w:val="single" w:sz="8" w:space="0" w:color="3C54A5" w:themeColor="accent5"/>
        <w:right w:val="single" w:sz="8" w:space="0" w:color="3C54A5" w:themeColor="accent5"/>
      </w:tblBorders>
    </w:tblPr>
    <w:tblStylePr w:type="firstRow">
      <w:rPr>
        <w:sz w:val="24"/>
        <w:szCs w:val="24"/>
      </w:rPr>
      <w:tblPr/>
      <w:tcPr>
        <w:tcBorders>
          <w:top w:val="nil"/>
          <w:left w:val="nil"/>
          <w:bottom w:val="single" w:sz="24" w:space="0" w:color="3C54A5" w:themeColor="accent5"/>
          <w:right w:val="nil"/>
          <w:insideH w:val="nil"/>
          <w:insideV w:val="nil"/>
        </w:tcBorders>
        <w:shd w:val="clear" w:color="auto" w:fill="FFFFFF" w:themeFill="background1"/>
      </w:tcPr>
    </w:tblStylePr>
    <w:tblStylePr w:type="lastRow">
      <w:tblPr/>
      <w:tcPr>
        <w:tcBorders>
          <w:top w:val="single" w:sz="8" w:space="0" w:color="3C54A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54A5" w:themeColor="accent5"/>
          <w:insideH w:val="nil"/>
          <w:insideV w:val="nil"/>
        </w:tcBorders>
        <w:shd w:val="clear" w:color="auto" w:fill="FFFFFF" w:themeFill="background1"/>
      </w:tcPr>
    </w:tblStylePr>
    <w:tblStylePr w:type="lastCol">
      <w:tblPr/>
      <w:tcPr>
        <w:tcBorders>
          <w:top w:val="nil"/>
          <w:left w:val="single" w:sz="8" w:space="0" w:color="3C54A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2EC" w:themeFill="accent5" w:themeFillTint="3F"/>
      </w:tcPr>
    </w:tblStylePr>
    <w:tblStylePr w:type="band1Horz">
      <w:tblPr/>
      <w:tcPr>
        <w:tcBorders>
          <w:top w:val="nil"/>
          <w:bottom w:val="nil"/>
          <w:insideH w:val="nil"/>
          <w:insideV w:val="nil"/>
        </w:tcBorders>
        <w:shd w:val="clear" w:color="auto" w:fill="CBD2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5861" w:themeColor="accent6"/>
        <w:left w:val="single" w:sz="8" w:space="0" w:color="545861" w:themeColor="accent6"/>
        <w:bottom w:val="single" w:sz="8" w:space="0" w:color="545861" w:themeColor="accent6"/>
        <w:right w:val="single" w:sz="8" w:space="0" w:color="545861" w:themeColor="accent6"/>
      </w:tblBorders>
    </w:tblPr>
    <w:tblStylePr w:type="firstRow">
      <w:rPr>
        <w:sz w:val="24"/>
        <w:szCs w:val="24"/>
      </w:rPr>
      <w:tblPr/>
      <w:tcPr>
        <w:tcBorders>
          <w:top w:val="nil"/>
          <w:left w:val="nil"/>
          <w:bottom w:val="single" w:sz="24" w:space="0" w:color="545861" w:themeColor="accent6"/>
          <w:right w:val="nil"/>
          <w:insideH w:val="nil"/>
          <w:insideV w:val="nil"/>
        </w:tcBorders>
        <w:shd w:val="clear" w:color="auto" w:fill="FFFFFF" w:themeFill="background1"/>
      </w:tcPr>
    </w:tblStylePr>
    <w:tblStylePr w:type="lastRow">
      <w:tblPr/>
      <w:tcPr>
        <w:tcBorders>
          <w:top w:val="single" w:sz="8" w:space="0" w:color="54586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861" w:themeColor="accent6"/>
          <w:insideH w:val="nil"/>
          <w:insideV w:val="nil"/>
        </w:tcBorders>
        <w:shd w:val="clear" w:color="auto" w:fill="FFFFFF" w:themeFill="background1"/>
      </w:tcPr>
    </w:tblStylePr>
    <w:tblStylePr w:type="lastCol">
      <w:tblPr/>
      <w:tcPr>
        <w:tcBorders>
          <w:top w:val="nil"/>
          <w:left w:val="single" w:sz="8" w:space="0" w:color="54586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5D9" w:themeFill="accent6" w:themeFillTint="3F"/>
      </w:tcPr>
    </w:tblStylePr>
    <w:tblStylePr w:type="band1Horz">
      <w:tblPr/>
      <w:tcPr>
        <w:tcBorders>
          <w:top w:val="nil"/>
          <w:bottom w:val="nil"/>
          <w:insideH w:val="nil"/>
          <w:insideV w:val="nil"/>
        </w:tcBorders>
        <w:shd w:val="clear" w:color="auto" w:fill="D3D5D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E273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E273C"/>
    <w:pPr>
      <w:spacing w:after="0" w:line="240" w:lineRule="auto"/>
    </w:pPr>
    <w:tblPr>
      <w:tblStyleRowBandSize w:val="1"/>
      <w:tblStyleColBandSize w:val="1"/>
      <w:tblBorders>
        <w:top w:val="single" w:sz="8" w:space="0" w:color="6278C6" w:themeColor="accent1" w:themeTint="BF"/>
        <w:left w:val="single" w:sz="8" w:space="0" w:color="6278C6" w:themeColor="accent1" w:themeTint="BF"/>
        <w:bottom w:val="single" w:sz="8" w:space="0" w:color="6278C6" w:themeColor="accent1" w:themeTint="BF"/>
        <w:right w:val="single" w:sz="8" w:space="0" w:color="6278C6" w:themeColor="accent1" w:themeTint="BF"/>
        <w:insideH w:val="single" w:sz="8" w:space="0" w:color="6278C6" w:themeColor="accent1" w:themeTint="BF"/>
      </w:tblBorders>
    </w:tblPr>
    <w:tblStylePr w:type="firstRow">
      <w:pPr>
        <w:spacing w:before="0" w:after="0" w:line="240" w:lineRule="auto"/>
      </w:pPr>
      <w:rPr>
        <w:b/>
        <w:bCs/>
        <w:color w:val="FFFFFF" w:themeColor="background1"/>
      </w:rPr>
      <w:tblPr/>
      <w:tcPr>
        <w:tcBorders>
          <w:top w:val="single" w:sz="8" w:space="0" w:color="6278C6" w:themeColor="accent1" w:themeTint="BF"/>
          <w:left w:val="single" w:sz="8" w:space="0" w:color="6278C6" w:themeColor="accent1" w:themeTint="BF"/>
          <w:bottom w:val="single" w:sz="8" w:space="0" w:color="6278C6" w:themeColor="accent1" w:themeTint="BF"/>
          <w:right w:val="single" w:sz="8" w:space="0" w:color="6278C6" w:themeColor="accent1" w:themeTint="BF"/>
          <w:insideH w:val="nil"/>
          <w:insideV w:val="nil"/>
        </w:tcBorders>
        <w:shd w:val="clear" w:color="auto" w:fill="3C54A5" w:themeFill="accent1"/>
      </w:tcPr>
    </w:tblStylePr>
    <w:tblStylePr w:type="lastRow">
      <w:pPr>
        <w:spacing w:before="0" w:after="0" w:line="240" w:lineRule="auto"/>
      </w:pPr>
      <w:rPr>
        <w:b/>
        <w:bCs/>
      </w:rPr>
      <w:tblPr/>
      <w:tcPr>
        <w:tcBorders>
          <w:top w:val="double" w:sz="6" w:space="0" w:color="6278C6" w:themeColor="accent1" w:themeTint="BF"/>
          <w:left w:val="single" w:sz="8" w:space="0" w:color="6278C6" w:themeColor="accent1" w:themeTint="BF"/>
          <w:bottom w:val="single" w:sz="8" w:space="0" w:color="6278C6" w:themeColor="accent1" w:themeTint="BF"/>
          <w:right w:val="single" w:sz="8" w:space="0" w:color="6278C6" w:themeColor="accent1" w:themeTint="BF"/>
          <w:insideH w:val="nil"/>
          <w:insideV w:val="nil"/>
        </w:tcBorders>
      </w:tcPr>
    </w:tblStylePr>
    <w:tblStylePr w:type="firstCol">
      <w:rPr>
        <w:b/>
        <w:bCs/>
      </w:rPr>
    </w:tblStylePr>
    <w:tblStylePr w:type="lastCol">
      <w:rPr>
        <w:b/>
        <w:bCs/>
      </w:rPr>
    </w:tblStylePr>
    <w:tblStylePr w:type="band1Vert">
      <w:tblPr/>
      <w:tcPr>
        <w:shd w:val="clear" w:color="auto" w:fill="CBD2EC" w:themeFill="accent1" w:themeFillTint="3F"/>
      </w:tcPr>
    </w:tblStylePr>
    <w:tblStylePr w:type="band1Horz">
      <w:tblPr/>
      <w:tcPr>
        <w:tcBorders>
          <w:insideH w:val="nil"/>
          <w:insideV w:val="nil"/>
        </w:tcBorders>
        <w:shd w:val="clear" w:color="auto" w:fill="CBD2E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E273C"/>
    <w:pPr>
      <w:spacing w:after="0" w:line="240" w:lineRule="auto"/>
    </w:pPr>
    <w:tblPr>
      <w:tblStyleRowBandSize w:val="1"/>
      <w:tblStyleColBandSize w:val="1"/>
      <w:tblBorders>
        <w:top w:val="single" w:sz="8" w:space="0" w:color="7A808C" w:themeColor="accent2" w:themeTint="BF"/>
        <w:left w:val="single" w:sz="8" w:space="0" w:color="7A808C" w:themeColor="accent2" w:themeTint="BF"/>
        <w:bottom w:val="single" w:sz="8" w:space="0" w:color="7A808C" w:themeColor="accent2" w:themeTint="BF"/>
        <w:right w:val="single" w:sz="8" w:space="0" w:color="7A808C" w:themeColor="accent2" w:themeTint="BF"/>
        <w:insideH w:val="single" w:sz="8" w:space="0" w:color="7A808C" w:themeColor="accent2" w:themeTint="BF"/>
      </w:tblBorders>
    </w:tblPr>
    <w:tblStylePr w:type="firstRow">
      <w:pPr>
        <w:spacing w:before="0" w:after="0" w:line="240" w:lineRule="auto"/>
      </w:pPr>
      <w:rPr>
        <w:b/>
        <w:bCs/>
        <w:color w:val="FFFFFF" w:themeColor="background1"/>
      </w:rPr>
      <w:tblPr/>
      <w:tcPr>
        <w:tcBorders>
          <w:top w:val="single" w:sz="8" w:space="0" w:color="7A808C" w:themeColor="accent2" w:themeTint="BF"/>
          <w:left w:val="single" w:sz="8" w:space="0" w:color="7A808C" w:themeColor="accent2" w:themeTint="BF"/>
          <w:bottom w:val="single" w:sz="8" w:space="0" w:color="7A808C" w:themeColor="accent2" w:themeTint="BF"/>
          <w:right w:val="single" w:sz="8" w:space="0" w:color="7A808C" w:themeColor="accent2" w:themeTint="BF"/>
          <w:insideH w:val="nil"/>
          <w:insideV w:val="nil"/>
        </w:tcBorders>
        <w:shd w:val="clear" w:color="auto" w:fill="545861" w:themeFill="accent2"/>
      </w:tcPr>
    </w:tblStylePr>
    <w:tblStylePr w:type="lastRow">
      <w:pPr>
        <w:spacing w:before="0" w:after="0" w:line="240" w:lineRule="auto"/>
      </w:pPr>
      <w:rPr>
        <w:b/>
        <w:bCs/>
      </w:rPr>
      <w:tblPr/>
      <w:tcPr>
        <w:tcBorders>
          <w:top w:val="double" w:sz="6" w:space="0" w:color="7A808C" w:themeColor="accent2" w:themeTint="BF"/>
          <w:left w:val="single" w:sz="8" w:space="0" w:color="7A808C" w:themeColor="accent2" w:themeTint="BF"/>
          <w:bottom w:val="single" w:sz="8" w:space="0" w:color="7A808C" w:themeColor="accent2" w:themeTint="BF"/>
          <w:right w:val="single" w:sz="8" w:space="0" w:color="7A808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3D5D9" w:themeFill="accent2" w:themeFillTint="3F"/>
      </w:tcPr>
    </w:tblStylePr>
    <w:tblStylePr w:type="band1Horz">
      <w:tblPr/>
      <w:tcPr>
        <w:tcBorders>
          <w:insideH w:val="nil"/>
          <w:insideV w:val="nil"/>
        </w:tcBorders>
        <w:shd w:val="clear" w:color="auto" w:fill="D3D5D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E273C"/>
    <w:pPr>
      <w:spacing w:after="0" w:line="240" w:lineRule="auto"/>
    </w:pPr>
    <w:tblPr>
      <w:tblStyleRowBandSize w:val="1"/>
      <w:tblStyleColBandSize w:val="1"/>
      <w:tblBorders>
        <w:top w:val="single" w:sz="8" w:space="0" w:color="F0BE4C" w:themeColor="accent3" w:themeTint="BF"/>
        <w:left w:val="single" w:sz="8" w:space="0" w:color="F0BE4C" w:themeColor="accent3" w:themeTint="BF"/>
        <w:bottom w:val="single" w:sz="8" w:space="0" w:color="F0BE4C" w:themeColor="accent3" w:themeTint="BF"/>
        <w:right w:val="single" w:sz="8" w:space="0" w:color="F0BE4C" w:themeColor="accent3" w:themeTint="BF"/>
        <w:insideH w:val="single" w:sz="8" w:space="0" w:color="F0BE4C" w:themeColor="accent3" w:themeTint="BF"/>
      </w:tblBorders>
    </w:tblPr>
    <w:tblStylePr w:type="firstRow">
      <w:pPr>
        <w:spacing w:before="0" w:after="0" w:line="240" w:lineRule="auto"/>
      </w:pPr>
      <w:rPr>
        <w:b/>
        <w:bCs/>
        <w:color w:val="FFFFFF" w:themeColor="background1"/>
      </w:rPr>
      <w:tblPr/>
      <w:tcPr>
        <w:tcBorders>
          <w:top w:val="single" w:sz="8" w:space="0" w:color="F0BE4C" w:themeColor="accent3" w:themeTint="BF"/>
          <w:left w:val="single" w:sz="8" w:space="0" w:color="F0BE4C" w:themeColor="accent3" w:themeTint="BF"/>
          <w:bottom w:val="single" w:sz="8" w:space="0" w:color="F0BE4C" w:themeColor="accent3" w:themeTint="BF"/>
          <w:right w:val="single" w:sz="8" w:space="0" w:color="F0BE4C" w:themeColor="accent3" w:themeTint="BF"/>
          <w:insideH w:val="nil"/>
          <w:insideV w:val="nil"/>
        </w:tcBorders>
        <w:shd w:val="clear" w:color="auto" w:fill="E9A913" w:themeFill="accent3"/>
      </w:tcPr>
    </w:tblStylePr>
    <w:tblStylePr w:type="lastRow">
      <w:pPr>
        <w:spacing w:before="0" w:after="0" w:line="240" w:lineRule="auto"/>
      </w:pPr>
      <w:rPr>
        <w:b/>
        <w:bCs/>
      </w:rPr>
      <w:tblPr/>
      <w:tcPr>
        <w:tcBorders>
          <w:top w:val="double" w:sz="6" w:space="0" w:color="F0BE4C" w:themeColor="accent3" w:themeTint="BF"/>
          <w:left w:val="single" w:sz="8" w:space="0" w:color="F0BE4C" w:themeColor="accent3" w:themeTint="BF"/>
          <w:bottom w:val="single" w:sz="8" w:space="0" w:color="F0BE4C" w:themeColor="accent3" w:themeTint="BF"/>
          <w:right w:val="single" w:sz="8" w:space="0" w:color="F0BE4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E9C3" w:themeFill="accent3" w:themeFillTint="3F"/>
      </w:tcPr>
    </w:tblStylePr>
    <w:tblStylePr w:type="band1Horz">
      <w:tblPr/>
      <w:tcPr>
        <w:tcBorders>
          <w:insideH w:val="nil"/>
          <w:insideV w:val="nil"/>
        </w:tcBorders>
        <w:shd w:val="clear" w:color="auto" w:fill="FAE9C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E273C"/>
    <w:pPr>
      <w:spacing w:after="0" w:line="240" w:lineRule="auto"/>
    </w:pPr>
    <w:tblPr>
      <w:tblStyleRowBandSize w:val="1"/>
      <w:tblStyleColBandSize w:val="1"/>
      <w:tblBorders>
        <w:top w:val="single" w:sz="8" w:space="0" w:color="8A42A3" w:themeColor="accent4" w:themeTint="BF"/>
        <w:left w:val="single" w:sz="8" w:space="0" w:color="8A42A3" w:themeColor="accent4" w:themeTint="BF"/>
        <w:bottom w:val="single" w:sz="8" w:space="0" w:color="8A42A3" w:themeColor="accent4" w:themeTint="BF"/>
        <w:right w:val="single" w:sz="8" w:space="0" w:color="8A42A3" w:themeColor="accent4" w:themeTint="BF"/>
        <w:insideH w:val="single" w:sz="8" w:space="0" w:color="8A42A3" w:themeColor="accent4" w:themeTint="BF"/>
      </w:tblBorders>
    </w:tblPr>
    <w:tblStylePr w:type="firstRow">
      <w:pPr>
        <w:spacing w:before="0" w:after="0" w:line="240" w:lineRule="auto"/>
      </w:pPr>
      <w:rPr>
        <w:b/>
        <w:bCs/>
        <w:color w:val="FFFFFF" w:themeColor="background1"/>
      </w:rPr>
      <w:tblPr/>
      <w:tcPr>
        <w:tcBorders>
          <w:top w:val="single" w:sz="8" w:space="0" w:color="8A42A3" w:themeColor="accent4" w:themeTint="BF"/>
          <w:left w:val="single" w:sz="8" w:space="0" w:color="8A42A3" w:themeColor="accent4" w:themeTint="BF"/>
          <w:bottom w:val="single" w:sz="8" w:space="0" w:color="8A42A3" w:themeColor="accent4" w:themeTint="BF"/>
          <w:right w:val="single" w:sz="8" w:space="0" w:color="8A42A3" w:themeColor="accent4" w:themeTint="BF"/>
          <w:insideH w:val="nil"/>
          <w:insideV w:val="nil"/>
        </w:tcBorders>
        <w:shd w:val="clear" w:color="auto" w:fill="522761" w:themeFill="accent4"/>
      </w:tcPr>
    </w:tblStylePr>
    <w:tblStylePr w:type="lastRow">
      <w:pPr>
        <w:spacing w:before="0" w:after="0" w:line="240" w:lineRule="auto"/>
      </w:pPr>
      <w:rPr>
        <w:b/>
        <w:bCs/>
      </w:rPr>
      <w:tblPr/>
      <w:tcPr>
        <w:tcBorders>
          <w:top w:val="double" w:sz="6" w:space="0" w:color="8A42A3" w:themeColor="accent4" w:themeTint="BF"/>
          <w:left w:val="single" w:sz="8" w:space="0" w:color="8A42A3" w:themeColor="accent4" w:themeTint="BF"/>
          <w:bottom w:val="single" w:sz="8" w:space="0" w:color="8A42A3" w:themeColor="accent4" w:themeTint="BF"/>
          <w:right w:val="single" w:sz="8" w:space="0" w:color="8A42A3" w:themeColor="accent4" w:themeTint="BF"/>
          <w:insideH w:val="nil"/>
          <w:insideV w:val="nil"/>
        </w:tcBorders>
      </w:tcPr>
    </w:tblStylePr>
    <w:tblStylePr w:type="firstCol">
      <w:rPr>
        <w:b/>
        <w:bCs/>
      </w:rPr>
    </w:tblStylePr>
    <w:tblStylePr w:type="lastCol">
      <w:rPr>
        <w:b/>
        <w:bCs/>
      </w:rPr>
    </w:tblStylePr>
    <w:tblStylePr w:type="band1Vert">
      <w:tblPr/>
      <w:tcPr>
        <w:shd w:val="clear" w:color="auto" w:fill="DABCE4" w:themeFill="accent4" w:themeFillTint="3F"/>
      </w:tcPr>
    </w:tblStylePr>
    <w:tblStylePr w:type="band1Horz">
      <w:tblPr/>
      <w:tcPr>
        <w:tcBorders>
          <w:insideH w:val="nil"/>
          <w:insideV w:val="nil"/>
        </w:tcBorders>
        <w:shd w:val="clear" w:color="auto" w:fill="DABC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E273C"/>
    <w:pPr>
      <w:spacing w:after="0" w:line="240" w:lineRule="auto"/>
    </w:pPr>
    <w:tblPr>
      <w:tblStyleRowBandSize w:val="1"/>
      <w:tblStyleColBandSize w:val="1"/>
      <w:tblBorders>
        <w:top w:val="single" w:sz="8" w:space="0" w:color="6278C6" w:themeColor="accent5" w:themeTint="BF"/>
        <w:left w:val="single" w:sz="8" w:space="0" w:color="6278C6" w:themeColor="accent5" w:themeTint="BF"/>
        <w:bottom w:val="single" w:sz="8" w:space="0" w:color="6278C6" w:themeColor="accent5" w:themeTint="BF"/>
        <w:right w:val="single" w:sz="8" w:space="0" w:color="6278C6" w:themeColor="accent5" w:themeTint="BF"/>
        <w:insideH w:val="single" w:sz="8" w:space="0" w:color="6278C6" w:themeColor="accent5" w:themeTint="BF"/>
      </w:tblBorders>
    </w:tblPr>
    <w:tblStylePr w:type="firstRow">
      <w:pPr>
        <w:spacing w:before="0" w:after="0" w:line="240" w:lineRule="auto"/>
      </w:pPr>
      <w:rPr>
        <w:b/>
        <w:bCs/>
        <w:color w:val="FFFFFF" w:themeColor="background1"/>
      </w:rPr>
      <w:tblPr/>
      <w:tcPr>
        <w:tcBorders>
          <w:top w:val="single" w:sz="8" w:space="0" w:color="6278C6" w:themeColor="accent5" w:themeTint="BF"/>
          <w:left w:val="single" w:sz="8" w:space="0" w:color="6278C6" w:themeColor="accent5" w:themeTint="BF"/>
          <w:bottom w:val="single" w:sz="8" w:space="0" w:color="6278C6" w:themeColor="accent5" w:themeTint="BF"/>
          <w:right w:val="single" w:sz="8" w:space="0" w:color="6278C6" w:themeColor="accent5" w:themeTint="BF"/>
          <w:insideH w:val="nil"/>
          <w:insideV w:val="nil"/>
        </w:tcBorders>
        <w:shd w:val="clear" w:color="auto" w:fill="3C54A5" w:themeFill="accent5"/>
      </w:tcPr>
    </w:tblStylePr>
    <w:tblStylePr w:type="lastRow">
      <w:pPr>
        <w:spacing w:before="0" w:after="0" w:line="240" w:lineRule="auto"/>
      </w:pPr>
      <w:rPr>
        <w:b/>
        <w:bCs/>
      </w:rPr>
      <w:tblPr/>
      <w:tcPr>
        <w:tcBorders>
          <w:top w:val="double" w:sz="6" w:space="0" w:color="6278C6" w:themeColor="accent5" w:themeTint="BF"/>
          <w:left w:val="single" w:sz="8" w:space="0" w:color="6278C6" w:themeColor="accent5" w:themeTint="BF"/>
          <w:bottom w:val="single" w:sz="8" w:space="0" w:color="6278C6" w:themeColor="accent5" w:themeTint="BF"/>
          <w:right w:val="single" w:sz="8" w:space="0" w:color="6278C6" w:themeColor="accent5" w:themeTint="BF"/>
          <w:insideH w:val="nil"/>
          <w:insideV w:val="nil"/>
        </w:tcBorders>
      </w:tcPr>
    </w:tblStylePr>
    <w:tblStylePr w:type="firstCol">
      <w:rPr>
        <w:b/>
        <w:bCs/>
      </w:rPr>
    </w:tblStylePr>
    <w:tblStylePr w:type="lastCol">
      <w:rPr>
        <w:b/>
        <w:bCs/>
      </w:rPr>
    </w:tblStylePr>
    <w:tblStylePr w:type="band1Vert">
      <w:tblPr/>
      <w:tcPr>
        <w:shd w:val="clear" w:color="auto" w:fill="CBD2EC" w:themeFill="accent5" w:themeFillTint="3F"/>
      </w:tcPr>
    </w:tblStylePr>
    <w:tblStylePr w:type="band1Horz">
      <w:tblPr/>
      <w:tcPr>
        <w:tcBorders>
          <w:insideH w:val="nil"/>
          <w:insideV w:val="nil"/>
        </w:tcBorders>
        <w:shd w:val="clear" w:color="auto" w:fill="CBD2E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E273C"/>
    <w:pPr>
      <w:spacing w:after="0" w:line="240" w:lineRule="auto"/>
    </w:pPr>
    <w:tblPr>
      <w:tblStyleRowBandSize w:val="1"/>
      <w:tblStyleColBandSize w:val="1"/>
      <w:tblBorders>
        <w:top w:val="single" w:sz="8" w:space="0" w:color="7A808C" w:themeColor="accent6" w:themeTint="BF"/>
        <w:left w:val="single" w:sz="8" w:space="0" w:color="7A808C" w:themeColor="accent6" w:themeTint="BF"/>
        <w:bottom w:val="single" w:sz="8" w:space="0" w:color="7A808C" w:themeColor="accent6" w:themeTint="BF"/>
        <w:right w:val="single" w:sz="8" w:space="0" w:color="7A808C" w:themeColor="accent6" w:themeTint="BF"/>
        <w:insideH w:val="single" w:sz="8" w:space="0" w:color="7A808C" w:themeColor="accent6" w:themeTint="BF"/>
      </w:tblBorders>
    </w:tblPr>
    <w:tblStylePr w:type="firstRow">
      <w:pPr>
        <w:spacing w:before="0" w:after="0" w:line="240" w:lineRule="auto"/>
      </w:pPr>
      <w:rPr>
        <w:b/>
        <w:bCs/>
        <w:color w:val="FFFFFF" w:themeColor="background1"/>
      </w:rPr>
      <w:tblPr/>
      <w:tcPr>
        <w:tcBorders>
          <w:top w:val="single" w:sz="8" w:space="0" w:color="7A808C" w:themeColor="accent6" w:themeTint="BF"/>
          <w:left w:val="single" w:sz="8" w:space="0" w:color="7A808C" w:themeColor="accent6" w:themeTint="BF"/>
          <w:bottom w:val="single" w:sz="8" w:space="0" w:color="7A808C" w:themeColor="accent6" w:themeTint="BF"/>
          <w:right w:val="single" w:sz="8" w:space="0" w:color="7A808C" w:themeColor="accent6" w:themeTint="BF"/>
          <w:insideH w:val="nil"/>
          <w:insideV w:val="nil"/>
        </w:tcBorders>
        <w:shd w:val="clear" w:color="auto" w:fill="545861" w:themeFill="accent6"/>
      </w:tcPr>
    </w:tblStylePr>
    <w:tblStylePr w:type="lastRow">
      <w:pPr>
        <w:spacing w:before="0" w:after="0" w:line="240" w:lineRule="auto"/>
      </w:pPr>
      <w:rPr>
        <w:b/>
        <w:bCs/>
      </w:rPr>
      <w:tblPr/>
      <w:tcPr>
        <w:tcBorders>
          <w:top w:val="double" w:sz="6" w:space="0" w:color="7A808C" w:themeColor="accent6" w:themeTint="BF"/>
          <w:left w:val="single" w:sz="8" w:space="0" w:color="7A808C" w:themeColor="accent6" w:themeTint="BF"/>
          <w:bottom w:val="single" w:sz="8" w:space="0" w:color="7A808C" w:themeColor="accent6" w:themeTint="BF"/>
          <w:right w:val="single" w:sz="8" w:space="0" w:color="7A808C"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5D9" w:themeFill="accent6" w:themeFillTint="3F"/>
      </w:tcPr>
    </w:tblStylePr>
    <w:tblStylePr w:type="band1Horz">
      <w:tblPr/>
      <w:tcPr>
        <w:tcBorders>
          <w:insideH w:val="nil"/>
          <w:insideV w:val="nil"/>
        </w:tcBorders>
        <w:shd w:val="clear" w:color="auto" w:fill="D3D5D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54A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54A5" w:themeFill="accent1"/>
      </w:tcPr>
    </w:tblStylePr>
    <w:tblStylePr w:type="lastCol">
      <w:rPr>
        <w:b/>
        <w:bCs/>
        <w:color w:val="FFFFFF" w:themeColor="background1"/>
      </w:rPr>
      <w:tblPr/>
      <w:tcPr>
        <w:tcBorders>
          <w:left w:val="nil"/>
          <w:right w:val="nil"/>
          <w:insideH w:val="nil"/>
          <w:insideV w:val="nil"/>
        </w:tcBorders>
        <w:shd w:val="clear" w:color="auto" w:fill="3C54A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8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45861" w:themeFill="accent2"/>
      </w:tcPr>
    </w:tblStylePr>
    <w:tblStylePr w:type="lastCol">
      <w:rPr>
        <w:b/>
        <w:bCs/>
        <w:color w:val="FFFFFF" w:themeColor="background1"/>
      </w:rPr>
      <w:tblPr/>
      <w:tcPr>
        <w:tcBorders>
          <w:left w:val="nil"/>
          <w:right w:val="nil"/>
          <w:insideH w:val="nil"/>
          <w:insideV w:val="nil"/>
        </w:tcBorders>
        <w:shd w:val="clear" w:color="auto" w:fill="5458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A91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A913" w:themeFill="accent3"/>
      </w:tcPr>
    </w:tblStylePr>
    <w:tblStylePr w:type="lastCol">
      <w:rPr>
        <w:b/>
        <w:bCs/>
        <w:color w:val="FFFFFF" w:themeColor="background1"/>
      </w:rPr>
      <w:tblPr/>
      <w:tcPr>
        <w:tcBorders>
          <w:left w:val="nil"/>
          <w:right w:val="nil"/>
          <w:insideH w:val="nil"/>
          <w:insideV w:val="nil"/>
        </w:tcBorders>
        <w:shd w:val="clear" w:color="auto" w:fill="E9A91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2276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22761" w:themeFill="accent4"/>
      </w:tcPr>
    </w:tblStylePr>
    <w:tblStylePr w:type="lastCol">
      <w:rPr>
        <w:b/>
        <w:bCs/>
        <w:color w:val="FFFFFF" w:themeColor="background1"/>
      </w:rPr>
      <w:tblPr/>
      <w:tcPr>
        <w:tcBorders>
          <w:left w:val="nil"/>
          <w:right w:val="nil"/>
          <w:insideH w:val="nil"/>
          <w:insideV w:val="nil"/>
        </w:tcBorders>
        <w:shd w:val="clear" w:color="auto" w:fill="52276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54A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54A5" w:themeFill="accent5"/>
      </w:tcPr>
    </w:tblStylePr>
    <w:tblStylePr w:type="lastCol">
      <w:rPr>
        <w:b/>
        <w:bCs/>
        <w:color w:val="FFFFFF" w:themeColor="background1"/>
      </w:rPr>
      <w:tblPr/>
      <w:tcPr>
        <w:tcBorders>
          <w:left w:val="nil"/>
          <w:right w:val="nil"/>
          <w:insideH w:val="nil"/>
          <w:insideV w:val="nil"/>
        </w:tcBorders>
        <w:shd w:val="clear" w:color="auto" w:fill="3C54A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86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45861" w:themeFill="accent6"/>
      </w:tcPr>
    </w:tblStylePr>
    <w:tblStylePr w:type="lastCol">
      <w:rPr>
        <w:b/>
        <w:bCs/>
        <w:color w:val="FFFFFF" w:themeColor="background1"/>
      </w:rPr>
      <w:tblPr/>
      <w:tcPr>
        <w:tcBorders>
          <w:left w:val="nil"/>
          <w:right w:val="nil"/>
          <w:insideH w:val="nil"/>
          <w:insideV w:val="nil"/>
        </w:tcBorders>
        <w:shd w:val="clear" w:color="auto" w:fill="54586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rsid w:val="003E273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3E273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3E273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3E273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3E273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3E273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3E273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3E273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3E273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3E273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3E273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3E273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3E273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3E273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3E273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3E273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3E273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3E273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3E273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3E273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3E273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3E273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3E273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3E273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3E273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3E273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3E273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3E273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3E273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3E273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3E273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TableofAuthorities">
    <w:name w:val="table of authorities"/>
    <w:basedOn w:val="Normal"/>
    <w:next w:val="Normal"/>
    <w:uiPriority w:val="99"/>
    <w:semiHidden/>
    <w:rsid w:val="003E273C"/>
    <w:pPr>
      <w:spacing w:after="0"/>
      <w:ind w:left="220" w:hanging="220"/>
    </w:pPr>
  </w:style>
  <w:style w:type="paragraph" w:styleId="TableofFigures">
    <w:name w:val="table of figures"/>
    <w:basedOn w:val="Normal"/>
    <w:next w:val="Normal"/>
    <w:uiPriority w:val="99"/>
    <w:rsid w:val="003E273C"/>
    <w:pPr>
      <w:spacing w:after="0"/>
    </w:pPr>
  </w:style>
  <w:style w:type="table" w:styleId="TableProfessional">
    <w:name w:val="Table Professional"/>
    <w:basedOn w:val="TableNormal"/>
    <w:uiPriority w:val="99"/>
    <w:semiHidden/>
    <w:rsid w:val="003E273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3E273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3E273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3E273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3E273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3E273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3E2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3E273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llowedHyperlink">
    <w:name w:val="FollowedHyperlink"/>
    <w:basedOn w:val="DefaultParagraphFont"/>
    <w:unhideWhenUsed/>
    <w:rsid w:val="00E376D2"/>
    <w:rPr>
      <w:color w:val="522761" w:themeColor="accent4"/>
      <w:u w:val="single"/>
    </w:rPr>
  </w:style>
  <w:style w:type="paragraph" w:styleId="BodyText2">
    <w:name w:val="Body Text 2"/>
    <w:basedOn w:val="Normal"/>
    <w:link w:val="BodyText2Char"/>
    <w:rsid w:val="00341597"/>
    <w:pPr>
      <w:spacing w:after="120" w:line="240" w:lineRule="auto"/>
    </w:pPr>
    <w:rPr>
      <w:rFonts w:eastAsia="Times New Roman" w:cstheme="minorHAnsi"/>
      <w:i/>
      <w:iCs/>
      <w:color w:val="0000FF"/>
      <w:lang w:eastAsia="en-AU"/>
    </w:rPr>
  </w:style>
  <w:style w:type="character" w:customStyle="1" w:styleId="BodyText2Char">
    <w:name w:val="Body Text 2 Char"/>
    <w:basedOn w:val="DefaultParagraphFont"/>
    <w:link w:val="BodyText2"/>
    <w:rsid w:val="00341597"/>
    <w:rPr>
      <w:rFonts w:eastAsia="Times New Roman" w:cstheme="minorHAnsi"/>
      <w:i/>
      <w:iCs/>
      <w:color w:val="0000FF"/>
      <w:lang w:eastAsia="en-AU"/>
    </w:rPr>
  </w:style>
  <w:style w:type="character" w:styleId="PageNumber">
    <w:name w:val="page number"/>
    <w:basedOn w:val="DefaultParagraphFont"/>
    <w:rsid w:val="00341597"/>
  </w:style>
  <w:style w:type="paragraph" w:customStyle="1" w:styleId="Heading10">
    <w:name w:val="Heading_1"/>
    <w:basedOn w:val="Normal"/>
    <w:rsid w:val="00341597"/>
    <w:pPr>
      <w:spacing w:after="120" w:line="240" w:lineRule="auto"/>
    </w:pPr>
    <w:rPr>
      <w:rFonts w:ascii="Times New Roman" w:eastAsia="Times New Roman" w:hAnsi="Times New Roman" w:cstheme="minorHAnsi"/>
      <w:b/>
      <w:sz w:val="24"/>
      <w:lang w:eastAsia="en-AU"/>
    </w:rPr>
  </w:style>
  <w:style w:type="character" w:customStyle="1" w:styleId="Subjecttext">
    <w:name w:val="Subject_text"/>
    <w:rsid w:val="00341597"/>
    <w:rPr>
      <w:b/>
    </w:rPr>
  </w:style>
  <w:style w:type="paragraph" w:customStyle="1" w:styleId="text">
    <w:name w:val="text"/>
    <w:basedOn w:val="Normal"/>
    <w:rsid w:val="00341597"/>
    <w:pPr>
      <w:spacing w:after="120" w:line="240" w:lineRule="auto"/>
    </w:pPr>
    <w:rPr>
      <w:rFonts w:ascii="Times New Roman" w:eastAsia="Times New Roman" w:hAnsi="Times New Roman" w:cstheme="minorHAnsi"/>
      <w:sz w:val="24"/>
      <w:lang w:eastAsia="en-AU"/>
    </w:rPr>
  </w:style>
  <w:style w:type="paragraph" w:customStyle="1" w:styleId="nonumber">
    <w:name w:val="no_number"/>
    <w:basedOn w:val="Normal"/>
    <w:next w:val="numberlist"/>
    <w:rsid w:val="00341597"/>
    <w:pPr>
      <w:spacing w:after="120" w:line="240" w:lineRule="auto"/>
    </w:pPr>
    <w:rPr>
      <w:rFonts w:eastAsia="Times New Roman" w:cstheme="minorHAnsi"/>
      <w:sz w:val="24"/>
      <w:lang w:eastAsia="en-AU"/>
    </w:rPr>
  </w:style>
  <w:style w:type="paragraph" w:customStyle="1" w:styleId="numberlist">
    <w:name w:val="number_list"/>
    <w:basedOn w:val="nonumber"/>
    <w:rsid w:val="00341597"/>
    <w:pPr>
      <w:numPr>
        <w:numId w:val="20"/>
      </w:numPr>
    </w:pPr>
  </w:style>
  <w:style w:type="numbering" w:customStyle="1" w:styleId="Listnobullet">
    <w:name w:val="List no bullet"/>
    <w:basedOn w:val="NoList"/>
    <w:uiPriority w:val="99"/>
    <w:rsid w:val="00B67C70"/>
    <w:pPr>
      <w:numPr>
        <w:numId w:val="35"/>
      </w:numPr>
    </w:pPr>
  </w:style>
  <w:style w:type="paragraph" w:customStyle="1" w:styleId="Brief-BULLET">
    <w:name w:val="Brief - BULLET"/>
    <w:basedOn w:val="Normal"/>
    <w:rsid w:val="00341597"/>
    <w:pPr>
      <w:numPr>
        <w:numId w:val="19"/>
      </w:numPr>
      <w:spacing w:after="120" w:line="230" w:lineRule="exact"/>
    </w:pPr>
    <w:rPr>
      <w:rFonts w:ascii="Times New Roman" w:eastAsia="Times New Roman" w:hAnsi="Times New Roman" w:cstheme="minorHAnsi"/>
      <w:lang w:eastAsia="en-AU"/>
    </w:rPr>
  </w:style>
  <w:style w:type="paragraph" w:styleId="FootnoteText">
    <w:name w:val="footnote text"/>
    <w:basedOn w:val="Normal"/>
    <w:link w:val="FootnoteTextChar"/>
    <w:uiPriority w:val="99"/>
    <w:rsid w:val="00341597"/>
    <w:pPr>
      <w:spacing w:after="120" w:line="240" w:lineRule="auto"/>
    </w:pPr>
    <w:rPr>
      <w:rFonts w:ascii="Times New Roman" w:eastAsia="Times New Roman" w:hAnsi="Times New Roman" w:cstheme="minorHAnsi"/>
      <w:sz w:val="20"/>
      <w:lang w:eastAsia="en-AU"/>
    </w:rPr>
  </w:style>
  <w:style w:type="character" w:customStyle="1" w:styleId="FootnoteTextChar">
    <w:name w:val="Footnote Text Char"/>
    <w:basedOn w:val="DefaultParagraphFont"/>
    <w:link w:val="FootnoteText"/>
    <w:uiPriority w:val="99"/>
    <w:rsid w:val="00341597"/>
    <w:rPr>
      <w:rFonts w:ascii="Times New Roman" w:eastAsia="Times New Roman" w:hAnsi="Times New Roman" w:cstheme="minorHAnsi"/>
      <w:sz w:val="20"/>
      <w:lang w:eastAsia="en-AU"/>
    </w:rPr>
  </w:style>
  <w:style w:type="character" w:styleId="FootnoteReference">
    <w:name w:val="footnote reference"/>
    <w:basedOn w:val="DefaultParagraphFont"/>
    <w:uiPriority w:val="99"/>
    <w:rsid w:val="00341597"/>
    <w:rPr>
      <w:vertAlign w:val="superscript"/>
    </w:rPr>
  </w:style>
  <w:style w:type="character" w:styleId="CommentReference">
    <w:name w:val="annotation reference"/>
    <w:basedOn w:val="DefaultParagraphFont"/>
    <w:semiHidden/>
    <w:rsid w:val="00341597"/>
    <w:rPr>
      <w:sz w:val="16"/>
      <w:szCs w:val="16"/>
    </w:rPr>
  </w:style>
  <w:style w:type="paragraph" w:styleId="CommentText">
    <w:name w:val="annotation text"/>
    <w:basedOn w:val="Normal"/>
    <w:link w:val="CommentTextChar"/>
    <w:rsid w:val="00341597"/>
    <w:pPr>
      <w:spacing w:after="120" w:line="240" w:lineRule="auto"/>
    </w:pPr>
    <w:rPr>
      <w:rFonts w:eastAsia="Times New Roman" w:cstheme="minorHAnsi"/>
      <w:sz w:val="20"/>
      <w:lang w:eastAsia="en-AU"/>
    </w:rPr>
  </w:style>
  <w:style w:type="character" w:customStyle="1" w:styleId="CommentTextChar">
    <w:name w:val="Comment Text Char"/>
    <w:basedOn w:val="DefaultParagraphFont"/>
    <w:link w:val="CommentText"/>
    <w:rsid w:val="00341597"/>
    <w:rPr>
      <w:rFonts w:eastAsia="Times New Roman" w:cstheme="minorHAnsi"/>
      <w:sz w:val="20"/>
      <w:lang w:eastAsia="en-AU"/>
    </w:rPr>
  </w:style>
  <w:style w:type="paragraph" w:styleId="CommentSubject">
    <w:name w:val="annotation subject"/>
    <w:basedOn w:val="CommentText"/>
    <w:next w:val="CommentText"/>
    <w:link w:val="CommentSubjectChar"/>
    <w:semiHidden/>
    <w:rsid w:val="00341597"/>
    <w:rPr>
      <w:b/>
      <w:bCs/>
    </w:rPr>
  </w:style>
  <w:style w:type="character" w:customStyle="1" w:styleId="CommentSubjectChar">
    <w:name w:val="Comment Subject Char"/>
    <w:basedOn w:val="CommentTextChar"/>
    <w:link w:val="CommentSubject"/>
    <w:semiHidden/>
    <w:rsid w:val="00341597"/>
    <w:rPr>
      <w:rFonts w:eastAsia="Times New Roman" w:cstheme="minorHAnsi"/>
      <w:b/>
      <w:bCs/>
      <w:sz w:val="20"/>
      <w:lang w:eastAsia="en-AU"/>
    </w:rPr>
  </w:style>
  <w:style w:type="paragraph" w:customStyle="1" w:styleId="Style1">
    <w:name w:val="Style1"/>
    <w:basedOn w:val="TOC3"/>
    <w:rsid w:val="00341597"/>
    <w:pPr>
      <w:tabs>
        <w:tab w:val="right" w:leader="dot" w:pos="8296"/>
      </w:tabs>
      <w:spacing w:after="120" w:line="240" w:lineRule="auto"/>
      <w:ind w:left="851"/>
      <w:jc w:val="both"/>
    </w:pPr>
    <w:rPr>
      <w:rFonts w:ascii="Times New Roman" w:eastAsia="Times New Roman" w:hAnsi="Times New Roman" w:cstheme="minorHAnsi"/>
      <w:i/>
      <w:noProof/>
      <w:color w:val="000000" w:themeColor="text1"/>
      <w:lang w:eastAsia="en-AU"/>
    </w:rPr>
  </w:style>
  <w:style w:type="paragraph" w:customStyle="1" w:styleId="Style2">
    <w:name w:val="Style2"/>
    <w:basedOn w:val="TOC2"/>
    <w:rsid w:val="00341597"/>
    <w:pPr>
      <w:tabs>
        <w:tab w:val="center" w:pos="993"/>
        <w:tab w:val="right" w:leader="dot" w:pos="8296"/>
      </w:tabs>
      <w:spacing w:before="120" w:after="120" w:line="240" w:lineRule="auto"/>
    </w:pPr>
    <w:rPr>
      <w:rFonts w:ascii="Times New Roman" w:eastAsia="Times New Roman" w:hAnsi="Times New Roman" w:cstheme="minorHAnsi"/>
      <w:noProof/>
      <w:lang w:eastAsia="en-AU"/>
    </w:rPr>
  </w:style>
  <w:style w:type="paragraph" w:styleId="Revision">
    <w:name w:val="Revision"/>
    <w:hidden/>
    <w:uiPriority w:val="99"/>
    <w:semiHidden/>
    <w:rsid w:val="00341597"/>
    <w:pPr>
      <w:spacing w:after="0" w:line="240" w:lineRule="auto"/>
    </w:pPr>
    <w:rPr>
      <w:rFonts w:ascii="Arial" w:eastAsia="Times New Roman" w:hAnsi="Arial" w:cs="Times New Roman"/>
      <w:szCs w:val="20"/>
    </w:rPr>
  </w:style>
  <w:style w:type="paragraph" w:customStyle="1" w:styleId="Tableheading">
    <w:name w:val="Table heading"/>
    <w:basedOn w:val="Caption"/>
    <w:next w:val="Normal"/>
    <w:qFormat/>
    <w:rsid w:val="00341597"/>
    <w:pPr>
      <w:numPr>
        <w:numId w:val="21"/>
      </w:numPr>
      <w:tabs>
        <w:tab w:val="left" w:pos="907"/>
        <w:tab w:val="left" w:pos="1021"/>
      </w:tabs>
      <w:spacing w:before="0" w:after="120" w:line="240" w:lineRule="auto"/>
      <w:outlineLvl w:val="9"/>
    </w:pPr>
    <w:rPr>
      <w:rFonts w:eastAsia="Times New Roman" w:cstheme="minorHAnsi"/>
      <w:iCs w:val="0"/>
      <w:sz w:val="24"/>
      <w:szCs w:val="20"/>
      <w:lang w:eastAsia="en-AU"/>
    </w:rPr>
  </w:style>
  <w:style w:type="paragraph" w:customStyle="1" w:styleId="Figureheading">
    <w:name w:val="Figure heading"/>
    <w:basedOn w:val="Tableheading"/>
    <w:next w:val="Normal"/>
    <w:qFormat/>
    <w:rsid w:val="00341597"/>
    <w:pPr>
      <w:numPr>
        <w:numId w:val="22"/>
      </w:numPr>
      <w:tabs>
        <w:tab w:val="clear" w:pos="907"/>
        <w:tab w:val="clear" w:pos="1021"/>
        <w:tab w:val="left" w:pos="964"/>
        <w:tab w:val="left" w:pos="1077"/>
      </w:tabs>
    </w:pPr>
  </w:style>
  <w:style w:type="paragraph" w:styleId="EndnoteText">
    <w:name w:val="endnote text"/>
    <w:basedOn w:val="Normal"/>
    <w:link w:val="EndnoteTextChar"/>
    <w:rsid w:val="00341597"/>
    <w:pPr>
      <w:spacing w:after="120" w:line="240" w:lineRule="auto"/>
    </w:pPr>
    <w:rPr>
      <w:rFonts w:eastAsia="Times New Roman" w:cstheme="minorHAnsi"/>
      <w:sz w:val="20"/>
      <w:lang w:eastAsia="en-AU"/>
    </w:rPr>
  </w:style>
  <w:style w:type="character" w:customStyle="1" w:styleId="EndnoteTextChar">
    <w:name w:val="Endnote Text Char"/>
    <w:basedOn w:val="DefaultParagraphFont"/>
    <w:link w:val="EndnoteText"/>
    <w:rsid w:val="00341597"/>
    <w:rPr>
      <w:rFonts w:eastAsia="Times New Roman" w:cstheme="minorHAnsi"/>
      <w:sz w:val="20"/>
      <w:lang w:eastAsia="en-AU"/>
    </w:rPr>
  </w:style>
  <w:style w:type="character" w:styleId="EndnoteReference">
    <w:name w:val="endnote reference"/>
    <w:basedOn w:val="DefaultParagraphFont"/>
    <w:rsid w:val="00341597"/>
    <w:rPr>
      <w:vertAlign w:val="superscript"/>
    </w:rPr>
  </w:style>
  <w:style w:type="paragraph" w:styleId="PlainText">
    <w:name w:val="Plain Text"/>
    <w:basedOn w:val="Normal"/>
    <w:link w:val="PlainTextChar"/>
    <w:uiPriority w:val="99"/>
    <w:unhideWhenUsed/>
    <w:rsid w:val="00341597"/>
    <w:pPr>
      <w:spacing w:after="120" w:line="240" w:lineRule="auto"/>
    </w:pPr>
    <w:rPr>
      <w:rFonts w:ascii="Calibri" w:eastAsiaTheme="minorHAnsi" w:hAnsi="Calibri" w:cs="Consolas"/>
      <w:szCs w:val="21"/>
      <w:lang w:eastAsia="en-AU"/>
    </w:rPr>
  </w:style>
  <w:style w:type="character" w:customStyle="1" w:styleId="PlainTextChar">
    <w:name w:val="Plain Text Char"/>
    <w:basedOn w:val="DefaultParagraphFont"/>
    <w:link w:val="PlainText"/>
    <w:uiPriority w:val="99"/>
    <w:rsid w:val="00341597"/>
    <w:rPr>
      <w:rFonts w:ascii="Calibri" w:eastAsiaTheme="minorHAnsi" w:hAnsi="Calibri" w:cs="Consolas"/>
      <w:szCs w:val="21"/>
      <w:lang w:eastAsia="en-AU"/>
    </w:rPr>
  </w:style>
  <w:style w:type="paragraph" w:customStyle="1" w:styleId="Style3">
    <w:name w:val="Style3"/>
    <w:basedOn w:val="Heading3"/>
    <w:link w:val="Style3Char"/>
    <w:qFormat/>
    <w:rsid w:val="00341597"/>
    <w:pPr>
      <w:keepNext/>
      <w:keepLines/>
      <w:widowControl w:val="0"/>
      <w:spacing w:before="0" w:after="120" w:line="240" w:lineRule="auto"/>
    </w:pPr>
    <w:rPr>
      <w:rFonts w:ascii="Times New Roman" w:eastAsia="Times New Roman" w:hAnsi="Times New Roman" w:cstheme="minorHAnsi"/>
      <w:bCs w:val="0"/>
      <w:lang w:eastAsia="en-AU"/>
    </w:rPr>
  </w:style>
  <w:style w:type="character" w:customStyle="1" w:styleId="Style3Char">
    <w:name w:val="Style3 Char"/>
    <w:basedOn w:val="Heading3Char"/>
    <w:link w:val="Style3"/>
    <w:rsid w:val="00341597"/>
    <w:rPr>
      <w:rFonts w:ascii="Times New Roman" w:eastAsia="Times New Roman" w:hAnsi="Times New Roman" w:cstheme="minorHAnsi"/>
      <w:b/>
      <w:bCs w:val="0"/>
      <w:lang w:eastAsia="en-AU"/>
    </w:rPr>
  </w:style>
  <w:style w:type="paragraph" w:customStyle="1" w:styleId="StyleTOCHeadingLatinBodyCalibri11ptNotBoldAuto">
    <w:name w:val="Style TOC Heading + (Latin) +Body (Calibri) 11 pt Not Bold Auto"/>
    <w:basedOn w:val="TOCHeading"/>
    <w:rsid w:val="00956BAB"/>
    <w:pPr>
      <w:numPr>
        <w:numId w:val="0"/>
      </w:numPr>
    </w:pPr>
    <w:rPr>
      <w:rFonts w:asciiTheme="minorHAnsi" w:hAnsiTheme="minorHAnsi"/>
      <w:b w:val="0"/>
      <w:bCs w:val="0"/>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hyperlink" Target="http://dnet.hosts.network/education/Resources/Documents/Creative%20Commons%20Attribution%204.0%20International" TargetMode="External"/><Relationship Id="rId26" Type="http://schemas.openxmlformats.org/officeDocument/2006/relationships/hyperlink" Target="http://docs.education.gov.au/node/33865"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image" Target="cid:image001.png@01CC5B5E.C6C84990" TargetMode="External"/><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www.education.gov.au/higher-education-statistic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6.png"/><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dnet.hosts.network/education/Resources/Documents/CC%20BY%204.0%20Internationa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5.png"/><Relationship Id="rId27" Type="http://schemas.openxmlformats.org/officeDocument/2006/relationships/header" Target="header2.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55179CBEE4245B3A81E2C8017F483AD"/>
        <w:category>
          <w:name w:val="General"/>
          <w:gallery w:val="placeholder"/>
        </w:category>
        <w:types>
          <w:type w:val="bbPlcHdr"/>
        </w:types>
        <w:behaviors>
          <w:behavior w:val="content"/>
        </w:behaviors>
        <w:guid w:val="{3FB8DFB5-3725-4F10-B7CE-399C99BD90C4}"/>
      </w:docPartPr>
      <w:docPartBody>
        <w:p w14:paraId="51BDC826" w14:textId="77777777" w:rsidR="00B336BA" w:rsidRDefault="00B336BA">
          <w:pPr>
            <w:pStyle w:val="655179CBEE4245B3A81E2C8017F483AD"/>
          </w:pPr>
          <w:r w:rsidRPr="00716CA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6BA"/>
    <w:rsid w:val="00491C1A"/>
    <w:rsid w:val="00814E9B"/>
    <w:rsid w:val="00B336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1BDC82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4E9B"/>
    <w:rPr>
      <w:color w:val="808080"/>
    </w:rPr>
  </w:style>
  <w:style w:type="paragraph" w:customStyle="1" w:styleId="655179CBEE4245B3A81E2C8017F483AD">
    <w:name w:val="655179CBEE4245B3A81E2C8017F483AD"/>
  </w:style>
  <w:style w:type="paragraph" w:customStyle="1" w:styleId="00253A7863924A67BCBBE737A1F7C7F8">
    <w:name w:val="00253A7863924A67BCBBE737A1F7C7F8"/>
    <w:rsid w:val="00814E9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4E9B"/>
    <w:rPr>
      <w:color w:val="808080"/>
    </w:rPr>
  </w:style>
  <w:style w:type="paragraph" w:customStyle="1" w:styleId="655179CBEE4245B3A81E2C8017F483AD">
    <w:name w:val="655179CBEE4245B3A81E2C8017F483AD"/>
  </w:style>
  <w:style w:type="paragraph" w:customStyle="1" w:styleId="00253A7863924A67BCBBE737A1F7C7F8">
    <w:name w:val="00253A7863924A67BCBBE737A1F7C7F8"/>
    <w:rsid w:val="00814E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Education">
      <a:dk1>
        <a:sysClr val="windowText" lastClr="000000"/>
      </a:dk1>
      <a:lt1>
        <a:srgbClr val="FFFFFF"/>
      </a:lt1>
      <a:dk2>
        <a:srgbClr val="3C54A5"/>
      </a:dk2>
      <a:lt2>
        <a:srgbClr val="E9A913"/>
      </a:lt2>
      <a:accent1>
        <a:srgbClr val="3C54A5"/>
      </a:accent1>
      <a:accent2>
        <a:srgbClr val="545861"/>
      </a:accent2>
      <a:accent3>
        <a:srgbClr val="E9A913"/>
      </a:accent3>
      <a:accent4>
        <a:srgbClr val="522761"/>
      </a:accent4>
      <a:accent5>
        <a:srgbClr val="3C54A5"/>
      </a:accent5>
      <a:accent6>
        <a:srgbClr val="545861"/>
      </a:accent6>
      <a:hlink>
        <a:srgbClr val="3C54A5"/>
      </a:hlink>
      <a:folHlink>
        <a:srgbClr val="52276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7BAE2FE061684EB3543C79CA2162FA" ma:contentTypeVersion="4" ma:contentTypeDescription="Create a new document." ma:contentTypeScope="" ma:versionID="322f1e438b2c069304a148ad3fdd0edf">
  <xsd:schema xmlns:xsd="http://www.w3.org/2001/XMLSchema" xmlns:xs="http://www.w3.org/2001/XMLSchema" xmlns:p="http://schemas.microsoft.com/office/2006/metadata/properties" xmlns:ns1="http://schemas.microsoft.com/sharepoint/v3" xmlns:ns2="c5a0bbd5-585e-4472-9791-5df67fe41a90" targetNamespace="http://schemas.microsoft.com/office/2006/metadata/properties" ma:root="true" ma:fieldsID="a69a8e7eae4f38d994653e821ef7a014" ns1:_="" ns2:_="">
    <xsd:import namespace="http://schemas.microsoft.com/sharepoint/v3"/>
    <xsd:import namespace="c5a0bbd5-585e-4472-9791-5df67fe41a90"/>
    <xsd:element name="properties">
      <xsd:complexType>
        <xsd:sequence>
          <xsd:element name="documentManagement">
            <xsd:complexType>
              <xsd:all>
                <xsd:element ref="ns1:PublishingStartDate" minOccurs="0"/>
                <xsd:element ref="ns1:PublishingExpirationDate" minOccurs="0"/>
                <xsd:element ref="ns2:Categories0" minOccurs="0"/>
                <xsd:element ref="ns2:Security_x0020_DLM" minOccurs="0"/>
                <xsd:element ref="ns2: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a0bbd5-585e-4472-9791-5df67fe41a90" elementFormDefault="qualified">
    <xsd:import namespace="http://schemas.microsoft.com/office/2006/documentManagement/types"/>
    <xsd:import namespace="http://schemas.microsoft.com/office/infopath/2007/PartnerControls"/>
    <xsd:element name="Categories0" ma:index="10" nillable="true" ma:displayName="Categories" ma:format="Dropdown" ma:internalName="Categories0">
      <xsd:simpleType>
        <xsd:restriction base="dms:Choice">
          <xsd:enumeration value="Fax"/>
          <xsd:enumeration value="Letter - Deputy or Associate Secretary"/>
          <xsd:enumeration value="Letter - Other"/>
          <xsd:enumeration value="Minutes"/>
          <xsd:enumeration value="Meetings"/>
          <xsd:enumeration value="Other"/>
          <xsd:enumeration value="PowerPoint"/>
          <xsd:enumeration value="Secretary"/>
          <xsd:enumeration value="Education - Fax"/>
          <xsd:enumeration value="Education - Letter - Deputy or Associate Secretary"/>
          <xsd:enumeration value="Education - Letter - Other"/>
          <xsd:enumeration value="Education - Minutes and meetings"/>
          <xsd:enumeration value="Education - Other"/>
          <xsd:enumeration value="Education - PowerPoint"/>
          <xsd:enumeration value="Education - Secretary"/>
          <xsd:enumeration value="Email"/>
        </xsd:restriction>
      </xsd:simpleType>
    </xsd:element>
    <xsd:element name="Security_x0020_DLM" ma:index="11" nillable="true" ma:displayName="Security DLM" ma:format="Dropdown" ma:internalName="Security_x0020_DLM">
      <xsd:simpleType>
        <xsd:restriction base="dms:Choice">
          <xsd:enumeration value=""/>
          <xsd:enumeration value="For Official Use Only"/>
          <xsd:enumeration value="Sensitive"/>
          <xsd:enumeration value="Sensitive: Personal"/>
          <xsd:enumeration value="Sensitive: Legal"/>
        </xsd:restriction>
      </xsd:simpleType>
    </xsd:element>
    <xsd:element name="Security_x0020_Classification" ma:index="12" nillable="true" ma:displayName="Security Classification" ma:format="Dropdown" ma:internalName="Security_x0020_Classification">
      <xsd:simpleType>
        <xsd:restriction base="dms:Choice">
          <xsd:enumeration value=""/>
          <xsd:enumeration value="UNOFFICIAL"/>
          <xsd:enumeration value="UNCLASSIFI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_x0020_Classification xmlns="c5a0bbd5-585e-4472-9791-5df67fe41a90" xsi:nil="true"/>
    <Security_x0020_DLM xmlns="c5a0bbd5-585e-4472-9791-5df67fe41a90" xsi:nil="true"/>
    <PublishingExpirationDate xmlns="http://schemas.microsoft.com/sharepoint/v3" xsi:nil="true"/>
    <Categories0 xmlns="c5a0bbd5-585e-4472-9791-5df67fe41a90">Other</Categories0>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80DFF-3045-4E92-857E-D77B4377E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a0bbd5-585e-4472-9791-5df67fe41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1EC45F-5108-4DFB-9409-93A12F348B98}">
  <ds:schemaRefs>
    <ds:schemaRef ds:uri="http://schemas.microsoft.com/sharepoint/v3/contenttype/forms"/>
  </ds:schemaRefs>
</ds:datastoreItem>
</file>

<file path=customXml/itemProps3.xml><?xml version="1.0" encoding="utf-8"?>
<ds:datastoreItem xmlns:ds="http://schemas.openxmlformats.org/officeDocument/2006/customXml" ds:itemID="{7EBB4C30-6D86-487A-8B5B-3A5DEC448181}">
  <ds:schemaRefs>
    <ds:schemaRef ds:uri="http://purl.org/dc/elements/1.1/"/>
    <ds:schemaRef ds:uri="http://schemas.microsoft.com/office/infopath/2007/PartnerControls"/>
    <ds:schemaRef ds:uri="http://purl.org/dc/dcmitype/"/>
    <ds:schemaRef ds:uri="http://purl.org/dc/terms/"/>
    <ds:schemaRef ds:uri="http://schemas.microsoft.com/office/2006/documentManagement/types"/>
    <ds:schemaRef ds:uri="http://schemas.microsoft.com/office/2006/metadata/properties"/>
    <ds:schemaRef ds:uri="http://schemas.microsoft.com/sharepoint/v3"/>
    <ds:schemaRef ds:uri="http://www.w3.org/XML/1998/namespace"/>
    <ds:schemaRef ds:uri="http://schemas.openxmlformats.org/package/2006/metadata/core-properties"/>
    <ds:schemaRef ds:uri="c5a0bbd5-585e-4472-9791-5df67fe41a90"/>
  </ds:schemaRefs>
</ds:datastoreItem>
</file>

<file path=customXml/itemProps4.xml><?xml version="1.0" encoding="utf-8"?>
<ds:datastoreItem xmlns:ds="http://schemas.openxmlformats.org/officeDocument/2006/customXml" ds:itemID="{862B1339-C1F7-49E8-8A08-C00A513AF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44567B7E.dotm</Template>
  <TotalTime>67</TotalTime>
  <Pages>31</Pages>
  <Words>6998</Words>
  <Characters>39892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Undergraduate Applications and Offers, February 2017</vt:lpstr>
    </vt:vector>
  </TitlesOfParts>
  <Company>Australian Government</Company>
  <LinksUpToDate>false</LinksUpToDate>
  <CharactersWithSpaces>46797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Applications and Offers, February 2017</dc:title>
  <dc:creator>Michael Thompson</dc:creator>
  <cp:lastModifiedBy>James Davison</cp:lastModifiedBy>
  <cp:revision>6</cp:revision>
  <cp:lastPrinted>2017-09-06T23:10:00Z</cp:lastPrinted>
  <dcterms:created xsi:type="dcterms:W3CDTF">2017-09-05T06:48:00Z</dcterms:created>
  <dcterms:modified xsi:type="dcterms:W3CDTF">2017-09-06T23:11:00Z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0x010100CB7BAE2FE061684EB3543C79CA2162FA</vt:lpwstr>
  </property>
</Properties>
</file>