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D1EEF" w14:textId="77777777" w:rsidR="0019508E" w:rsidRDefault="00CB32EE" w:rsidP="00AA615C">
      <w:pPr>
        <w:spacing w:after="0"/>
        <w:sectPr w:rsidR="0019508E" w:rsidSect="00681479">
          <w:footerReference w:type="default" r:id="rId12"/>
          <w:footerReference w:type="first" r:id="rId13"/>
          <w:pgSz w:w="11907" w:h="16839" w:code="9"/>
          <w:pgMar w:top="0" w:right="1440" w:bottom="1440" w:left="0" w:header="0" w:footer="283" w:gutter="0"/>
          <w:cols w:space="708"/>
          <w:titlePg/>
          <w:docGrid w:linePitch="360"/>
        </w:sectPr>
      </w:pPr>
      <w:r>
        <w:rPr>
          <w:lang w:eastAsia="en-AU"/>
        </w:rPr>
        <w:drawing>
          <wp:inline distT="0" distB="0" distL="0" distR="0" wp14:anchorId="0ABD1F0A" wp14:editId="0ABD1F0B">
            <wp:extent cx="7596000" cy="2238982"/>
            <wp:effectExtent l="0" t="0" r="5080" b="9525"/>
            <wp:docPr id="3" name="Picture 3" descr="Australian Government. Quality Schoo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ork in Progress\!Current Jobs\ED17-0130 - SCH - Pre-Budget announcement factsheets and social media tiles\ED17-0130 - SCH - Quality Schools, Quality Outcomes Factsheet Template\links\ED17-0130 - SCH -Quality Schools Template_Header_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0" cy="223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B80D" w14:textId="77777777" w:rsidR="001A2B75" w:rsidRDefault="001A2B75" w:rsidP="001A2B75">
      <w:pPr>
        <w:spacing w:after="200"/>
        <w:rPr>
          <w:rFonts w:eastAsiaTheme="majorEastAsia" w:cstheme="majorBidi"/>
          <w:b/>
          <w:color w:val="27426F"/>
          <w:spacing w:val="5"/>
          <w:kern w:val="28"/>
          <w:sz w:val="58"/>
          <w:szCs w:val="52"/>
        </w:rPr>
      </w:pPr>
      <w:r>
        <w:rPr>
          <w:rFonts w:eastAsiaTheme="majorEastAsia" w:cstheme="majorBidi"/>
          <w:b/>
          <w:color w:val="27426F"/>
          <w:spacing w:val="5"/>
          <w:kern w:val="28"/>
          <w:sz w:val="58"/>
          <w:szCs w:val="52"/>
        </w:rPr>
        <w:lastRenderedPageBreak/>
        <w:t xml:space="preserve">Transition arrangements </w:t>
      </w:r>
    </w:p>
    <w:p w14:paraId="5DE1A9A8" w14:textId="77777777" w:rsidR="001A2B75" w:rsidRPr="00CF5C3A" w:rsidRDefault="001A2B75" w:rsidP="001A2B75">
      <w:pPr>
        <w:spacing w:after="200"/>
        <w:rPr>
          <w:rFonts w:eastAsiaTheme="majorEastAsia" w:cstheme="majorBidi"/>
          <w:b/>
          <w:bCs/>
          <w:color w:val="27426F"/>
          <w:sz w:val="32"/>
          <w:szCs w:val="32"/>
        </w:rPr>
      </w:pPr>
      <w:r w:rsidRPr="00CF5C3A">
        <w:rPr>
          <w:rFonts w:eastAsiaTheme="majorEastAsia" w:cstheme="majorBidi"/>
          <w:b/>
          <w:bCs/>
          <w:color w:val="27426F"/>
          <w:sz w:val="32"/>
          <w:szCs w:val="32"/>
        </w:rPr>
        <w:t>Calculating a school’s funding entitlement during the transition period (2018-2027)</w:t>
      </w:r>
    </w:p>
    <w:p w14:paraId="35367131" w14:textId="77777777" w:rsidR="001A2B75" w:rsidRPr="00264236" w:rsidRDefault="001A2B75" w:rsidP="001A2B75">
      <w:pPr>
        <w:spacing w:before="120"/>
      </w:pPr>
      <w:r w:rsidRPr="00264236">
        <w:t xml:space="preserve">The new </w:t>
      </w:r>
      <w:r>
        <w:t xml:space="preserve">fairer Commonwealth school funding </w:t>
      </w:r>
      <w:r w:rsidRPr="00264236">
        <w:t xml:space="preserve">arrangements </w:t>
      </w:r>
      <w:r>
        <w:t xml:space="preserve">will </w:t>
      </w:r>
      <w:r w:rsidRPr="00264236">
        <w:t xml:space="preserve">determine funding entitlements based on need using a Schooling Resource Standard (SRS) as recommended by the 2011 </w:t>
      </w:r>
      <w:r w:rsidRPr="00264236">
        <w:rPr>
          <w:i/>
        </w:rPr>
        <w:t>Review of Funding for Schooling</w:t>
      </w:r>
      <w:r w:rsidRPr="00264236">
        <w:t>. The SRS for each school includes a base per student amount for pr</w:t>
      </w:r>
      <w:r>
        <w:t xml:space="preserve">imary and secondary students, plus loadings </w:t>
      </w:r>
      <w:r w:rsidRPr="00264236">
        <w:t xml:space="preserve">for </w:t>
      </w:r>
      <w:r>
        <w:t>disadvantage</w:t>
      </w:r>
      <w:r w:rsidRPr="00264236">
        <w:t xml:space="preserve">. </w:t>
      </w:r>
    </w:p>
    <w:p w14:paraId="04A13281" w14:textId="77777777" w:rsidR="001A2B75" w:rsidRPr="00264236" w:rsidRDefault="001A2B75" w:rsidP="001A2B75">
      <w:pPr>
        <w:spacing w:before="120"/>
      </w:pPr>
      <w:r w:rsidRPr="00264236">
        <w:t xml:space="preserve">Under the new arrangements, the Commonwealth’s funding entitlement for schools will be set based on new consistent Commonwealth shares of the SRS. These new shares will increase: </w:t>
      </w:r>
    </w:p>
    <w:p w14:paraId="371B4034" w14:textId="77777777" w:rsidR="001A2B75" w:rsidRPr="00264236" w:rsidRDefault="001A2B75" w:rsidP="001A2B75">
      <w:pPr>
        <w:pStyle w:val="ListParagraph"/>
        <w:numPr>
          <w:ilvl w:val="0"/>
          <w:numId w:val="43"/>
        </w:numPr>
        <w:spacing w:before="120"/>
      </w:pPr>
      <w:r w:rsidRPr="00264236">
        <w:t>from an average of 17.0 per cent of the S</w:t>
      </w:r>
      <w:r>
        <w:t>RS</w:t>
      </w:r>
      <w:r w:rsidRPr="00264236">
        <w:t xml:space="preserve"> for government schools in 2017 to 20 per cent in 2027, reflecting the Commonwealth’s role as the minority public funder of this sector</w:t>
      </w:r>
    </w:p>
    <w:p w14:paraId="2B7ACD5B" w14:textId="77777777" w:rsidR="001A2B75" w:rsidRPr="00264236" w:rsidRDefault="001A2B75" w:rsidP="001A2B75">
      <w:pPr>
        <w:pStyle w:val="ListParagraph"/>
        <w:numPr>
          <w:ilvl w:val="0"/>
          <w:numId w:val="43"/>
        </w:numPr>
        <w:spacing w:before="120"/>
      </w:pPr>
      <w:r w:rsidRPr="00264236">
        <w:t xml:space="preserve">from an average of 76.8 per cent </w:t>
      </w:r>
      <w:r>
        <w:t xml:space="preserve">of the SRS </w:t>
      </w:r>
      <w:r w:rsidRPr="00264236">
        <w:t>for non-government schools in 2017 to 80 per cent in 2027, reflecting the Commonwealth’s role as the primary public funder of this sector.</w:t>
      </w:r>
    </w:p>
    <w:p w14:paraId="2124D3F5" w14:textId="77777777" w:rsidR="001A2B75" w:rsidRPr="00CF5C3A" w:rsidRDefault="001A2B75" w:rsidP="001A2B75">
      <w:pPr>
        <w:spacing w:before="120"/>
      </w:pPr>
      <w:r w:rsidRPr="00CF5C3A">
        <w:t xml:space="preserve">Schools will transition to the new </w:t>
      </w:r>
      <w:r>
        <w:t>consistent Commonwealth share of the SRS</w:t>
      </w:r>
      <w:r w:rsidRPr="00CF5C3A">
        <w:t xml:space="preserve"> over 10 years from 2018 to 2027. </w:t>
      </w:r>
    </w:p>
    <w:p w14:paraId="1CE424D0" w14:textId="77777777" w:rsidR="001A2B75" w:rsidRPr="00CF5C3A" w:rsidRDefault="001A2B75" w:rsidP="001A2B75">
      <w:pPr>
        <w:spacing w:after="200"/>
        <w:rPr>
          <w:rFonts w:eastAsiaTheme="majorEastAsia" w:cstheme="majorBidi"/>
          <w:b/>
          <w:bCs/>
          <w:color w:val="27426F"/>
          <w:sz w:val="32"/>
          <w:szCs w:val="32"/>
        </w:rPr>
      </w:pPr>
      <w:r w:rsidRPr="00CF5C3A">
        <w:rPr>
          <w:rFonts w:eastAsiaTheme="majorEastAsia" w:cstheme="majorBidi"/>
          <w:b/>
          <w:bCs/>
          <w:color w:val="27426F"/>
          <w:sz w:val="32"/>
          <w:szCs w:val="32"/>
        </w:rPr>
        <w:t>Setting the Commonwealth share during the transition</w:t>
      </w:r>
    </w:p>
    <w:p w14:paraId="77650BFC" w14:textId="77777777" w:rsidR="001A2B75" w:rsidRPr="00584C31" w:rsidRDefault="001A2B75" w:rsidP="001A2B75">
      <w:pPr>
        <w:spacing w:before="120"/>
      </w:pPr>
      <w:r w:rsidRPr="00584C31">
        <w:t xml:space="preserve">To calculate the funding entitlement for </w:t>
      </w:r>
      <w:r>
        <w:t xml:space="preserve">a </w:t>
      </w:r>
      <w:r w:rsidRPr="00584C31">
        <w:t>school each year, a ‘starting Commonwealth share’ will be set based on actual recurrent funding paid to the school in 2017 under existing arrangements and what this amount is as a percentage of the 2017 S</w:t>
      </w:r>
      <w:r>
        <w:t>RS</w:t>
      </w:r>
      <w:r w:rsidRPr="00584C31">
        <w:t xml:space="preserve"> as calculated under the new settings. </w:t>
      </w:r>
    </w:p>
    <w:p w14:paraId="7A89CD3C" w14:textId="77777777" w:rsidR="001A2B75" w:rsidRDefault="001A2B75" w:rsidP="001A2B75">
      <w:pPr>
        <w:spacing w:before="120"/>
      </w:pPr>
      <w:r w:rsidRPr="00584C31">
        <w:t xml:space="preserve">This ‘starting Commonwealth share’ is then adjusted in 10 equal annual steps </w:t>
      </w:r>
      <w:r>
        <w:t xml:space="preserve">until </w:t>
      </w:r>
      <w:r w:rsidRPr="00584C31">
        <w:t xml:space="preserve">the ‘final Commonwealth share’ is reached in 2027. The final Commonwealth share is 20 per cent </w:t>
      </w:r>
      <w:r>
        <w:t xml:space="preserve">of the SRS </w:t>
      </w:r>
      <w:r w:rsidRPr="00584C31">
        <w:t xml:space="preserve">for government schools or 80 per cent </w:t>
      </w:r>
      <w:r>
        <w:t xml:space="preserve">of the SRS </w:t>
      </w:r>
      <w:r w:rsidRPr="00584C31">
        <w:t xml:space="preserve">for non-government schools. </w:t>
      </w:r>
    </w:p>
    <w:p w14:paraId="13937F65" w14:textId="77777777" w:rsidR="001A2B75" w:rsidRPr="00584C31" w:rsidRDefault="001A2B75" w:rsidP="001A2B75">
      <w:pPr>
        <w:spacing w:before="120"/>
      </w:pPr>
      <w:r w:rsidRPr="00584C31">
        <w:t xml:space="preserve">Proposed amendments to the </w:t>
      </w:r>
      <w:r w:rsidRPr="00584C31">
        <w:rPr>
          <w:i/>
        </w:rPr>
        <w:t>Australian Education Act 2013</w:t>
      </w:r>
      <w:r w:rsidRPr="00584C31">
        <w:t xml:space="preserve"> will set out the arrangements for a transitioning school each year from 2018 to 2027.  </w:t>
      </w:r>
    </w:p>
    <w:p w14:paraId="1C8AFE44" w14:textId="77777777" w:rsidR="001A2B75" w:rsidRPr="00584C31" w:rsidRDefault="001A2B75" w:rsidP="001A2B75">
      <w:pPr>
        <w:spacing w:before="120"/>
      </w:pPr>
      <w:r w:rsidRPr="00E0244F">
        <w:rPr>
          <w:b/>
        </w:rPr>
        <w:t>Example 1</w:t>
      </w:r>
      <w:r>
        <w:t xml:space="preserve">: A hypothetical </w:t>
      </w:r>
      <w:r w:rsidRPr="00584C31">
        <w:rPr>
          <w:rFonts w:asciiTheme="minorHAnsi" w:hAnsiTheme="minorHAnsi"/>
        </w:rPr>
        <w:t xml:space="preserve">non-government </w:t>
      </w:r>
      <w:r>
        <w:t xml:space="preserve">school, currently </w:t>
      </w:r>
      <w:r w:rsidRPr="00E0244F">
        <w:rPr>
          <w:u w:val="single"/>
        </w:rPr>
        <w:t>below</w:t>
      </w:r>
      <w:r>
        <w:t xml:space="preserve"> the 80 per cent share of the SRS</w:t>
      </w:r>
      <w:r w:rsidRPr="00584C31">
        <w:t>:</w:t>
      </w:r>
    </w:p>
    <w:p w14:paraId="1B492F80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>2017 total recurrent funding for a non-government school’s approved authority in 2017 is $7,000,000</w:t>
      </w:r>
      <w:r>
        <w:rPr>
          <w:rFonts w:asciiTheme="minorHAnsi" w:hAnsiTheme="minorHAnsi"/>
        </w:rPr>
        <w:t>.</w:t>
      </w:r>
    </w:p>
    <w:p w14:paraId="61B00F33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584C31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>SRS</w:t>
      </w:r>
      <w:r w:rsidRPr="00584C31">
        <w:rPr>
          <w:rFonts w:asciiTheme="minorHAnsi" w:hAnsiTheme="minorHAnsi"/>
        </w:rPr>
        <w:t xml:space="preserve"> for that authority under the new </w:t>
      </w:r>
      <w:r>
        <w:rPr>
          <w:rFonts w:asciiTheme="minorHAnsi" w:hAnsiTheme="minorHAnsi"/>
        </w:rPr>
        <w:t xml:space="preserve">settings </w:t>
      </w:r>
      <w:r w:rsidRPr="00584C31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calculated to be </w:t>
      </w:r>
      <w:r w:rsidRPr="00584C31">
        <w:rPr>
          <w:rFonts w:asciiTheme="minorHAnsi" w:hAnsiTheme="minorHAnsi"/>
        </w:rPr>
        <w:t>$10,000,000.</w:t>
      </w:r>
    </w:p>
    <w:p w14:paraId="3A43FF3B" w14:textId="77777777" w:rsidR="001A2B75" w:rsidRPr="00584C31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The school’s </w:t>
      </w:r>
      <w:r>
        <w:rPr>
          <w:rFonts w:asciiTheme="minorHAnsi" w:hAnsiTheme="minorHAnsi"/>
        </w:rPr>
        <w:t>‘</w:t>
      </w:r>
      <w:r w:rsidRPr="00584C31">
        <w:rPr>
          <w:rFonts w:asciiTheme="minorHAnsi" w:hAnsiTheme="minorHAnsi"/>
        </w:rPr>
        <w:t>starting Commonwealth share</w:t>
      </w:r>
      <w:r>
        <w:rPr>
          <w:rFonts w:asciiTheme="minorHAnsi" w:hAnsiTheme="minorHAnsi"/>
        </w:rPr>
        <w:t>’</w:t>
      </w:r>
      <w:r w:rsidRPr="00584C31">
        <w:rPr>
          <w:rFonts w:asciiTheme="minorHAnsi" w:hAnsiTheme="minorHAnsi"/>
        </w:rPr>
        <w:t xml:space="preserve"> is $7,000,000 divided by $10,000,000, expressed as a percentage – or 70 per cent.</w:t>
      </w:r>
    </w:p>
    <w:p w14:paraId="5DA33CE5" w14:textId="77777777" w:rsidR="001A2B75" w:rsidRPr="00584C31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The school’s </w:t>
      </w:r>
      <w:r>
        <w:rPr>
          <w:rFonts w:asciiTheme="minorHAnsi" w:hAnsiTheme="minorHAnsi"/>
        </w:rPr>
        <w:t>‘</w:t>
      </w:r>
      <w:r w:rsidRPr="00584C31">
        <w:rPr>
          <w:rFonts w:asciiTheme="minorHAnsi" w:hAnsiTheme="minorHAnsi"/>
        </w:rPr>
        <w:t>final Commonwealth share</w:t>
      </w:r>
      <w:r>
        <w:rPr>
          <w:rFonts w:asciiTheme="minorHAnsi" w:hAnsiTheme="minorHAnsi"/>
        </w:rPr>
        <w:t>’</w:t>
      </w:r>
      <w:r w:rsidRPr="00584C31">
        <w:rPr>
          <w:rFonts w:asciiTheme="minorHAnsi" w:hAnsiTheme="minorHAnsi"/>
        </w:rPr>
        <w:t xml:space="preserve"> is 80 per cent.</w:t>
      </w:r>
    </w:p>
    <w:p w14:paraId="5A63FB73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Commonwealth share </w:t>
      </w:r>
      <w:r w:rsidRPr="00584C31">
        <w:rPr>
          <w:rFonts w:asciiTheme="minorHAnsi" w:hAnsiTheme="minorHAnsi"/>
        </w:rPr>
        <w:t>for each year will be set based on 10 equal steps between the starting and final Commonwealth share</w:t>
      </w:r>
      <w:r>
        <w:rPr>
          <w:rFonts w:asciiTheme="minorHAnsi" w:hAnsiTheme="minorHAnsi"/>
        </w:rPr>
        <w:t xml:space="preserve"> as follows.</w:t>
      </w:r>
    </w:p>
    <w:tbl>
      <w:tblPr>
        <w:tblStyle w:val="TableGrid"/>
        <w:tblW w:w="4599" w:type="pct"/>
        <w:tblInd w:w="457" w:type="dxa"/>
        <w:tblLook w:val="04A0" w:firstRow="1" w:lastRow="0" w:firstColumn="1" w:lastColumn="0" w:noHBand="0" w:noVBand="1"/>
      </w:tblPr>
      <w:tblGrid>
        <w:gridCol w:w="852"/>
        <w:gridCol w:w="852"/>
        <w:gridCol w:w="854"/>
        <w:gridCol w:w="852"/>
        <w:gridCol w:w="854"/>
        <w:gridCol w:w="852"/>
        <w:gridCol w:w="853"/>
        <w:gridCol w:w="851"/>
        <w:gridCol w:w="853"/>
        <w:gridCol w:w="851"/>
        <w:gridCol w:w="853"/>
      </w:tblGrid>
      <w:tr w:rsidR="001A2B75" w14:paraId="3CA19EC3" w14:textId="77777777" w:rsidTr="0005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48B257F3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2017</w:t>
            </w:r>
          </w:p>
        </w:tc>
        <w:tc>
          <w:tcPr>
            <w:tcW w:w="454" w:type="pct"/>
          </w:tcPr>
          <w:p w14:paraId="7CE4D1B3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2018</w:t>
            </w:r>
          </w:p>
        </w:tc>
        <w:tc>
          <w:tcPr>
            <w:tcW w:w="455" w:type="pct"/>
          </w:tcPr>
          <w:p w14:paraId="714DCAB8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2019</w:t>
            </w:r>
          </w:p>
        </w:tc>
        <w:tc>
          <w:tcPr>
            <w:tcW w:w="454" w:type="pct"/>
          </w:tcPr>
          <w:p w14:paraId="5066D713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2020</w:t>
            </w:r>
          </w:p>
        </w:tc>
        <w:tc>
          <w:tcPr>
            <w:tcW w:w="455" w:type="pct"/>
          </w:tcPr>
          <w:p w14:paraId="1455D2D7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2021</w:t>
            </w:r>
          </w:p>
        </w:tc>
        <w:tc>
          <w:tcPr>
            <w:tcW w:w="454" w:type="pct"/>
          </w:tcPr>
          <w:p w14:paraId="3B863AE7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2022</w:t>
            </w:r>
          </w:p>
        </w:tc>
        <w:tc>
          <w:tcPr>
            <w:tcW w:w="455" w:type="pct"/>
          </w:tcPr>
          <w:p w14:paraId="278E7D9F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2023</w:t>
            </w:r>
          </w:p>
        </w:tc>
        <w:tc>
          <w:tcPr>
            <w:tcW w:w="454" w:type="pct"/>
          </w:tcPr>
          <w:p w14:paraId="2075FE1A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2024</w:t>
            </w:r>
          </w:p>
        </w:tc>
        <w:tc>
          <w:tcPr>
            <w:tcW w:w="455" w:type="pct"/>
          </w:tcPr>
          <w:p w14:paraId="69A1EDE8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2025</w:t>
            </w:r>
          </w:p>
        </w:tc>
        <w:tc>
          <w:tcPr>
            <w:tcW w:w="454" w:type="pct"/>
          </w:tcPr>
          <w:p w14:paraId="0430BB8C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2026</w:t>
            </w:r>
          </w:p>
        </w:tc>
        <w:tc>
          <w:tcPr>
            <w:tcW w:w="455" w:type="pct"/>
          </w:tcPr>
          <w:p w14:paraId="5C978A4D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2027</w:t>
            </w:r>
          </w:p>
        </w:tc>
      </w:tr>
      <w:tr w:rsidR="001A2B75" w14:paraId="0A41C6EC" w14:textId="77777777" w:rsidTr="0005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1F54832C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70%</w:t>
            </w:r>
          </w:p>
        </w:tc>
        <w:tc>
          <w:tcPr>
            <w:tcW w:w="454" w:type="pct"/>
          </w:tcPr>
          <w:p w14:paraId="0838EAC8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71%</w:t>
            </w:r>
          </w:p>
        </w:tc>
        <w:tc>
          <w:tcPr>
            <w:tcW w:w="455" w:type="pct"/>
          </w:tcPr>
          <w:p w14:paraId="0A93AC30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72%</w:t>
            </w:r>
          </w:p>
        </w:tc>
        <w:tc>
          <w:tcPr>
            <w:tcW w:w="454" w:type="pct"/>
          </w:tcPr>
          <w:p w14:paraId="5E416362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73%</w:t>
            </w:r>
          </w:p>
        </w:tc>
        <w:tc>
          <w:tcPr>
            <w:tcW w:w="455" w:type="pct"/>
          </w:tcPr>
          <w:p w14:paraId="0D8E9E6A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74%</w:t>
            </w:r>
          </w:p>
        </w:tc>
        <w:tc>
          <w:tcPr>
            <w:tcW w:w="454" w:type="pct"/>
          </w:tcPr>
          <w:p w14:paraId="33600CFE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75%</w:t>
            </w:r>
          </w:p>
        </w:tc>
        <w:tc>
          <w:tcPr>
            <w:tcW w:w="455" w:type="pct"/>
          </w:tcPr>
          <w:p w14:paraId="06DF46DE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76%</w:t>
            </w:r>
          </w:p>
        </w:tc>
        <w:tc>
          <w:tcPr>
            <w:tcW w:w="454" w:type="pct"/>
          </w:tcPr>
          <w:p w14:paraId="3EAE56EA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77%</w:t>
            </w:r>
          </w:p>
        </w:tc>
        <w:tc>
          <w:tcPr>
            <w:tcW w:w="455" w:type="pct"/>
          </w:tcPr>
          <w:p w14:paraId="4149258D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78%</w:t>
            </w:r>
          </w:p>
        </w:tc>
        <w:tc>
          <w:tcPr>
            <w:tcW w:w="454" w:type="pct"/>
          </w:tcPr>
          <w:p w14:paraId="2E326432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79%</w:t>
            </w:r>
          </w:p>
        </w:tc>
        <w:tc>
          <w:tcPr>
            <w:tcW w:w="455" w:type="pct"/>
          </w:tcPr>
          <w:p w14:paraId="5E3AA110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80%</w:t>
            </w:r>
          </w:p>
        </w:tc>
      </w:tr>
    </w:tbl>
    <w:p w14:paraId="1878F2A0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Funding each year will be determined by the </w:t>
      </w:r>
      <w:r>
        <w:rPr>
          <w:rFonts w:asciiTheme="minorHAnsi" w:hAnsiTheme="minorHAnsi"/>
        </w:rPr>
        <w:t>Commonwealth share for each year, multiplied by the school’s SRS each year, which is calculated based on enrolment and student characteristic information provided through the Census each year.</w:t>
      </w:r>
    </w:p>
    <w:p w14:paraId="7300A203" w14:textId="77777777" w:rsidR="001A2B75" w:rsidRPr="00584C31" w:rsidRDefault="001A2B75" w:rsidP="001A2B75">
      <w:pPr>
        <w:keepNext/>
        <w:spacing w:after="200"/>
      </w:pPr>
      <w:r w:rsidRPr="00E0244F">
        <w:rPr>
          <w:b/>
        </w:rPr>
        <w:t>Example 2:</w:t>
      </w:r>
      <w:r>
        <w:t xml:space="preserve"> A hypothetical </w:t>
      </w:r>
      <w:r w:rsidRPr="00584C31">
        <w:rPr>
          <w:rFonts w:asciiTheme="minorHAnsi" w:hAnsiTheme="minorHAnsi"/>
        </w:rPr>
        <w:t xml:space="preserve">non-government </w:t>
      </w:r>
      <w:r>
        <w:t xml:space="preserve">school, currently </w:t>
      </w:r>
      <w:r w:rsidRPr="00E0244F">
        <w:rPr>
          <w:u w:val="single"/>
        </w:rPr>
        <w:t>above</w:t>
      </w:r>
      <w:r>
        <w:t xml:space="preserve"> the 80 per cent share of the SRS</w:t>
      </w:r>
      <w:r w:rsidRPr="00584C31">
        <w:t>:</w:t>
      </w:r>
    </w:p>
    <w:p w14:paraId="7A544EA3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>2017 total recurrent funding for a non-government school’s approved authority in 2017 is $</w:t>
      </w:r>
      <w:r>
        <w:rPr>
          <w:rFonts w:asciiTheme="minorHAnsi" w:hAnsiTheme="minorHAnsi"/>
        </w:rPr>
        <w:t>9</w:t>
      </w:r>
      <w:r w:rsidRPr="00584C31">
        <w:rPr>
          <w:rFonts w:asciiTheme="minorHAnsi" w:hAnsiTheme="minorHAnsi"/>
        </w:rPr>
        <w:t>,</w:t>
      </w:r>
      <w:r>
        <w:rPr>
          <w:rFonts w:asciiTheme="minorHAnsi" w:hAnsiTheme="minorHAnsi"/>
        </w:rPr>
        <w:t>5</w:t>
      </w:r>
      <w:r w:rsidRPr="00584C31">
        <w:rPr>
          <w:rFonts w:asciiTheme="minorHAnsi" w:hAnsiTheme="minorHAnsi"/>
        </w:rPr>
        <w:t>00,000</w:t>
      </w:r>
      <w:r>
        <w:rPr>
          <w:rFonts w:asciiTheme="minorHAnsi" w:hAnsiTheme="minorHAnsi"/>
        </w:rPr>
        <w:t>.</w:t>
      </w:r>
    </w:p>
    <w:p w14:paraId="0F59C5AB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The SRS</w:t>
      </w:r>
      <w:r w:rsidRPr="00584C31">
        <w:rPr>
          <w:rFonts w:asciiTheme="minorHAnsi" w:hAnsiTheme="minorHAnsi"/>
        </w:rPr>
        <w:t xml:space="preserve"> for that authority under the new </w:t>
      </w:r>
      <w:r>
        <w:rPr>
          <w:rFonts w:asciiTheme="minorHAnsi" w:hAnsiTheme="minorHAnsi"/>
        </w:rPr>
        <w:t xml:space="preserve">settings </w:t>
      </w:r>
      <w:r w:rsidRPr="00584C31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calculated to be </w:t>
      </w:r>
      <w:r w:rsidRPr="00584C31">
        <w:rPr>
          <w:rFonts w:asciiTheme="minorHAnsi" w:hAnsiTheme="minorHAnsi"/>
        </w:rPr>
        <w:t>$10,000,000.</w:t>
      </w:r>
    </w:p>
    <w:p w14:paraId="0200EDBE" w14:textId="77777777" w:rsidR="001A2B75" w:rsidRPr="00584C31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The school’s </w:t>
      </w:r>
      <w:r>
        <w:rPr>
          <w:rFonts w:asciiTheme="minorHAnsi" w:hAnsiTheme="minorHAnsi"/>
        </w:rPr>
        <w:t>‘</w:t>
      </w:r>
      <w:r w:rsidRPr="00584C31">
        <w:rPr>
          <w:rFonts w:asciiTheme="minorHAnsi" w:hAnsiTheme="minorHAnsi"/>
        </w:rPr>
        <w:t>starting Commonwealth share</w:t>
      </w:r>
      <w:r>
        <w:rPr>
          <w:rFonts w:asciiTheme="minorHAnsi" w:hAnsiTheme="minorHAnsi"/>
        </w:rPr>
        <w:t>’ is $9</w:t>
      </w:r>
      <w:r w:rsidRPr="00584C31">
        <w:rPr>
          <w:rFonts w:asciiTheme="minorHAnsi" w:hAnsiTheme="minorHAnsi"/>
        </w:rPr>
        <w:t>,</w:t>
      </w:r>
      <w:r>
        <w:rPr>
          <w:rFonts w:asciiTheme="minorHAnsi" w:hAnsiTheme="minorHAnsi"/>
        </w:rPr>
        <w:t>5</w:t>
      </w:r>
      <w:r w:rsidRPr="00584C31">
        <w:rPr>
          <w:rFonts w:asciiTheme="minorHAnsi" w:hAnsiTheme="minorHAnsi"/>
        </w:rPr>
        <w:t xml:space="preserve">00,000 divided by $10,000,000, </w:t>
      </w:r>
      <w:r>
        <w:rPr>
          <w:rFonts w:asciiTheme="minorHAnsi" w:hAnsiTheme="minorHAnsi"/>
        </w:rPr>
        <w:t>expressed as a percentage – or 95</w:t>
      </w:r>
      <w:r w:rsidRPr="00584C31">
        <w:rPr>
          <w:rFonts w:asciiTheme="minorHAnsi" w:hAnsiTheme="minorHAnsi"/>
        </w:rPr>
        <w:t xml:space="preserve"> per cent.</w:t>
      </w:r>
    </w:p>
    <w:p w14:paraId="78AD4379" w14:textId="77777777" w:rsidR="001A2B75" w:rsidRPr="00584C31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The school’s </w:t>
      </w:r>
      <w:r>
        <w:rPr>
          <w:rFonts w:asciiTheme="minorHAnsi" w:hAnsiTheme="minorHAnsi"/>
        </w:rPr>
        <w:t>‘</w:t>
      </w:r>
      <w:r w:rsidRPr="00584C31">
        <w:rPr>
          <w:rFonts w:asciiTheme="minorHAnsi" w:hAnsiTheme="minorHAnsi"/>
        </w:rPr>
        <w:t>final Commonwealth share</w:t>
      </w:r>
      <w:r>
        <w:rPr>
          <w:rFonts w:asciiTheme="minorHAnsi" w:hAnsiTheme="minorHAnsi"/>
        </w:rPr>
        <w:t>’</w:t>
      </w:r>
      <w:r w:rsidRPr="00584C31">
        <w:rPr>
          <w:rFonts w:asciiTheme="minorHAnsi" w:hAnsiTheme="minorHAnsi"/>
        </w:rPr>
        <w:t xml:space="preserve"> is 80 per cent.</w:t>
      </w:r>
    </w:p>
    <w:p w14:paraId="2A0274AB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Commonwealth share </w:t>
      </w:r>
      <w:r w:rsidRPr="00584C31">
        <w:rPr>
          <w:rFonts w:asciiTheme="minorHAnsi" w:hAnsiTheme="minorHAnsi"/>
        </w:rPr>
        <w:t>for each year will be set based on 10 equal steps between the starting and final Commonwealth share</w:t>
      </w:r>
      <w:r>
        <w:rPr>
          <w:rFonts w:asciiTheme="minorHAnsi" w:hAnsiTheme="minorHAnsi"/>
        </w:rPr>
        <w:t xml:space="preserve"> as follows.</w:t>
      </w:r>
    </w:p>
    <w:tbl>
      <w:tblPr>
        <w:tblStyle w:val="TableGrid"/>
        <w:tblW w:w="4599" w:type="pct"/>
        <w:tblInd w:w="457" w:type="dxa"/>
        <w:tblLook w:val="04A0" w:firstRow="1" w:lastRow="0" w:firstColumn="1" w:lastColumn="0" w:noHBand="0" w:noVBand="1"/>
      </w:tblPr>
      <w:tblGrid>
        <w:gridCol w:w="852"/>
        <w:gridCol w:w="852"/>
        <w:gridCol w:w="854"/>
        <w:gridCol w:w="852"/>
        <w:gridCol w:w="854"/>
        <w:gridCol w:w="852"/>
        <w:gridCol w:w="853"/>
        <w:gridCol w:w="851"/>
        <w:gridCol w:w="853"/>
        <w:gridCol w:w="851"/>
        <w:gridCol w:w="853"/>
      </w:tblGrid>
      <w:tr w:rsidR="001A2B75" w14:paraId="2D578061" w14:textId="77777777" w:rsidTr="0005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3B428A54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2017</w:t>
            </w:r>
          </w:p>
        </w:tc>
        <w:tc>
          <w:tcPr>
            <w:tcW w:w="454" w:type="pct"/>
          </w:tcPr>
          <w:p w14:paraId="02C199ED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2018</w:t>
            </w:r>
          </w:p>
        </w:tc>
        <w:tc>
          <w:tcPr>
            <w:tcW w:w="455" w:type="pct"/>
          </w:tcPr>
          <w:p w14:paraId="583AD1AB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2019</w:t>
            </w:r>
          </w:p>
        </w:tc>
        <w:tc>
          <w:tcPr>
            <w:tcW w:w="454" w:type="pct"/>
          </w:tcPr>
          <w:p w14:paraId="638A6C48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2020</w:t>
            </w:r>
          </w:p>
        </w:tc>
        <w:tc>
          <w:tcPr>
            <w:tcW w:w="455" w:type="pct"/>
          </w:tcPr>
          <w:p w14:paraId="5068EADC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2021</w:t>
            </w:r>
          </w:p>
        </w:tc>
        <w:tc>
          <w:tcPr>
            <w:tcW w:w="454" w:type="pct"/>
          </w:tcPr>
          <w:p w14:paraId="6406D88E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2022</w:t>
            </w:r>
          </w:p>
        </w:tc>
        <w:tc>
          <w:tcPr>
            <w:tcW w:w="455" w:type="pct"/>
          </w:tcPr>
          <w:p w14:paraId="75AEA93B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2023</w:t>
            </w:r>
          </w:p>
        </w:tc>
        <w:tc>
          <w:tcPr>
            <w:tcW w:w="454" w:type="pct"/>
          </w:tcPr>
          <w:p w14:paraId="489F40FB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2024</w:t>
            </w:r>
          </w:p>
        </w:tc>
        <w:tc>
          <w:tcPr>
            <w:tcW w:w="455" w:type="pct"/>
          </w:tcPr>
          <w:p w14:paraId="208CC377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2025</w:t>
            </w:r>
          </w:p>
        </w:tc>
        <w:tc>
          <w:tcPr>
            <w:tcW w:w="454" w:type="pct"/>
          </w:tcPr>
          <w:p w14:paraId="53335D62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2026</w:t>
            </w:r>
          </w:p>
        </w:tc>
        <w:tc>
          <w:tcPr>
            <w:tcW w:w="455" w:type="pct"/>
          </w:tcPr>
          <w:p w14:paraId="7492586F" w14:textId="77777777" w:rsidR="001A2B75" w:rsidRPr="00584C31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584C31">
              <w:rPr>
                <w:rFonts w:asciiTheme="minorHAnsi" w:hAnsiTheme="minorHAnsi"/>
              </w:rPr>
              <w:t>2027</w:t>
            </w:r>
          </w:p>
        </w:tc>
      </w:tr>
      <w:tr w:rsidR="001A2B75" w14:paraId="06D2E8F8" w14:textId="77777777" w:rsidTr="0005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10E4CBDA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95%</w:t>
            </w:r>
          </w:p>
        </w:tc>
        <w:tc>
          <w:tcPr>
            <w:tcW w:w="454" w:type="pct"/>
          </w:tcPr>
          <w:p w14:paraId="346D3008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93.5%</w:t>
            </w:r>
          </w:p>
        </w:tc>
        <w:tc>
          <w:tcPr>
            <w:tcW w:w="455" w:type="pct"/>
          </w:tcPr>
          <w:p w14:paraId="5BD86178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92%</w:t>
            </w:r>
          </w:p>
        </w:tc>
        <w:tc>
          <w:tcPr>
            <w:tcW w:w="454" w:type="pct"/>
          </w:tcPr>
          <w:p w14:paraId="17202C23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90.5%</w:t>
            </w:r>
          </w:p>
        </w:tc>
        <w:tc>
          <w:tcPr>
            <w:tcW w:w="455" w:type="pct"/>
          </w:tcPr>
          <w:p w14:paraId="4849F1A3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89%</w:t>
            </w:r>
          </w:p>
        </w:tc>
        <w:tc>
          <w:tcPr>
            <w:tcW w:w="454" w:type="pct"/>
          </w:tcPr>
          <w:p w14:paraId="57C7D986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87.5%</w:t>
            </w:r>
          </w:p>
        </w:tc>
        <w:tc>
          <w:tcPr>
            <w:tcW w:w="455" w:type="pct"/>
          </w:tcPr>
          <w:p w14:paraId="28F0C552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86%</w:t>
            </w:r>
          </w:p>
        </w:tc>
        <w:tc>
          <w:tcPr>
            <w:tcW w:w="454" w:type="pct"/>
          </w:tcPr>
          <w:p w14:paraId="37CE93E3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84.5%</w:t>
            </w:r>
          </w:p>
        </w:tc>
        <w:tc>
          <w:tcPr>
            <w:tcW w:w="455" w:type="pct"/>
          </w:tcPr>
          <w:p w14:paraId="0B0C2EAE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83%</w:t>
            </w:r>
          </w:p>
        </w:tc>
        <w:tc>
          <w:tcPr>
            <w:tcW w:w="454" w:type="pct"/>
          </w:tcPr>
          <w:p w14:paraId="6D677A10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81.5%</w:t>
            </w:r>
          </w:p>
        </w:tc>
        <w:tc>
          <w:tcPr>
            <w:tcW w:w="455" w:type="pct"/>
          </w:tcPr>
          <w:p w14:paraId="35C2A223" w14:textId="77777777" w:rsidR="001A2B75" w:rsidRDefault="001A2B75" w:rsidP="00053E3C">
            <w:pPr>
              <w:pStyle w:val="ListParagraph"/>
              <w:spacing w:before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80%</w:t>
            </w:r>
          </w:p>
        </w:tc>
      </w:tr>
    </w:tbl>
    <w:p w14:paraId="644013CF" w14:textId="77777777" w:rsidR="001A2B75" w:rsidRDefault="001A2B75" w:rsidP="001A2B75">
      <w:pPr>
        <w:pStyle w:val="ListParagraph"/>
        <w:numPr>
          <w:ilvl w:val="0"/>
          <w:numId w:val="42"/>
        </w:numPr>
        <w:spacing w:before="120"/>
        <w:ind w:left="360"/>
        <w:contextualSpacing w:val="0"/>
        <w:rPr>
          <w:rFonts w:asciiTheme="minorHAnsi" w:hAnsiTheme="minorHAnsi"/>
        </w:rPr>
      </w:pPr>
      <w:r w:rsidRPr="00584C31">
        <w:rPr>
          <w:rFonts w:asciiTheme="minorHAnsi" w:hAnsiTheme="minorHAnsi"/>
        </w:rPr>
        <w:t xml:space="preserve">Funding each year will be determined by the </w:t>
      </w:r>
      <w:r>
        <w:rPr>
          <w:rFonts w:asciiTheme="minorHAnsi" w:hAnsiTheme="minorHAnsi"/>
        </w:rPr>
        <w:t>Commonwealth share for each year, multiplied by the school’s SRS each year, which is calculated based on enrolment and student characteristic information provided through the Census each year.</w:t>
      </w:r>
    </w:p>
    <w:p w14:paraId="0944E25D" w14:textId="77777777" w:rsidR="001A2B75" w:rsidRPr="00CF5C3A" w:rsidRDefault="001A2B75" w:rsidP="001A2B75">
      <w:pPr>
        <w:spacing w:before="240" w:after="200"/>
        <w:rPr>
          <w:rFonts w:eastAsiaTheme="majorEastAsia" w:cstheme="majorBidi"/>
          <w:b/>
          <w:bCs/>
          <w:color w:val="27426F"/>
          <w:sz w:val="32"/>
          <w:szCs w:val="32"/>
        </w:rPr>
      </w:pPr>
      <w:r w:rsidRPr="00CF5C3A">
        <w:rPr>
          <w:rFonts w:eastAsiaTheme="majorEastAsia" w:cstheme="majorBidi"/>
          <w:b/>
          <w:bCs/>
          <w:color w:val="27426F"/>
          <w:sz w:val="32"/>
          <w:szCs w:val="32"/>
        </w:rPr>
        <w:t>Systemic schools</w:t>
      </w:r>
    </w:p>
    <w:p w14:paraId="32ACCE6C" w14:textId="77777777" w:rsidR="001A2B75" w:rsidRDefault="001A2B75" w:rsidP="001A2B75">
      <w:pPr>
        <w:spacing w:before="120"/>
      </w:pPr>
      <w:r w:rsidRPr="00584C31">
        <w:t>For schools that are part of a system,</w:t>
      </w:r>
      <w:r>
        <w:t xml:space="preserve"> the </w:t>
      </w:r>
      <w:r w:rsidRPr="00584C31">
        <w:t xml:space="preserve">starting Commonwealth share </w:t>
      </w:r>
      <w:r>
        <w:t>will be determined at the system level and applied to each of the member schools.</w:t>
      </w:r>
      <w:r w:rsidDel="00DE107C">
        <w:t xml:space="preserve"> </w:t>
      </w:r>
    </w:p>
    <w:p w14:paraId="2A77C766" w14:textId="77777777" w:rsidR="001A2B75" w:rsidRDefault="001A2B75" w:rsidP="001A2B75">
      <w:r>
        <w:t>Under the current arrangements, the notional allocation for each school in a system is based on its historical school-level funding. This means that, within a system, schools can attract very different shares of the SRS from the Commonwealth.</w:t>
      </w:r>
    </w:p>
    <w:p w14:paraId="50295671" w14:textId="77777777" w:rsidR="001A2B75" w:rsidRDefault="001A2B75" w:rsidP="001A2B75">
      <w:r>
        <w:t>The new arrangements are designed to make school funding fair. From 2018, the notional allocation for each school in a system will be based on the average share of the funding standard for all students in the system. This means that every school and student within a system will attract the same share of the SRS from the Commonwealth.</w:t>
      </w:r>
    </w:p>
    <w:p w14:paraId="5CE60457" w14:textId="77777777" w:rsidR="001A2B75" w:rsidRDefault="001A2B75" w:rsidP="001A2B75">
      <w:r>
        <w:t xml:space="preserve">Note that this methodology for systems does not change the total funding envelope for the system or how funding is passed on to your school by your system. </w:t>
      </w:r>
    </w:p>
    <w:p w14:paraId="7F416EE5" w14:textId="77777777" w:rsidR="001A2B75" w:rsidRDefault="001A2B75" w:rsidP="001A2B75">
      <w:r>
        <w:t xml:space="preserve">Systems such as state government and Catholic Education Commissions in each state will continue to be paid the Commonwealth school funding for all of their schools as a lump sum. These systems are then able to distribute this funding to their schools through their own needs-based funding arrangements. </w:t>
      </w:r>
    </w:p>
    <w:p w14:paraId="0C48399C" w14:textId="77777777" w:rsidR="001A2B75" w:rsidRPr="00CF5C3A" w:rsidRDefault="001A2B75" w:rsidP="001A2B75">
      <w:pPr>
        <w:spacing w:before="120"/>
        <w:rPr>
          <w:rFonts w:eastAsiaTheme="majorEastAsia" w:cstheme="majorBidi"/>
          <w:b/>
          <w:bCs/>
          <w:color w:val="27426F"/>
          <w:sz w:val="32"/>
          <w:szCs w:val="32"/>
        </w:rPr>
      </w:pPr>
      <w:r w:rsidRPr="00CF5C3A">
        <w:rPr>
          <w:rFonts w:eastAsiaTheme="majorEastAsia" w:cstheme="majorBidi"/>
          <w:b/>
          <w:bCs/>
          <w:color w:val="27426F"/>
          <w:sz w:val="32"/>
          <w:szCs w:val="32"/>
        </w:rPr>
        <w:t>Responsiveness to changes in student body</w:t>
      </w:r>
    </w:p>
    <w:p w14:paraId="49D6D73C" w14:textId="77777777" w:rsidR="001A2B75" w:rsidRPr="00CF5C3A" w:rsidRDefault="001A2B75" w:rsidP="001A2B75">
      <w:pPr>
        <w:spacing w:before="120"/>
        <w:rPr>
          <w:rFonts w:asciiTheme="minorHAnsi" w:hAnsiTheme="minorHAnsi"/>
        </w:rPr>
      </w:pPr>
      <w:r w:rsidRPr="00584C31">
        <w:t>Importantly, during transition, any changes in student characteristics at the school (and therefore le</w:t>
      </w:r>
      <w:r>
        <w:t>vel of need as measured by the SRS)</w:t>
      </w:r>
      <w:r w:rsidRPr="00584C31">
        <w:t xml:space="preserve"> will be reflected in the school’s funding entitlement, as the funding entitlement will be calculated as a share of the </w:t>
      </w:r>
      <w:r>
        <w:t xml:space="preserve">SRS </w:t>
      </w:r>
      <w:r w:rsidRPr="00584C31">
        <w:t>rather than a dollar amount.</w:t>
      </w:r>
    </w:p>
    <w:p w14:paraId="13FF26C7" w14:textId="50EDDCE9" w:rsidR="006F2676" w:rsidRDefault="006F2676" w:rsidP="006F2676">
      <w:bookmarkStart w:id="0" w:name="_GoBack"/>
      <w:bookmarkEnd w:id="0"/>
    </w:p>
    <w:sectPr w:rsidR="006F2676" w:rsidSect="00C958F3">
      <w:type w:val="continuous"/>
      <w:pgSz w:w="11907" w:h="16839" w:code="9"/>
      <w:pgMar w:top="1440" w:right="964" w:bottom="851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455C4" w14:textId="77777777" w:rsidR="00173BB3" w:rsidRDefault="00173BB3" w:rsidP="00A04F7E">
      <w:r>
        <w:separator/>
      </w:r>
    </w:p>
    <w:p w14:paraId="6BFB1FCF" w14:textId="77777777" w:rsidR="00173BB3" w:rsidRDefault="00173BB3"/>
  </w:endnote>
  <w:endnote w:type="continuationSeparator" w:id="0">
    <w:p w14:paraId="5098F82A" w14:textId="77777777" w:rsidR="00173BB3" w:rsidRDefault="00173BB3" w:rsidP="00A04F7E">
      <w:r>
        <w:continuationSeparator/>
      </w:r>
    </w:p>
    <w:p w14:paraId="1775554D" w14:textId="77777777" w:rsidR="00173BB3" w:rsidRDefault="00173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D1F16" w14:textId="6C1A4CFA" w:rsidR="004D603A" w:rsidRPr="00E63482" w:rsidRDefault="004D603A" w:rsidP="00681479">
    <w:pPr>
      <w:pStyle w:val="Footer"/>
    </w:pPr>
    <w:r w:rsidRPr="00E63482">
      <w:rPr>
        <w:lang w:eastAsia="en-AU"/>
      </w:rPr>
      <w:drawing>
        <wp:anchor distT="0" distB="0" distL="114300" distR="114300" simplePos="0" relativeHeight="251662336" behindDoc="1" locked="0" layoutInCell="1" allowOverlap="1" wp14:anchorId="0ABD1F18" wp14:editId="480805AF">
          <wp:simplePos x="0" y="0"/>
          <wp:positionH relativeFrom="column">
            <wp:posOffset>-621665</wp:posOffset>
          </wp:positionH>
          <wp:positionV relativeFrom="paragraph">
            <wp:posOffset>-146598</wp:posOffset>
          </wp:positionV>
          <wp:extent cx="7668000" cy="478800"/>
          <wp:effectExtent l="0" t="0" r="9525" b="0"/>
          <wp:wrapNone/>
          <wp:docPr id="4" name="Picture 4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17-0130 - SCH -Quality Schools Template_Footer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E63482">
        <w:rPr>
          <w:rStyle w:val="Hyperlink"/>
          <w:color w:val="FFFFFF" w:themeColor="background2"/>
          <w:u w:val="none"/>
        </w:rPr>
        <w:t>www.education.gov.au/qualityschools</w:t>
      </w:r>
    </w:hyperlink>
    <w:r w:rsidRPr="00E63482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D1F17" w14:textId="77777777" w:rsidR="004D603A" w:rsidRPr="00E63482" w:rsidRDefault="004D603A" w:rsidP="00681479">
    <w:pPr>
      <w:pStyle w:val="Footer"/>
      <w:ind w:left="964"/>
    </w:pPr>
    <w:r w:rsidRPr="00E63482">
      <w:rPr>
        <w:lang w:eastAsia="en-AU"/>
      </w:rPr>
      <w:drawing>
        <wp:anchor distT="0" distB="0" distL="114300" distR="114300" simplePos="0" relativeHeight="251660288" behindDoc="1" locked="0" layoutInCell="1" allowOverlap="1" wp14:anchorId="0ABD1F1A" wp14:editId="0ABD1F1B">
          <wp:simplePos x="0" y="0"/>
          <wp:positionH relativeFrom="column">
            <wp:posOffset>-3810</wp:posOffset>
          </wp:positionH>
          <wp:positionV relativeFrom="paragraph">
            <wp:posOffset>-137452</wp:posOffset>
          </wp:positionV>
          <wp:extent cx="7668000" cy="478800"/>
          <wp:effectExtent l="0" t="0" r="9525" b="0"/>
          <wp:wrapNone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17-0130 - SCH -Quality Schools Template_Footer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E63482">
        <w:rPr>
          <w:rStyle w:val="Hyperlink"/>
          <w:color w:val="FFFFFF" w:themeColor="background2"/>
          <w:u w:val="none"/>
        </w:rPr>
        <w:t>www.education.gov.au/qualityschools</w:t>
      </w:r>
    </w:hyperlink>
    <w:r w:rsidRPr="00E6348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745E1" w14:textId="77777777" w:rsidR="00173BB3" w:rsidRDefault="00173BB3" w:rsidP="00A04F7E">
      <w:r>
        <w:separator/>
      </w:r>
    </w:p>
    <w:p w14:paraId="0FD0BBE8" w14:textId="77777777" w:rsidR="00173BB3" w:rsidRDefault="00173BB3"/>
  </w:footnote>
  <w:footnote w:type="continuationSeparator" w:id="0">
    <w:p w14:paraId="121225FF" w14:textId="77777777" w:rsidR="00173BB3" w:rsidRDefault="00173BB3" w:rsidP="00A04F7E">
      <w:r>
        <w:continuationSeparator/>
      </w:r>
    </w:p>
    <w:p w14:paraId="5D4856EA" w14:textId="77777777" w:rsidR="00173BB3" w:rsidRDefault="00173B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CD552D"/>
    <w:multiLevelType w:val="hybridMultilevel"/>
    <w:tmpl w:val="E31A1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6CE3F80"/>
    <w:multiLevelType w:val="hybridMultilevel"/>
    <w:tmpl w:val="981E5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84D04"/>
    <w:multiLevelType w:val="hybridMultilevel"/>
    <w:tmpl w:val="AB1E254E"/>
    <w:lvl w:ilvl="0" w:tplc="78CCB112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color w:val="auto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F04FC5"/>
    <w:multiLevelType w:val="hybridMultilevel"/>
    <w:tmpl w:val="4092A1FC"/>
    <w:lvl w:ilvl="0" w:tplc="58CC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D9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515A43"/>
    <w:multiLevelType w:val="multilevel"/>
    <w:tmpl w:val="E1FAB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3E5736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3FD061E"/>
    <w:multiLevelType w:val="hybridMultilevel"/>
    <w:tmpl w:val="94F61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B106D"/>
    <w:multiLevelType w:val="multilevel"/>
    <w:tmpl w:val="1922AB32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>
    <w:nsid w:val="26414EFD"/>
    <w:multiLevelType w:val="multilevel"/>
    <w:tmpl w:val="8A7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79455A"/>
    <w:multiLevelType w:val="multilevel"/>
    <w:tmpl w:val="240AE6FC"/>
    <w:lvl w:ilvl="0">
      <w:start w:val="1"/>
      <w:numFmt w:val="decimal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6">
    <w:nsid w:val="48692AF4"/>
    <w:multiLevelType w:val="hybridMultilevel"/>
    <w:tmpl w:val="CD8AC7A8"/>
    <w:lvl w:ilvl="0" w:tplc="9DA2EE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70FCC"/>
    <w:multiLevelType w:val="hybridMultilevel"/>
    <w:tmpl w:val="E8F0F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02CCD"/>
    <w:multiLevelType w:val="multilevel"/>
    <w:tmpl w:val="1BA01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D41E9"/>
    <w:multiLevelType w:val="hybridMultilevel"/>
    <w:tmpl w:val="A27E5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>
    <w:nsid w:val="7FAA6E70"/>
    <w:multiLevelType w:val="hybridMultilevel"/>
    <w:tmpl w:val="6CD48978"/>
    <w:lvl w:ilvl="0" w:tplc="5C965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9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F287C"/>
    <w:multiLevelType w:val="hybridMultilevel"/>
    <w:tmpl w:val="B354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4"/>
  </w:num>
  <w:num w:numId="15">
    <w:abstractNumId w:val="19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2"/>
  </w:num>
  <w:num w:numId="21">
    <w:abstractNumId w:val="12"/>
  </w:num>
  <w:num w:numId="22">
    <w:abstractNumId w:val="35"/>
  </w:num>
  <w:num w:numId="23">
    <w:abstractNumId w:val="24"/>
  </w:num>
  <w:num w:numId="24">
    <w:abstractNumId w:val="30"/>
  </w:num>
  <w:num w:numId="25">
    <w:abstractNumId w:val="10"/>
  </w:num>
  <w:num w:numId="26">
    <w:abstractNumId w:val="25"/>
  </w:num>
  <w:num w:numId="27">
    <w:abstractNumId w:val="14"/>
  </w:num>
  <w:num w:numId="28">
    <w:abstractNumId w:val="15"/>
  </w:num>
  <w:num w:numId="29">
    <w:abstractNumId w:val="36"/>
  </w:num>
  <w:num w:numId="30">
    <w:abstractNumId w:val="28"/>
  </w:num>
  <w:num w:numId="31">
    <w:abstractNumId w:val="21"/>
  </w:num>
  <w:num w:numId="3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17"/>
  </w:num>
  <w:num w:numId="35">
    <w:abstractNumId w:val="23"/>
  </w:num>
  <w:num w:numId="36">
    <w:abstractNumId w:val="16"/>
  </w:num>
  <w:num w:numId="37">
    <w:abstractNumId w:val="11"/>
  </w:num>
  <w:num w:numId="38">
    <w:abstractNumId w:val="26"/>
  </w:num>
  <w:num w:numId="39">
    <w:abstractNumId w:val="27"/>
  </w:num>
  <w:num w:numId="40">
    <w:abstractNumId w:val="9"/>
  </w:num>
  <w:num w:numId="41">
    <w:abstractNumId w:val="37"/>
  </w:num>
  <w:num w:numId="42">
    <w:abstractNumId w:val="3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2EE"/>
    <w:rsid w:val="00002721"/>
    <w:rsid w:val="000036D9"/>
    <w:rsid w:val="00003FCE"/>
    <w:rsid w:val="000133DB"/>
    <w:rsid w:val="00022CDF"/>
    <w:rsid w:val="00024E24"/>
    <w:rsid w:val="0002670E"/>
    <w:rsid w:val="00034EAA"/>
    <w:rsid w:val="000429E4"/>
    <w:rsid w:val="00062F97"/>
    <w:rsid w:val="0006500D"/>
    <w:rsid w:val="000769B1"/>
    <w:rsid w:val="0008191F"/>
    <w:rsid w:val="000861A6"/>
    <w:rsid w:val="000905A4"/>
    <w:rsid w:val="000946D7"/>
    <w:rsid w:val="00095D52"/>
    <w:rsid w:val="000C13AD"/>
    <w:rsid w:val="000D016D"/>
    <w:rsid w:val="000E50D0"/>
    <w:rsid w:val="000E7E7B"/>
    <w:rsid w:val="000F3BA2"/>
    <w:rsid w:val="000F4DC6"/>
    <w:rsid w:val="000F6AD5"/>
    <w:rsid w:val="00101D6A"/>
    <w:rsid w:val="00115635"/>
    <w:rsid w:val="001175BF"/>
    <w:rsid w:val="00130923"/>
    <w:rsid w:val="001414F3"/>
    <w:rsid w:val="00143FCD"/>
    <w:rsid w:val="00173BB3"/>
    <w:rsid w:val="0019508E"/>
    <w:rsid w:val="001A2B75"/>
    <w:rsid w:val="001A3DAF"/>
    <w:rsid w:val="001B6467"/>
    <w:rsid w:val="001D3ADE"/>
    <w:rsid w:val="001F0B0B"/>
    <w:rsid w:val="001F44D0"/>
    <w:rsid w:val="00217A60"/>
    <w:rsid w:val="00223EB1"/>
    <w:rsid w:val="00233015"/>
    <w:rsid w:val="00236917"/>
    <w:rsid w:val="00243D6B"/>
    <w:rsid w:val="00245FA4"/>
    <w:rsid w:val="00254238"/>
    <w:rsid w:val="002804AE"/>
    <w:rsid w:val="002A25E6"/>
    <w:rsid w:val="002A3B7A"/>
    <w:rsid w:val="002B06E6"/>
    <w:rsid w:val="002D271F"/>
    <w:rsid w:val="002D2EBE"/>
    <w:rsid w:val="002D43FA"/>
    <w:rsid w:val="002D6386"/>
    <w:rsid w:val="002E0B06"/>
    <w:rsid w:val="00305B35"/>
    <w:rsid w:val="00306AE1"/>
    <w:rsid w:val="003079CE"/>
    <w:rsid w:val="003166C5"/>
    <w:rsid w:val="003242B9"/>
    <w:rsid w:val="003307EF"/>
    <w:rsid w:val="003362A4"/>
    <w:rsid w:val="00345441"/>
    <w:rsid w:val="00370FDF"/>
    <w:rsid w:val="003711F8"/>
    <w:rsid w:val="003805D4"/>
    <w:rsid w:val="00380D75"/>
    <w:rsid w:val="003A2DB7"/>
    <w:rsid w:val="003A35B6"/>
    <w:rsid w:val="003A43F0"/>
    <w:rsid w:val="003B1A48"/>
    <w:rsid w:val="003C4BD0"/>
    <w:rsid w:val="003C6FE2"/>
    <w:rsid w:val="003D67FC"/>
    <w:rsid w:val="00400885"/>
    <w:rsid w:val="00403F54"/>
    <w:rsid w:val="00406894"/>
    <w:rsid w:val="00406E5A"/>
    <w:rsid w:val="004412D9"/>
    <w:rsid w:val="004459F7"/>
    <w:rsid w:val="004516D7"/>
    <w:rsid w:val="004540B5"/>
    <w:rsid w:val="00454576"/>
    <w:rsid w:val="00455B34"/>
    <w:rsid w:val="00462B2A"/>
    <w:rsid w:val="00472ECB"/>
    <w:rsid w:val="00472F88"/>
    <w:rsid w:val="00475A95"/>
    <w:rsid w:val="0048762C"/>
    <w:rsid w:val="00490500"/>
    <w:rsid w:val="00490F19"/>
    <w:rsid w:val="004A45F8"/>
    <w:rsid w:val="004B256F"/>
    <w:rsid w:val="004C2B41"/>
    <w:rsid w:val="004D603A"/>
    <w:rsid w:val="00501717"/>
    <w:rsid w:val="00501DB7"/>
    <w:rsid w:val="00503E36"/>
    <w:rsid w:val="005113B6"/>
    <w:rsid w:val="00515897"/>
    <w:rsid w:val="00523E10"/>
    <w:rsid w:val="0052661F"/>
    <w:rsid w:val="00531817"/>
    <w:rsid w:val="00537B2F"/>
    <w:rsid w:val="00540F43"/>
    <w:rsid w:val="00550011"/>
    <w:rsid w:val="00560CA0"/>
    <w:rsid w:val="005624F3"/>
    <w:rsid w:val="005811EF"/>
    <w:rsid w:val="005818AE"/>
    <w:rsid w:val="005B0878"/>
    <w:rsid w:val="005B62F0"/>
    <w:rsid w:val="005C15C0"/>
    <w:rsid w:val="005C402E"/>
    <w:rsid w:val="005F14E4"/>
    <w:rsid w:val="005F3504"/>
    <w:rsid w:val="005F5878"/>
    <w:rsid w:val="00610654"/>
    <w:rsid w:val="00627480"/>
    <w:rsid w:val="006318B9"/>
    <w:rsid w:val="0063376B"/>
    <w:rsid w:val="0063729C"/>
    <w:rsid w:val="00646C4E"/>
    <w:rsid w:val="00651D86"/>
    <w:rsid w:val="006645C6"/>
    <w:rsid w:val="00664716"/>
    <w:rsid w:val="0067026C"/>
    <w:rsid w:val="00673CAD"/>
    <w:rsid w:val="00681479"/>
    <w:rsid w:val="006D3733"/>
    <w:rsid w:val="006E10EC"/>
    <w:rsid w:val="006E2D49"/>
    <w:rsid w:val="006E68AF"/>
    <w:rsid w:val="006F2676"/>
    <w:rsid w:val="00705F06"/>
    <w:rsid w:val="0072124E"/>
    <w:rsid w:val="00721642"/>
    <w:rsid w:val="00746247"/>
    <w:rsid w:val="007468FC"/>
    <w:rsid w:val="00762D18"/>
    <w:rsid w:val="007658A7"/>
    <w:rsid w:val="00792CA3"/>
    <w:rsid w:val="00793A53"/>
    <w:rsid w:val="007B2FDD"/>
    <w:rsid w:val="007B6902"/>
    <w:rsid w:val="007C57B8"/>
    <w:rsid w:val="007D58FB"/>
    <w:rsid w:val="007F18DA"/>
    <w:rsid w:val="007F20DD"/>
    <w:rsid w:val="00806D54"/>
    <w:rsid w:val="00820EC0"/>
    <w:rsid w:val="00831423"/>
    <w:rsid w:val="0083468A"/>
    <w:rsid w:val="00842D43"/>
    <w:rsid w:val="00856D1C"/>
    <w:rsid w:val="008600AD"/>
    <w:rsid w:val="00865601"/>
    <w:rsid w:val="00876AC0"/>
    <w:rsid w:val="00882C4B"/>
    <w:rsid w:val="00894410"/>
    <w:rsid w:val="008957B0"/>
    <w:rsid w:val="008C1641"/>
    <w:rsid w:val="008D187E"/>
    <w:rsid w:val="008E1771"/>
    <w:rsid w:val="00903408"/>
    <w:rsid w:val="009116EA"/>
    <w:rsid w:val="009146EC"/>
    <w:rsid w:val="009301CA"/>
    <w:rsid w:val="00933671"/>
    <w:rsid w:val="0093620E"/>
    <w:rsid w:val="009468D4"/>
    <w:rsid w:val="009470F1"/>
    <w:rsid w:val="009472A2"/>
    <w:rsid w:val="0095644C"/>
    <w:rsid w:val="009619FD"/>
    <w:rsid w:val="00972BF7"/>
    <w:rsid w:val="00972DD5"/>
    <w:rsid w:val="00976D09"/>
    <w:rsid w:val="00984879"/>
    <w:rsid w:val="00985632"/>
    <w:rsid w:val="00991B63"/>
    <w:rsid w:val="009A3CD8"/>
    <w:rsid w:val="009B2428"/>
    <w:rsid w:val="009B2DC2"/>
    <w:rsid w:val="009B5CB7"/>
    <w:rsid w:val="009F53EB"/>
    <w:rsid w:val="00A04F7E"/>
    <w:rsid w:val="00A076BA"/>
    <w:rsid w:val="00A12A12"/>
    <w:rsid w:val="00A31242"/>
    <w:rsid w:val="00A52530"/>
    <w:rsid w:val="00A551BF"/>
    <w:rsid w:val="00A70524"/>
    <w:rsid w:val="00A73406"/>
    <w:rsid w:val="00AA1B6B"/>
    <w:rsid w:val="00AA615C"/>
    <w:rsid w:val="00AB6ED4"/>
    <w:rsid w:val="00AC65DA"/>
    <w:rsid w:val="00AE70B6"/>
    <w:rsid w:val="00B005E7"/>
    <w:rsid w:val="00B2722A"/>
    <w:rsid w:val="00B57D88"/>
    <w:rsid w:val="00B618BA"/>
    <w:rsid w:val="00B635E1"/>
    <w:rsid w:val="00B6431A"/>
    <w:rsid w:val="00B904AC"/>
    <w:rsid w:val="00B90820"/>
    <w:rsid w:val="00BA08D5"/>
    <w:rsid w:val="00BA282D"/>
    <w:rsid w:val="00BB6260"/>
    <w:rsid w:val="00BB68B0"/>
    <w:rsid w:val="00BD7E83"/>
    <w:rsid w:val="00BE6B5C"/>
    <w:rsid w:val="00BF5643"/>
    <w:rsid w:val="00C00191"/>
    <w:rsid w:val="00C05E74"/>
    <w:rsid w:val="00C078E3"/>
    <w:rsid w:val="00C10C19"/>
    <w:rsid w:val="00C143B8"/>
    <w:rsid w:val="00C17D02"/>
    <w:rsid w:val="00C27DD4"/>
    <w:rsid w:val="00C30726"/>
    <w:rsid w:val="00C5649C"/>
    <w:rsid w:val="00C56F37"/>
    <w:rsid w:val="00C67FC9"/>
    <w:rsid w:val="00C75486"/>
    <w:rsid w:val="00C80DEA"/>
    <w:rsid w:val="00C8202C"/>
    <w:rsid w:val="00C92A5B"/>
    <w:rsid w:val="00C958F3"/>
    <w:rsid w:val="00CA04A7"/>
    <w:rsid w:val="00CA46EC"/>
    <w:rsid w:val="00CB09EC"/>
    <w:rsid w:val="00CB32EE"/>
    <w:rsid w:val="00CC4402"/>
    <w:rsid w:val="00CC6F03"/>
    <w:rsid w:val="00CE7233"/>
    <w:rsid w:val="00CF32FE"/>
    <w:rsid w:val="00D05B29"/>
    <w:rsid w:val="00D0654A"/>
    <w:rsid w:val="00D1394D"/>
    <w:rsid w:val="00D26E18"/>
    <w:rsid w:val="00D471A9"/>
    <w:rsid w:val="00D47740"/>
    <w:rsid w:val="00D47CA9"/>
    <w:rsid w:val="00D65524"/>
    <w:rsid w:val="00D704ED"/>
    <w:rsid w:val="00D742DE"/>
    <w:rsid w:val="00D77EC2"/>
    <w:rsid w:val="00D812B9"/>
    <w:rsid w:val="00D903FD"/>
    <w:rsid w:val="00D94BC5"/>
    <w:rsid w:val="00D96C08"/>
    <w:rsid w:val="00DA0AB4"/>
    <w:rsid w:val="00DA7439"/>
    <w:rsid w:val="00DC3052"/>
    <w:rsid w:val="00DC4963"/>
    <w:rsid w:val="00DD15A2"/>
    <w:rsid w:val="00DE01B9"/>
    <w:rsid w:val="00DF46C4"/>
    <w:rsid w:val="00E00F65"/>
    <w:rsid w:val="00E41483"/>
    <w:rsid w:val="00E43EE6"/>
    <w:rsid w:val="00E63482"/>
    <w:rsid w:val="00E80BB9"/>
    <w:rsid w:val="00E84B90"/>
    <w:rsid w:val="00EA6133"/>
    <w:rsid w:val="00EC1BB7"/>
    <w:rsid w:val="00EC78E7"/>
    <w:rsid w:val="00ED2C73"/>
    <w:rsid w:val="00ED43D2"/>
    <w:rsid w:val="00EE3B8C"/>
    <w:rsid w:val="00EE3D2F"/>
    <w:rsid w:val="00EE4BE7"/>
    <w:rsid w:val="00EE7F1D"/>
    <w:rsid w:val="00EF4A38"/>
    <w:rsid w:val="00F064E4"/>
    <w:rsid w:val="00F07BE8"/>
    <w:rsid w:val="00F11B8F"/>
    <w:rsid w:val="00F1540B"/>
    <w:rsid w:val="00F170E0"/>
    <w:rsid w:val="00F31372"/>
    <w:rsid w:val="00F340E1"/>
    <w:rsid w:val="00F36340"/>
    <w:rsid w:val="00F4110B"/>
    <w:rsid w:val="00F41A5C"/>
    <w:rsid w:val="00F523AC"/>
    <w:rsid w:val="00F56AC7"/>
    <w:rsid w:val="00F74011"/>
    <w:rsid w:val="00F91E82"/>
    <w:rsid w:val="00F92479"/>
    <w:rsid w:val="00FB0C0B"/>
    <w:rsid w:val="00FB10CB"/>
    <w:rsid w:val="00FC6AB3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BD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semiHidden="0" w:uiPriority="10" w:qFormat="1"/>
    <w:lsdException w:name="Default Paragraph Font" w:uiPriority="1" w:unhideWhenUsed="1"/>
    <w:lsdException w:name="Body Text" w:uiPriority="0" w:unhideWhenUsed="1"/>
    <w:lsdException w:name="Subtitle" w:semiHidden="0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721642"/>
    <w:pPr>
      <w:spacing w:after="120" w:line="240" w:lineRule="auto"/>
    </w:pPr>
    <w:rPr>
      <w:rFonts w:ascii="Calibri" w:hAnsi="Calibri"/>
      <w:noProof/>
    </w:rPr>
  </w:style>
  <w:style w:type="paragraph" w:styleId="Heading1">
    <w:name w:val="heading 1"/>
    <w:basedOn w:val="Normal"/>
    <w:next w:val="Normal"/>
    <w:link w:val="Heading1Char"/>
    <w:uiPriority w:val="9"/>
    <w:rsid w:val="003805D4"/>
    <w:pPr>
      <w:spacing w:before="180"/>
      <w:outlineLvl w:val="0"/>
    </w:pPr>
    <w:rPr>
      <w:rFonts w:eastAsiaTheme="majorEastAsia" w:cstheme="majorBidi"/>
      <w:b/>
      <w:bCs/>
      <w:color w:val="27426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1641"/>
    <w:pPr>
      <w:outlineLvl w:val="1"/>
    </w:pPr>
    <w:rPr>
      <w:rFonts w:eastAsiaTheme="majorEastAsia" w:cstheme="majorBidi"/>
      <w:b/>
      <w:bCs/>
      <w:color w:val="274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40B5"/>
    <w:pPr>
      <w:spacing w:before="200" w:after="6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40B5"/>
    <w:pPr>
      <w:spacing w:before="200" w:after="60"/>
      <w:outlineLvl w:val="3"/>
    </w:pPr>
    <w:rPr>
      <w:rFonts w:eastAsiaTheme="majorEastAsia" w:cstheme="majorBidi"/>
      <w:b/>
      <w:bCs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eastAsiaTheme="majorEastAsia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eastAsiaTheme="majorEastAsia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05D4"/>
    <w:rPr>
      <w:rFonts w:ascii="Calibri" w:eastAsiaTheme="majorEastAsia" w:hAnsi="Calibri" w:cstheme="majorBidi"/>
      <w:b/>
      <w:bCs/>
      <w:noProof/>
      <w:color w:val="27426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641"/>
    <w:rPr>
      <w:rFonts w:ascii="Calibri" w:eastAsiaTheme="majorEastAsia" w:hAnsi="Calibri" w:cstheme="majorBidi"/>
      <w:b/>
      <w:bCs/>
      <w:noProof/>
      <w:color w:val="274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40B5"/>
    <w:rPr>
      <w:rFonts w:ascii="Calibri" w:eastAsiaTheme="majorEastAsia" w:hAnsi="Calibri" w:cstheme="majorBidi"/>
      <w:b/>
      <w:bCs/>
      <w:noProof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40B5"/>
    <w:rPr>
      <w:rFonts w:ascii="Calibri" w:eastAsiaTheme="majorEastAsia" w:hAnsi="Calibri" w:cstheme="majorBidi"/>
      <w:b/>
      <w:bCs/>
      <w:i/>
      <w:iCs/>
      <w:noProof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DeleteText">
    <w:name w:val="Delete Text"/>
    <w:basedOn w:val="Normal"/>
    <w:qFormat/>
    <w:rsid w:val="008C1641"/>
    <w:pPr>
      <w:spacing w:after="200" w:line="276" w:lineRule="auto"/>
    </w:pPr>
    <w:rPr>
      <w:rFonts w:asciiTheme="minorHAnsi" w:hAnsiTheme="minorHAnsi"/>
      <w:noProof w:val="0"/>
      <w:color w:val="7030A0"/>
    </w:rPr>
  </w:style>
  <w:style w:type="paragraph" w:customStyle="1" w:styleId="NormalafterTable">
    <w:name w:val="Normal after Table"/>
    <w:basedOn w:val="Normal"/>
    <w:qFormat/>
    <w:rsid w:val="00F4110B"/>
    <w:pPr>
      <w:spacing w:before="240" w:line="276" w:lineRule="auto"/>
    </w:pPr>
  </w:style>
  <w:style w:type="paragraph" w:styleId="Footer">
    <w:name w:val="footer"/>
    <w:basedOn w:val="Normal"/>
    <w:link w:val="FooterChar"/>
    <w:uiPriority w:val="99"/>
    <w:rsid w:val="0008191F"/>
    <w:pPr>
      <w:tabs>
        <w:tab w:val="center" w:pos="4513"/>
        <w:tab w:val="right" w:pos="9026"/>
      </w:tabs>
      <w:spacing w:after="0"/>
    </w:pPr>
    <w:rPr>
      <w:rFonts w:asciiTheme="minorHAnsi" w:hAnsiTheme="minorHAnsi"/>
      <w:color w:val="FFFFFF" w:themeColor="background2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8191F"/>
    <w:rPr>
      <w:noProof/>
      <w:color w:val="FFFFFF" w:themeColor="background2"/>
      <w:sz w:val="19"/>
    </w:rPr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/>
    </w:p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rsid w:val="005C402E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rsid w:val="005C402E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Bullet">
    <w:name w:val="List Bullet"/>
    <w:basedOn w:val="Normal"/>
    <w:uiPriority w:val="99"/>
    <w:rsid w:val="00AA615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rsid w:val="00AA615C"/>
    <w:pPr>
      <w:numPr>
        <w:ilvl w:val="1"/>
        <w:numId w:val="16"/>
      </w:numPr>
      <w:ind w:left="766" w:hanging="369"/>
      <w:contextualSpacing/>
    </w:pPr>
  </w:style>
  <w:style w:type="table" w:styleId="TableGrid">
    <w:name w:val="Table Grid"/>
    <w:aliases w:val="HELP_Table Style 2"/>
    <w:basedOn w:val="TableNormal"/>
    <w:uiPriority w:val="59"/>
    <w:rsid w:val="008C1641"/>
    <w:pPr>
      <w:spacing w:after="0" w:line="240" w:lineRule="auto"/>
    </w:pPr>
    <w:tblPr>
      <w:tblBorders>
        <w:top w:val="single" w:sz="8" w:space="0" w:color="1E3D6B"/>
        <w:left w:val="single" w:sz="8" w:space="0" w:color="1E3D6B"/>
        <w:bottom w:val="single" w:sz="8" w:space="0" w:color="1E3D6B"/>
        <w:right w:val="single" w:sz="8" w:space="0" w:color="1E3D6B"/>
        <w:insideH w:val="single" w:sz="8" w:space="0" w:color="1E3D6B"/>
        <w:insideV w:val="single" w:sz="8" w:space="0" w:color="1E3D6B"/>
      </w:tblBorders>
      <w:tblCellMar>
        <w:top w:w="28" w:type="dxa"/>
        <w:bottom w:w="28" w:type="dxa"/>
      </w:tblCellMar>
    </w:tblPr>
    <w:tblStylePr w:type="firstRow">
      <w:pPr>
        <w:wordWrap/>
        <w:jc w:val="left"/>
      </w:pPr>
      <w:rPr>
        <w:b/>
        <w:color w:val="FFFFFF" w:themeColor="background2"/>
      </w:rPr>
      <w:tblPr/>
      <w:tcPr>
        <w:shd w:val="clear" w:color="auto" w:fill="27426F"/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/>
    </w:pPr>
    <w:rPr>
      <w:rFonts w:eastAsiaTheme="minorHAns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B32EE"/>
    <w:pPr>
      <w:spacing w:before="360" w:after="180"/>
      <w:contextualSpacing/>
    </w:pPr>
    <w:rPr>
      <w:rFonts w:eastAsiaTheme="majorEastAsia" w:cstheme="majorBidi"/>
      <w:color w:val="27426F"/>
      <w:spacing w:val="5"/>
      <w:kern w:val="28"/>
      <w:sz w:val="5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32EE"/>
    <w:rPr>
      <w:rFonts w:ascii="Calibri" w:eastAsiaTheme="majorEastAsia" w:hAnsi="Calibri" w:cstheme="majorBidi"/>
      <w:noProof/>
      <w:color w:val="27426F"/>
      <w:spacing w:val="5"/>
      <w:kern w:val="28"/>
      <w:sz w:val="5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08E"/>
    <w:pPr>
      <w:numPr>
        <w:ilvl w:val="1"/>
      </w:numPr>
    </w:pPr>
    <w:rPr>
      <w:rFonts w:eastAsiaTheme="majorEastAsia" w:cstheme="majorBidi"/>
      <w:iCs/>
      <w:color w:val="404A9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08E"/>
    <w:rPr>
      <w:rFonts w:ascii="Calibri" w:eastAsiaTheme="majorEastAsia" w:hAnsi="Calibri" w:cstheme="majorBidi"/>
      <w:iCs/>
      <w:noProof/>
      <w:color w:val="404A9A"/>
      <w:spacing w:val="15"/>
      <w:sz w:val="24"/>
      <w:szCs w:val="24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ind w:left="426" w:hanging="369"/>
      <w:contextualSpacing/>
    </w:p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A04F7E"/>
    <w:pPr>
      <w:spacing w:after="100" w:line="330" w:lineRule="exact"/>
      <w:ind w:left="221"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550011"/>
    <w:pPr>
      <w:spacing w:after="100" w:line="350" w:lineRule="exact"/>
    </w:pPr>
    <w:rPr>
      <w:b/>
      <w:caps/>
      <w:color w:val="1E3D6B"/>
      <w:sz w:val="28"/>
    </w:rPr>
  </w:style>
  <w:style w:type="character" w:styleId="Hyperlink">
    <w:name w:val="Hyperlink"/>
    <w:basedOn w:val="DefaultParagraphFont"/>
    <w:uiPriority w:val="99"/>
    <w:unhideWhenUsed/>
    <w:rsid w:val="003805D4"/>
    <w:rPr>
      <w:b/>
      <w:color w:val="27426F"/>
      <w:u w:val="single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basedOn w:val="DefaultParagraphFont"/>
    <w:link w:val="ListParagraph"/>
    <w:uiPriority w:val="34"/>
    <w:locked/>
    <w:rsid w:val="000022EE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rsid w:val="00633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3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76B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76B"/>
    <w:rPr>
      <w:rFonts w:ascii="Calibri" w:hAnsi="Calibri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semiHidden="0" w:uiPriority="10" w:qFormat="1"/>
    <w:lsdException w:name="Default Paragraph Font" w:uiPriority="1" w:unhideWhenUsed="1"/>
    <w:lsdException w:name="Body Text" w:uiPriority="0" w:unhideWhenUsed="1"/>
    <w:lsdException w:name="Subtitle" w:semiHidden="0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721642"/>
    <w:pPr>
      <w:spacing w:after="120" w:line="240" w:lineRule="auto"/>
    </w:pPr>
    <w:rPr>
      <w:rFonts w:ascii="Calibri" w:hAnsi="Calibri"/>
      <w:noProof/>
    </w:rPr>
  </w:style>
  <w:style w:type="paragraph" w:styleId="Heading1">
    <w:name w:val="heading 1"/>
    <w:basedOn w:val="Normal"/>
    <w:next w:val="Normal"/>
    <w:link w:val="Heading1Char"/>
    <w:uiPriority w:val="9"/>
    <w:rsid w:val="003805D4"/>
    <w:pPr>
      <w:spacing w:before="180"/>
      <w:outlineLvl w:val="0"/>
    </w:pPr>
    <w:rPr>
      <w:rFonts w:eastAsiaTheme="majorEastAsia" w:cstheme="majorBidi"/>
      <w:b/>
      <w:bCs/>
      <w:color w:val="27426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1641"/>
    <w:pPr>
      <w:outlineLvl w:val="1"/>
    </w:pPr>
    <w:rPr>
      <w:rFonts w:eastAsiaTheme="majorEastAsia" w:cstheme="majorBidi"/>
      <w:b/>
      <w:bCs/>
      <w:color w:val="274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40B5"/>
    <w:pPr>
      <w:spacing w:before="200" w:after="6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40B5"/>
    <w:pPr>
      <w:spacing w:before="200" w:after="60"/>
      <w:outlineLvl w:val="3"/>
    </w:pPr>
    <w:rPr>
      <w:rFonts w:eastAsiaTheme="majorEastAsia" w:cstheme="majorBidi"/>
      <w:b/>
      <w:bCs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eastAsiaTheme="majorEastAsia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eastAsiaTheme="majorEastAsia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05D4"/>
    <w:rPr>
      <w:rFonts w:ascii="Calibri" w:eastAsiaTheme="majorEastAsia" w:hAnsi="Calibri" w:cstheme="majorBidi"/>
      <w:b/>
      <w:bCs/>
      <w:noProof/>
      <w:color w:val="27426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641"/>
    <w:rPr>
      <w:rFonts w:ascii="Calibri" w:eastAsiaTheme="majorEastAsia" w:hAnsi="Calibri" w:cstheme="majorBidi"/>
      <w:b/>
      <w:bCs/>
      <w:noProof/>
      <w:color w:val="274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40B5"/>
    <w:rPr>
      <w:rFonts w:ascii="Calibri" w:eastAsiaTheme="majorEastAsia" w:hAnsi="Calibri" w:cstheme="majorBidi"/>
      <w:b/>
      <w:bCs/>
      <w:noProof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40B5"/>
    <w:rPr>
      <w:rFonts w:ascii="Calibri" w:eastAsiaTheme="majorEastAsia" w:hAnsi="Calibri" w:cstheme="majorBidi"/>
      <w:b/>
      <w:bCs/>
      <w:i/>
      <w:iCs/>
      <w:noProof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DeleteText">
    <w:name w:val="Delete Text"/>
    <w:basedOn w:val="Normal"/>
    <w:qFormat/>
    <w:rsid w:val="008C1641"/>
    <w:pPr>
      <w:spacing w:after="200" w:line="276" w:lineRule="auto"/>
    </w:pPr>
    <w:rPr>
      <w:rFonts w:asciiTheme="minorHAnsi" w:hAnsiTheme="minorHAnsi"/>
      <w:noProof w:val="0"/>
      <w:color w:val="7030A0"/>
    </w:rPr>
  </w:style>
  <w:style w:type="paragraph" w:customStyle="1" w:styleId="NormalafterTable">
    <w:name w:val="Normal after Table"/>
    <w:basedOn w:val="Normal"/>
    <w:qFormat/>
    <w:rsid w:val="00F4110B"/>
    <w:pPr>
      <w:spacing w:before="240" w:line="276" w:lineRule="auto"/>
    </w:pPr>
  </w:style>
  <w:style w:type="paragraph" w:styleId="Footer">
    <w:name w:val="footer"/>
    <w:basedOn w:val="Normal"/>
    <w:link w:val="FooterChar"/>
    <w:uiPriority w:val="99"/>
    <w:rsid w:val="0008191F"/>
    <w:pPr>
      <w:tabs>
        <w:tab w:val="center" w:pos="4513"/>
        <w:tab w:val="right" w:pos="9026"/>
      </w:tabs>
      <w:spacing w:after="0"/>
    </w:pPr>
    <w:rPr>
      <w:rFonts w:asciiTheme="minorHAnsi" w:hAnsiTheme="minorHAnsi"/>
      <w:color w:val="FFFFFF" w:themeColor="background2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8191F"/>
    <w:rPr>
      <w:noProof/>
      <w:color w:val="FFFFFF" w:themeColor="background2"/>
      <w:sz w:val="19"/>
    </w:rPr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/>
    </w:p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rsid w:val="005C402E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rsid w:val="005C402E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Bullet">
    <w:name w:val="List Bullet"/>
    <w:basedOn w:val="Normal"/>
    <w:uiPriority w:val="99"/>
    <w:rsid w:val="00AA615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rsid w:val="00AA615C"/>
    <w:pPr>
      <w:numPr>
        <w:ilvl w:val="1"/>
        <w:numId w:val="16"/>
      </w:numPr>
      <w:ind w:left="766" w:hanging="369"/>
      <w:contextualSpacing/>
    </w:pPr>
  </w:style>
  <w:style w:type="table" w:styleId="TableGrid">
    <w:name w:val="Table Grid"/>
    <w:aliases w:val="HELP_Table Style 2"/>
    <w:basedOn w:val="TableNormal"/>
    <w:uiPriority w:val="59"/>
    <w:rsid w:val="008C1641"/>
    <w:pPr>
      <w:spacing w:after="0" w:line="240" w:lineRule="auto"/>
    </w:pPr>
    <w:tblPr>
      <w:tblBorders>
        <w:top w:val="single" w:sz="8" w:space="0" w:color="1E3D6B"/>
        <w:left w:val="single" w:sz="8" w:space="0" w:color="1E3D6B"/>
        <w:bottom w:val="single" w:sz="8" w:space="0" w:color="1E3D6B"/>
        <w:right w:val="single" w:sz="8" w:space="0" w:color="1E3D6B"/>
        <w:insideH w:val="single" w:sz="8" w:space="0" w:color="1E3D6B"/>
        <w:insideV w:val="single" w:sz="8" w:space="0" w:color="1E3D6B"/>
      </w:tblBorders>
      <w:tblCellMar>
        <w:top w:w="28" w:type="dxa"/>
        <w:bottom w:w="28" w:type="dxa"/>
      </w:tblCellMar>
    </w:tblPr>
    <w:tblStylePr w:type="firstRow">
      <w:pPr>
        <w:wordWrap/>
        <w:jc w:val="left"/>
      </w:pPr>
      <w:rPr>
        <w:b/>
        <w:color w:val="FFFFFF" w:themeColor="background2"/>
      </w:rPr>
      <w:tblPr/>
      <w:tcPr>
        <w:shd w:val="clear" w:color="auto" w:fill="27426F"/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/>
    </w:pPr>
    <w:rPr>
      <w:rFonts w:eastAsiaTheme="minorHAns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B32EE"/>
    <w:pPr>
      <w:spacing w:before="360" w:after="180"/>
      <w:contextualSpacing/>
    </w:pPr>
    <w:rPr>
      <w:rFonts w:eastAsiaTheme="majorEastAsia" w:cstheme="majorBidi"/>
      <w:color w:val="27426F"/>
      <w:spacing w:val="5"/>
      <w:kern w:val="28"/>
      <w:sz w:val="5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32EE"/>
    <w:rPr>
      <w:rFonts w:ascii="Calibri" w:eastAsiaTheme="majorEastAsia" w:hAnsi="Calibri" w:cstheme="majorBidi"/>
      <w:noProof/>
      <w:color w:val="27426F"/>
      <w:spacing w:val="5"/>
      <w:kern w:val="28"/>
      <w:sz w:val="5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08E"/>
    <w:pPr>
      <w:numPr>
        <w:ilvl w:val="1"/>
      </w:numPr>
    </w:pPr>
    <w:rPr>
      <w:rFonts w:eastAsiaTheme="majorEastAsia" w:cstheme="majorBidi"/>
      <w:iCs/>
      <w:color w:val="404A9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08E"/>
    <w:rPr>
      <w:rFonts w:ascii="Calibri" w:eastAsiaTheme="majorEastAsia" w:hAnsi="Calibri" w:cstheme="majorBidi"/>
      <w:iCs/>
      <w:noProof/>
      <w:color w:val="404A9A"/>
      <w:spacing w:val="15"/>
      <w:sz w:val="24"/>
      <w:szCs w:val="24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ind w:left="426" w:hanging="369"/>
      <w:contextualSpacing/>
    </w:p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A04F7E"/>
    <w:pPr>
      <w:spacing w:after="100" w:line="330" w:lineRule="exact"/>
      <w:ind w:left="221"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550011"/>
    <w:pPr>
      <w:spacing w:after="100" w:line="350" w:lineRule="exact"/>
    </w:pPr>
    <w:rPr>
      <w:b/>
      <w:caps/>
      <w:color w:val="1E3D6B"/>
      <w:sz w:val="28"/>
    </w:rPr>
  </w:style>
  <w:style w:type="character" w:styleId="Hyperlink">
    <w:name w:val="Hyperlink"/>
    <w:basedOn w:val="DefaultParagraphFont"/>
    <w:uiPriority w:val="99"/>
    <w:unhideWhenUsed/>
    <w:rsid w:val="003805D4"/>
    <w:rPr>
      <w:b/>
      <w:color w:val="27426F"/>
      <w:u w:val="single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basedOn w:val="DefaultParagraphFont"/>
    <w:link w:val="ListParagraph"/>
    <w:uiPriority w:val="34"/>
    <w:locked/>
    <w:rsid w:val="000022EE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rsid w:val="00633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3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76B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76B"/>
    <w:rPr>
      <w:rFonts w:ascii="Calibri" w:hAnsi="Calibri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au/qualityschools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au/qualityschool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69e1866-5b01-442c-a77b-da4089b45352" xsi:nil="true"/>
    <Folder_x0020_description xmlns="c69e1866-5b01-442c-a77b-da4089b45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10F9DB411A44C9F073D54A67E1232" ma:contentTypeVersion="2" ma:contentTypeDescription="Create a new document." ma:contentTypeScope="" ma:versionID="94f9c8d6e5023133f82aa5a41b84406c">
  <xsd:schema xmlns:xsd="http://www.w3.org/2001/XMLSchema" xmlns:xs="http://www.w3.org/2001/XMLSchema" xmlns:p="http://schemas.microsoft.com/office/2006/metadata/properties" xmlns:ns2="c69e1866-5b01-442c-a77b-da4089b45352" targetNamespace="http://schemas.microsoft.com/office/2006/metadata/properties" ma:root="true" ma:fieldsID="ac856976e193c32beb61c902b2fa26d3" ns2:_="">
    <xsd:import namespace="c69e1866-5b01-442c-a77b-da4089b45352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Folder_x0020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e1866-5b01-442c-a77b-da4089b45352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description="Section allows for description of document, including who provided it, or to where it has been used." ma:internalName="Comments">
      <xsd:simpleType>
        <xsd:restriction base="dms:Note">
          <xsd:maxLength value="255"/>
        </xsd:restriction>
      </xsd:simpleType>
    </xsd:element>
    <xsd:element name="Folder_x0020_description" ma:index="9" nillable="true" ma:displayName="Folder description" ma:description="Describe type of documents to go into the folder" ma:internalName="Folder_x0020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50BB-01C3-455A-8185-3575097BD970}">
  <ds:schemaRefs>
    <ds:schemaRef ds:uri="c69e1866-5b01-442c-a77b-da4089b453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032A87-A837-42D3-92E0-0D05700C8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e1866-5b01-442c-a77b-da4089b45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B2934-2BAC-424C-8EBF-89E264BFF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59E3F-D168-4B56-9D1B-A6653C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BBA3A648.dotm</Template>
  <TotalTime>1</TotalTime>
  <Pages>2</Pages>
  <Words>858</Words>
  <Characters>4423</Characters>
  <Application>Microsoft Office Word</Application>
  <DocSecurity>0</DocSecurity>
  <Lines>110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keywords>[SEC=]</cp:keywords>
  <cp:lastModifiedBy>FEENEY,Tracy</cp:lastModifiedBy>
  <cp:revision>2</cp:revision>
  <cp:lastPrinted>2017-05-01T06:54:00Z</cp:lastPrinted>
  <dcterms:created xsi:type="dcterms:W3CDTF">2017-05-24T05:34:00Z</dcterms:created>
  <dcterms:modified xsi:type="dcterms:W3CDTF">2017-05-24T05:34:00Z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0x01010052510F9DB411A44C9F073D54A67E1232</vt:lpwstr>
  </property>
  <property fmtid="{D5CDD505-2E9C-101B-9397-08002B2CF9AE}" pid="3" name="PM_Caveats_Count">
    <vt:lpwstr>0</vt:lpwstr>
  </property>
  <property fmtid="{D5CDD505-2E9C-101B-9397-08002B2CF9AE}" pid="4" name="PM_Originator_Hash_SHA1">
    <vt:lpwstr>DF76DF44057F7B473425081CDACF62039ECC7A8D</vt:lpwstr>
  </property>
  <property fmtid="{D5CDD505-2E9C-101B-9397-08002B2CF9AE}" pid="5" name="PM_SecurityClassification">
    <vt:lpwstr/>
  </property>
  <property fmtid="{D5CDD505-2E9C-101B-9397-08002B2CF9AE}" pid="6" name="PM_DisplayValueSecClassificationWithQualifier">
    <vt:lpwstr/>
  </property>
  <property fmtid="{D5CDD505-2E9C-101B-9397-08002B2CF9AE}" pid="7" name="PM_Qualifier">
    <vt:lpwstr/>
  </property>
  <property fmtid="{D5CDD505-2E9C-101B-9397-08002B2CF9AE}" pid="8" name="PM_InsertionValue">
    <vt:lpwstr>\r\n</vt:lpwstr>
  </property>
  <property fmtid="{D5CDD505-2E9C-101B-9397-08002B2CF9AE}" pid="9" name="PM_Hash_Salt">
    <vt:lpwstr>936A3A1D8789BAA4C85091648822C629</vt:lpwstr>
  </property>
  <property fmtid="{D5CDD505-2E9C-101B-9397-08002B2CF9AE}" pid="10" name="PM_Hash_Version">
    <vt:lpwstr>2014.2</vt:lpwstr>
  </property>
  <property fmtid="{D5CDD505-2E9C-101B-9397-08002B2CF9AE}" pid="11" name="PM_Hash_Salt_Prev">
    <vt:lpwstr>8B07CA3EED47F2A1FFC6FBA4CCE12FA2</vt:lpwstr>
  </property>
  <property fmtid="{D5CDD505-2E9C-101B-9397-08002B2CF9AE}" pid="12" name="PM_Hash_SHA1">
    <vt:lpwstr>D44F873F93562DD8A2D54B8C3FA359A7DC39F21F</vt:lpwstr>
  </property>
  <property fmtid="{D5CDD505-2E9C-101B-9397-08002B2CF9AE}" pid="13" name="PM_SecurityClassification_Prev">
    <vt:lpwstr>PROTECTED</vt:lpwstr>
  </property>
  <property fmtid="{D5CDD505-2E9C-101B-9397-08002B2CF9AE}" pid="14" name="PM_Qualifier_Prev">
    <vt:lpwstr/>
  </property>
</Properties>
</file>