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7C115" w14:textId="0DB485F5" w:rsidR="00463136" w:rsidRPr="0044166A" w:rsidRDefault="00463136" w:rsidP="00A012AA">
      <w:pPr>
        <w:pStyle w:val="EDUTitle"/>
        <w:spacing w:before="120"/>
      </w:pPr>
      <w:bookmarkStart w:id="0" w:name="_Toc402531390"/>
      <w:r w:rsidRPr="00A128FE">
        <w:rPr>
          <w:noProof/>
          <w:lang w:eastAsia="en-AU"/>
        </w:rPr>
        <w:drawing>
          <wp:anchor distT="0" distB="0" distL="114300" distR="114300" simplePos="0" relativeHeight="251659264" behindDoc="1" locked="0" layoutInCell="1" allowOverlap="1" wp14:anchorId="71823A6F" wp14:editId="2C82E938">
            <wp:simplePos x="0" y="0"/>
            <wp:positionH relativeFrom="column">
              <wp:posOffset>-913130</wp:posOffset>
            </wp:positionH>
            <wp:positionV relativeFrom="paragraph">
              <wp:posOffset>-358140</wp:posOffset>
            </wp:positionV>
            <wp:extent cx="7598410" cy="2365375"/>
            <wp:effectExtent l="0" t="0" r="254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9841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Case Study: </w:t>
      </w:r>
      <w:proofErr w:type="spellStart"/>
      <w:r>
        <w:t>Killester</w:t>
      </w:r>
      <w:proofErr w:type="spellEnd"/>
      <w:r>
        <w:t xml:space="preserve"> College</w:t>
      </w:r>
    </w:p>
    <w:p w14:paraId="354B1E52" w14:textId="42BDFD8B" w:rsidR="003E48E5" w:rsidRPr="009B6CD8" w:rsidRDefault="003E48E5" w:rsidP="00463136">
      <w:pPr>
        <w:pStyle w:val="EDUSubtitle"/>
        <w:spacing w:before="120"/>
        <w:rPr>
          <w:sz w:val="32"/>
          <w:szCs w:val="32"/>
        </w:rPr>
      </w:pPr>
      <w:r w:rsidRPr="009B6CD8">
        <w:rPr>
          <w:sz w:val="32"/>
          <w:szCs w:val="32"/>
        </w:rPr>
        <w:t>Family-School Partnerships Framework</w:t>
      </w:r>
    </w:p>
    <w:p w14:paraId="1DD6F3C0" w14:textId="77777777" w:rsidR="003E48E5" w:rsidRPr="009B6CD8" w:rsidRDefault="003E48E5" w:rsidP="00463136">
      <w:pPr>
        <w:pStyle w:val="EDUSubtitle"/>
        <w:spacing w:after="1680"/>
        <w:rPr>
          <w:sz w:val="28"/>
          <w:szCs w:val="28"/>
        </w:rPr>
      </w:pPr>
      <w:r w:rsidRPr="009B6CD8">
        <w:rPr>
          <w:sz w:val="28"/>
          <w:szCs w:val="28"/>
        </w:rPr>
        <w:t>A guide for schools and families</w:t>
      </w:r>
    </w:p>
    <w:p w14:paraId="0E23ED93" w14:textId="77777777" w:rsidR="00445D5C" w:rsidRDefault="00445D5C" w:rsidP="00463136">
      <w:pPr>
        <w:pStyle w:val="EDUSubtitle"/>
        <w:spacing w:after="2760"/>
        <w:sectPr w:rsidR="00445D5C" w:rsidSect="00FA3AD6">
          <w:footerReference w:type="default" r:id="rId10"/>
          <w:pgSz w:w="11906" w:h="16838" w:code="9"/>
          <w:pgMar w:top="568" w:right="1440" w:bottom="1134" w:left="1440" w:header="0" w:footer="850" w:gutter="0"/>
          <w:cols w:space="708"/>
          <w:docGrid w:linePitch="360"/>
        </w:sectPr>
      </w:pPr>
    </w:p>
    <w:bookmarkEnd w:id="0"/>
    <w:p w14:paraId="13C0F774" w14:textId="12524D5C" w:rsidR="0089708F" w:rsidRDefault="008705D1" w:rsidP="0089708F">
      <w:pPr>
        <w:pStyle w:val="EDUNormal"/>
        <w:rPr>
          <w:noProof w:val="0"/>
        </w:rPr>
      </w:pPr>
      <w:proofErr w:type="spellStart"/>
      <w:r>
        <w:rPr>
          <w:noProof w:val="0"/>
        </w:rPr>
        <w:lastRenderedPageBreak/>
        <w:t>Killester</w:t>
      </w:r>
      <w:proofErr w:type="spellEnd"/>
      <w:r>
        <w:rPr>
          <w:noProof w:val="0"/>
        </w:rPr>
        <w:t xml:space="preserve"> College is </w:t>
      </w:r>
      <w:r w:rsidR="0089708F">
        <w:rPr>
          <w:noProof w:val="0"/>
        </w:rPr>
        <w:t>a Catholic secondary college for girls, located in Springvale, Victoria</w:t>
      </w:r>
      <w:r>
        <w:rPr>
          <w:noProof w:val="0"/>
        </w:rPr>
        <w:t>. There are over 900</w:t>
      </w:r>
      <w:r w:rsidR="0089708F">
        <w:rPr>
          <w:noProof w:val="0"/>
        </w:rPr>
        <w:t xml:space="preserve"> students</w:t>
      </w:r>
      <w:r w:rsidR="00884822">
        <w:rPr>
          <w:noProof w:val="0"/>
        </w:rPr>
        <w:t xml:space="preserve">, </w:t>
      </w:r>
      <w:r w:rsidR="000B1590">
        <w:rPr>
          <w:noProof w:val="0"/>
        </w:rPr>
        <w:t>and</w:t>
      </w:r>
      <w:r w:rsidR="0089708F">
        <w:rPr>
          <w:noProof w:val="0"/>
        </w:rPr>
        <w:t xml:space="preserve"> </w:t>
      </w:r>
      <w:r w:rsidR="000B1590">
        <w:rPr>
          <w:noProof w:val="0"/>
        </w:rPr>
        <w:t>many</w:t>
      </w:r>
      <w:r w:rsidR="003A0804">
        <w:rPr>
          <w:noProof w:val="0"/>
        </w:rPr>
        <w:t xml:space="preserve"> of </w:t>
      </w:r>
      <w:r w:rsidR="000B1590">
        <w:rPr>
          <w:noProof w:val="0"/>
        </w:rPr>
        <w:t xml:space="preserve">the </w:t>
      </w:r>
      <w:r w:rsidR="003A0804">
        <w:rPr>
          <w:noProof w:val="0"/>
        </w:rPr>
        <w:t xml:space="preserve">students’ </w:t>
      </w:r>
      <w:r w:rsidR="0089708F">
        <w:rPr>
          <w:noProof w:val="0"/>
        </w:rPr>
        <w:t>parents speak a language</w:t>
      </w:r>
      <w:r>
        <w:rPr>
          <w:noProof w:val="0"/>
        </w:rPr>
        <w:t xml:space="preserve"> other than English at home.</w:t>
      </w:r>
    </w:p>
    <w:p w14:paraId="6CE1DA6E" w14:textId="77777777" w:rsidR="0089708F" w:rsidRDefault="0089708F" w:rsidP="0089708F">
      <w:pPr>
        <w:pStyle w:val="EDUNormal"/>
        <w:rPr>
          <w:noProof w:val="0"/>
        </w:rPr>
      </w:pPr>
      <w:r>
        <w:rPr>
          <w:noProof w:val="0"/>
        </w:rPr>
        <w:t>The school’s core values include ‘welcome to all people especially the most vulnerable’.</w:t>
      </w:r>
    </w:p>
    <w:p w14:paraId="78A2AC4C" w14:textId="000D4305" w:rsidR="00B4194D" w:rsidRDefault="00B4194D" w:rsidP="00B4194D">
      <w:pPr>
        <w:pStyle w:val="EDUNormal"/>
      </w:pPr>
      <w:r>
        <w:t xml:space="preserve">Killester College implemented a series of numeracy activities to increase parent engagement, </w:t>
      </w:r>
      <w:r w:rsidRPr="006978FB">
        <w:t>and found that students achieved higher maths scores the more their parents engaged with their learning.</w:t>
      </w:r>
    </w:p>
    <w:tbl>
      <w:tblPr>
        <w:tblStyle w:val="EDU"/>
        <w:tblW w:w="0" w:type="auto"/>
        <w:shd w:val="clear" w:color="auto" w:fill="274D7B"/>
        <w:tblLook w:val="04A0" w:firstRow="1" w:lastRow="0" w:firstColumn="1" w:lastColumn="0" w:noHBand="0" w:noVBand="1"/>
      </w:tblPr>
      <w:tblGrid>
        <w:gridCol w:w="4375"/>
      </w:tblGrid>
      <w:tr w:rsidR="00B4194D" w:rsidRPr="00BC090E" w14:paraId="24BA2A8F" w14:textId="77777777" w:rsidTr="002D3B7B">
        <w:trPr>
          <w:tblHeader/>
        </w:trPr>
        <w:tc>
          <w:tcPr>
            <w:tcW w:w="4375" w:type="dxa"/>
            <w:shd w:val="clear" w:color="auto" w:fill="274D7B"/>
          </w:tcPr>
          <w:p w14:paraId="13B8D327" w14:textId="34D749E3" w:rsidR="00B4194D" w:rsidRPr="006978FB" w:rsidRDefault="00B4194D" w:rsidP="00987A04">
            <w:pPr>
              <w:pStyle w:val="EDUBreakOutHeading"/>
              <w:spacing w:after="120"/>
            </w:pPr>
            <w:r w:rsidRPr="006978FB">
              <w:t>Project purpose</w:t>
            </w:r>
          </w:p>
          <w:p w14:paraId="0EF2AF69" w14:textId="72D6F801" w:rsidR="00B4194D" w:rsidRDefault="00B4194D" w:rsidP="00987A04">
            <w:pPr>
              <w:pStyle w:val="EDUBreakoutbody"/>
              <w:spacing w:after="120"/>
            </w:pPr>
            <w:r>
              <w:t>Killester College introduced a variety of communication tools and opportunities for engagement with parents of Year 7 students to strengthen the impact of education at home, leading to better learning outcomes for students.</w:t>
            </w:r>
          </w:p>
          <w:p w14:paraId="5A0CB70D" w14:textId="77777777" w:rsidR="00987A04" w:rsidRDefault="00B4194D" w:rsidP="00987A04">
            <w:pPr>
              <w:pStyle w:val="EDUBreakoutbody"/>
              <w:spacing w:after="120"/>
            </w:pPr>
            <w:r>
              <w:t xml:space="preserve">This project links with five of the key dimensions of the </w:t>
            </w:r>
            <w:r w:rsidRPr="00510083">
              <w:rPr>
                <w:i/>
              </w:rPr>
              <w:t>Family-School P</w:t>
            </w:r>
            <w:r w:rsidR="00987A04" w:rsidRPr="00510083">
              <w:rPr>
                <w:i/>
              </w:rPr>
              <w:t>artnerships Framework</w:t>
            </w:r>
            <w:r w:rsidR="00987A04">
              <w:t>:</w:t>
            </w:r>
          </w:p>
          <w:p w14:paraId="748788B9" w14:textId="161FEFCA" w:rsidR="00987A04" w:rsidRDefault="00327B57" w:rsidP="00987A04">
            <w:pPr>
              <w:pStyle w:val="EDUBreakoutbody"/>
              <w:numPr>
                <w:ilvl w:val="0"/>
                <w:numId w:val="29"/>
              </w:numPr>
              <w:ind w:left="284" w:hanging="284"/>
            </w:pPr>
            <w:r>
              <w:t>Communicate</w:t>
            </w:r>
          </w:p>
          <w:p w14:paraId="2EA4BF1E" w14:textId="77777777" w:rsidR="00987A04" w:rsidRDefault="00987A04" w:rsidP="00987A04">
            <w:pPr>
              <w:pStyle w:val="EDUBreakoutbody"/>
              <w:numPr>
                <w:ilvl w:val="0"/>
                <w:numId w:val="29"/>
              </w:numPr>
              <w:ind w:left="284" w:hanging="284"/>
            </w:pPr>
            <w:r>
              <w:t>Connect</w:t>
            </w:r>
            <w:r w:rsidR="00B4194D">
              <w:t xml:space="preserve"> </w:t>
            </w:r>
            <w:r>
              <w:t>learning at home and at school</w:t>
            </w:r>
          </w:p>
          <w:p w14:paraId="799C1339" w14:textId="77777777" w:rsidR="00987A04" w:rsidRDefault="00987A04" w:rsidP="00987A04">
            <w:pPr>
              <w:pStyle w:val="EDUBreakoutbody"/>
              <w:numPr>
                <w:ilvl w:val="0"/>
                <w:numId w:val="29"/>
              </w:numPr>
              <w:ind w:left="284" w:hanging="284"/>
            </w:pPr>
            <w:r>
              <w:t>Build community and identity</w:t>
            </w:r>
          </w:p>
          <w:p w14:paraId="17BF1A14" w14:textId="77777777" w:rsidR="00987A04" w:rsidRDefault="00987A04" w:rsidP="00987A04">
            <w:pPr>
              <w:pStyle w:val="EDUBreakoutbody"/>
              <w:numPr>
                <w:ilvl w:val="0"/>
                <w:numId w:val="29"/>
              </w:numPr>
              <w:ind w:left="284" w:hanging="284"/>
            </w:pPr>
            <w:r>
              <w:t>Recognise the role of the family</w:t>
            </w:r>
          </w:p>
          <w:p w14:paraId="0F3FFC2E" w14:textId="4CB4F957" w:rsidR="00B4194D" w:rsidRPr="00BC090E" w:rsidRDefault="00987A04" w:rsidP="00987A04">
            <w:pPr>
              <w:pStyle w:val="EDUBreakoutbody"/>
              <w:numPr>
                <w:ilvl w:val="0"/>
                <w:numId w:val="29"/>
              </w:numPr>
              <w:ind w:left="284" w:hanging="284"/>
            </w:pPr>
            <w:r>
              <w:t>Participate</w:t>
            </w:r>
            <w:r w:rsidR="00B4194D">
              <w:t xml:space="preserve"> </w:t>
            </w:r>
          </w:p>
        </w:tc>
      </w:tr>
    </w:tbl>
    <w:p w14:paraId="14FF6C1F" w14:textId="77777777" w:rsidR="00B4194D" w:rsidRPr="002D3B7B" w:rsidRDefault="00B4194D" w:rsidP="003E3AD9">
      <w:pPr>
        <w:pStyle w:val="EDUHeading1"/>
        <w:spacing w:after="120"/>
      </w:pPr>
      <w:r w:rsidRPr="002D3B7B">
        <w:t xml:space="preserve">Project overview </w:t>
      </w:r>
    </w:p>
    <w:p w14:paraId="5EBD1056" w14:textId="411DA1B8" w:rsidR="00884822" w:rsidRDefault="000950A3" w:rsidP="003E48E5">
      <w:pPr>
        <w:pStyle w:val="EDUNormal"/>
        <w:spacing w:after="360"/>
      </w:pPr>
      <w:r>
        <w:t>The school sought to e</w:t>
      </w:r>
      <w:r w:rsidR="000B1590">
        <w:t>stablish stronger partnerships and utilised t</w:t>
      </w:r>
      <w:r w:rsidR="00B4194D">
        <w:t>he s</w:t>
      </w:r>
      <w:r w:rsidR="000B1590">
        <w:t xml:space="preserve">chool’s Family Learning Centre </w:t>
      </w:r>
      <w:r w:rsidR="00B4194D">
        <w:t>to empower parents to take their place alongside teachers as educators of their children</w:t>
      </w:r>
      <w:r w:rsidR="008705D1">
        <w:t xml:space="preserve">. </w:t>
      </w:r>
    </w:p>
    <w:p w14:paraId="25E38F45" w14:textId="1628A463" w:rsidR="00B4194D" w:rsidRDefault="008705D1" w:rsidP="00B4194D">
      <w:pPr>
        <w:pStyle w:val="EDUNormal"/>
      </w:pPr>
      <w:r>
        <w:lastRenderedPageBreak/>
        <w:t>T</w:t>
      </w:r>
      <w:r w:rsidR="0089708F">
        <w:t xml:space="preserve">he project </w:t>
      </w:r>
      <w:r w:rsidR="00B4194D">
        <w:t xml:space="preserve">targeted Year 7 students and their parents to increase parent engagement for better </w:t>
      </w:r>
      <w:r w:rsidR="0089708F">
        <w:t xml:space="preserve">numeracy </w:t>
      </w:r>
      <w:r w:rsidR="00B4194D">
        <w:t>outcomes.</w:t>
      </w:r>
    </w:p>
    <w:p w14:paraId="25FC11C6" w14:textId="23DA47F3" w:rsidR="00B4194D" w:rsidRDefault="00B4194D" w:rsidP="00B4194D">
      <w:pPr>
        <w:pStyle w:val="EDUNormal"/>
      </w:pPr>
      <w:r>
        <w:t xml:space="preserve">The school invited all 156 </w:t>
      </w:r>
      <w:r w:rsidR="003A0804">
        <w:t xml:space="preserve">Year 7 </w:t>
      </w:r>
      <w:r>
        <w:t>students and their parents to participate in the project</w:t>
      </w:r>
      <w:r w:rsidR="003A0804">
        <w:t>,</w:t>
      </w:r>
      <w:r w:rsidR="0089708F">
        <w:t xml:space="preserve"> </w:t>
      </w:r>
      <w:r w:rsidR="003A0804">
        <w:t xml:space="preserve">with </w:t>
      </w:r>
      <w:r w:rsidR="0089708F">
        <w:t xml:space="preserve">112 parents </w:t>
      </w:r>
      <w:r w:rsidR="003A0804">
        <w:t xml:space="preserve">agreeing to be </w:t>
      </w:r>
      <w:r>
        <w:t>involved.</w:t>
      </w:r>
    </w:p>
    <w:p w14:paraId="5242AC40" w14:textId="0806FC9D" w:rsidR="00B4194D" w:rsidRDefault="003A0804" w:rsidP="00B4194D">
      <w:pPr>
        <w:pStyle w:val="EDUNormal"/>
      </w:pPr>
      <w:r>
        <w:t>M</w:t>
      </w:r>
      <w:r w:rsidR="00B4194D">
        <w:t>any parents were ini</w:t>
      </w:r>
      <w:r w:rsidR="003F1CB0">
        <w:t>tially unsure about</w:t>
      </w:r>
      <w:r w:rsidR="00B4194D">
        <w:t xml:space="preserve"> their ability to influence better achievement in numeracy.</w:t>
      </w:r>
      <w:r w:rsidR="000950A3">
        <w:t xml:space="preserve"> </w:t>
      </w:r>
    </w:p>
    <w:p w14:paraId="62D6EC7D" w14:textId="77777777" w:rsidR="00B4194D" w:rsidRPr="002440D7" w:rsidRDefault="00B4194D" w:rsidP="002440D7">
      <w:pPr>
        <w:pStyle w:val="EDUHeading2"/>
        <w:rPr>
          <w:rStyle w:val="EDUItalic"/>
          <w:bCs/>
          <w:i w:val="0"/>
          <w:iCs w:val="0"/>
        </w:rPr>
      </w:pPr>
      <w:bookmarkStart w:id="1" w:name="_Toc402531392"/>
      <w:r w:rsidRPr="002440D7">
        <w:rPr>
          <w:rStyle w:val="EDUItalic"/>
          <w:bCs/>
          <w:i w:val="0"/>
          <w:iCs w:val="0"/>
        </w:rPr>
        <w:t>Project focus and steps</w:t>
      </w:r>
    </w:p>
    <w:p w14:paraId="6A3B5E0F" w14:textId="77777777" w:rsidR="00B4194D" w:rsidRPr="002D3B7B" w:rsidRDefault="00B4194D" w:rsidP="003E3AD9">
      <w:pPr>
        <w:pStyle w:val="EDUHeading3"/>
        <w:spacing w:after="120"/>
      </w:pPr>
      <w:r w:rsidRPr="002D3B7B">
        <w:t>Events</w:t>
      </w:r>
    </w:p>
    <w:p w14:paraId="02945FD0" w14:textId="77777777" w:rsidR="00B4194D" w:rsidRDefault="00B4194D" w:rsidP="00B4194D">
      <w:pPr>
        <w:pStyle w:val="EDUNormal"/>
        <w:spacing w:after="120"/>
      </w:pPr>
      <w:r>
        <w:t>Three events were organised:</w:t>
      </w:r>
    </w:p>
    <w:p w14:paraId="112C536E" w14:textId="28D1EE41" w:rsidR="00B4194D" w:rsidRDefault="00B4194D" w:rsidP="005C68F5">
      <w:pPr>
        <w:pStyle w:val="EDUNormal"/>
        <w:numPr>
          <w:ilvl w:val="0"/>
          <w:numId w:val="27"/>
        </w:numPr>
        <w:spacing w:after="0"/>
        <w:ind w:left="284" w:hanging="284"/>
      </w:pPr>
      <w:r>
        <w:t>Term 1—Introduction to Y</w:t>
      </w:r>
      <w:r w:rsidR="000B1590">
        <w:t xml:space="preserve">ear </w:t>
      </w:r>
      <w:r>
        <w:t>7 Numeracy Program (attended by 45 parents)</w:t>
      </w:r>
    </w:p>
    <w:p w14:paraId="6C896486" w14:textId="77777777" w:rsidR="00B4194D" w:rsidRDefault="00B4194D" w:rsidP="005C68F5">
      <w:pPr>
        <w:pStyle w:val="EDUNormal"/>
        <w:numPr>
          <w:ilvl w:val="0"/>
          <w:numId w:val="27"/>
        </w:numPr>
        <w:spacing w:after="0"/>
        <w:ind w:left="284" w:hanging="284"/>
      </w:pPr>
      <w:r>
        <w:t>Term 2—Maths is Fun event (attended by 30 families)</w:t>
      </w:r>
    </w:p>
    <w:p w14:paraId="6DE2570C" w14:textId="77777777" w:rsidR="00B4194D" w:rsidRDefault="00B4194D" w:rsidP="00B4194D">
      <w:pPr>
        <w:pStyle w:val="EDUNormal"/>
        <w:numPr>
          <w:ilvl w:val="0"/>
          <w:numId w:val="27"/>
        </w:numPr>
        <w:spacing w:after="120"/>
        <w:ind w:left="284" w:hanging="284"/>
      </w:pPr>
      <w:r>
        <w:t>Term 3—Maths Learning Walk (attended by 10 families).</w:t>
      </w:r>
    </w:p>
    <w:p w14:paraId="1F3256A1" w14:textId="77777777" w:rsidR="00B4194D" w:rsidRDefault="00B4194D" w:rsidP="00B4194D">
      <w:pPr>
        <w:pStyle w:val="EDUNormal"/>
      </w:pPr>
      <w:r>
        <w:t>The parents and students who attended these events became the ‘experimental group’.</w:t>
      </w:r>
    </w:p>
    <w:p w14:paraId="69322E49" w14:textId="77777777" w:rsidR="00B4194D" w:rsidRPr="002D3B7B" w:rsidRDefault="00B4194D" w:rsidP="003E3AD9">
      <w:pPr>
        <w:pStyle w:val="EDUHeading3"/>
        <w:spacing w:after="120"/>
      </w:pPr>
      <w:r w:rsidRPr="002D3B7B">
        <w:t xml:space="preserve">Communication </w:t>
      </w:r>
    </w:p>
    <w:p w14:paraId="45269184" w14:textId="0F15C384" w:rsidR="00B4194D" w:rsidRDefault="00B4194D" w:rsidP="00B4194D">
      <w:pPr>
        <w:pStyle w:val="EDUNormal"/>
      </w:pPr>
      <w:r>
        <w:t xml:space="preserve">The school increased the range of </w:t>
      </w:r>
      <w:r w:rsidR="0089708F">
        <w:t xml:space="preserve">school-home </w:t>
      </w:r>
      <w:r>
        <w:t>communication tools and opportunities for engagement including Facebook, Twitter, Skoolbag, email and SMS to enhance connections.</w:t>
      </w:r>
    </w:p>
    <w:p w14:paraId="73A95D7A" w14:textId="76319E72" w:rsidR="00B4194D" w:rsidRDefault="00B4194D" w:rsidP="00B4194D">
      <w:pPr>
        <w:pStyle w:val="EDUNormal"/>
      </w:pPr>
      <w:r>
        <w:t>The school made regular contact with parents throughout the year to promote the events and activities</w:t>
      </w:r>
      <w:r w:rsidR="000950A3">
        <w:t>,</w:t>
      </w:r>
      <w:r>
        <w:t xml:space="preserve"> and used interpreters at parent meetings.</w:t>
      </w:r>
    </w:p>
    <w:p w14:paraId="59CE850C" w14:textId="210ED4DD" w:rsidR="00B4194D" w:rsidRPr="003E3AD9" w:rsidRDefault="00B4194D" w:rsidP="003E3AD9">
      <w:pPr>
        <w:pStyle w:val="EDUHeading3"/>
        <w:spacing w:after="120"/>
      </w:pPr>
      <w:r w:rsidRPr="003E3AD9">
        <w:lastRenderedPageBreak/>
        <w:t>Monitoring numeracy results</w:t>
      </w:r>
    </w:p>
    <w:p w14:paraId="62D30788" w14:textId="7427179F" w:rsidR="00B4194D" w:rsidRDefault="00B4194D" w:rsidP="00B4194D">
      <w:pPr>
        <w:pStyle w:val="EDUNormal"/>
      </w:pPr>
      <w:r>
        <w:t>The project monitor</w:t>
      </w:r>
      <w:r w:rsidR="00B14E5E">
        <w:t>ed</w:t>
      </w:r>
      <w:r>
        <w:t xml:space="preserve"> student’s numeracy results, to </w:t>
      </w:r>
      <w:r w:rsidR="00B14E5E">
        <w:t xml:space="preserve">gauge </w:t>
      </w:r>
      <w:r>
        <w:t xml:space="preserve">the differences in assessments of students involved in the project compared with rest of Year 7. </w:t>
      </w:r>
    </w:p>
    <w:p w14:paraId="54D4D501" w14:textId="77777777" w:rsidR="00B4194D" w:rsidRPr="002440D7" w:rsidRDefault="00B4194D" w:rsidP="002440D7">
      <w:pPr>
        <w:pStyle w:val="EDUHeading2"/>
        <w:spacing w:after="120"/>
        <w:rPr>
          <w:rStyle w:val="EDUItalic"/>
          <w:bCs/>
          <w:i w:val="0"/>
          <w:iCs w:val="0"/>
        </w:rPr>
      </w:pPr>
      <w:r w:rsidRPr="002440D7">
        <w:rPr>
          <w:rStyle w:val="EDUItalic"/>
          <w:bCs/>
          <w:i w:val="0"/>
          <w:iCs w:val="0"/>
        </w:rPr>
        <w:t>Background and data</w:t>
      </w:r>
    </w:p>
    <w:p w14:paraId="077133CE" w14:textId="24071424" w:rsidR="00B4194D" w:rsidRDefault="008705D1" w:rsidP="00B4194D">
      <w:pPr>
        <w:pStyle w:val="EDUNormal"/>
      </w:pPr>
      <w:r>
        <w:t>The school had</w:t>
      </w:r>
      <w:r w:rsidR="00B4194D">
        <w:t xml:space="preserve"> a focus on lifting numeracy standards</w:t>
      </w:r>
      <w:r w:rsidR="00EB012F">
        <w:t>,</w:t>
      </w:r>
      <w:r w:rsidR="00B4194D">
        <w:t xml:space="preserve"> and the transition program for incoming Year 7</w:t>
      </w:r>
      <w:r w:rsidR="00EB012F">
        <w:t xml:space="preserve"> </w:t>
      </w:r>
      <w:r w:rsidR="00B4194D">
        <w:t>s</w:t>
      </w:r>
      <w:r w:rsidR="00EB012F">
        <w:t>tudents</w:t>
      </w:r>
      <w:r w:rsidR="00B4194D">
        <w:t xml:space="preserve"> provided a</w:t>
      </w:r>
      <w:r w:rsidR="00B14E5E">
        <w:t>n identified</w:t>
      </w:r>
      <w:r w:rsidR="00B4194D">
        <w:t xml:space="preserve"> target group</w:t>
      </w:r>
      <w:r w:rsidR="00B14E5E">
        <w:t>.</w:t>
      </w:r>
      <w:r w:rsidR="00B4194D">
        <w:t xml:space="preserve"> The incoming Killester students completed an </w:t>
      </w:r>
      <w:r w:rsidR="00B4194D" w:rsidRPr="008705D1">
        <w:rPr>
          <w:i/>
        </w:rPr>
        <w:t>On Demand</w:t>
      </w:r>
      <w:r w:rsidR="00B4194D">
        <w:t xml:space="preserve"> </w:t>
      </w:r>
      <w:r>
        <w:t xml:space="preserve">test, which is a </w:t>
      </w:r>
      <w:r w:rsidR="00B4194D">
        <w:t xml:space="preserve"> </w:t>
      </w:r>
      <w:r>
        <w:t>a</w:t>
      </w:r>
      <w:r w:rsidRPr="007E4D4F">
        <w:t xml:space="preserve"> resource to see how students are tracking over time</w:t>
      </w:r>
      <w:r>
        <w:t xml:space="preserve">, to measure maths skills at </w:t>
      </w:r>
      <w:r w:rsidR="00B4194D">
        <w:t xml:space="preserve">the end of Year 6 and </w:t>
      </w:r>
      <w:r>
        <w:t xml:space="preserve">then again </w:t>
      </w:r>
      <w:r w:rsidR="00B4194D">
        <w:t xml:space="preserve">in Year 7 </w:t>
      </w:r>
      <w:r w:rsidR="00B14E5E">
        <w:t>so</w:t>
      </w:r>
      <w:r w:rsidR="00B4194D">
        <w:t xml:space="preserve"> data </w:t>
      </w:r>
      <w:r w:rsidR="00B14E5E">
        <w:t xml:space="preserve">could be examined and </w:t>
      </w:r>
      <w:r w:rsidR="00B4194D">
        <w:t xml:space="preserve">improvements </w:t>
      </w:r>
      <w:r w:rsidR="00B14E5E">
        <w:t>made.</w:t>
      </w:r>
    </w:p>
    <w:p w14:paraId="66F33CD2" w14:textId="7163177D" w:rsidR="00B4194D" w:rsidRDefault="00B4194D" w:rsidP="00B4194D">
      <w:pPr>
        <w:pStyle w:val="EDUNormal"/>
      </w:pPr>
      <w:r>
        <w:t xml:space="preserve">The students also participated in NAPLAN testing in Year 7, which provided further data about numeracy </w:t>
      </w:r>
      <w:r w:rsidR="00B14E5E">
        <w:t>acheivement</w:t>
      </w:r>
      <w:r>
        <w:t>.</w:t>
      </w:r>
    </w:p>
    <w:p w14:paraId="1B847038" w14:textId="77777777" w:rsidR="00B4194D" w:rsidRPr="003E3AD9" w:rsidRDefault="00B4194D" w:rsidP="003E3AD9">
      <w:pPr>
        <w:pStyle w:val="EDUHeading3"/>
        <w:spacing w:after="120"/>
        <w:rPr>
          <w:bCs w:val="0"/>
          <w:iCs/>
        </w:rPr>
      </w:pPr>
      <w:r w:rsidRPr="003E3AD9">
        <w:rPr>
          <w:bCs w:val="0"/>
          <w:i w:val="0"/>
          <w:iCs/>
        </w:rPr>
        <w:t xml:space="preserve">Semester 1 reporting </w:t>
      </w:r>
    </w:p>
    <w:p w14:paraId="42D1E318" w14:textId="77777777" w:rsidR="00B4194D" w:rsidRDefault="00B4194D" w:rsidP="00B4194D">
      <w:pPr>
        <w:pStyle w:val="EDUNormal"/>
      </w:pPr>
      <w:r>
        <w:t>Reporting on the first semester of Year 7 showed that as parents engaged in more numeracy events, numeracy results for students increased.</w:t>
      </w:r>
    </w:p>
    <w:tbl>
      <w:tblPr>
        <w:tblStyle w:val="TableGrid1"/>
        <w:tblW w:w="0" w:type="auto"/>
        <w:tblLook w:val="04A0" w:firstRow="1" w:lastRow="0" w:firstColumn="1" w:lastColumn="0" w:noHBand="0" w:noVBand="1"/>
      </w:tblPr>
      <w:tblGrid>
        <w:gridCol w:w="2093"/>
        <w:gridCol w:w="1984"/>
      </w:tblGrid>
      <w:tr w:rsidR="00B4194D" w:rsidRPr="00FD6443" w14:paraId="42FA3C82" w14:textId="77777777" w:rsidTr="00B14E5E">
        <w:tc>
          <w:tcPr>
            <w:tcW w:w="2093" w:type="dxa"/>
          </w:tcPr>
          <w:p w14:paraId="0901E5E4" w14:textId="77777777" w:rsidR="00B4194D" w:rsidRPr="00FD6443" w:rsidRDefault="00B4194D" w:rsidP="00B14E5E">
            <w:pPr>
              <w:spacing w:before="60"/>
              <w:jc w:val="center"/>
              <w:rPr>
                <w:rFonts w:ascii="Arial" w:eastAsia="Calibri" w:hAnsi="Arial" w:cs="Arial"/>
                <w:b/>
                <w:sz w:val="22"/>
                <w:szCs w:val="22"/>
              </w:rPr>
            </w:pPr>
            <w:r>
              <w:rPr>
                <w:rFonts w:ascii="Arial" w:eastAsia="Calibri" w:hAnsi="Arial" w:cs="Arial"/>
                <w:b/>
                <w:sz w:val="22"/>
                <w:szCs w:val="22"/>
              </w:rPr>
              <w:t>Parents attended</w:t>
            </w:r>
          </w:p>
        </w:tc>
        <w:tc>
          <w:tcPr>
            <w:tcW w:w="1984" w:type="dxa"/>
          </w:tcPr>
          <w:p w14:paraId="28DD0AF6" w14:textId="77777777" w:rsidR="00B4194D" w:rsidRPr="00FD6443" w:rsidRDefault="00B4194D" w:rsidP="00B14E5E">
            <w:pPr>
              <w:spacing w:before="60"/>
              <w:jc w:val="center"/>
              <w:rPr>
                <w:rFonts w:ascii="Arial" w:eastAsia="Calibri" w:hAnsi="Arial" w:cs="Arial"/>
                <w:b/>
                <w:sz w:val="22"/>
                <w:szCs w:val="22"/>
              </w:rPr>
            </w:pPr>
            <w:r w:rsidRPr="00FD6443">
              <w:rPr>
                <w:rFonts w:ascii="Arial" w:eastAsia="Calibri" w:hAnsi="Arial" w:cs="Arial"/>
                <w:b/>
                <w:sz w:val="22"/>
                <w:szCs w:val="22"/>
              </w:rPr>
              <w:t>Mean</w:t>
            </w:r>
            <w:r w:rsidRPr="00FD6443">
              <w:rPr>
                <w:rFonts w:ascii="Arial" w:eastAsia="Calibri" w:hAnsi="Arial" w:cs="Arial"/>
                <w:b/>
                <w:sz w:val="22"/>
                <w:szCs w:val="22"/>
              </w:rPr>
              <w:br/>
              <w:t>score</w:t>
            </w:r>
            <w:r>
              <w:rPr>
                <w:rFonts w:ascii="Arial" w:eastAsia="Calibri" w:hAnsi="Arial" w:cs="Arial"/>
                <w:b/>
                <w:sz w:val="22"/>
                <w:szCs w:val="22"/>
              </w:rPr>
              <w:t xml:space="preserve"> of student</w:t>
            </w:r>
          </w:p>
        </w:tc>
      </w:tr>
      <w:tr w:rsidR="00B4194D" w:rsidRPr="00FD6443" w14:paraId="4E4563FA" w14:textId="77777777" w:rsidTr="00B14E5E">
        <w:tc>
          <w:tcPr>
            <w:tcW w:w="2093" w:type="dxa"/>
          </w:tcPr>
          <w:p w14:paraId="14F02976"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0</w:t>
            </w:r>
            <w:r>
              <w:rPr>
                <w:rFonts w:ascii="Arial" w:eastAsia="Calibri" w:hAnsi="Arial" w:cs="Arial"/>
                <w:sz w:val="22"/>
                <w:szCs w:val="22"/>
              </w:rPr>
              <w:t xml:space="preserve"> events</w:t>
            </w:r>
          </w:p>
        </w:tc>
        <w:tc>
          <w:tcPr>
            <w:tcW w:w="1984" w:type="dxa"/>
          </w:tcPr>
          <w:p w14:paraId="5C734C5D"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6.12</w:t>
            </w:r>
          </w:p>
        </w:tc>
      </w:tr>
      <w:tr w:rsidR="00B4194D" w:rsidRPr="00FD6443" w14:paraId="0F3E5345" w14:textId="77777777" w:rsidTr="00B14E5E">
        <w:tc>
          <w:tcPr>
            <w:tcW w:w="2093" w:type="dxa"/>
          </w:tcPr>
          <w:p w14:paraId="57193FA4"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1</w:t>
            </w:r>
            <w:r>
              <w:rPr>
                <w:rFonts w:ascii="Arial" w:eastAsia="Calibri" w:hAnsi="Arial" w:cs="Arial"/>
                <w:sz w:val="22"/>
                <w:szCs w:val="22"/>
              </w:rPr>
              <w:t xml:space="preserve"> events</w:t>
            </w:r>
          </w:p>
        </w:tc>
        <w:tc>
          <w:tcPr>
            <w:tcW w:w="1984" w:type="dxa"/>
          </w:tcPr>
          <w:p w14:paraId="7EAB5DE7"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6.72</w:t>
            </w:r>
          </w:p>
        </w:tc>
      </w:tr>
      <w:tr w:rsidR="00B4194D" w:rsidRPr="00FD6443" w14:paraId="48104541" w14:textId="77777777" w:rsidTr="00B14E5E">
        <w:tc>
          <w:tcPr>
            <w:tcW w:w="2093" w:type="dxa"/>
          </w:tcPr>
          <w:p w14:paraId="650D245A"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2</w:t>
            </w:r>
            <w:r>
              <w:rPr>
                <w:rFonts w:ascii="Arial" w:eastAsia="Calibri" w:hAnsi="Arial" w:cs="Arial"/>
                <w:sz w:val="22"/>
                <w:szCs w:val="22"/>
              </w:rPr>
              <w:t xml:space="preserve"> events</w:t>
            </w:r>
          </w:p>
        </w:tc>
        <w:tc>
          <w:tcPr>
            <w:tcW w:w="1984" w:type="dxa"/>
          </w:tcPr>
          <w:p w14:paraId="443889EE"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7.07</w:t>
            </w:r>
          </w:p>
        </w:tc>
      </w:tr>
      <w:tr w:rsidR="00B4194D" w:rsidRPr="00FD6443" w14:paraId="4C20E727" w14:textId="77777777" w:rsidTr="00B14E5E">
        <w:tc>
          <w:tcPr>
            <w:tcW w:w="2093" w:type="dxa"/>
          </w:tcPr>
          <w:p w14:paraId="333DA7A1"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3</w:t>
            </w:r>
            <w:r>
              <w:rPr>
                <w:rFonts w:ascii="Arial" w:eastAsia="Calibri" w:hAnsi="Arial" w:cs="Arial"/>
                <w:sz w:val="22"/>
                <w:szCs w:val="22"/>
              </w:rPr>
              <w:t xml:space="preserve"> events</w:t>
            </w:r>
          </w:p>
        </w:tc>
        <w:tc>
          <w:tcPr>
            <w:tcW w:w="1984" w:type="dxa"/>
          </w:tcPr>
          <w:p w14:paraId="5F549D3C"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7.15</w:t>
            </w:r>
          </w:p>
        </w:tc>
      </w:tr>
    </w:tbl>
    <w:p w14:paraId="2DA6F42D" w14:textId="77777777" w:rsidR="00EB012F" w:rsidRDefault="00EB012F" w:rsidP="009B6CD8">
      <w:pPr>
        <w:pStyle w:val="EDUNormal"/>
        <w:spacing w:after="0"/>
      </w:pPr>
    </w:p>
    <w:p w14:paraId="6ABD2E0C" w14:textId="5527AB59" w:rsidR="009B6CD8" w:rsidRPr="009B6CD8" w:rsidRDefault="009B6CD8" w:rsidP="009B6CD8">
      <w:pPr>
        <w:pStyle w:val="EDUNormal"/>
        <w:rPr>
          <w:rStyle w:val="EDUItalic"/>
          <w:bCs w:val="0"/>
          <w:i w:val="0"/>
          <w:iCs w:val="0"/>
        </w:rPr>
      </w:pPr>
      <w:r>
        <w:t>Of the 156 students in the Year 7 cohort, 34% had parents attend at least one of the maths events.</w:t>
      </w:r>
    </w:p>
    <w:p w14:paraId="2550B3A3" w14:textId="77777777" w:rsidR="00B4194D" w:rsidRPr="003E3AD9" w:rsidRDefault="00B4194D" w:rsidP="003E3AD9">
      <w:pPr>
        <w:pStyle w:val="EDUHeading3"/>
        <w:spacing w:after="120"/>
        <w:rPr>
          <w:iCs/>
        </w:rPr>
      </w:pPr>
      <w:r w:rsidRPr="003E3AD9">
        <w:rPr>
          <w:bCs w:val="0"/>
          <w:i w:val="0"/>
          <w:iCs/>
        </w:rPr>
        <w:t>On Demand testing results</w:t>
      </w:r>
    </w:p>
    <w:p w14:paraId="24084058" w14:textId="77777777" w:rsidR="00B4194D" w:rsidRPr="00FD6443" w:rsidRDefault="00B4194D" w:rsidP="00510083">
      <w:pPr>
        <w:pStyle w:val="EDUNormal"/>
        <w:keepNext/>
        <w:keepLines/>
      </w:pPr>
      <w:r>
        <w:t>The maths</w:t>
      </w:r>
      <w:r w:rsidRPr="00FD6443">
        <w:t xml:space="preserve"> results from Year 6 were relatively similar in each of</w:t>
      </w:r>
      <w:r>
        <w:t xml:space="preserve"> these four groups of students.</w:t>
      </w:r>
    </w:p>
    <w:p w14:paraId="6B99386C" w14:textId="77777777" w:rsidR="00B4194D" w:rsidRPr="00FD6443" w:rsidRDefault="00B4194D" w:rsidP="00B4194D">
      <w:pPr>
        <w:pStyle w:val="EDUNormal"/>
      </w:pPr>
      <w:r w:rsidRPr="00FD6443">
        <w:t>However, a significant difference occurred during Year 7, with students whose parents attended events more frequently achieving higher scores.</w:t>
      </w:r>
    </w:p>
    <w:p w14:paraId="701679DF" w14:textId="77777777" w:rsidR="00B4194D" w:rsidRPr="00FD6443" w:rsidRDefault="00B4194D" w:rsidP="00B4194D">
      <w:pPr>
        <w:pStyle w:val="EDUNormal"/>
      </w:pPr>
      <w:r w:rsidRPr="00FD6443">
        <w:lastRenderedPageBreak/>
        <w:t>The same trend was also observed in growth in maths c</w:t>
      </w:r>
      <w:r>
        <w:t>apacity as measured by the two O</w:t>
      </w:r>
      <w:r w:rsidRPr="00FD6443">
        <w:t>n</w:t>
      </w:r>
      <w:r>
        <w:t xml:space="preserve"> Demand tests.</w:t>
      </w:r>
    </w:p>
    <w:tbl>
      <w:tblPr>
        <w:tblStyle w:val="TableGrid2"/>
        <w:tblW w:w="0" w:type="auto"/>
        <w:tblLook w:val="04A0" w:firstRow="1" w:lastRow="0" w:firstColumn="1" w:lastColumn="0" w:noHBand="0" w:noVBand="1"/>
      </w:tblPr>
      <w:tblGrid>
        <w:gridCol w:w="1133"/>
        <w:gridCol w:w="1079"/>
        <w:gridCol w:w="1079"/>
        <w:gridCol w:w="1084"/>
      </w:tblGrid>
      <w:tr w:rsidR="00B4194D" w:rsidRPr="00FD6443" w14:paraId="0C0E4892" w14:textId="77777777" w:rsidTr="00B14E5E">
        <w:tc>
          <w:tcPr>
            <w:tcW w:w="1101" w:type="dxa"/>
          </w:tcPr>
          <w:p w14:paraId="294E5CEB" w14:textId="77777777" w:rsidR="00B4194D" w:rsidRPr="00FD6443" w:rsidRDefault="00B4194D" w:rsidP="00B14E5E">
            <w:pPr>
              <w:spacing w:before="60"/>
              <w:rPr>
                <w:rFonts w:ascii="Arial" w:eastAsia="Calibri" w:hAnsi="Arial" w:cs="Arial"/>
                <w:b/>
                <w:sz w:val="22"/>
                <w:szCs w:val="22"/>
              </w:rPr>
            </w:pPr>
            <w:r w:rsidRPr="00FD6443">
              <w:rPr>
                <w:rFonts w:ascii="Arial" w:eastAsia="Calibri" w:hAnsi="Arial" w:cs="Arial"/>
                <w:b/>
                <w:sz w:val="22"/>
                <w:szCs w:val="22"/>
              </w:rPr>
              <w:t>Parents attended</w:t>
            </w:r>
          </w:p>
        </w:tc>
        <w:tc>
          <w:tcPr>
            <w:tcW w:w="1091" w:type="dxa"/>
          </w:tcPr>
          <w:p w14:paraId="3E4F756B" w14:textId="77777777" w:rsidR="00B4194D" w:rsidRPr="00FD6443" w:rsidRDefault="00B4194D" w:rsidP="00B14E5E">
            <w:pPr>
              <w:spacing w:before="60"/>
              <w:jc w:val="center"/>
              <w:rPr>
                <w:rFonts w:ascii="Arial" w:eastAsia="Calibri" w:hAnsi="Arial" w:cs="Arial"/>
                <w:b/>
                <w:sz w:val="22"/>
                <w:szCs w:val="22"/>
              </w:rPr>
            </w:pPr>
            <w:r w:rsidRPr="00FD6443">
              <w:rPr>
                <w:rFonts w:ascii="Arial" w:eastAsia="Calibri" w:hAnsi="Arial" w:cs="Arial"/>
                <w:b/>
                <w:sz w:val="22"/>
                <w:szCs w:val="22"/>
              </w:rPr>
              <w:t xml:space="preserve">Nov </w:t>
            </w:r>
            <w:r w:rsidRPr="00FD6443">
              <w:rPr>
                <w:rFonts w:ascii="Arial" w:eastAsia="Calibri" w:hAnsi="Arial" w:cs="Arial"/>
                <w:b/>
                <w:sz w:val="22"/>
                <w:szCs w:val="22"/>
              </w:rPr>
              <w:br/>
              <w:t>2014 results</w:t>
            </w:r>
          </w:p>
        </w:tc>
        <w:tc>
          <w:tcPr>
            <w:tcW w:w="1091" w:type="dxa"/>
          </w:tcPr>
          <w:p w14:paraId="09585FBE" w14:textId="77777777" w:rsidR="00B4194D" w:rsidRPr="00FD6443" w:rsidRDefault="00B4194D" w:rsidP="00B14E5E">
            <w:pPr>
              <w:spacing w:before="60"/>
              <w:jc w:val="center"/>
              <w:rPr>
                <w:rFonts w:ascii="Arial" w:eastAsia="Calibri" w:hAnsi="Arial" w:cs="Arial"/>
                <w:b/>
                <w:sz w:val="22"/>
                <w:szCs w:val="22"/>
              </w:rPr>
            </w:pPr>
            <w:r w:rsidRPr="00FD6443">
              <w:rPr>
                <w:rFonts w:ascii="Arial" w:eastAsia="Calibri" w:hAnsi="Arial" w:cs="Arial"/>
                <w:b/>
                <w:sz w:val="22"/>
                <w:szCs w:val="22"/>
              </w:rPr>
              <w:t>Sept 2015 results</w:t>
            </w:r>
          </w:p>
        </w:tc>
        <w:tc>
          <w:tcPr>
            <w:tcW w:w="1092" w:type="dxa"/>
          </w:tcPr>
          <w:p w14:paraId="1E5DB5A5" w14:textId="77777777" w:rsidR="00B4194D" w:rsidRPr="00FD6443" w:rsidRDefault="00B4194D" w:rsidP="00B14E5E">
            <w:pPr>
              <w:spacing w:before="60"/>
              <w:jc w:val="center"/>
              <w:rPr>
                <w:rFonts w:ascii="Arial" w:eastAsia="Calibri" w:hAnsi="Arial" w:cs="Arial"/>
                <w:b/>
                <w:sz w:val="22"/>
                <w:szCs w:val="22"/>
              </w:rPr>
            </w:pPr>
            <w:r w:rsidRPr="00FD6443">
              <w:rPr>
                <w:rFonts w:ascii="Arial" w:eastAsia="Calibri" w:hAnsi="Arial" w:cs="Arial"/>
                <w:b/>
                <w:sz w:val="22"/>
                <w:szCs w:val="22"/>
              </w:rPr>
              <w:t>Growth</w:t>
            </w:r>
          </w:p>
        </w:tc>
      </w:tr>
      <w:tr w:rsidR="00B4194D" w:rsidRPr="00FD6443" w14:paraId="5BB6B869" w14:textId="77777777" w:rsidTr="00B14E5E">
        <w:tc>
          <w:tcPr>
            <w:tcW w:w="1101" w:type="dxa"/>
          </w:tcPr>
          <w:p w14:paraId="1B02C369" w14:textId="77777777" w:rsidR="00B4194D" w:rsidRPr="00FD6443" w:rsidRDefault="00B4194D" w:rsidP="00B14E5E">
            <w:pPr>
              <w:spacing w:before="60"/>
              <w:rPr>
                <w:rFonts w:ascii="Arial" w:eastAsia="Calibri" w:hAnsi="Arial" w:cs="Arial"/>
                <w:sz w:val="22"/>
                <w:szCs w:val="22"/>
              </w:rPr>
            </w:pPr>
            <w:r w:rsidRPr="00FD6443">
              <w:rPr>
                <w:rFonts w:ascii="Arial" w:eastAsia="Calibri" w:hAnsi="Arial" w:cs="Arial"/>
                <w:sz w:val="22"/>
                <w:szCs w:val="22"/>
              </w:rPr>
              <w:t>0 events</w:t>
            </w:r>
          </w:p>
        </w:tc>
        <w:tc>
          <w:tcPr>
            <w:tcW w:w="1091" w:type="dxa"/>
          </w:tcPr>
          <w:p w14:paraId="540F59BA"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4.00</w:t>
            </w:r>
          </w:p>
        </w:tc>
        <w:tc>
          <w:tcPr>
            <w:tcW w:w="1091" w:type="dxa"/>
          </w:tcPr>
          <w:p w14:paraId="6BF21274"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6.7</w:t>
            </w:r>
          </w:p>
        </w:tc>
        <w:tc>
          <w:tcPr>
            <w:tcW w:w="1092" w:type="dxa"/>
          </w:tcPr>
          <w:p w14:paraId="40BADCD5"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0.7</w:t>
            </w:r>
          </w:p>
        </w:tc>
      </w:tr>
      <w:tr w:rsidR="00B4194D" w:rsidRPr="00FD6443" w14:paraId="420C3CDE" w14:textId="77777777" w:rsidTr="00B14E5E">
        <w:tc>
          <w:tcPr>
            <w:tcW w:w="1101" w:type="dxa"/>
          </w:tcPr>
          <w:p w14:paraId="0BCD769B" w14:textId="77777777" w:rsidR="00B4194D" w:rsidRPr="00FD6443" w:rsidRDefault="00B4194D" w:rsidP="00B14E5E">
            <w:pPr>
              <w:spacing w:before="60"/>
              <w:rPr>
                <w:rFonts w:ascii="Arial" w:eastAsia="Calibri" w:hAnsi="Arial" w:cs="Arial"/>
                <w:sz w:val="22"/>
                <w:szCs w:val="22"/>
              </w:rPr>
            </w:pPr>
            <w:r w:rsidRPr="00FD6443">
              <w:rPr>
                <w:rFonts w:ascii="Arial" w:eastAsia="Calibri" w:hAnsi="Arial" w:cs="Arial"/>
                <w:sz w:val="22"/>
                <w:szCs w:val="22"/>
              </w:rPr>
              <w:t>1 event</w:t>
            </w:r>
          </w:p>
        </w:tc>
        <w:tc>
          <w:tcPr>
            <w:tcW w:w="1091" w:type="dxa"/>
          </w:tcPr>
          <w:p w14:paraId="644BBF58"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3.95</w:t>
            </w:r>
          </w:p>
        </w:tc>
        <w:tc>
          <w:tcPr>
            <w:tcW w:w="1091" w:type="dxa"/>
          </w:tcPr>
          <w:p w14:paraId="48F88529"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6.5</w:t>
            </w:r>
          </w:p>
        </w:tc>
        <w:tc>
          <w:tcPr>
            <w:tcW w:w="1092" w:type="dxa"/>
          </w:tcPr>
          <w:p w14:paraId="011948D8"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0.5</w:t>
            </w:r>
          </w:p>
        </w:tc>
      </w:tr>
      <w:tr w:rsidR="00B4194D" w:rsidRPr="00FD6443" w14:paraId="51E7726B" w14:textId="77777777" w:rsidTr="00B14E5E">
        <w:tc>
          <w:tcPr>
            <w:tcW w:w="1101" w:type="dxa"/>
          </w:tcPr>
          <w:p w14:paraId="6A87E58B" w14:textId="77777777" w:rsidR="00B4194D" w:rsidRPr="00FD6443" w:rsidRDefault="00B4194D" w:rsidP="00B14E5E">
            <w:pPr>
              <w:spacing w:before="60"/>
              <w:rPr>
                <w:rFonts w:ascii="Arial" w:eastAsia="Calibri" w:hAnsi="Arial" w:cs="Arial"/>
                <w:sz w:val="22"/>
                <w:szCs w:val="22"/>
              </w:rPr>
            </w:pPr>
            <w:r w:rsidRPr="00FD6443">
              <w:rPr>
                <w:rFonts w:ascii="Arial" w:eastAsia="Calibri" w:hAnsi="Arial" w:cs="Arial"/>
                <w:sz w:val="22"/>
                <w:szCs w:val="22"/>
              </w:rPr>
              <w:t>2 events</w:t>
            </w:r>
          </w:p>
        </w:tc>
        <w:tc>
          <w:tcPr>
            <w:tcW w:w="1091" w:type="dxa"/>
          </w:tcPr>
          <w:p w14:paraId="7A7DE314"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3.96</w:t>
            </w:r>
          </w:p>
        </w:tc>
        <w:tc>
          <w:tcPr>
            <w:tcW w:w="1091" w:type="dxa"/>
          </w:tcPr>
          <w:p w14:paraId="4A7D7173"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7.0</w:t>
            </w:r>
          </w:p>
        </w:tc>
        <w:tc>
          <w:tcPr>
            <w:tcW w:w="1092" w:type="dxa"/>
          </w:tcPr>
          <w:p w14:paraId="497613EE"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1.0</w:t>
            </w:r>
          </w:p>
        </w:tc>
      </w:tr>
      <w:tr w:rsidR="00B4194D" w:rsidRPr="00FD6443" w14:paraId="7CB28B45" w14:textId="77777777" w:rsidTr="00B14E5E">
        <w:tc>
          <w:tcPr>
            <w:tcW w:w="1101" w:type="dxa"/>
          </w:tcPr>
          <w:p w14:paraId="371D4E5C" w14:textId="77777777" w:rsidR="00B4194D" w:rsidRPr="00FD6443" w:rsidRDefault="00B4194D" w:rsidP="00B14E5E">
            <w:pPr>
              <w:spacing w:before="60"/>
              <w:rPr>
                <w:rFonts w:ascii="Arial" w:eastAsia="Calibri" w:hAnsi="Arial" w:cs="Arial"/>
                <w:sz w:val="22"/>
                <w:szCs w:val="22"/>
              </w:rPr>
            </w:pPr>
            <w:r w:rsidRPr="00FD6443">
              <w:rPr>
                <w:rFonts w:ascii="Arial" w:eastAsia="Calibri" w:hAnsi="Arial" w:cs="Arial"/>
                <w:sz w:val="22"/>
                <w:szCs w:val="22"/>
              </w:rPr>
              <w:t>3 events</w:t>
            </w:r>
          </w:p>
        </w:tc>
        <w:tc>
          <w:tcPr>
            <w:tcW w:w="1091" w:type="dxa"/>
          </w:tcPr>
          <w:p w14:paraId="7A53F0F1"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3.98</w:t>
            </w:r>
          </w:p>
        </w:tc>
        <w:tc>
          <w:tcPr>
            <w:tcW w:w="1091" w:type="dxa"/>
          </w:tcPr>
          <w:p w14:paraId="014F3F5F"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8.2</w:t>
            </w:r>
          </w:p>
        </w:tc>
        <w:tc>
          <w:tcPr>
            <w:tcW w:w="1092" w:type="dxa"/>
          </w:tcPr>
          <w:p w14:paraId="583ECFB1" w14:textId="77777777" w:rsidR="00B4194D" w:rsidRPr="00FD6443" w:rsidRDefault="00B4194D" w:rsidP="00B14E5E">
            <w:pPr>
              <w:spacing w:before="60"/>
              <w:jc w:val="center"/>
              <w:rPr>
                <w:rFonts w:ascii="Arial" w:eastAsia="Calibri" w:hAnsi="Arial" w:cs="Arial"/>
                <w:sz w:val="22"/>
                <w:szCs w:val="22"/>
              </w:rPr>
            </w:pPr>
            <w:r w:rsidRPr="00FD6443">
              <w:rPr>
                <w:rFonts w:ascii="Arial" w:eastAsia="Calibri" w:hAnsi="Arial" w:cs="Arial"/>
                <w:sz w:val="22"/>
                <w:szCs w:val="22"/>
              </w:rPr>
              <w:t>2.2</w:t>
            </w:r>
          </w:p>
        </w:tc>
      </w:tr>
    </w:tbl>
    <w:p w14:paraId="575E05FB" w14:textId="77777777" w:rsidR="00B4194D" w:rsidRPr="003E3AD9" w:rsidRDefault="00B4194D" w:rsidP="003E3AD9">
      <w:pPr>
        <w:pStyle w:val="EDUHeading3"/>
        <w:spacing w:before="240" w:after="120"/>
        <w:rPr>
          <w:bCs w:val="0"/>
          <w:iCs/>
        </w:rPr>
      </w:pPr>
      <w:proofErr w:type="spellStart"/>
      <w:r w:rsidRPr="003E3AD9">
        <w:rPr>
          <w:bCs w:val="0"/>
          <w:i w:val="0"/>
          <w:iCs/>
        </w:rPr>
        <w:t>NAPLAN</w:t>
      </w:r>
      <w:proofErr w:type="spellEnd"/>
      <w:r w:rsidRPr="003E3AD9">
        <w:rPr>
          <w:bCs w:val="0"/>
          <w:i w:val="0"/>
          <w:iCs/>
        </w:rPr>
        <w:t xml:space="preserve"> </w:t>
      </w:r>
    </w:p>
    <w:p w14:paraId="4D185F06" w14:textId="77777777" w:rsidR="00B4194D" w:rsidRPr="00FD6443" w:rsidRDefault="00B4194D" w:rsidP="00B4194D">
      <w:pPr>
        <w:pStyle w:val="EDUNormal"/>
      </w:pPr>
      <w:r>
        <w:t>NAPLAN r</w:t>
      </w:r>
      <w:r w:rsidRPr="00FD6443">
        <w:t xml:space="preserve">esults indicated that Killester </w:t>
      </w:r>
      <w:r w:rsidR="00C520D6">
        <w:t xml:space="preserve">College </w:t>
      </w:r>
      <w:r w:rsidRPr="00FD6443">
        <w:t>students performed above the state in each area tested. In numeracy, 94% of the Year 7 students achieved above the national minimum standards (better than the previous year’s group, at 87%).</w:t>
      </w:r>
    </w:p>
    <w:p w14:paraId="3B025826" w14:textId="77777777" w:rsidR="00B4194D" w:rsidRPr="003E3AD9" w:rsidRDefault="00B4194D" w:rsidP="003E3AD9">
      <w:pPr>
        <w:pStyle w:val="EDUHeading3"/>
        <w:spacing w:after="120"/>
        <w:rPr>
          <w:bCs w:val="0"/>
          <w:iCs/>
        </w:rPr>
      </w:pPr>
      <w:r w:rsidRPr="003E3AD9">
        <w:rPr>
          <w:bCs w:val="0"/>
          <w:i w:val="0"/>
          <w:iCs/>
        </w:rPr>
        <w:t>Journals</w:t>
      </w:r>
    </w:p>
    <w:p w14:paraId="63FC8404" w14:textId="49554DBA" w:rsidR="00B4194D" w:rsidRPr="00FD6443" w:rsidRDefault="00B4194D" w:rsidP="00B4194D">
      <w:pPr>
        <w:pStyle w:val="EDUNormal"/>
      </w:pPr>
      <w:r>
        <w:t>S</w:t>
      </w:r>
      <w:r w:rsidRPr="00FD6443">
        <w:t xml:space="preserve">tudents </w:t>
      </w:r>
      <w:r>
        <w:t xml:space="preserve">were encouraged </w:t>
      </w:r>
      <w:r w:rsidRPr="00FD6443">
        <w:t xml:space="preserve">to reflect on their weekly progress and challenges in </w:t>
      </w:r>
      <w:r>
        <w:t>maths in weekly journals.</w:t>
      </w:r>
    </w:p>
    <w:p w14:paraId="696181F7" w14:textId="6893C763" w:rsidR="00B4194D" w:rsidRPr="00FD6443" w:rsidRDefault="00B4194D" w:rsidP="00B4194D">
      <w:pPr>
        <w:pStyle w:val="EDUNormal"/>
      </w:pPr>
      <w:r>
        <w:t xml:space="preserve">Parents were </w:t>
      </w:r>
      <w:r w:rsidRPr="00FD6443">
        <w:t>asked t</w:t>
      </w:r>
      <w:r>
        <w:t xml:space="preserve">o contribute their reflections, and </w:t>
      </w:r>
      <w:r w:rsidRPr="00FD6443">
        <w:t>found the journals a useful tool to monitor their daughter</w:t>
      </w:r>
      <w:r>
        <w:t>s’ attitude and focus.</w:t>
      </w:r>
    </w:p>
    <w:p w14:paraId="1D5F1F03" w14:textId="26480594" w:rsidR="009B6CD8" w:rsidRDefault="00B4194D" w:rsidP="00884822">
      <w:pPr>
        <w:pStyle w:val="EDUNormal"/>
      </w:pPr>
      <w:r w:rsidRPr="00FD6443">
        <w:t xml:space="preserve">The journals also provided an opportunity for feedback and communication with the teachers. </w:t>
      </w:r>
    </w:p>
    <w:p w14:paraId="5E7146D6" w14:textId="772F61CF" w:rsidR="00B4194D" w:rsidRPr="003E3AD9" w:rsidRDefault="004D66B0" w:rsidP="003E3AD9">
      <w:pPr>
        <w:pStyle w:val="EDUHeading3"/>
        <w:spacing w:after="120"/>
        <w:rPr>
          <w:bCs w:val="0"/>
          <w:iCs/>
        </w:rPr>
      </w:pPr>
      <w:r w:rsidRPr="003E3AD9">
        <w:rPr>
          <w:bCs w:val="0"/>
          <w:i w:val="0"/>
          <w:iCs/>
        </w:rPr>
        <w:t>Student reflections</w:t>
      </w:r>
    </w:p>
    <w:p w14:paraId="3AB76040" w14:textId="77777777" w:rsidR="00B4194D" w:rsidRPr="002D3B7B" w:rsidRDefault="00C520D6" w:rsidP="002D3B7B">
      <w:pPr>
        <w:pStyle w:val="EDUNormal"/>
        <w:spacing w:after="120"/>
        <w:ind w:left="142"/>
        <w:rPr>
          <w:rFonts w:eastAsia="Calibri" w:cs="Arial"/>
          <w:i/>
          <w:color w:val="104165" w:themeColor="accent1" w:themeShade="BF"/>
          <w:sz w:val="21"/>
          <w:szCs w:val="21"/>
        </w:rPr>
      </w:pPr>
      <w:r w:rsidRPr="002D3B7B">
        <w:rPr>
          <w:rFonts w:eastAsia="Calibri" w:cs="Arial"/>
          <w:i/>
          <w:color w:val="104165" w:themeColor="accent1" w:themeShade="BF"/>
          <w:sz w:val="21"/>
          <w:szCs w:val="21"/>
        </w:rPr>
        <w:t>‘</w:t>
      </w:r>
      <w:r w:rsidR="00B4194D" w:rsidRPr="002D3B7B">
        <w:rPr>
          <w:rFonts w:eastAsia="Calibri" w:cs="Arial"/>
          <w:i/>
          <w:color w:val="104165" w:themeColor="accent1" w:themeShade="BF"/>
          <w:sz w:val="21"/>
          <w:szCs w:val="21"/>
        </w:rPr>
        <w:t>I spend a lot of time on maths at home. I receive help from my teachers and Dad.</w:t>
      </w:r>
      <w:r w:rsidRPr="002D3B7B">
        <w:rPr>
          <w:rFonts w:eastAsia="Calibri" w:cs="Arial"/>
          <w:i/>
          <w:color w:val="104165" w:themeColor="accent1" w:themeShade="BF"/>
          <w:sz w:val="21"/>
          <w:szCs w:val="21"/>
        </w:rPr>
        <w:t>’</w:t>
      </w:r>
    </w:p>
    <w:p w14:paraId="27F44F4B" w14:textId="77777777" w:rsidR="00B4194D" w:rsidRPr="002D3B7B" w:rsidRDefault="00C520D6" w:rsidP="002D3B7B">
      <w:pPr>
        <w:pStyle w:val="EDUNormal"/>
        <w:spacing w:after="120"/>
        <w:ind w:left="142"/>
        <w:rPr>
          <w:rFonts w:eastAsia="Calibri" w:cs="Arial"/>
          <w:i/>
          <w:color w:val="104165" w:themeColor="accent1" w:themeShade="BF"/>
          <w:sz w:val="21"/>
          <w:szCs w:val="21"/>
        </w:rPr>
      </w:pPr>
      <w:r w:rsidRPr="002D3B7B">
        <w:rPr>
          <w:rFonts w:eastAsia="Calibri" w:cs="Arial"/>
          <w:i/>
          <w:color w:val="104165" w:themeColor="accent1" w:themeShade="BF"/>
          <w:sz w:val="21"/>
          <w:szCs w:val="21"/>
        </w:rPr>
        <w:t>‘</w:t>
      </w:r>
      <w:r w:rsidR="00B4194D" w:rsidRPr="002D3B7B">
        <w:rPr>
          <w:rFonts w:eastAsia="Calibri" w:cs="Arial"/>
          <w:i/>
          <w:color w:val="104165" w:themeColor="accent1" w:themeShade="BF"/>
          <w:sz w:val="21"/>
          <w:szCs w:val="21"/>
        </w:rPr>
        <w:t>My Mum and Dad help me when I have homework—a lot of the time I am not good at fractions.</w:t>
      </w:r>
      <w:r w:rsidRPr="002D3B7B">
        <w:rPr>
          <w:rFonts w:eastAsia="Calibri" w:cs="Arial"/>
          <w:i/>
          <w:color w:val="104165" w:themeColor="accent1" w:themeShade="BF"/>
          <w:sz w:val="21"/>
          <w:szCs w:val="21"/>
        </w:rPr>
        <w:t>’</w:t>
      </w:r>
    </w:p>
    <w:p w14:paraId="6292B421" w14:textId="77777777" w:rsidR="00B4194D" w:rsidRPr="002D3B7B" w:rsidRDefault="00C520D6" w:rsidP="002D3B7B">
      <w:pPr>
        <w:pStyle w:val="EDUNormal"/>
        <w:spacing w:after="120"/>
        <w:ind w:left="142"/>
        <w:rPr>
          <w:rFonts w:eastAsia="Calibri" w:cs="Arial"/>
          <w:i/>
          <w:color w:val="104165" w:themeColor="accent1" w:themeShade="BF"/>
          <w:sz w:val="21"/>
          <w:szCs w:val="21"/>
        </w:rPr>
      </w:pPr>
      <w:r w:rsidRPr="002D3B7B">
        <w:rPr>
          <w:rFonts w:eastAsia="Calibri" w:cs="Arial"/>
          <w:i/>
          <w:color w:val="104165" w:themeColor="accent1" w:themeShade="BF"/>
          <w:sz w:val="21"/>
          <w:szCs w:val="21"/>
        </w:rPr>
        <w:t>‘</w:t>
      </w:r>
      <w:r w:rsidR="00B4194D" w:rsidRPr="002D3B7B">
        <w:rPr>
          <w:rFonts w:eastAsia="Calibri" w:cs="Arial"/>
          <w:i/>
          <w:color w:val="104165" w:themeColor="accent1" w:themeShade="BF"/>
          <w:sz w:val="21"/>
          <w:szCs w:val="21"/>
        </w:rPr>
        <w:t>I made a mistake and learnt from it—now I know what to do if I come across an equation like that</w:t>
      </w:r>
      <w:r w:rsidRPr="002D3B7B">
        <w:rPr>
          <w:rFonts w:eastAsia="Calibri" w:cs="Arial"/>
          <w:i/>
          <w:color w:val="104165" w:themeColor="accent1" w:themeShade="BF"/>
          <w:sz w:val="21"/>
          <w:szCs w:val="21"/>
        </w:rPr>
        <w:t>’</w:t>
      </w:r>
      <w:r w:rsidR="00B4194D" w:rsidRPr="002D3B7B">
        <w:rPr>
          <w:rFonts w:eastAsia="Calibri" w:cs="Arial"/>
          <w:i/>
          <w:color w:val="104165" w:themeColor="accent1" w:themeShade="BF"/>
          <w:sz w:val="21"/>
          <w:szCs w:val="21"/>
        </w:rPr>
        <w:t>.</w:t>
      </w:r>
    </w:p>
    <w:p w14:paraId="3115458F" w14:textId="77777777" w:rsidR="00B4194D" w:rsidRPr="002D3B7B" w:rsidRDefault="00C520D6" w:rsidP="002D3B7B">
      <w:pPr>
        <w:pStyle w:val="EDUNormal"/>
        <w:ind w:left="142"/>
        <w:rPr>
          <w:rFonts w:eastAsia="Calibri" w:cs="Arial"/>
          <w:i/>
          <w:color w:val="104165" w:themeColor="accent1" w:themeShade="BF"/>
          <w:sz w:val="21"/>
          <w:szCs w:val="21"/>
        </w:rPr>
      </w:pPr>
      <w:r w:rsidRPr="002D3B7B">
        <w:rPr>
          <w:rFonts w:eastAsia="Calibri" w:cs="Arial"/>
          <w:i/>
          <w:color w:val="104165" w:themeColor="accent1" w:themeShade="BF"/>
          <w:sz w:val="21"/>
          <w:szCs w:val="21"/>
        </w:rPr>
        <w:t>‘</w:t>
      </w:r>
      <w:r w:rsidR="00B4194D" w:rsidRPr="002D3B7B">
        <w:rPr>
          <w:rFonts w:eastAsia="Calibri" w:cs="Arial"/>
          <w:i/>
          <w:color w:val="104165" w:themeColor="accent1" w:themeShade="BF"/>
          <w:sz w:val="21"/>
          <w:szCs w:val="21"/>
        </w:rPr>
        <w:t>I received support from my teacher, class discussion, parents and homework club.</w:t>
      </w:r>
      <w:r w:rsidRPr="002D3B7B">
        <w:rPr>
          <w:rFonts w:eastAsia="Calibri" w:cs="Arial"/>
          <w:i/>
          <w:color w:val="104165" w:themeColor="accent1" w:themeShade="BF"/>
          <w:sz w:val="21"/>
          <w:szCs w:val="21"/>
        </w:rPr>
        <w:t>’</w:t>
      </w:r>
    </w:p>
    <w:p w14:paraId="340AB35E" w14:textId="77777777" w:rsidR="00884822" w:rsidRDefault="00884822" w:rsidP="00510083">
      <w:pPr>
        <w:pStyle w:val="EDUHeading3"/>
        <w:spacing w:before="0" w:after="80"/>
        <w:rPr>
          <w:rStyle w:val="EDUItalic"/>
          <w:i/>
        </w:rPr>
      </w:pPr>
    </w:p>
    <w:p w14:paraId="48942BF9" w14:textId="77777777" w:rsidR="004D66B0" w:rsidRPr="003E3AD9" w:rsidRDefault="004D66B0" w:rsidP="003E3AD9">
      <w:pPr>
        <w:pStyle w:val="EDUHeading3"/>
        <w:spacing w:after="120"/>
        <w:rPr>
          <w:bCs w:val="0"/>
          <w:iCs/>
        </w:rPr>
      </w:pPr>
      <w:r w:rsidRPr="003E3AD9">
        <w:rPr>
          <w:bCs w:val="0"/>
          <w:i w:val="0"/>
          <w:iCs/>
        </w:rPr>
        <w:lastRenderedPageBreak/>
        <w:t>Parent feedback</w:t>
      </w:r>
    </w:p>
    <w:p w14:paraId="7767BECE" w14:textId="50C564FE" w:rsidR="004D66B0" w:rsidRPr="002D3B7B" w:rsidRDefault="004D66B0" w:rsidP="002D3B7B">
      <w:pPr>
        <w:pStyle w:val="EDUNormal"/>
        <w:spacing w:after="120"/>
        <w:ind w:left="142"/>
        <w:rPr>
          <w:rFonts w:eastAsia="Calibri" w:cs="Arial"/>
          <w:i/>
          <w:color w:val="104165" w:themeColor="accent1" w:themeShade="BF"/>
          <w:sz w:val="21"/>
          <w:szCs w:val="21"/>
        </w:rPr>
      </w:pPr>
      <w:r w:rsidRPr="002D3B7B">
        <w:rPr>
          <w:rFonts w:eastAsia="Calibri" w:cs="Arial"/>
          <w:i/>
          <w:color w:val="104165" w:themeColor="accent1" w:themeShade="BF"/>
          <w:sz w:val="21"/>
          <w:szCs w:val="21"/>
        </w:rPr>
        <w:t xml:space="preserve"> ‘I like open plan learning and so does my daughter. I enjoyed participating in each of the evenings, and have a strong be</w:t>
      </w:r>
      <w:r w:rsidR="000B1590">
        <w:rPr>
          <w:rFonts w:eastAsia="Calibri" w:cs="Arial"/>
          <w:i/>
          <w:color w:val="104165" w:themeColor="accent1" w:themeShade="BF"/>
          <w:sz w:val="21"/>
          <w:szCs w:val="21"/>
        </w:rPr>
        <w:t>lief that parent participation pays off.</w:t>
      </w:r>
      <w:r w:rsidRPr="002D3B7B">
        <w:rPr>
          <w:rFonts w:eastAsia="Calibri" w:cs="Arial"/>
          <w:i/>
          <w:color w:val="104165" w:themeColor="accent1" w:themeShade="BF"/>
          <w:sz w:val="21"/>
          <w:szCs w:val="21"/>
        </w:rPr>
        <w:t>‘</w:t>
      </w:r>
    </w:p>
    <w:p w14:paraId="620FCC63" w14:textId="77777777" w:rsidR="004D66B0" w:rsidRPr="002D3B7B" w:rsidRDefault="004D66B0" w:rsidP="002D3B7B">
      <w:pPr>
        <w:pStyle w:val="EDUNormal"/>
        <w:spacing w:after="120"/>
        <w:ind w:left="142"/>
        <w:rPr>
          <w:rFonts w:eastAsia="Calibri" w:cs="Arial"/>
          <w:i/>
          <w:color w:val="104165" w:themeColor="accent1" w:themeShade="BF"/>
          <w:sz w:val="21"/>
          <w:szCs w:val="21"/>
        </w:rPr>
      </w:pPr>
      <w:r w:rsidRPr="002D3B7B">
        <w:rPr>
          <w:rFonts w:eastAsia="Calibri" w:cs="Arial"/>
          <w:i/>
          <w:color w:val="104165" w:themeColor="accent1" w:themeShade="BF"/>
          <w:sz w:val="21"/>
          <w:szCs w:val="21"/>
        </w:rPr>
        <w:t>‘Our daughter is very happy for us to be involved in her school life. She enjoys mathematics, is progressing well and talks openly at home about her learning and progress.’</w:t>
      </w:r>
    </w:p>
    <w:p w14:paraId="1320CD01" w14:textId="25DACE60" w:rsidR="004D66B0" w:rsidRPr="002D3B7B" w:rsidRDefault="004D66B0" w:rsidP="002D3B7B">
      <w:pPr>
        <w:pStyle w:val="EDUNormal"/>
        <w:spacing w:after="120"/>
        <w:ind w:left="142"/>
        <w:rPr>
          <w:rFonts w:eastAsia="Calibri" w:cs="Arial"/>
          <w:i/>
          <w:color w:val="104165" w:themeColor="accent1" w:themeShade="BF"/>
          <w:sz w:val="21"/>
          <w:szCs w:val="21"/>
        </w:rPr>
      </w:pPr>
      <w:r w:rsidRPr="002D3B7B">
        <w:rPr>
          <w:rFonts w:eastAsia="Calibri" w:cs="Arial"/>
          <w:i/>
          <w:color w:val="104165" w:themeColor="accent1" w:themeShade="BF"/>
          <w:sz w:val="21"/>
          <w:szCs w:val="21"/>
        </w:rPr>
        <w:t>‘From my experience of the Maths Walk it has enabled me to assist my daughter reduce her stress levels by helping her prioritise homework tasks, and being able to explain the nature of the activities.’</w:t>
      </w:r>
    </w:p>
    <w:p w14:paraId="50D04CA5" w14:textId="201FFEB7" w:rsidR="004D66B0" w:rsidRPr="002D3B7B" w:rsidRDefault="004D66B0" w:rsidP="002D3B7B">
      <w:pPr>
        <w:pStyle w:val="EDUNormal"/>
        <w:ind w:left="142"/>
        <w:rPr>
          <w:rStyle w:val="EDUItalic"/>
          <w:rFonts w:eastAsia="Calibri" w:cs="Arial"/>
          <w:bCs w:val="0"/>
          <w:iCs w:val="0"/>
          <w:color w:val="104165" w:themeColor="accent1" w:themeShade="BF"/>
          <w:sz w:val="21"/>
          <w:szCs w:val="21"/>
        </w:rPr>
      </w:pPr>
      <w:r w:rsidRPr="002D3B7B">
        <w:rPr>
          <w:rFonts w:eastAsia="Calibri" w:cs="Arial"/>
          <w:i/>
          <w:color w:val="104165" w:themeColor="accent1" w:themeShade="BF"/>
          <w:sz w:val="21"/>
          <w:szCs w:val="21"/>
        </w:rPr>
        <w:t>‘We observed how interested and engaged the students were in each of the activities and we value the engagement that Killester is offering to us as parents.’</w:t>
      </w:r>
    </w:p>
    <w:p w14:paraId="7F929FC8" w14:textId="2C9929F2" w:rsidR="00B4194D" w:rsidRPr="003E3AD9" w:rsidRDefault="004D66B0" w:rsidP="003E3AD9">
      <w:pPr>
        <w:pStyle w:val="EDUHeading3"/>
        <w:spacing w:after="120"/>
        <w:rPr>
          <w:bCs w:val="0"/>
          <w:iCs/>
        </w:rPr>
      </w:pPr>
      <w:r w:rsidRPr="003E3AD9">
        <w:rPr>
          <w:bCs w:val="0"/>
          <w:i w:val="0"/>
          <w:iCs/>
        </w:rPr>
        <w:t>M</w:t>
      </w:r>
      <w:r w:rsidR="00B4194D" w:rsidRPr="003E3AD9">
        <w:rPr>
          <w:bCs w:val="0"/>
          <w:i w:val="0"/>
          <w:iCs/>
        </w:rPr>
        <w:t>aths staff</w:t>
      </w:r>
    </w:p>
    <w:p w14:paraId="646980AF" w14:textId="4C9689F5" w:rsidR="00B4194D" w:rsidRPr="003840F1" w:rsidRDefault="00C520D6" w:rsidP="004D66B0">
      <w:pPr>
        <w:pStyle w:val="EDUNormal"/>
        <w:spacing w:after="120"/>
      </w:pPr>
      <w:r>
        <w:t>R</w:t>
      </w:r>
      <w:r w:rsidR="00B4194D">
        <w:t xml:space="preserve">egular meetings </w:t>
      </w:r>
      <w:r w:rsidR="00EB012F">
        <w:t>of</w:t>
      </w:r>
      <w:r w:rsidR="00EB012F" w:rsidRPr="003840F1">
        <w:t xml:space="preserve"> </w:t>
      </w:r>
      <w:r w:rsidR="00B4194D" w:rsidRPr="003840F1">
        <w:t xml:space="preserve">Year 7 maths </w:t>
      </w:r>
      <w:r w:rsidR="00B4194D">
        <w:t xml:space="preserve">teachers </w:t>
      </w:r>
      <w:r w:rsidR="00EB012F">
        <w:t xml:space="preserve">were held to </w:t>
      </w:r>
      <w:r w:rsidR="00B4194D">
        <w:t>monitor</w:t>
      </w:r>
      <w:r w:rsidR="004D66B0">
        <w:t xml:space="preserve"> the </w:t>
      </w:r>
      <w:r w:rsidR="00EB012F">
        <w:t xml:space="preserve">project’s </w:t>
      </w:r>
      <w:r w:rsidR="004D66B0">
        <w:t xml:space="preserve"> progress.</w:t>
      </w:r>
      <w:r w:rsidR="005730BB">
        <w:t xml:space="preserve"> </w:t>
      </w:r>
      <w:r w:rsidR="00B4194D" w:rsidRPr="003840F1">
        <w:t>Staff members were asked to provide feedback</w:t>
      </w:r>
      <w:r>
        <w:t xml:space="preserve">: </w:t>
      </w:r>
    </w:p>
    <w:p w14:paraId="1FA1ED56" w14:textId="77777777" w:rsidR="00510083" w:rsidRPr="002D3B7B" w:rsidRDefault="00C520D6" w:rsidP="002D3B7B">
      <w:pPr>
        <w:pStyle w:val="EDUNormal"/>
        <w:spacing w:after="120"/>
        <w:ind w:left="142"/>
        <w:rPr>
          <w:rFonts w:eastAsia="Calibri" w:cs="Arial"/>
          <w:i/>
          <w:color w:val="104165" w:themeColor="accent1" w:themeShade="BF"/>
          <w:sz w:val="21"/>
          <w:szCs w:val="21"/>
        </w:rPr>
      </w:pPr>
      <w:r w:rsidRPr="002D3B7B">
        <w:rPr>
          <w:rFonts w:eastAsia="Calibri" w:cs="Arial"/>
          <w:i/>
          <w:color w:val="104165" w:themeColor="accent1" w:themeShade="BF"/>
          <w:sz w:val="21"/>
          <w:szCs w:val="21"/>
        </w:rPr>
        <w:t>‘</w:t>
      </w:r>
      <w:r w:rsidR="00B4194D" w:rsidRPr="002D3B7B">
        <w:rPr>
          <w:rFonts w:eastAsia="Calibri" w:cs="Arial"/>
          <w:i/>
          <w:color w:val="104165" w:themeColor="accent1" w:themeShade="BF"/>
          <w:sz w:val="21"/>
          <w:szCs w:val="21"/>
        </w:rPr>
        <w:t>I thought it was a great idea and would support it in the future.</w:t>
      </w:r>
      <w:r w:rsidRPr="002D3B7B">
        <w:rPr>
          <w:rFonts w:eastAsia="Calibri" w:cs="Arial"/>
          <w:i/>
          <w:color w:val="104165" w:themeColor="accent1" w:themeShade="BF"/>
          <w:sz w:val="21"/>
          <w:szCs w:val="21"/>
        </w:rPr>
        <w:t>’</w:t>
      </w:r>
    </w:p>
    <w:p w14:paraId="043BC438" w14:textId="221AB57D" w:rsidR="00B4194D" w:rsidRPr="002D3B7B" w:rsidRDefault="00C520D6" w:rsidP="002D3B7B">
      <w:pPr>
        <w:pStyle w:val="EDUNormal"/>
        <w:spacing w:after="120"/>
        <w:ind w:left="142"/>
        <w:rPr>
          <w:rFonts w:eastAsia="Calibri" w:cs="Arial"/>
          <w:i/>
          <w:color w:val="104165" w:themeColor="accent1" w:themeShade="BF"/>
          <w:sz w:val="21"/>
          <w:szCs w:val="21"/>
        </w:rPr>
      </w:pPr>
      <w:r w:rsidRPr="002D3B7B">
        <w:rPr>
          <w:rFonts w:eastAsia="Calibri" w:cs="Arial"/>
          <w:i/>
          <w:color w:val="104165" w:themeColor="accent1" w:themeShade="BF"/>
          <w:sz w:val="21"/>
          <w:szCs w:val="21"/>
        </w:rPr>
        <w:t>‘</w:t>
      </w:r>
      <w:r w:rsidR="00B4194D" w:rsidRPr="002D3B7B">
        <w:rPr>
          <w:rFonts w:eastAsia="Calibri" w:cs="Arial"/>
          <w:i/>
          <w:color w:val="104165" w:themeColor="accent1" w:themeShade="BF"/>
          <w:sz w:val="21"/>
          <w:szCs w:val="21"/>
        </w:rPr>
        <w:t>Intentions were good but it was difficult to motivate parents or engage them.</w:t>
      </w:r>
      <w:r w:rsidRPr="002D3B7B">
        <w:rPr>
          <w:rFonts w:eastAsia="Calibri" w:cs="Arial"/>
          <w:i/>
          <w:color w:val="104165" w:themeColor="accent1" w:themeShade="BF"/>
          <w:sz w:val="21"/>
          <w:szCs w:val="21"/>
        </w:rPr>
        <w:t>’</w:t>
      </w:r>
    </w:p>
    <w:p w14:paraId="562C1051" w14:textId="198FE442" w:rsidR="002D3B7B" w:rsidRPr="002D3B7B" w:rsidRDefault="00C520D6" w:rsidP="002D3B7B">
      <w:pPr>
        <w:pStyle w:val="EDUNormal"/>
        <w:ind w:left="142"/>
        <w:rPr>
          <w:rFonts w:eastAsia="Calibri" w:cs="Arial"/>
          <w:i/>
          <w:color w:val="104165" w:themeColor="accent1" w:themeShade="BF"/>
          <w:sz w:val="21"/>
          <w:szCs w:val="21"/>
        </w:rPr>
      </w:pPr>
      <w:r w:rsidRPr="002D3B7B">
        <w:rPr>
          <w:rFonts w:eastAsia="Calibri" w:cs="Arial"/>
          <w:i/>
          <w:color w:val="104165" w:themeColor="accent1" w:themeShade="BF"/>
          <w:sz w:val="21"/>
          <w:szCs w:val="21"/>
        </w:rPr>
        <w:t>‘</w:t>
      </w:r>
      <w:r w:rsidR="00B4194D" w:rsidRPr="002D3B7B">
        <w:rPr>
          <w:rFonts w:eastAsia="Calibri" w:cs="Arial"/>
          <w:i/>
          <w:color w:val="104165" w:themeColor="accent1" w:themeShade="BF"/>
          <w:sz w:val="21"/>
          <w:szCs w:val="21"/>
        </w:rPr>
        <w:t>My opinion is that to achieve the intended outcomes, far greater numbers of parents should be engaged in a research project like this.</w:t>
      </w:r>
      <w:r w:rsidRPr="002D3B7B">
        <w:rPr>
          <w:rFonts w:eastAsia="Calibri" w:cs="Arial"/>
          <w:i/>
          <w:color w:val="104165" w:themeColor="accent1" w:themeShade="BF"/>
          <w:sz w:val="21"/>
          <w:szCs w:val="21"/>
        </w:rPr>
        <w:t>’</w:t>
      </w:r>
    </w:p>
    <w:p w14:paraId="3893B17B" w14:textId="77777777" w:rsidR="00B93650" w:rsidRPr="003E3AD9" w:rsidRDefault="00B93650" w:rsidP="003E3AD9">
      <w:pPr>
        <w:pStyle w:val="EDUHeading1"/>
        <w:spacing w:after="120"/>
      </w:pPr>
      <w:r w:rsidRPr="003E3AD9">
        <w:t>Challenges</w:t>
      </w:r>
    </w:p>
    <w:p w14:paraId="2ABD687D" w14:textId="1D3319FA" w:rsidR="00B93650" w:rsidRPr="00B93650" w:rsidRDefault="00B93650" w:rsidP="00E4569D">
      <w:pPr>
        <w:pStyle w:val="EDUNormal"/>
        <w:spacing w:after="120"/>
        <w:ind w:right="-236"/>
        <w:rPr>
          <w:rFonts w:cs="Arial"/>
        </w:rPr>
      </w:pPr>
      <w:r>
        <w:rPr>
          <w:rFonts w:cs="Arial"/>
        </w:rPr>
        <w:t>Many</w:t>
      </w:r>
      <w:r w:rsidRPr="005C68F5">
        <w:rPr>
          <w:rFonts w:cs="Arial"/>
        </w:rPr>
        <w:t xml:space="preserve"> students come from families who speak a language other than English at home, and many were not familiar with a schooling culture that fosters parent engagement. Despite th</w:t>
      </w:r>
      <w:r>
        <w:rPr>
          <w:rFonts w:cs="Arial"/>
        </w:rPr>
        <w:t xml:space="preserve">is, </w:t>
      </w:r>
      <w:r w:rsidRPr="005C68F5">
        <w:rPr>
          <w:rFonts w:cs="Arial"/>
        </w:rPr>
        <w:t>many parents were still willing to participate in the project</w:t>
      </w:r>
      <w:r>
        <w:rPr>
          <w:rFonts w:cs="Arial"/>
        </w:rPr>
        <w:t xml:space="preserve"> and were supported by having </w:t>
      </w:r>
      <w:r w:rsidRPr="005C68F5">
        <w:rPr>
          <w:rFonts w:cs="Arial"/>
        </w:rPr>
        <w:t>interpreters at parent meetings</w:t>
      </w:r>
      <w:r>
        <w:rPr>
          <w:rFonts w:cs="Arial"/>
        </w:rPr>
        <w:t>. This</w:t>
      </w:r>
      <w:r w:rsidRPr="005C68F5">
        <w:rPr>
          <w:rFonts w:cs="Arial"/>
        </w:rPr>
        <w:t xml:space="preserve"> was significant in facilitating better communication.</w:t>
      </w:r>
    </w:p>
    <w:tbl>
      <w:tblPr>
        <w:tblStyle w:val="EDU"/>
        <w:tblW w:w="0" w:type="auto"/>
        <w:shd w:val="clear" w:color="auto" w:fill="274D7B"/>
        <w:tblLook w:val="04A0" w:firstRow="1" w:lastRow="0" w:firstColumn="1" w:lastColumn="0" w:noHBand="0" w:noVBand="1"/>
      </w:tblPr>
      <w:tblGrid>
        <w:gridCol w:w="4375"/>
      </w:tblGrid>
      <w:tr w:rsidR="00B4194D" w:rsidRPr="00BC090E" w14:paraId="67BD44EF" w14:textId="77777777" w:rsidTr="002D3B7B">
        <w:trPr>
          <w:tblHeader/>
        </w:trPr>
        <w:tc>
          <w:tcPr>
            <w:tcW w:w="4375" w:type="dxa"/>
            <w:shd w:val="clear" w:color="auto" w:fill="274D7B"/>
          </w:tcPr>
          <w:bookmarkEnd w:id="1"/>
          <w:p w14:paraId="7E73B57B" w14:textId="77777777" w:rsidR="00B4194D" w:rsidRPr="003840F1" w:rsidRDefault="00B4194D" w:rsidP="005C68F5">
            <w:pPr>
              <w:pStyle w:val="EDUBreakOutHeading"/>
              <w:spacing w:after="120"/>
            </w:pPr>
            <w:r w:rsidRPr="003840F1">
              <w:lastRenderedPageBreak/>
              <w:t>Project success factors</w:t>
            </w:r>
          </w:p>
          <w:p w14:paraId="5E769FA9" w14:textId="067B74DF" w:rsidR="00B4194D" w:rsidRDefault="00B4194D" w:rsidP="004D66B0">
            <w:pPr>
              <w:pStyle w:val="EDUBreakoutbody"/>
              <w:spacing w:after="120"/>
            </w:pPr>
            <w:r>
              <w:t>The project built on the success of the school’s Family Learning Centre in supporting parent engagement.</w:t>
            </w:r>
          </w:p>
          <w:p w14:paraId="01C923BE" w14:textId="0E6302BD" w:rsidR="00B4194D" w:rsidRDefault="00B4194D" w:rsidP="004D66B0">
            <w:pPr>
              <w:pStyle w:val="EDUBreakoutbody"/>
              <w:spacing w:after="120"/>
            </w:pPr>
            <w:r>
              <w:t xml:space="preserve">The student outcomes </w:t>
            </w:r>
            <w:r w:rsidR="00C520D6">
              <w:t xml:space="preserve">clearly show the value of a strategy that </w:t>
            </w:r>
            <w:r w:rsidR="00B930A7">
              <w:t xml:space="preserve">uses </w:t>
            </w:r>
            <w:r>
              <w:t>parent engagement, especially in the early years of secondary schooling</w:t>
            </w:r>
            <w:r w:rsidR="00C520D6">
              <w:t xml:space="preserve"> and in transitions</w:t>
            </w:r>
            <w:r>
              <w:t>.</w:t>
            </w:r>
          </w:p>
          <w:p w14:paraId="15B17616" w14:textId="076CC157" w:rsidR="00B4194D" w:rsidRDefault="00B4194D" w:rsidP="004D66B0">
            <w:pPr>
              <w:pStyle w:val="EDUBreakoutbody"/>
              <w:spacing w:after="120"/>
            </w:pPr>
            <w:r>
              <w:t>The use of journals as a learning tool encourage</w:t>
            </w:r>
            <w:r w:rsidR="00C520D6">
              <w:t>s</w:t>
            </w:r>
            <w:r w:rsidR="004D66B0">
              <w:t xml:space="preserve"> students to</w:t>
            </w:r>
            <w:r>
              <w:t xml:space="preserve"> reflect </w:t>
            </w:r>
            <w:r w:rsidR="004D66B0">
              <w:t xml:space="preserve">on </w:t>
            </w:r>
            <w:r>
              <w:t xml:space="preserve">their progress </w:t>
            </w:r>
            <w:r w:rsidR="00C520D6">
              <w:t>and</w:t>
            </w:r>
            <w:r>
              <w:t xml:space="preserve"> contributed to the positive outcomes of this project.</w:t>
            </w:r>
          </w:p>
          <w:p w14:paraId="540BE782" w14:textId="77777777" w:rsidR="00B4194D" w:rsidRPr="00BC090E" w:rsidRDefault="00B4194D" w:rsidP="00B14E5E">
            <w:pPr>
              <w:pStyle w:val="EDUBreakoutbody"/>
            </w:pPr>
            <w:r>
              <w:t>Similarly, events such as Fun with Maths and Maths Learning Walk were valuable curriculum events in the school calendar.</w:t>
            </w:r>
          </w:p>
        </w:tc>
      </w:tr>
    </w:tbl>
    <w:p w14:paraId="2750211D" w14:textId="77777777" w:rsidR="00B4194D" w:rsidRPr="003E3AD9" w:rsidRDefault="00B4194D" w:rsidP="003E3AD9">
      <w:pPr>
        <w:pStyle w:val="EDUHeading1"/>
        <w:spacing w:after="120"/>
      </w:pPr>
      <w:r w:rsidRPr="003E3AD9">
        <w:t xml:space="preserve">Lessons learnt </w:t>
      </w:r>
    </w:p>
    <w:p w14:paraId="0DB8A82F" w14:textId="7241CE51" w:rsidR="004D66B0" w:rsidRDefault="004D66B0" w:rsidP="00E4569D">
      <w:pPr>
        <w:pStyle w:val="EDUNormal"/>
        <w:spacing w:after="120"/>
        <w:ind w:right="-236"/>
        <w:rPr>
          <w:rFonts w:cs="Arial"/>
        </w:rPr>
      </w:pPr>
      <w:r>
        <w:rPr>
          <w:rFonts w:cs="Arial"/>
        </w:rPr>
        <w:t>The project has shown the importan</w:t>
      </w:r>
      <w:r w:rsidR="00B930A7">
        <w:rPr>
          <w:rFonts w:cs="Arial"/>
        </w:rPr>
        <w:t>ce</w:t>
      </w:r>
      <w:r>
        <w:rPr>
          <w:rFonts w:cs="Arial"/>
        </w:rPr>
        <w:t xml:space="preserve"> of:</w:t>
      </w:r>
    </w:p>
    <w:p w14:paraId="00F62C01" w14:textId="2B5C3D1F" w:rsidR="004D66B0" w:rsidRPr="00B930A7" w:rsidRDefault="00B4194D" w:rsidP="00E4569D">
      <w:pPr>
        <w:pStyle w:val="EDUNormal"/>
        <w:numPr>
          <w:ilvl w:val="0"/>
          <w:numId w:val="27"/>
        </w:numPr>
        <w:spacing w:after="0"/>
        <w:ind w:left="284" w:right="-236" w:hanging="284"/>
      </w:pPr>
      <w:r w:rsidRPr="00B930A7">
        <w:t xml:space="preserve">the commitment of staff to establish the three-way partnership between parents, students and </w:t>
      </w:r>
      <w:r w:rsidR="004D66B0" w:rsidRPr="00B930A7">
        <w:t>school</w:t>
      </w:r>
    </w:p>
    <w:p w14:paraId="5B3524E2" w14:textId="77777777" w:rsidR="004D66B0" w:rsidRPr="00B930A7" w:rsidRDefault="00B4194D" w:rsidP="00E4569D">
      <w:pPr>
        <w:pStyle w:val="EDUNormal"/>
        <w:numPr>
          <w:ilvl w:val="0"/>
          <w:numId w:val="27"/>
        </w:numPr>
        <w:spacing w:after="0"/>
        <w:ind w:left="284" w:right="-236" w:hanging="284"/>
      </w:pPr>
      <w:r w:rsidRPr="00B930A7">
        <w:t xml:space="preserve">good communication, planning and resources </w:t>
      </w:r>
      <w:r w:rsidR="004D66B0" w:rsidRPr="00B930A7">
        <w:t>to ensure</w:t>
      </w:r>
      <w:r w:rsidR="00C9296F" w:rsidRPr="00B930A7">
        <w:t xml:space="preserve"> </w:t>
      </w:r>
      <w:r w:rsidRPr="00B930A7">
        <w:t>effective implementation o</w:t>
      </w:r>
      <w:r w:rsidR="004D66B0" w:rsidRPr="00B930A7">
        <w:t>f parent engagement activities</w:t>
      </w:r>
    </w:p>
    <w:p w14:paraId="5E9DBFF9" w14:textId="606934E9" w:rsidR="00B4194D" w:rsidRPr="00B930A7" w:rsidRDefault="004D66B0" w:rsidP="00E4569D">
      <w:pPr>
        <w:pStyle w:val="EDUNormal"/>
        <w:numPr>
          <w:ilvl w:val="0"/>
          <w:numId w:val="27"/>
        </w:numPr>
        <w:spacing w:after="0"/>
        <w:ind w:left="284" w:right="-236" w:hanging="284"/>
      </w:pPr>
      <w:r w:rsidRPr="00B930A7">
        <w:t>the support of t</w:t>
      </w:r>
      <w:r w:rsidR="00B4194D" w:rsidRPr="00B930A7">
        <w:t xml:space="preserve">he Family Learning Coordinator </w:t>
      </w:r>
      <w:r w:rsidRPr="00B930A7">
        <w:t xml:space="preserve">for </w:t>
      </w:r>
      <w:r w:rsidR="00B4194D" w:rsidRPr="00B930A7">
        <w:t xml:space="preserve">these </w:t>
      </w:r>
      <w:r w:rsidRPr="00B930A7">
        <w:t>initiatives</w:t>
      </w:r>
    </w:p>
    <w:p w14:paraId="5327A2E8" w14:textId="6194DD9A" w:rsidR="005730BB" w:rsidRPr="00B930A7" w:rsidRDefault="004D66B0" w:rsidP="00884822">
      <w:pPr>
        <w:pStyle w:val="EDUNormal"/>
        <w:numPr>
          <w:ilvl w:val="0"/>
          <w:numId w:val="27"/>
        </w:numPr>
        <w:spacing w:after="360"/>
        <w:ind w:left="284" w:right="-236" w:hanging="284"/>
        <w:rPr>
          <w:rFonts w:cs="Arial"/>
        </w:rPr>
      </w:pPr>
      <w:r w:rsidRPr="00B930A7">
        <w:t>strategies to communicate effectively with the school’s culturally diverse parents.</w:t>
      </w:r>
    </w:p>
    <w:p w14:paraId="6942636A" w14:textId="41AA12BB" w:rsidR="00510083" w:rsidRPr="00E4569D" w:rsidRDefault="00FD015A" w:rsidP="00FD015A">
      <w:pPr>
        <w:pBdr>
          <w:top w:val="single" w:sz="12" w:space="1" w:color="365F91"/>
          <w:left w:val="single" w:sz="12" w:space="4" w:color="365F91"/>
          <w:bottom w:val="single" w:sz="12" w:space="1" w:color="365F91"/>
          <w:right w:val="single" w:sz="12" w:space="4" w:color="365F91"/>
        </w:pBdr>
        <w:spacing w:after="0"/>
        <w:jc w:val="center"/>
        <w:rPr>
          <w:rFonts w:ascii="Arial" w:eastAsia="Calibri" w:hAnsi="Arial" w:cs="Arial"/>
          <w:sz w:val="20"/>
          <w:szCs w:val="20"/>
        </w:rPr>
      </w:pPr>
      <w:proofErr w:type="gramStart"/>
      <w:r w:rsidRPr="00706AC1">
        <w:rPr>
          <w:rFonts w:ascii="Arial" w:eastAsia="Calibri" w:hAnsi="Arial" w:cs="Arial"/>
          <w:sz w:val="20"/>
          <w:szCs w:val="20"/>
        </w:rPr>
        <w:t>Developed by the Family-School and Community Partnerships Bureau.</w:t>
      </w:r>
      <w:proofErr w:type="gramEnd"/>
      <w:r w:rsidRPr="00706AC1">
        <w:rPr>
          <w:rFonts w:ascii="Arial" w:eastAsia="Calibri" w:hAnsi="Arial" w:cs="Arial"/>
          <w:sz w:val="20"/>
          <w:szCs w:val="20"/>
        </w:rPr>
        <w:t xml:space="preserve"> The Bureau is a partnership between the Australian Council of State School Organisations and the Australian Parents Council, with support from the Australian Government. Visit </w:t>
      </w:r>
      <w:hyperlink r:id="rId11" w:history="1">
        <w:r w:rsidRPr="00706AC1">
          <w:rPr>
            <w:rFonts w:ascii="Arial" w:hAnsi="Arial" w:cs="Arial"/>
            <w:sz w:val="20"/>
            <w:szCs w:val="20"/>
          </w:rPr>
          <w:t>the</w:t>
        </w:r>
      </w:hyperlink>
      <w:r w:rsidRPr="00706AC1">
        <w:rPr>
          <w:rFonts w:ascii="Arial" w:hAnsi="Arial" w:cs="Arial"/>
          <w:sz w:val="20"/>
          <w:szCs w:val="20"/>
        </w:rPr>
        <w:t xml:space="preserve"> </w:t>
      </w:r>
      <w:hyperlink r:id="rId12" w:history="1">
        <w:r w:rsidRPr="00706AC1">
          <w:rPr>
            <w:rStyle w:val="Hyperlink"/>
            <w:rFonts w:ascii="Arial" w:hAnsi="Arial" w:cs="Arial"/>
            <w:sz w:val="20"/>
            <w:szCs w:val="20"/>
          </w:rPr>
          <w:t>Department of Education and Training</w:t>
        </w:r>
      </w:hyperlink>
      <w:r w:rsidRPr="00706AC1">
        <w:rPr>
          <w:rFonts w:ascii="Arial" w:hAnsi="Arial" w:cs="Arial"/>
          <w:sz w:val="20"/>
          <w:szCs w:val="20"/>
        </w:rPr>
        <w:t xml:space="preserve"> website</w:t>
      </w:r>
      <w:r w:rsidRPr="00706AC1">
        <w:rPr>
          <w:rFonts w:ascii="Arial" w:eastAsia="Calibri" w:hAnsi="Arial" w:cs="Arial"/>
          <w:sz w:val="20"/>
          <w:szCs w:val="20"/>
        </w:rPr>
        <w:t xml:space="preserve"> for more information.</w:t>
      </w:r>
      <w:bookmarkStart w:id="2" w:name="_GoBack"/>
      <w:bookmarkEnd w:id="2"/>
    </w:p>
    <w:sectPr w:rsidR="00510083" w:rsidRPr="00E4569D" w:rsidSect="00E4569D">
      <w:type w:val="continuous"/>
      <w:pgSz w:w="11906" w:h="16838" w:code="9"/>
      <w:pgMar w:top="1372" w:right="1440" w:bottom="993" w:left="1440" w:header="0" w:footer="830"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7CA032" w15:done="0"/>
  <w15:commentEx w15:paraId="381A5DC7" w15:done="0"/>
  <w15:commentEx w15:paraId="668C7D4C" w15:done="0"/>
  <w15:commentEx w15:paraId="36AFBCEE" w15:done="0"/>
  <w15:commentEx w15:paraId="0EEFB4A8" w15:done="0"/>
  <w15:commentEx w15:paraId="1CF23B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548FF" w14:textId="77777777" w:rsidR="0084337B" w:rsidRDefault="0084337B" w:rsidP="00130923">
      <w:pPr>
        <w:spacing w:after="0" w:line="240" w:lineRule="auto"/>
      </w:pPr>
      <w:r>
        <w:separator/>
      </w:r>
    </w:p>
  </w:endnote>
  <w:endnote w:type="continuationSeparator" w:id="0">
    <w:p w14:paraId="047EBFC3" w14:textId="77777777" w:rsidR="0084337B" w:rsidRDefault="0084337B"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05F69" w14:textId="25412119" w:rsidR="00B14E5E" w:rsidRPr="000429E4" w:rsidRDefault="00510083" w:rsidP="00B6340F">
    <w:pPr>
      <w:pStyle w:val="Footer"/>
    </w:pPr>
    <w:r>
      <w:rPr>
        <w:noProof/>
        <w:lang w:eastAsia="en-AU"/>
      </w:rPr>
      <w:drawing>
        <wp:anchor distT="0" distB="0" distL="114300" distR="114300" simplePos="0" relativeHeight="251658240" behindDoc="1" locked="0" layoutInCell="1" allowOverlap="1" wp14:anchorId="5F342A04" wp14:editId="36DB25F2">
          <wp:simplePos x="0" y="0"/>
          <wp:positionH relativeFrom="column">
            <wp:posOffset>-914400</wp:posOffset>
          </wp:positionH>
          <wp:positionV relativeFrom="paragraph">
            <wp:posOffset>259080</wp:posOffset>
          </wp:positionV>
          <wp:extent cx="7588250" cy="453390"/>
          <wp:effectExtent l="0" t="0" r="0" b="3810"/>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588250" cy="453390"/>
                  </a:xfrm>
                  <a:prstGeom prst="rect">
                    <a:avLst/>
                  </a:prstGeom>
                </pic:spPr>
              </pic:pic>
            </a:graphicData>
          </a:graphic>
          <wp14:sizeRelH relativeFrom="margin">
            <wp14:pctWidth>0</wp14:pctWidth>
          </wp14:sizeRelH>
          <wp14:sizeRelV relativeFrom="margin">
            <wp14:pctHeight>0</wp14:pctHeight>
          </wp14:sizeRelV>
        </wp:anchor>
      </w:drawing>
    </w:r>
    <w:r w:rsidR="00B14E5E">
      <w:tab/>
    </w:r>
    <w:sdt>
      <w:sdtPr>
        <w:id w:val="2124494992"/>
        <w:docPartObj>
          <w:docPartGallery w:val="Page Numbers (Bottom of Page)"/>
          <w:docPartUnique/>
        </w:docPartObj>
      </w:sdtPr>
      <w:sdtEndPr>
        <w:rPr>
          <w:noProof/>
        </w:rPr>
      </w:sdtEndPr>
      <w:sdtContent>
        <w:r w:rsidR="00B14E5E">
          <w:fldChar w:fldCharType="begin"/>
        </w:r>
        <w:r w:rsidR="00B14E5E">
          <w:instrText xml:space="preserve"> PAGE   \* MERGEFORMAT </w:instrText>
        </w:r>
        <w:r w:rsidR="00B14E5E">
          <w:fldChar w:fldCharType="separate"/>
        </w:r>
        <w:r w:rsidR="00FD015A">
          <w:rPr>
            <w:noProof/>
          </w:rPr>
          <w:t>2</w:t>
        </w:r>
        <w:r w:rsidR="00B14E5E">
          <w:rPr>
            <w:noProof/>
          </w:rPr>
          <w:fldChar w:fldCharType="end"/>
        </w:r>
      </w:sdtContent>
    </w:sdt>
    <w:r w:rsidR="00B14E5E">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B113E" w14:textId="77777777" w:rsidR="0084337B" w:rsidRDefault="0084337B" w:rsidP="00130923">
      <w:pPr>
        <w:spacing w:after="0" w:line="240" w:lineRule="auto"/>
      </w:pPr>
      <w:r>
        <w:separator/>
      </w:r>
    </w:p>
  </w:footnote>
  <w:footnote w:type="continuationSeparator" w:id="0">
    <w:p w14:paraId="10470F5E" w14:textId="77777777" w:rsidR="0084337B" w:rsidRDefault="0084337B" w:rsidP="00130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BFA199E"/>
    <w:multiLevelType w:val="hybridMultilevel"/>
    <w:tmpl w:val="E78A5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F3F19C7"/>
    <w:multiLevelType w:val="hybridMultilevel"/>
    <w:tmpl w:val="390CD3E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9">
    <w:nsid w:val="3C4905DF"/>
    <w:multiLevelType w:val="hybridMultilevel"/>
    <w:tmpl w:val="9C1EC69A"/>
    <w:lvl w:ilvl="0" w:tplc="603437D0">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4"/>
  </w:num>
  <w:num w:numId="15">
    <w:abstractNumId w:val="14"/>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3"/>
  </w:num>
  <w:num w:numId="21">
    <w:abstractNumId w:val="10"/>
  </w:num>
  <w:num w:numId="22">
    <w:abstractNumId w:val="25"/>
  </w:num>
  <w:num w:numId="23">
    <w:abstractNumId w:val="17"/>
  </w:num>
  <w:num w:numId="24">
    <w:abstractNumId w:val="21"/>
  </w:num>
  <w:num w:numId="25">
    <w:abstractNumId w:val="9"/>
  </w:num>
  <w:num w:numId="26">
    <w:abstractNumId w:val="18"/>
  </w:num>
  <w:num w:numId="27">
    <w:abstractNumId w:val="19"/>
  </w:num>
  <w:num w:numId="28">
    <w:abstractNumId w:val="12"/>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uni Weerasooriya">
    <w15:presenceInfo w15:providerId="Windows Live" w15:userId="9333fc0212df9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15C4"/>
    <w:rsid w:val="00002721"/>
    <w:rsid w:val="000036D9"/>
    <w:rsid w:val="00003FCE"/>
    <w:rsid w:val="00024E24"/>
    <w:rsid w:val="00031D3F"/>
    <w:rsid w:val="00034EAA"/>
    <w:rsid w:val="000429E4"/>
    <w:rsid w:val="00062F97"/>
    <w:rsid w:val="000861A6"/>
    <w:rsid w:val="000950A3"/>
    <w:rsid w:val="000B1590"/>
    <w:rsid w:val="000C457A"/>
    <w:rsid w:val="000C5605"/>
    <w:rsid w:val="000E50D0"/>
    <w:rsid w:val="000E7E7B"/>
    <w:rsid w:val="000F3BA2"/>
    <w:rsid w:val="000F4DC6"/>
    <w:rsid w:val="000F527B"/>
    <w:rsid w:val="000F6AD5"/>
    <w:rsid w:val="00101D6A"/>
    <w:rsid w:val="001175BF"/>
    <w:rsid w:val="00130923"/>
    <w:rsid w:val="001414F3"/>
    <w:rsid w:val="00143FCD"/>
    <w:rsid w:val="00154B68"/>
    <w:rsid w:val="001B6467"/>
    <w:rsid w:val="001C5B24"/>
    <w:rsid w:val="001D3ADE"/>
    <w:rsid w:val="001F3050"/>
    <w:rsid w:val="001F6C7D"/>
    <w:rsid w:val="00217A60"/>
    <w:rsid w:val="00223EB1"/>
    <w:rsid w:val="00233015"/>
    <w:rsid w:val="00236917"/>
    <w:rsid w:val="00243D6B"/>
    <w:rsid w:val="002440D7"/>
    <w:rsid w:val="00245FA4"/>
    <w:rsid w:val="00275D34"/>
    <w:rsid w:val="002804AE"/>
    <w:rsid w:val="00297D13"/>
    <w:rsid w:val="002A25E6"/>
    <w:rsid w:val="002A3B7A"/>
    <w:rsid w:val="002B06E6"/>
    <w:rsid w:val="002D271F"/>
    <w:rsid w:val="002D3B7B"/>
    <w:rsid w:val="002D6386"/>
    <w:rsid w:val="002E0B06"/>
    <w:rsid w:val="002E43E1"/>
    <w:rsid w:val="00305B35"/>
    <w:rsid w:val="00306AE1"/>
    <w:rsid w:val="003166C5"/>
    <w:rsid w:val="003242B9"/>
    <w:rsid w:val="00327B57"/>
    <w:rsid w:val="00333866"/>
    <w:rsid w:val="00393DEA"/>
    <w:rsid w:val="003A0804"/>
    <w:rsid w:val="003A35B6"/>
    <w:rsid w:val="003A43F0"/>
    <w:rsid w:val="003B1A48"/>
    <w:rsid w:val="003D67FC"/>
    <w:rsid w:val="003E3AD9"/>
    <w:rsid w:val="003E48E5"/>
    <w:rsid w:val="003F1CB0"/>
    <w:rsid w:val="00403F54"/>
    <w:rsid w:val="00406894"/>
    <w:rsid w:val="00406E5A"/>
    <w:rsid w:val="0044166A"/>
    <w:rsid w:val="00445D5C"/>
    <w:rsid w:val="00455B34"/>
    <w:rsid w:val="00463136"/>
    <w:rsid w:val="00475A95"/>
    <w:rsid w:val="0048762C"/>
    <w:rsid w:val="00490F19"/>
    <w:rsid w:val="004B256F"/>
    <w:rsid w:val="004D66B0"/>
    <w:rsid w:val="004F0394"/>
    <w:rsid w:val="00501DB7"/>
    <w:rsid w:val="00510083"/>
    <w:rsid w:val="005113B6"/>
    <w:rsid w:val="0052661F"/>
    <w:rsid w:val="00531817"/>
    <w:rsid w:val="00560CA0"/>
    <w:rsid w:val="005624F3"/>
    <w:rsid w:val="005730BB"/>
    <w:rsid w:val="005811EF"/>
    <w:rsid w:val="005818AE"/>
    <w:rsid w:val="005843A3"/>
    <w:rsid w:val="00592FF2"/>
    <w:rsid w:val="005956A8"/>
    <w:rsid w:val="005B0878"/>
    <w:rsid w:val="005C15C0"/>
    <w:rsid w:val="005C68F5"/>
    <w:rsid w:val="00610654"/>
    <w:rsid w:val="006318B9"/>
    <w:rsid w:val="00654EDE"/>
    <w:rsid w:val="0067026C"/>
    <w:rsid w:val="00695D8A"/>
    <w:rsid w:val="006A2EA0"/>
    <w:rsid w:val="006D3733"/>
    <w:rsid w:val="006E10EC"/>
    <w:rsid w:val="006E2D49"/>
    <w:rsid w:val="006E68AF"/>
    <w:rsid w:val="0070353C"/>
    <w:rsid w:val="00705F06"/>
    <w:rsid w:val="00715487"/>
    <w:rsid w:val="0072124E"/>
    <w:rsid w:val="007468FC"/>
    <w:rsid w:val="00762D18"/>
    <w:rsid w:val="007835DC"/>
    <w:rsid w:val="00792CA3"/>
    <w:rsid w:val="007B2FDD"/>
    <w:rsid w:val="007B6902"/>
    <w:rsid w:val="007C57B8"/>
    <w:rsid w:val="007D1AE1"/>
    <w:rsid w:val="007D58FB"/>
    <w:rsid w:val="007F2E29"/>
    <w:rsid w:val="00801E39"/>
    <w:rsid w:val="00820953"/>
    <w:rsid w:val="00820EC0"/>
    <w:rsid w:val="0083468A"/>
    <w:rsid w:val="00837B11"/>
    <w:rsid w:val="00842D43"/>
    <w:rsid w:val="0084337B"/>
    <w:rsid w:val="00856D1C"/>
    <w:rsid w:val="0086585B"/>
    <w:rsid w:val="008705D1"/>
    <w:rsid w:val="00876A4D"/>
    <w:rsid w:val="00876AC0"/>
    <w:rsid w:val="00883AF0"/>
    <w:rsid w:val="00884822"/>
    <w:rsid w:val="00894410"/>
    <w:rsid w:val="00894F0F"/>
    <w:rsid w:val="0089708F"/>
    <w:rsid w:val="008A532C"/>
    <w:rsid w:val="008C213C"/>
    <w:rsid w:val="008C6FB6"/>
    <w:rsid w:val="008E1771"/>
    <w:rsid w:val="00903408"/>
    <w:rsid w:val="009116EA"/>
    <w:rsid w:val="00922903"/>
    <w:rsid w:val="00933671"/>
    <w:rsid w:val="009470F1"/>
    <w:rsid w:val="00972BF7"/>
    <w:rsid w:val="00972DD5"/>
    <w:rsid w:val="00976BD8"/>
    <w:rsid w:val="0097704E"/>
    <w:rsid w:val="00984879"/>
    <w:rsid w:val="00985632"/>
    <w:rsid w:val="00987A04"/>
    <w:rsid w:val="00991B63"/>
    <w:rsid w:val="009B2428"/>
    <w:rsid w:val="009B5CB7"/>
    <w:rsid w:val="009B6CD8"/>
    <w:rsid w:val="009D0437"/>
    <w:rsid w:val="009D5C4B"/>
    <w:rsid w:val="00A012AA"/>
    <w:rsid w:val="00A128FE"/>
    <w:rsid w:val="00A12A12"/>
    <w:rsid w:val="00A17FEC"/>
    <w:rsid w:val="00A27315"/>
    <w:rsid w:val="00A31242"/>
    <w:rsid w:val="00A47960"/>
    <w:rsid w:val="00A52530"/>
    <w:rsid w:val="00A551BF"/>
    <w:rsid w:val="00A567C8"/>
    <w:rsid w:val="00A70524"/>
    <w:rsid w:val="00A73406"/>
    <w:rsid w:val="00AB25D0"/>
    <w:rsid w:val="00AC37D5"/>
    <w:rsid w:val="00AC65DA"/>
    <w:rsid w:val="00AF1D16"/>
    <w:rsid w:val="00AF4A5F"/>
    <w:rsid w:val="00B1121C"/>
    <w:rsid w:val="00B128D8"/>
    <w:rsid w:val="00B14E5E"/>
    <w:rsid w:val="00B2722A"/>
    <w:rsid w:val="00B4194D"/>
    <w:rsid w:val="00B57D88"/>
    <w:rsid w:val="00B618BA"/>
    <w:rsid w:val="00B6340F"/>
    <w:rsid w:val="00B6431A"/>
    <w:rsid w:val="00B67AEF"/>
    <w:rsid w:val="00B70186"/>
    <w:rsid w:val="00B769E0"/>
    <w:rsid w:val="00B904AC"/>
    <w:rsid w:val="00B90820"/>
    <w:rsid w:val="00B930A7"/>
    <w:rsid w:val="00B93650"/>
    <w:rsid w:val="00BA282D"/>
    <w:rsid w:val="00BB6260"/>
    <w:rsid w:val="00BC090E"/>
    <w:rsid w:val="00BD467C"/>
    <w:rsid w:val="00C00191"/>
    <w:rsid w:val="00C04C1E"/>
    <w:rsid w:val="00C05E74"/>
    <w:rsid w:val="00C10C19"/>
    <w:rsid w:val="00C143B8"/>
    <w:rsid w:val="00C17D02"/>
    <w:rsid w:val="00C22F8F"/>
    <w:rsid w:val="00C27DD4"/>
    <w:rsid w:val="00C30726"/>
    <w:rsid w:val="00C33962"/>
    <w:rsid w:val="00C4564E"/>
    <w:rsid w:val="00C520D6"/>
    <w:rsid w:val="00C5649C"/>
    <w:rsid w:val="00C7330E"/>
    <w:rsid w:val="00C75486"/>
    <w:rsid w:val="00C8202C"/>
    <w:rsid w:val="00C9296F"/>
    <w:rsid w:val="00C92A5B"/>
    <w:rsid w:val="00CA3623"/>
    <w:rsid w:val="00CA421D"/>
    <w:rsid w:val="00CA46EC"/>
    <w:rsid w:val="00CF0328"/>
    <w:rsid w:val="00CF32FE"/>
    <w:rsid w:val="00D05B29"/>
    <w:rsid w:val="00D10198"/>
    <w:rsid w:val="00D12120"/>
    <w:rsid w:val="00D1394D"/>
    <w:rsid w:val="00D329B7"/>
    <w:rsid w:val="00D47740"/>
    <w:rsid w:val="00D47E85"/>
    <w:rsid w:val="00D56685"/>
    <w:rsid w:val="00D65524"/>
    <w:rsid w:val="00D704ED"/>
    <w:rsid w:val="00D812B9"/>
    <w:rsid w:val="00D87885"/>
    <w:rsid w:val="00D903FD"/>
    <w:rsid w:val="00D94BC5"/>
    <w:rsid w:val="00D96C08"/>
    <w:rsid w:val="00DB33A7"/>
    <w:rsid w:val="00DC3052"/>
    <w:rsid w:val="00DC4963"/>
    <w:rsid w:val="00DD37E0"/>
    <w:rsid w:val="00DE01B9"/>
    <w:rsid w:val="00DF46C4"/>
    <w:rsid w:val="00E00F65"/>
    <w:rsid w:val="00E3545B"/>
    <w:rsid w:val="00E41483"/>
    <w:rsid w:val="00E4569D"/>
    <w:rsid w:val="00E71755"/>
    <w:rsid w:val="00E84B90"/>
    <w:rsid w:val="00EB012F"/>
    <w:rsid w:val="00EC02E0"/>
    <w:rsid w:val="00EC1BB7"/>
    <w:rsid w:val="00EC78E7"/>
    <w:rsid w:val="00ED2C73"/>
    <w:rsid w:val="00ED43D2"/>
    <w:rsid w:val="00EE3B8C"/>
    <w:rsid w:val="00EE3D2F"/>
    <w:rsid w:val="00EE78B2"/>
    <w:rsid w:val="00EF3F2F"/>
    <w:rsid w:val="00EF4A38"/>
    <w:rsid w:val="00F04638"/>
    <w:rsid w:val="00F11B8F"/>
    <w:rsid w:val="00F1540B"/>
    <w:rsid w:val="00F24FA9"/>
    <w:rsid w:val="00F257FB"/>
    <w:rsid w:val="00F305E5"/>
    <w:rsid w:val="00F46192"/>
    <w:rsid w:val="00F474FD"/>
    <w:rsid w:val="00F50F5D"/>
    <w:rsid w:val="00F523AC"/>
    <w:rsid w:val="00F74011"/>
    <w:rsid w:val="00F80605"/>
    <w:rsid w:val="00F90AAA"/>
    <w:rsid w:val="00F92479"/>
    <w:rsid w:val="00FA3AD6"/>
    <w:rsid w:val="00FB0C0B"/>
    <w:rsid w:val="00FB10CB"/>
    <w:rsid w:val="00FC6AB3"/>
    <w:rsid w:val="00FD015A"/>
    <w:rsid w:val="00FD5644"/>
    <w:rsid w:val="00FE6C56"/>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5E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oa heading" w:unhideWhenUsed="0"/>
    <w:lsdException w:name="List 2" w:unhideWhenUsed="0"/>
    <w:lsdException w:name="Title" w:semiHidden="0" w:uiPriority="10" w:unhideWhenUsed="0" w:qFormat="1"/>
    <w:lsdException w:name="Default Paragraph Font" w:uiPriority="1"/>
    <w:lsdException w:name="Body Text" w:uiPriority="0"/>
    <w:lsdException w:name="List Continue 4" w:unhideWhenUsed="0"/>
    <w:lsdException w:name="List Continue 5" w:unhideWhenUsed="0"/>
    <w:lsdException w:name="Message Header" w:unhideWhenUsed="0"/>
    <w:lsdException w:name="Subtitle" w:uiPriority="11" w:unhideWhenUsed="0" w:qFormat="1"/>
    <w:lsdException w:name="Strong" w:semiHidden="0" w:uiPriority="22" w:unhideWhenUsed="0" w:qFormat="1"/>
    <w:lsdException w:name="Emphasis" w:semiHidden="0" w:uiPriority="20" w:unhideWhenUsed="0" w:qFormat="1"/>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44166A"/>
    <w:pPr>
      <w:spacing w:after="0" w:line="720" w:lineRule="exact"/>
      <w:contextualSpacing/>
    </w:pPr>
    <w:rPr>
      <w:rFonts w:ascii="Arial" w:eastAsiaTheme="majorEastAsia" w:hAnsi="Arial" w:cstheme="majorBidi"/>
      <w:color w:val="000000" w:themeColor="text1"/>
      <w:spacing w:val="5"/>
      <w:sz w:val="48"/>
      <w:szCs w:val="52"/>
    </w:rPr>
  </w:style>
  <w:style w:type="paragraph" w:customStyle="1" w:styleId="EDUSubtitle">
    <w:name w:val="EDU_Subtitle"/>
    <w:basedOn w:val="Normal"/>
    <w:qFormat/>
    <w:rsid w:val="0044166A"/>
    <w:pPr>
      <w:spacing w:after="0" w:line="400" w:lineRule="exact"/>
    </w:pPr>
    <w:rPr>
      <w:rFonts w:ascii="Arial" w:eastAsiaTheme="majorEastAsia" w:hAnsi="Arial" w:cstheme="majorBidi"/>
      <w:iCs/>
      <w:color w:val="000000" w:themeColor="text1"/>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E3AD9"/>
    <w:pPr>
      <w:spacing w:before="240"/>
    </w:pPr>
    <w:rPr>
      <w:rFonts w:ascii="Arial" w:hAnsi="Arial"/>
      <w:color w:val="104165" w:themeColor="accent1" w:themeShade="BF"/>
      <w:sz w:val="28"/>
    </w:rPr>
  </w:style>
  <w:style w:type="paragraph" w:customStyle="1" w:styleId="EDUHeading2">
    <w:name w:val="EDU_Heading 2"/>
    <w:basedOn w:val="Heading2"/>
    <w:qFormat/>
    <w:rsid w:val="003E3AD9"/>
    <w:rPr>
      <w:rFonts w:ascii="Arial" w:hAnsi="Arial"/>
      <w:color w:val="104165" w:themeColor="accent1" w:themeShade="BF"/>
      <w:sz w:val="24"/>
    </w:rPr>
  </w:style>
  <w:style w:type="paragraph" w:customStyle="1" w:styleId="EDUHeading3">
    <w:name w:val="EDU_Heading 3"/>
    <w:basedOn w:val="Heading3"/>
    <w:qFormat/>
    <w:rsid w:val="003E3AD9"/>
    <w:rPr>
      <w:rFonts w:ascii="Arial" w:hAnsi="Arial"/>
      <w:i/>
      <w:color w:val="104165" w:themeColor="accent1" w:themeShade="BF"/>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table" w:customStyle="1" w:styleId="TableGrid1">
    <w:name w:val="Table Grid1"/>
    <w:basedOn w:val="TableNormal"/>
    <w:next w:val="TableGrid"/>
    <w:uiPriority w:val="59"/>
    <w:rsid w:val="00B419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19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708F"/>
    <w:rPr>
      <w:sz w:val="16"/>
      <w:szCs w:val="16"/>
    </w:rPr>
  </w:style>
  <w:style w:type="paragraph" w:styleId="CommentText">
    <w:name w:val="annotation text"/>
    <w:basedOn w:val="Normal"/>
    <w:link w:val="CommentTextChar"/>
    <w:uiPriority w:val="99"/>
    <w:semiHidden/>
    <w:unhideWhenUsed/>
    <w:rsid w:val="0089708F"/>
    <w:pPr>
      <w:spacing w:line="240" w:lineRule="auto"/>
    </w:pPr>
    <w:rPr>
      <w:sz w:val="20"/>
      <w:szCs w:val="20"/>
    </w:rPr>
  </w:style>
  <w:style w:type="character" w:customStyle="1" w:styleId="CommentTextChar">
    <w:name w:val="Comment Text Char"/>
    <w:basedOn w:val="DefaultParagraphFont"/>
    <w:link w:val="CommentText"/>
    <w:uiPriority w:val="99"/>
    <w:semiHidden/>
    <w:rsid w:val="0089708F"/>
    <w:rPr>
      <w:sz w:val="20"/>
      <w:szCs w:val="20"/>
    </w:rPr>
  </w:style>
  <w:style w:type="paragraph" w:styleId="CommentSubject">
    <w:name w:val="annotation subject"/>
    <w:basedOn w:val="CommentText"/>
    <w:next w:val="CommentText"/>
    <w:link w:val="CommentSubjectChar"/>
    <w:uiPriority w:val="99"/>
    <w:semiHidden/>
    <w:unhideWhenUsed/>
    <w:rsid w:val="0089708F"/>
    <w:rPr>
      <w:b/>
      <w:bCs/>
    </w:rPr>
  </w:style>
  <w:style w:type="character" w:customStyle="1" w:styleId="CommentSubjectChar">
    <w:name w:val="Comment Subject Char"/>
    <w:basedOn w:val="CommentTextChar"/>
    <w:link w:val="CommentSubject"/>
    <w:uiPriority w:val="99"/>
    <w:semiHidden/>
    <w:rsid w:val="0089708F"/>
    <w:rPr>
      <w:b/>
      <w:bCs/>
      <w:sz w:val="20"/>
      <w:szCs w:val="20"/>
    </w:rPr>
  </w:style>
  <w:style w:type="paragraph" w:styleId="Revision">
    <w:name w:val="Revision"/>
    <w:hidden/>
    <w:uiPriority w:val="99"/>
    <w:semiHidden/>
    <w:rsid w:val="003A0804"/>
    <w:pPr>
      <w:spacing w:after="0" w:line="240" w:lineRule="auto"/>
    </w:pPr>
  </w:style>
  <w:style w:type="character" w:styleId="Hyperlink">
    <w:name w:val="Hyperlink"/>
    <w:basedOn w:val="DefaultParagraphFont"/>
    <w:uiPriority w:val="99"/>
    <w:unhideWhenUsed/>
    <w:rsid w:val="0097704E"/>
    <w:rPr>
      <w:color w:val="165788"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oa heading" w:unhideWhenUsed="0"/>
    <w:lsdException w:name="List 2" w:unhideWhenUsed="0"/>
    <w:lsdException w:name="Title" w:semiHidden="0" w:uiPriority="10" w:unhideWhenUsed="0" w:qFormat="1"/>
    <w:lsdException w:name="Default Paragraph Font" w:uiPriority="1"/>
    <w:lsdException w:name="Body Text" w:uiPriority="0"/>
    <w:lsdException w:name="List Continue 4" w:unhideWhenUsed="0"/>
    <w:lsdException w:name="List Continue 5" w:unhideWhenUsed="0"/>
    <w:lsdException w:name="Message Header" w:unhideWhenUsed="0"/>
    <w:lsdException w:name="Subtitle" w:uiPriority="11" w:unhideWhenUsed="0" w:qFormat="1"/>
    <w:lsdException w:name="Strong" w:semiHidden="0" w:uiPriority="22" w:unhideWhenUsed="0" w:qFormat="1"/>
    <w:lsdException w:name="Emphasis" w:semiHidden="0" w:uiPriority="20" w:unhideWhenUsed="0" w:qFormat="1"/>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44166A"/>
    <w:pPr>
      <w:spacing w:after="0" w:line="720" w:lineRule="exact"/>
      <w:contextualSpacing/>
    </w:pPr>
    <w:rPr>
      <w:rFonts w:ascii="Arial" w:eastAsiaTheme="majorEastAsia" w:hAnsi="Arial" w:cstheme="majorBidi"/>
      <w:color w:val="000000" w:themeColor="text1"/>
      <w:spacing w:val="5"/>
      <w:sz w:val="48"/>
      <w:szCs w:val="52"/>
    </w:rPr>
  </w:style>
  <w:style w:type="paragraph" w:customStyle="1" w:styleId="EDUSubtitle">
    <w:name w:val="EDU_Subtitle"/>
    <w:basedOn w:val="Normal"/>
    <w:qFormat/>
    <w:rsid w:val="0044166A"/>
    <w:pPr>
      <w:spacing w:after="0" w:line="400" w:lineRule="exact"/>
    </w:pPr>
    <w:rPr>
      <w:rFonts w:ascii="Arial" w:eastAsiaTheme="majorEastAsia" w:hAnsi="Arial" w:cstheme="majorBidi"/>
      <w:iCs/>
      <w:color w:val="000000" w:themeColor="text1"/>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E3AD9"/>
    <w:pPr>
      <w:spacing w:before="240"/>
    </w:pPr>
    <w:rPr>
      <w:rFonts w:ascii="Arial" w:hAnsi="Arial"/>
      <w:color w:val="104165" w:themeColor="accent1" w:themeShade="BF"/>
      <w:sz w:val="28"/>
    </w:rPr>
  </w:style>
  <w:style w:type="paragraph" w:customStyle="1" w:styleId="EDUHeading2">
    <w:name w:val="EDU_Heading 2"/>
    <w:basedOn w:val="Heading2"/>
    <w:qFormat/>
    <w:rsid w:val="003E3AD9"/>
    <w:rPr>
      <w:rFonts w:ascii="Arial" w:hAnsi="Arial"/>
      <w:color w:val="104165" w:themeColor="accent1" w:themeShade="BF"/>
      <w:sz w:val="24"/>
    </w:rPr>
  </w:style>
  <w:style w:type="paragraph" w:customStyle="1" w:styleId="EDUHeading3">
    <w:name w:val="EDU_Heading 3"/>
    <w:basedOn w:val="Heading3"/>
    <w:qFormat/>
    <w:rsid w:val="003E3AD9"/>
    <w:rPr>
      <w:rFonts w:ascii="Arial" w:hAnsi="Arial"/>
      <w:i/>
      <w:color w:val="104165" w:themeColor="accent1" w:themeShade="BF"/>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table" w:customStyle="1" w:styleId="TableGrid1">
    <w:name w:val="Table Grid1"/>
    <w:basedOn w:val="TableNormal"/>
    <w:next w:val="TableGrid"/>
    <w:uiPriority w:val="59"/>
    <w:rsid w:val="00B419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19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708F"/>
    <w:rPr>
      <w:sz w:val="16"/>
      <w:szCs w:val="16"/>
    </w:rPr>
  </w:style>
  <w:style w:type="paragraph" w:styleId="CommentText">
    <w:name w:val="annotation text"/>
    <w:basedOn w:val="Normal"/>
    <w:link w:val="CommentTextChar"/>
    <w:uiPriority w:val="99"/>
    <w:semiHidden/>
    <w:unhideWhenUsed/>
    <w:rsid w:val="0089708F"/>
    <w:pPr>
      <w:spacing w:line="240" w:lineRule="auto"/>
    </w:pPr>
    <w:rPr>
      <w:sz w:val="20"/>
      <w:szCs w:val="20"/>
    </w:rPr>
  </w:style>
  <w:style w:type="character" w:customStyle="1" w:styleId="CommentTextChar">
    <w:name w:val="Comment Text Char"/>
    <w:basedOn w:val="DefaultParagraphFont"/>
    <w:link w:val="CommentText"/>
    <w:uiPriority w:val="99"/>
    <w:semiHidden/>
    <w:rsid w:val="0089708F"/>
    <w:rPr>
      <w:sz w:val="20"/>
      <w:szCs w:val="20"/>
    </w:rPr>
  </w:style>
  <w:style w:type="paragraph" w:styleId="CommentSubject">
    <w:name w:val="annotation subject"/>
    <w:basedOn w:val="CommentText"/>
    <w:next w:val="CommentText"/>
    <w:link w:val="CommentSubjectChar"/>
    <w:uiPriority w:val="99"/>
    <w:semiHidden/>
    <w:unhideWhenUsed/>
    <w:rsid w:val="0089708F"/>
    <w:rPr>
      <w:b/>
      <w:bCs/>
    </w:rPr>
  </w:style>
  <w:style w:type="character" w:customStyle="1" w:styleId="CommentSubjectChar">
    <w:name w:val="Comment Subject Char"/>
    <w:basedOn w:val="CommentTextChar"/>
    <w:link w:val="CommentSubject"/>
    <w:uiPriority w:val="99"/>
    <w:semiHidden/>
    <w:rsid w:val="0089708F"/>
    <w:rPr>
      <w:b/>
      <w:bCs/>
      <w:sz w:val="20"/>
      <w:szCs w:val="20"/>
    </w:rPr>
  </w:style>
  <w:style w:type="paragraph" w:styleId="Revision">
    <w:name w:val="Revision"/>
    <w:hidden/>
    <w:uiPriority w:val="99"/>
    <w:semiHidden/>
    <w:rsid w:val="003A0804"/>
    <w:pPr>
      <w:spacing w:after="0" w:line="240" w:lineRule="auto"/>
    </w:pPr>
  </w:style>
  <w:style w:type="character" w:styleId="Hyperlink">
    <w:name w:val="Hyperlink"/>
    <w:basedOn w:val="DefaultParagraphFont"/>
    <w:uiPriority w:val="99"/>
    <w:unhideWhenUsed/>
    <w:rsid w:val="0097704E"/>
    <w:rPr>
      <w:color w:val="16578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7848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ducation.gov.au/node/14766" TargetMode="Externa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au/parent-information"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C142C-C63B-43A9-927E-C78CD49C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BE7E8347.dotm</Template>
  <TotalTime>167</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lastModifiedBy>Michaela Austin</cp:lastModifiedBy>
  <cp:revision>29</cp:revision>
  <cp:lastPrinted>2013-01-17T00:36:00Z</cp:lastPrinted>
  <dcterms:created xsi:type="dcterms:W3CDTF">2017-02-03T03:02:00Z</dcterms:created>
  <dcterms:modified xsi:type="dcterms:W3CDTF">2017-05-10T04:28:00Z</dcterms:modified>
</cp:coreProperties>
</file>